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00" w:rsidRPr="00D147A7" w:rsidRDefault="003E1E00" w:rsidP="003E1E00">
      <w:r w:rsidRPr="00D147A7">
        <w:rPr>
          <w:noProof/>
          <w:lang w:eastAsia="nl-BE" w:bidi="ar-SA"/>
        </w:rPr>
        <w:drawing>
          <wp:inline distT="0" distB="0" distL="0" distR="0" wp14:anchorId="26FC5462" wp14:editId="393E0007">
            <wp:extent cx="1276350" cy="400050"/>
            <wp:effectExtent l="0" t="0" r="0" b="0"/>
            <wp:docPr id="8" name="Afbeelding 8" descr="VUB_logo_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B_logo_comp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D147A7">
        <w:tab/>
      </w:r>
      <w:r w:rsidRPr="00D147A7">
        <w:tab/>
      </w:r>
      <w:r w:rsidRPr="00D147A7">
        <w:rPr>
          <w:noProof/>
          <w:lang w:eastAsia="nl-BE" w:bidi="ar-SA"/>
        </w:rPr>
        <w:drawing>
          <wp:inline distT="0" distB="0" distL="0" distR="0" wp14:anchorId="1A93F0E0" wp14:editId="388C7D2B">
            <wp:extent cx="504825" cy="828675"/>
            <wp:effectExtent l="0" t="0" r="9525" b="9525"/>
            <wp:docPr id="7" name="Afbeelding 7" descr="logo 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euv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828675"/>
                    </a:xfrm>
                    <a:prstGeom prst="rect">
                      <a:avLst/>
                    </a:prstGeom>
                    <a:noFill/>
                    <a:ln>
                      <a:noFill/>
                    </a:ln>
                  </pic:spPr>
                </pic:pic>
              </a:graphicData>
            </a:graphic>
          </wp:inline>
        </w:drawing>
      </w:r>
      <w:r w:rsidRPr="00D147A7">
        <w:tab/>
        <w:t xml:space="preserve">   </w:t>
      </w:r>
      <w:r w:rsidRPr="00D147A7">
        <w:rPr>
          <w:noProof/>
          <w:lang w:eastAsia="nl-BE" w:bidi="ar-SA"/>
        </w:rPr>
        <w:drawing>
          <wp:inline distT="0" distB="0" distL="0" distR="0" wp14:anchorId="00AAB284" wp14:editId="2F8F27E7">
            <wp:extent cx="800100" cy="571500"/>
            <wp:effectExtent l="0" t="0" r="0" b="0"/>
            <wp:docPr id="6" name="Afbeelding 6" descr="logozw U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zw Ug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D147A7">
        <w:tab/>
        <w:t xml:space="preserve">  </w:t>
      </w:r>
      <w:r w:rsidRPr="00D147A7">
        <w:rPr>
          <w:noProof/>
          <w:lang w:eastAsia="nl-BE" w:bidi="ar-SA"/>
        </w:rPr>
        <w:drawing>
          <wp:inline distT="0" distB="0" distL="0" distR="0" wp14:anchorId="21FA9A5E" wp14:editId="2600D823">
            <wp:extent cx="1485900" cy="476250"/>
            <wp:effectExtent l="0" t="0" r="0" b="0"/>
            <wp:docPr id="5" name="Afbeelding 5" descr="logo_UA_hor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UA_hor_zw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476250"/>
                    </a:xfrm>
                    <a:prstGeom prst="rect">
                      <a:avLst/>
                    </a:prstGeom>
                    <a:noFill/>
                    <a:ln>
                      <a:noFill/>
                    </a:ln>
                  </pic:spPr>
                </pic:pic>
              </a:graphicData>
            </a:graphic>
          </wp:inline>
        </w:drawing>
      </w:r>
    </w:p>
    <w:p w:rsidR="003E1E00" w:rsidRPr="00D147A7" w:rsidRDefault="003E1E00" w:rsidP="003E1E00">
      <w:pPr>
        <w:rPr>
          <w:sz w:val="22"/>
          <w:szCs w:val="22"/>
        </w:rPr>
      </w:pPr>
    </w:p>
    <w:p w:rsidR="003E1E00" w:rsidRPr="00D147A7" w:rsidRDefault="003E1E00" w:rsidP="003E1E00">
      <w:pPr>
        <w:jc w:val="center"/>
        <w:rPr>
          <w:szCs w:val="18"/>
        </w:rPr>
      </w:pPr>
      <w:r w:rsidRPr="00D147A7">
        <w:rPr>
          <w:szCs w:val="18"/>
        </w:rPr>
        <w:t>Vrije Universiteit Brussel</w:t>
      </w:r>
    </w:p>
    <w:p w:rsidR="003E1E00" w:rsidRPr="00D147A7" w:rsidRDefault="003E1E00" w:rsidP="003E1E00">
      <w:pPr>
        <w:jc w:val="center"/>
        <w:rPr>
          <w:sz w:val="28"/>
          <w:szCs w:val="28"/>
        </w:rPr>
      </w:pPr>
      <w:r w:rsidRPr="00D147A7">
        <w:rPr>
          <w:szCs w:val="18"/>
        </w:rPr>
        <w:t>Faculteit der Letteren en Wijsbegeerte</w:t>
      </w:r>
    </w:p>
    <w:p w:rsidR="003E1E00" w:rsidRPr="00D147A7" w:rsidRDefault="003E1E00" w:rsidP="003E1E00">
      <w:pPr>
        <w:jc w:val="center"/>
      </w:pPr>
      <w:r w:rsidRPr="00D147A7">
        <w:rPr>
          <w:szCs w:val="18"/>
        </w:rPr>
        <w:t>Studiegebied Archivistiek: Erfgoedbeheer en Hedendaags Documentbeheer</w:t>
      </w:r>
    </w:p>
    <w:p w:rsidR="003E1E00" w:rsidRPr="00D147A7" w:rsidRDefault="003E1E00" w:rsidP="003E1E00">
      <w:pPr>
        <w:rPr>
          <w:szCs w:val="18"/>
        </w:rPr>
      </w:pPr>
    </w:p>
    <w:p w:rsidR="003E1E00" w:rsidRPr="00D147A7" w:rsidRDefault="003E1E00" w:rsidP="003E1E00">
      <w:pPr>
        <w:ind w:right="70"/>
        <w:jc w:val="right"/>
        <w:rPr>
          <w:szCs w:val="18"/>
        </w:rPr>
      </w:pPr>
    </w:p>
    <w:p w:rsidR="003E1E00" w:rsidRPr="00D147A7" w:rsidRDefault="003E1E00" w:rsidP="003E1E00">
      <w:pPr>
        <w:ind w:right="70"/>
        <w:jc w:val="right"/>
      </w:pPr>
    </w:p>
    <w:p w:rsidR="003E1E00" w:rsidRPr="00D147A7" w:rsidRDefault="003E1E00" w:rsidP="003E1E00">
      <w:pPr>
        <w:ind w:right="70"/>
        <w:jc w:val="right"/>
        <w:rPr>
          <w:szCs w:val="18"/>
        </w:rPr>
      </w:pPr>
      <w:r w:rsidRPr="00D147A7">
        <w:t>Proef ingediend voor het behalen van de</w:t>
      </w:r>
    </w:p>
    <w:p w:rsidR="003E1E00" w:rsidRPr="00D147A7" w:rsidRDefault="003E1E00" w:rsidP="003E1E00">
      <w:pPr>
        <w:jc w:val="right"/>
      </w:pPr>
      <w:r w:rsidRPr="00D147A7">
        <w:rPr>
          <w:szCs w:val="18"/>
        </w:rPr>
        <w:tab/>
      </w:r>
      <w:r w:rsidRPr="00D147A7">
        <w:rPr>
          <w:szCs w:val="18"/>
        </w:rPr>
        <w:tab/>
        <w:t xml:space="preserve">graad van Master na Master in de Archivistiek: </w:t>
      </w:r>
      <w:r w:rsidRPr="00D147A7">
        <w:t xml:space="preserve"> </w:t>
      </w:r>
    </w:p>
    <w:p w:rsidR="003E1E00" w:rsidRPr="00D147A7" w:rsidRDefault="003E1E00" w:rsidP="003E1E00">
      <w:pPr>
        <w:jc w:val="right"/>
        <w:rPr>
          <w:szCs w:val="18"/>
        </w:rPr>
      </w:pPr>
      <w:r w:rsidRPr="00D147A7">
        <w:t>Erfgoedbeheer en Hedendaags Documentbeheer</w:t>
      </w:r>
    </w:p>
    <w:p w:rsidR="003E1E00" w:rsidRPr="00D147A7" w:rsidRDefault="003E1E00" w:rsidP="003E1E00">
      <w:pPr>
        <w:jc w:val="right"/>
      </w:pPr>
      <w:r w:rsidRPr="00D147A7">
        <w:tab/>
      </w:r>
      <w:r w:rsidRPr="00D147A7">
        <w:tab/>
      </w:r>
      <w:r w:rsidRPr="00D147A7">
        <w:tab/>
      </w:r>
      <w:r w:rsidRPr="00D147A7">
        <w:tab/>
      </w:r>
      <w:r w:rsidRPr="00D147A7">
        <w:tab/>
      </w:r>
      <w:r w:rsidRPr="00D147A7">
        <w:tab/>
      </w:r>
      <w:r w:rsidRPr="00D147A7">
        <w:tab/>
      </w:r>
      <w:r w:rsidRPr="00D147A7">
        <w:tab/>
        <w:t>door Merijn Peeters</w:t>
      </w:r>
    </w:p>
    <w:p w:rsidR="003E1E00" w:rsidRPr="00D147A7" w:rsidRDefault="003E1E00" w:rsidP="003E1E00">
      <w:pPr>
        <w:jc w:val="right"/>
      </w:pPr>
    </w:p>
    <w:p w:rsidR="003E1E00" w:rsidRPr="00D147A7" w:rsidRDefault="003E1E00" w:rsidP="003E1E00"/>
    <w:p w:rsidR="003E1E00" w:rsidRPr="00D147A7" w:rsidRDefault="003E1E00" w:rsidP="003E1E00"/>
    <w:p w:rsidR="003E1E00" w:rsidRPr="00D147A7" w:rsidRDefault="003E1E00" w:rsidP="003E1E00"/>
    <w:p w:rsidR="003E1E00" w:rsidRPr="00D147A7" w:rsidRDefault="003E1E00" w:rsidP="003E1E00"/>
    <w:p w:rsidR="003E1E00" w:rsidRPr="00D147A7" w:rsidRDefault="003E1E00" w:rsidP="003E1E00"/>
    <w:p w:rsidR="003E1E00" w:rsidRPr="00D147A7" w:rsidRDefault="003E1E00" w:rsidP="003E1E00">
      <w:r w:rsidRPr="00D147A7">
        <w:br w:type="textWrapping" w:clear="all"/>
      </w:r>
    </w:p>
    <w:p w:rsidR="003E1E00" w:rsidRPr="00D147A7" w:rsidRDefault="003E1E00" w:rsidP="003E1E00"/>
    <w:p w:rsidR="003E1E00" w:rsidRPr="00D147A7" w:rsidRDefault="003E1E00" w:rsidP="003E1E00"/>
    <w:p w:rsidR="003E1E00" w:rsidRPr="00D147A7" w:rsidRDefault="003E1E00" w:rsidP="003E1E00">
      <w:pPr>
        <w:jc w:val="center"/>
        <w:rPr>
          <w:b/>
          <w:smallCaps/>
          <w:sz w:val="32"/>
          <w:szCs w:val="32"/>
        </w:rPr>
      </w:pPr>
      <w:r w:rsidRPr="00D147A7">
        <w:rPr>
          <w:b/>
          <w:smallCaps/>
          <w:sz w:val="32"/>
          <w:szCs w:val="32"/>
          <w:shd w:val="clear" w:color="auto" w:fill="FFFFFF"/>
        </w:rPr>
        <w:t>Comparatieve studie van archivistische vraagstukken rond patiëntendossiers in België, Nederland en Frankrijk</w:t>
      </w:r>
    </w:p>
    <w:p w:rsidR="003E1E00" w:rsidRPr="00D147A7" w:rsidRDefault="003E1E00" w:rsidP="003E1E00">
      <w:pPr>
        <w:jc w:val="center"/>
        <w:rPr>
          <w:sz w:val="28"/>
          <w:szCs w:val="28"/>
        </w:rPr>
      </w:pPr>
    </w:p>
    <w:p w:rsidR="003E1E00" w:rsidRPr="00D147A7" w:rsidRDefault="003E1E00" w:rsidP="003E1E00">
      <w:pPr>
        <w:pStyle w:val="Geenafstand"/>
        <w:jc w:val="center"/>
        <w:rPr>
          <w:rFonts w:ascii="Times New Roman" w:hAnsi="Times New Roman" w:cs="Times New Roman"/>
          <w:smallCaps/>
          <w:sz w:val="24"/>
          <w:szCs w:val="24"/>
          <w:lang w:val="fr-BE"/>
        </w:rPr>
      </w:pPr>
      <w:r w:rsidRPr="00D147A7">
        <w:rPr>
          <w:rFonts w:ascii="Times New Roman" w:hAnsi="Times New Roman" w:cs="Times New Roman"/>
          <w:smallCaps/>
          <w:sz w:val="24"/>
          <w:szCs w:val="24"/>
          <w:lang w:val="fr-BE"/>
        </w:rPr>
        <w:t>Parce que «</w:t>
      </w:r>
      <w:r w:rsidRPr="00D147A7">
        <w:rPr>
          <w:rFonts w:ascii="Times New Roman" w:hAnsi="Times New Roman" w:cs="Times New Roman"/>
          <w:i/>
          <w:smallCaps/>
          <w:sz w:val="24"/>
          <w:szCs w:val="24"/>
          <w:lang w:val="fr-BE"/>
        </w:rPr>
        <w:t>notre santé est chose bien trop importante pour la laisser aux seuls médecins</w:t>
      </w:r>
      <w:r w:rsidRPr="00D147A7">
        <w:rPr>
          <w:rFonts w:ascii="Times New Roman" w:hAnsi="Times New Roman" w:cs="Times New Roman"/>
          <w:smallCaps/>
          <w:sz w:val="24"/>
          <w:szCs w:val="24"/>
          <w:lang w:val="fr-BE"/>
        </w:rPr>
        <w:t>» (Voltaire)</w:t>
      </w:r>
    </w:p>
    <w:p w:rsidR="003E1E00" w:rsidRPr="00D147A7" w:rsidRDefault="003E1E00" w:rsidP="003E1E00">
      <w:pPr>
        <w:jc w:val="center"/>
        <w:rPr>
          <w:sz w:val="28"/>
          <w:szCs w:val="28"/>
          <w:lang w:val="fr-BE"/>
        </w:rPr>
      </w:pPr>
    </w:p>
    <w:p w:rsidR="003E1E00" w:rsidRPr="00D147A7" w:rsidRDefault="003E1E00" w:rsidP="003E1E00">
      <w:pPr>
        <w:rPr>
          <w:sz w:val="28"/>
          <w:szCs w:val="28"/>
          <w:lang w:val="fr-BE"/>
        </w:rPr>
      </w:pPr>
    </w:p>
    <w:p w:rsidR="003E1E00" w:rsidRPr="00D147A7" w:rsidRDefault="003E1E00" w:rsidP="003E1E00">
      <w:pPr>
        <w:rPr>
          <w:sz w:val="28"/>
          <w:szCs w:val="28"/>
          <w:lang w:val="fr-BE"/>
        </w:rPr>
      </w:pPr>
    </w:p>
    <w:p w:rsidR="003E1E00" w:rsidRPr="00D147A7" w:rsidRDefault="003E1E00" w:rsidP="003E1E00">
      <w:pPr>
        <w:rPr>
          <w:sz w:val="28"/>
          <w:szCs w:val="28"/>
          <w:lang w:val="fr-BE"/>
        </w:rPr>
      </w:pPr>
    </w:p>
    <w:p w:rsidR="003E1E00" w:rsidRPr="00D147A7" w:rsidRDefault="003E1E00" w:rsidP="003E1E00">
      <w:pPr>
        <w:rPr>
          <w:sz w:val="28"/>
          <w:szCs w:val="28"/>
          <w:lang w:val="fr-BE"/>
        </w:rPr>
      </w:pPr>
    </w:p>
    <w:p w:rsidR="003E1E00" w:rsidRPr="00D147A7" w:rsidRDefault="003E1E00" w:rsidP="003E1E00">
      <w:pPr>
        <w:rPr>
          <w:sz w:val="28"/>
          <w:szCs w:val="28"/>
          <w:lang w:val="fr-BE"/>
        </w:rPr>
      </w:pPr>
    </w:p>
    <w:p w:rsidR="003E1E00" w:rsidRPr="00D147A7" w:rsidRDefault="003E1E00" w:rsidP="003E1E00">
      <w:pPr>
        <w:rPr>
          <w:sz w:val="28"/>
          <w:szCs w:val="28"/>
          <w:lang w:val="fr-BE"/>
        </w:rPr>
      </w:pPr>
    </w:p>
    <w:p w:rsidR="003E1E00" w:rsidRPr="00D147A7" w:rsidRDefault="003E1E00" w:rsidP="003E1E00">
      <w:pPr>
        <w:rPr>
          <w:szCs w:val="18"/>
          <w:lang w:val="fr-BE"/>
        </w:rPr>
      </w:pPr>
    </w:p>
    <w:p w:rsidR="003E1E00" w:rsidRPr="00D147A7" w:rsidRDefault="003E1E00" w:rsidP="003E1E00">
      <w:pPr>
        <w:rPr>
          <w:szCs w:val="18"/>
          <w:lang w:val="fr-BE"/>
        </w:rPr>
      </w:pPr>
    </w:p>
    <w:p w:rsidR="003E1E00" w:rsidRPr="00D147A7" w:rsidRDefault="003E1E00" w:rsidP="003E1E00">
      <w:pPr>
        <w:rPr>
          <w:szCs w:val="18"/>
          <w:lang w:val="fr-BE"/>
        </w:rPr>
      </w:pPr>
    </w:p>
    <w:p w:rsidR="003E1E00" w:rsidRPr="00D147A7" w:rsidRDefault="003E1E00" w:rsidP="003E1E00">
      <w:pPr>
        <w:rPr>
          <w:szCs w:val="18"/>
          <w:lang w:val="fr-BE"/>
        </w:rPr>
      </w:pPr>
    </w:p>
    <w:p w:rsidR="003E1E00" w:rsidRPr="00D147A7" w:rsidRDefault="003E1E00" w:rsidP="003E1E00">
      <w:pPr>
        <w:rPr>
          <w:lang w:val="fr-BE"/>
        </w:rPr>
      </w:pPr>
    </w:p>
    <w:p w:rsidR="003E1E00" w:rsidRPr="00D147A7" w:rsidRDefault="003E1E00" w:rsidP="003E1E00">
      <w:pPr>
        <w:jc w:val="right"/>
        <w:rPr>
          <w:lang w:val="fr-BE"/>
        </w:rPr>
      </w:pPr>
    </w:p>
    <w:p w:rsidR="003E1E00" w:rsidRPr="00D147A7" w:rsidRDefault="003E1E00" w:rsidP="003E1E00">
      <w:r w:rsidRPr="00D147A7">
        <w:t>Promotor: Prof. Dr. Karel Velle</w:t>
      </w:r>
      <w:r w:rsidRPr="00D147A7">
        <w:tab/>
      </w:r>
      <w:r w:rsidRPr="00D147A7">
        <w:tab/>
      </w:r>
      <w:r w:rsidRPr="00D147A7">
        <w:tab/>
      </w:r>
      <w:r w:rsidRPr="00D147A7">
        <w:tab/>
      </w:r>
      <w:r w:rsidRPr="00D147A7">
        <w:tab/>
        <w:t>Academiejaar 2011-2012</w:t>
      </w:r>
    </w:p>
    <w:p w:rsidR="003E1E00" w:rsidRPr="00D147A7" w:rsidRDefault="003E1E00" w:rsidP="003E1E00"/>
    <w:p w:rsidR="003E1E00" w:rsidRPr="00D147A7" w:rsidRDefault="003E1E00" w:rsidP="003E1E00"/>
    <w:p w:rsidR="003E1E00" w:rsidRPr="00D147A7" w:rsidRDefault="003E1E00" w:rsidP="003E1E00">
      <w:r w:rsidRPr="00D147A7">
        <w:tab/>
      </w:r>
      <w:r w:rsidRPr="00D147A7">
        <w:tab/>
      </w:r>
      <w:r w:rsidRPr="00D147A7">
        <w:tab/>
      </w:r>
      <w:r w:rsidRPr="00D147A7">
        <w:tab/>
      </w:r>
      <w:r w:rsidRPr="00D147A7">
        <w:tab/>
      </w:r>
      <w:r w:rsidRPr="00D147A7">
        <w:tab/>
        <w:t>Brussel</w:t>
      </w:r>
    </w:p>
    <w:p w:rsidR="003E1E00" w:rsidRPr="00D147A7" w:rsidRDefault="003E1E00" w:rsidP="003E1E00">
      <w:pPr>
        <w:jc w:val="center"/>
      </w:pPr>
      <w:r w:rsidRPr="00D147A7">
        <w:t>2012</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jc w:val="right"/>
        <w:rPr>
          <w:rFonts w:ascii="Times New Roman" w:hAnsi="Times New Roman" w:cs="Times New Roman"/>
          <w:sz w:val="24"/>
          <w:szCs w:val="24"/>
        </w:rPr>
      </w:pPr>
      <w:r w:rsidRPr="00D147A7">
        <w:rPr>
          <w:rFonts w:ascii="Times New Roman" w:hAnsi="Times New Roman" w:cs="Times New Roman"/>
          <w:sz w:val="24"/>
          <w:szCs w:val="24"/>
        </w:rPr>
        <w:t>Voor mijn ‘metertje’, mijn idool en tevens mijn grootste fan…</w:t>
      </w:r>
    </w:p>
    <w:p w:rsidR="003E1E00" w:rsidRPr="00D147A7" w:rsidRDefault="003E1E00" w:rsidP="003E1E00">
      <w:pPr>
        <w:pStyle w:val="Geenafstand"/>
        <w:jc w:val="right"/>
        <w:rPr>
          <w:rFonts w:ascii="Times New Roman" w:hAnsi="Times New Roman" w:cs="Times New Roman"/>
          <w:sz w:val="24"/>
          <w:szCs w:val="24"/>
          <w:lang w:val="en-US"/>
        </w:rPr>
      </w:pPr>
      <w:r w:rsidRPr="00D147A7">
        <w:rPr>
          <w:rFonts w:ascii="Times New Roman" w:hAnsi="Times New Roman" w:cs="Times New Roman"/>
          <w:sz w:val="24"/>
          <w:szCs w:val="24"/>
          <w:lang w:val="en-US"/>
        </w:rPr>
        <w:t>(°17.01.1913 – † 23.05.2012)</w:t>
      </w:r>
    </w:p>
    <w:p w:rsidR="003E1E00" w:rsidRPr="00D147A7" w:rsidRDefault="003E1E00" w:rsidP="003E1E00">
      <w:pPr>
        <w:pStyle w:val="Geenafstand"/>
        <w:jc w:val="center"/>
        <w:rPr>
          <w:rFonts w:ascii="Times New Roman" w:hAnsi="Times New Roman" w:cs="Times New Roman"/>
          <w:b/>
          <w:smallCaps/>
          <w:sz w:val="24"/>
          <w:szCs w:val="24"/>
          <w:lang w:val="en-US"/>
        </w:rPr>
      </w:pPr>
      <w:r w:rsidRPr="00D147A7">
        <w:rPr>
          <w:rFonts w:ascii="Times New Roman" w:hAnsi="Times New Roman" w:cs="Times New Roman"/>
          <w:smallCaps/>
          <w:sz w:val="24"/>
          <w:szCs w:val="24"/>
          <w:lang w:val="en-US"/>
        </w:rPr>
        <w:br w:type="page"/>
      </w:r>
      <w:r w:rsidRPr="00D147A7">
        <w:rPr>
          <w:rFonts w:ascii="Times New Roman" w:hAnsi="Times New Roman" w:cs="Times New Roman"/>
          <w:b/>
          <w:smallCaps/>
          <w:sz w:val="24"/>
          <w:szCs w:val="24"/>
          <w:lang w:val="en-US"/>
        </w:rPr>
        <w:lastRenderedPageBreak/>
        <w:t>Abstract</w:t>
      </w:r>
    </w:p>
    <w:p w:rsidR="003E1E00" w:rsidRPr="00D147A7" w:rsidRDefault="003E1E00" w:rsidP="003E1E00">
      <w:pPr>
        <w:pStyle w:val="Geenafstand"/>
        <w:rPr>
          <w:rFonts w:ascii="Times New Roman" w:hAnsi="Times New Roman" w:cs="Times New Roman"/>
          <w:sz w:val="24"/>
          <w:szCs w:val="24"/>
          <w:lang w:val="en-US"/>
        </w:rPr>
      </w:pP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This Master’s thesis is a long-winded work in which the main topics of medical records ma</w:t>
      </w:r>
      <w:r w:rsidR="00DE6765">
        <w:rPr>
          <w:rFonts w:ascii="Times New Roman" w:hAnsi="Times New Roman" w:cs="Times New Roman"/>
          <w:sz w:val="24"/>
          <w:szCs w:val="24"/>
          <w:lang w:val="en-US"/>
        </w:rPr>
        <w:t>-</w:t>
      </w:r>
      <w:r w:rsidRPr="00D147A7">
        <w:rPr>
          <w:rFonts w:ascii="Times New Roman" w:hAnsi="Times New Roman" w:cs="Times New Roman"/>
          <w:sz w:val="24"/>
          <w:szCs w:val="24"/>
          <w:lang w:val="en-US"/>
        </w:rPr>
        <w:t>nagement will be dealt with. The corpus consists of five parts, each devoted to one particular stage of the records lifecycle of medical records. Every stage will be respectively examined for Belgium, the Netherlands and France. At the end of each part, a recapitulation of the sub</w:t>
      </w:r>
      <w:r w:rsidR="00DE6765">
        <w:rPr>
          <w:rFonts w:ascii="Times New Roman" w:hAnsi="Times New Roman" w:cs="Times New Roman"/>
          <w:sz w:val="24"/>
          <w:szCs w:val="24"/>
          <w:lang w:val="en-US"/>
        </w:rPr>
        <w:t>-</w:t>
      </w:r>
      <w:r w:rsidRPr="00D147A7">
        <w:rPr>
          <w:rFonts w:ascii="Times New Roman" w:hAnsi="Times New Roman" w:cs="Times New Roman"/>
          <w:sz w:val="24"/>
          <w:szCs w:val="24"/>
          <w:lang w:val="en-US"/>
        </w:rPr>
        <w:t>ject matter is made, followed by a country based comparison since benchmarking is the main aspiration of this study. Hence, the best practices from abroad will be translated into valuable recommendations for both archivists and records managers in hospitals and for the Belgian legislator. Traditionally, Belgian archivists paid very little attention to medical archives. The</w:t>
      </w:r>
      <w:r w:rsidR="00DE6765">
        <w:rPr>
          <w:rFonts w:ascii="Times New Roman" w:hAnsi="Times New Roman" w:cs="Times New Roman"/>
          <w:sz w:val="24"/>
          <w:szCs w:val="24"/>
          <w:lang w:val="en-US"/>
        </w:rPr>
        <w:t>-</w:t>
      </w:r>
      <w:r w:rsidRPr="00D147A7">
        <w:rPr>
          <w:rFonts w:ascii="Times New Roman" w:hAnsi="Times New Roman" w:cs="Times New Roman"/>
          <w:sz w:val="24"/>
          <w:szCs w:val="24"/>
          <w:lang w:val="en-US"/>
        </w:rPr>
        <w:t>refore, the management of medical records has some catching up to do. This justifies the c</w:t>
      </w:r>
      <w:r w:rsidR="00E333B6" w:rsidRPr="00D147A7">
        <w:rPr>
          <w:rFonts w:ascii="Times New Roman" w:hAnsi="Times New Roman" w:cs="Times New Roman"/>
          <w:sz w:val="24"/>
          <w:szCs w:val="24"/>
          <w:lang w:val="en-US"/>
        </w:rPr>
        <w:t>om</w:t>
      </w:r>
      <w:r w:rsidR="00DE6765">
        <w:rPr>
          <w:rFonts w:ascii="Times New Roman" w:hAnsi="Times New Roman" w:cs="Times New Roman"/>
          <w:sz w:val="24"/>
          <w:szCs w:val="24"/>
          <w:lang w:val="en-US"/>
        </w:rPr>
        <w:t>-</w:t>
      </w:r>
      <w:r w:rsidR="00E333B6" w:rsidRPr="00D147A7">
        <w:rPr>
          <w:rFonts w:ascii="Times New Roman" w:hAnsi="Times New Roman" w:cs="Times New Roman"/>
          <w:sz w:val="24"/>
          <w:szCs w:val="24"/>
          <w:lang w:val="en-US"/>
        </w:rPr>
        <w:t>parative angle of this study.</w:t>
      </w:r>
    </w:p>
    <w:p w:rsidR="003E1E00" w:rsidRPr="00D147A7" w:rsidRDefault="003E1E00" w:rsidP="003E1E00">
      <w:pPr>
        <w:pStyle w:val="Geenafstand"/>
        <w:jc w:val="both"/>
        <w:rPr>
          <w:rFonts w:ascii="Times New Roman" w:hAnsi="Times New Roman" w:cs="Times New Roman"/>
          <w:sz w:val="24"/>
          <w:szCs w:val="24"/>
          <w:lang w:val="en-US"/>
        </w:rPr>
      </w:pP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The reader should be well aware of the fact that this concerns a rather theoretical study, based on prevailing legislation, legal and archival doctrine. I sincerely hope that my research will give the initial impetus to further investigation. Proper medical records management is a mat</w:t>
      </w:r>
      <w:r w:rsidR="00DE6765">
        <w:rPr>
          <w:rFonts w:ascii="Times New Roman" w:hAnsi="Times New Roman" w:cs="Times New Roman"/>
          <w:sz w:val="24"/>
          <w:szCs w:val="24"/>
          <w:lang w:val="en-US"/>
        </w:rPr>
        <w:t>-</w:t>
      </w:r>
      <w:r w:rsidRPr="00D147A7">
        <w:rPr>
          <w:rFonts w:ascii="Times New Roman" w:hAnsi="Times New Roman" w:cs="Times New Roman"/>
          <w:sz w:val="24"/>
          <w:szCs w:val="24"/>
          <w:lang w:val="en-US"/>
        </w:rPr>
        <w:t>ter of life and death. That is a matter of course, that is well understood but can however not be taken for granted. The degree of complexity is situated in the increasing number and volume of medical records, as a result of which hospitals have bulk archives at their disposal. Further</w:t>
      </w:r>
      <w:r w:rsidR="00DE6765">
        <w:rPr>
          <w:rFonts w:ascii="Times New Roman" w:hAnsi="Times New Roman" w:cs="Times New Roman"/>
          <w:sz w:val="24"/>
          <w:szCs w:val="24"/>
          <w:lang w:val="en-US"/>
        </w:rPr>
        <w:t>-</w:t>
      </w:r>
      <w:r w:rsidRPr="00D147A7">
        <w:rPr>
          <w:rFonts w:ascii="Times New Roman" w:hAnsi="Times New Roman" w:cs="Times New Roman"/>
          <w:sz w:val="24"/>
          <w:szCs w:val="24"/>
          <w:lang w:val="en-US"/>
        </w:rPr>
        <w:t>more, legislators decree more and more demands medical records must comply with. Last but not least the increasing use of electronic medical (and health) records interferes</w:t>
      </w:r>
      <w:r w:rsidR="00E333B6" w:rsidRPr="00D147A7">
        <w:rPr>
          <w:rFonts w:ascii="Times New Roman" w:hAnsi="Times New Roman" w:cs="Times New Roman"/>
          <w:sz w:val="24"/>
          <w:szCs w:val="24"/>
          <w:lang w:val="en-US"/>
        </w:rPr>
        <w:t xml:space="preserve"> with the ar</w:t>
      </w:r>
      <w:r w:rsidR="00DE6765">
        <w:rPr>
          <w:rFonts w:ascii="Times New Roman" w:hAnsi="Times New Roman" w:cs="Times New Roman"/>
          <w:sz w:val="24"/>
          <w:szCs w:val="24"/>
          <w:lang w:val="en-US"/>
        </w:rPr>
        <w:t>-</w:t>
      </w:r>
      <w:r w:rsidR="00E333B6" w:rsidRPr="00D147A7">
        <w:rPr>
          <w:rFonts w:ascii="Times New Roman" w:hAnsi="Times New Roman" w:cs="Times New Roman"/>
          <w:sz w:val="24"/>
          <w:szCs w:val="24"/>
          <w:lang w:val="en-US"/>
        </w:rPr>
        <w:t>chiving process.</w:t>
      </w:r>
    </w:p>
    <w:p w:rsidR="003E1E00" w:rsidRPr="00D147A7" w:rsidRDefault="003E1E00" w:rsidP="003E1E00">
      <w:pPr>
        <w:pStyle w:val="Geenafstand"/>
        <w:jc w:val="center"/>
        <w:rPr>
          <w:rFonts w:ascii="Times New Roman" w:hAnsi="Times New Roman" w:cs="Times New Roman"/>
          <w:b/>
          <w:smallCaps/>
          <w:sz w:val="24"/>
          <w:szCs w:val="24"/>
        </w:rPr>
      </w:pPr>
      <w:r w:rsidRPr="002E7E12">
        <w:rPr>
          <w:rFonts w:ascii="Times New Roman" w:hAnsi="Times New Roman" w:cs="Times New Roman"/>
          <w:smallCaps/>
          <w:sz w:val="24"/>
          <w:szCs w:val="24"/>
        </w:rPr>
        <w:br w:type="page"/>
      </w:r>
      <w:r w:rsidRPr="00D147A7">
        <w:rPr>
          <w:rFonts w:ascii="Times New Roman" w:hAnsi="Times New Roman" w:cs="Times New Roman"/>
          <w:b/>
          <w:smallCaps/>
          <w:sz w:val="24"/>
          <w:szCs w:val="24"/>
        </w:rPr>
        <w:lastRenderedPageBreak/>
        <w:t>Dankwoord</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Een verhandeling schrijf je – althans figuurlijk gezien – niet alleen. Daarom worden hier die</w:t>
      </w:r>
      <w:r w:rsidR="004C7924">
        <w:rPr>
          <w:rFonts w:ascii="Times New Roman" w:hAnsi="Times New Roman" w:cs="Times New Roman"/>
          <w:sz w:val="24"/>
          <w:szCs w:val="24"/>
        </w:rPr>
        <w:t>-</w:t>
      </w:r>
      <w:r w:rsidRPr="00D147A7">
        <w:rPr>
          <w:rFonts w:ascii="Times New Roman" w:hAnsi="Times New Roman" w:cs="Times New Roman"/>
          <w:sz w:val="24"/>
          <w:szCs w:val="24"/>
        </w:rPr>
        <w:t>genen geëerd aan wie eer toekomt.</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eerste pluim is voor mijn promotor, prof. dr. Karel Velle. Zijn enthousiasme en deskun</w:t>
      </w:r>
      <w:r w:rsidR="004C7924">
        <w:rPr>
          <w:rFonts w:ascii="Times New Roman" w:hAnsi="Times New Roman" w:cs="Times New Roman"/>
          <w:sz w:val="24"/>
          <w:szCs w:val="24"/>
        </w:rPr>
        <w:t>-</w:t>
      </w:r>
      <w:r w:rsidRPr="00D147A7">
        <w:rPr>
          <w:rFonts w:ascii="Times New Roman" w:hAnsi="Times New Roman" w:cs="Times New Roman"/>
          <w:sz w:val="24"/>
          <w:szCs w:val="24"/>
        </w:rPr>
        <w:t>digheid waren erg aanstekelijk. De manier waarop hij de lessen archiefrecht doceerde, hebben mij dermate geboeid dat ik voor mijn meesterproef koste wat het kost een juridisch getint on</w:t>
      </w:r>
      <w:r w:rsidR="004C7924">
        <w:rPr>
          <w:rFonts w:ascii="Times New Roman" w:hAnsi="Times New Roman" w:cs="Times New Roman"/>
          <w:sz w:val="24"/>
          <w:szCs w:val="24"/>
        </w:rPr>
        <w:t>-</w:t>
      </w:r>
      <w:r w:rsidRPr="00D147A7">
        <w:rPr>
          <w:rFonts w:ascii="Times New Roman" w:hAnsi="Times New Roman" w:cs="Times New Roman"/>
          <w:sz w:val="24"/>
          <w:szCs w:val="24"/>
        </w:rPr>
        <w:t>derzoek wilde verrichten. Daarvoor bood professor Velle mij, vanuit zijn uitgebreide vakken</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nis en </w:t>
      </w:r>
      <w:r w:rsidR="00E333B6" w:rsidRPr="00D147A7">
        <w:rPr>
          <w:rFonts w:ascii="Times New Roman" w:hAnsi="Times New Roman" w:cs="Times New Roman"/>
          <w:sz w:val="24"/>
          <w:szCs w:val="24"/>
        </w:rPr>
        <w:t>expertise</w:t>
      </w:r>
      <w:r w:rsidRPr="00D147A7">
        <w:rPr>
          <w:rFonts w:ascii="Times New Roman" w:hAnsi="Times New Roman" w:cs="Times New Roman"/>
          <w:sz w:val="24"/>
          <w:szCs w:val="24"/>
        </w:rPr>
        <w:t>, een onderwerp aan om duimen en vingers bij af te likken. Doorheen het vol</w:t>
      </w:r>
      <w:r w:rsidR="004C7924">
        <w:rPr>
          <w:rFonts w:ascii="Times New Roman" w:hAnsi="Times New Roman" w:cs="Times New Roman"/>
          <w:sz w:val="24"/>
          <w:szCs w:val="24"/>
        </w:rPr>
        <w:t>-</w:t>
      </w:r>
      <w:r w:rsidRPr="00D147A7">
        <w:rPr>
          <w:rFonts w:ascii="Times New Roman" w:hAnsi="Times New Roman" w:cs="Times New Roman"/>
          <w:sz w:val="24"/>
          <w:szCs w:val="24"/>
        </w:rPr>
        <w:t>ledige academiejaar voorzag hij mij, ondanks zijn uitpuilende agenda, van nuttige tips, inte</w:t>
      </w:r>
      <w:r w:rsidR="004C7924">
        <w:rPr>
          <w:rFonts w:ascii="Times New Roman" w:hAnsi="Times New Roman" w:cs="Times New Roman"/>
          <w:sz w:val="24"/>
          <w:szCs w:val="24"/>
        </w:rPr>
        <w:t>-</w:t>
      </w:r>
      <w:r w:rsidRPr="00D147A7">
        <w:rPr>
          <w:rFonts w:ascii="Times New Roman" w:hAnsi="Times New Roman" w:cs="Times New Roman"/>
          <w:sz w:val="24"/>
          <w:szCs w:val="24"/>
        </w:rPr>
        <w:t>ressante artikels en constructieve aanbevelingen. Het was een leuke ervaring en een hele eer om mij, al was het maar voor even</w:t>
      </w:r>
      <w:r w:rsidR="00E333B6" w:rsidRPr="00D147A7">
        <w:rPr>
          <w:rFonts w:ascii="Times New Roman" w:hAnsi="Times New Roman" w:cs="Times New Roman"/>
          <w:sz w:val="24"/>
          <w:szCs w:val="24"/>
        </w:rPr>
        <w:t>tjes</w:t>
      </w:r>
      <w:r w:rsidRPr="00D147A7">
        <w:rPr>
          <w:rFonts w:ascii="Times New Roman" w:hAnsi="Times New Roman" w:cs="Times New Roman"/>
          <w:sz w:val="24"/>
          <w:szCs w:val="24"/>
        </w:rPr>
        <w:t>, als ‘pupil van de belangrijkste archivaris van België’ te kunnen uitgeven.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andere medewerkers van het Algemeen Rijksarchief hebben een minstens even belangrijke rol vervuld. Mijn stagebegeleider, Luc Vandeweyer, bewoog hemel en aarde om me met alle aspecten van het beroep kennis te laten maken. Samen met zijn maatje Filip Strubbe maakte hij van mijn stage een hele interessante en leuke tijd, die veel te snel voorbij vloog. Tot slot heb ik het geluk gehad dat Kathleen Devolder net op het moment van mijn stage een selectie</w:t>
      </w:r>
      <w:r w:rsidR="004C7924">
        <w:rPr>
          <w:rFonts w:ascii="Times New Roman" w:hAnsi="Times New Roman" w:cs="Times New Roman"/>
          <w:sz w:val="24"/>
          <w:szCs w:val="24"/>
        </w:rPr>
        <w:t>-</w:t>
      </w:r>
      <w:r w:rsidRPr="00D147A7">
        <w:rPr>
          <w:rFonts w:ascii="Times New Roman" w:hAnsi="Times New Roman" w:cs="Times New Roman"/>
          <w:sz w:val="24"/>
          <w:szCs w:val="24"/>
        </w:rPr>
        <w:t>lijst voor openbare ziekenhuisarchieven opstelde. Ook zij heeft mij bij zoveel mogel</w:t>
      </w:r>
      <w:r w:rsidR="00E333B6" w:rsidRPr="00D147A7">
        <w:rPr>
          <w:rFonts w:ascii="Times New Roman" w:hAnsi="Times New Roman" w:cs="Times New Roman"/>
          <w:sz w:val="24"/>
          <w:szCs w:val="24"/>
        </w:rPr>
        <w:t>ijk be</w:t>
      </w:r>
      <w:r w:rsidR="004C7924">
        <w:rPr>
          <w:rFonts w:ascii="Times New Roman" w:hAnsi="Times New Roman" w:cs="Times New Roman"/>
          <w:sz w:val="24"/>
          <w:szCs w:val="24"/>
        </w:rPr>
        <w:t>-</w:t>
      </w:r>
      <w:r w:rsidR="00E333B6" w:rsidRPr="00D147A7">
        <w:rPr>
          <w:rFonts w:ascii="Times New Roman" w:hAnsi="Times New Roman" w:cs="Times New Roman"/>
          <w:sz w:val="24"/>
          <w:szCs w:val="24"/>
        </w:rPr>
        <w:t>trokken.</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Verder is er een hele waslijst van vriendelijk</w:t>
      </w:r>
      <w:r w:rsidR="00E333B6" w:rsidRPr="00D147A7">
        <w:rPr>
          <w:rFonts w:ascii="Times New Roman" w:hAnsi="Times New Roman" w:cs="Times New Roman"/>
          <w:sz w:val="24"/>
          <w:szCs w:val="24"/>
        </w:rPr>
        <w:t>e</w:t>
      </w:r>
      <w:r w:rsidRPr="00D147A7">
        <w:rPr>
          <w:rFonts w:ascii="Times New Roman" w:hAnsi="Times New Roman" w:cs="Times New Roman"/>
          <w:sz w:val="24"/>
          <w:szCs w:val="24"/>
        </w:rPr>
        <w:t xml:space="preserve"> mensen die bereid waren om voor een wild</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vreemde </w:t>
      </w:r>
      <w:r w:rsidR="00E333B6" w:rsidRPr="00D147A7">
        <w:rPr>
          <w:rFonts w:ascii="Times New Roman" w:hAnsi="Times New Roman" w:cs="Times New Roman"/>
          <w:sz w:val="24"/>
          <w:szCs w:val="24"/>
        </w:rPr>
        <w:t xml:space="preserve">man </w:t>
      </w:r>
      <w:r w:rsidRPr="00D147A7">
        <w:rPr>
          <w:rFonts w:ascii="Times New Roman" w:hAnsi="Times New Roman" w:cs="Times New Roman"/>
          <w:sz w:val="24"/>
          <w:szCs w:val="24"/>
        </w:rPr>
        <w:t>tijd vrij te maken om hun kennis en ervaring met mij te delen. Omdat ik iedere helpende hand even hard op prijs stel, som ik de namen alfabetisch op: Emmanuel Boddart, diensthoofd van het Rijksarchief te Namen; Stéphanie Brillon, Directeur Communicatiever</w:t>
      </w:r>
      <w:r w:rsidR="004C7924">
        <w:rPr>
          <w:rFonts w:ascii="Times New Roman" w:hAnsi="Times New Roman" w:cs="Times New Roman"/>
          <w:sz w:val="24"/>
          <w:szCs w:val="24"/>
        </w:rPr>
        <w:t>-</w:t>
      </w:r>
      <w:r w:rsidRPr="00D147A7">
        <w:rPr>
          <w:rFonts w:ascii="Times New Roman" w:hAnsi="Times New Roman" w:cs="Times New Roman"/>
          <w:sz w:val="24"/>
          <w:szCs w:val="24"/>
        </w:rPr>
        <w:t>antwoordelijke van Mdeon, het Deontologisch Gezondheidsplatform; Guy Coppieters, archi</w:t>
      </w:r>
      <w:r w:rsidR="004C7924">
        <w:rPr>
          <w:rFonts w:ascii="Times New Roman" w:hAnsi="Times New Roman" w:cs="Times New Roman"/>
          <w:sz w:val="24"/>
          <w:szCs w:val="24"/>
        </w:rPr>
        <w:t>-</w:t>
      </w:r>
      <w:r w:rsidRPr="00D147A7">
        <w:rPr>
          <w:rFonts w:ascii="Times New Roman" w:hAnsi="Times New Roman" w:cs="Times New Roman"/>
          <w:sz w:val="24"/>
          <w:szCs w:val="24"/>
        </w:rPr>
        <w:t>varis van afdeling 5 ‘Collectiebeheer’ van het Algemeen Rijksarchief; Liesbeth De Frenne en Sébastien Soyez, archivaris</w:t>
      </w:r>
      <w:r w:rsidR="00E333B6" w:rsidRPr="00D147A7">
        <w:rPr>
          <w:rFonts w:ascii="Times New Roman" w:hAnsi="Times New Roman" w:cs="Times New Roman"/>
          <w:sz w:val="24"/>
          <w:szCs w:val="24"/>
        </w:rPr>
        <w:t xml:space="preserve">-inspecteurs van afdeling </w:t>
      </w:r>
      <w:r w:rsidRPr="00D147A7">
        <w:rPr>
          <w:rFonts w:ascii="Times New Roman" w:hAnsi="Times New Roman" w:cs="Times New Roman"/>
          <w:sz w:val="24"/>
          <w:szCs w:val="24"/>
        </w:rPr>
        <w:t>1 ‘Toezicht, advisering en coördinatie van verwerving en selectie’ van het Algemeen Rijksarchief; Rolande Depoortere, hoofd van afdeling 1 ‘Toezicht, advisering en coördinatie van verwerving en selectie’ van het Algemeen Rijksarchief; Pascal Even, de specialist van Frankrijk m.b.t. de toegang tot (medische) archie</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ven en netwerkcoördinatie van de </w:t>
      </w:r>
      <w:r w:rsidRPr="00D147A7">
        <w:rPr>
          <w:rFonts w:ascii="Times New Roman" w:hAnsi="Times New Roman" w:cs="Times New Roman"/>
          <w:i/>
          <w:sz w:val="24"/>
          <w:szCs w:val="24"/>
        </w:rPr>
        <w:t>Archives de France</w:t>
      </w:r>
      <w:r w:rsidRPr="00D147A7">
        <w:rPr>
          <w:rFonts w:ascii="Times New Roman" w:hAnsi="Times New Roman" w:cs="Times New Roman"/>
          <w:sz w:val="24"/>
          <w:szCs w:val="24"/>
        </w:rPr>
        <w:t xml:space="preserve">; Florence Limburg, medewerkster van de dienst Acquisitie en Advies van het Nationaal Archief van Nederland in Den Haag; Annie Meiresonne, archivaresse van Brugmann en het Koningin Astrid Kinderziekenhuis te Brussel; Michel Nuyttens, departementshoofd Rijksarchieven in Vlaanderen; Herman Nys, gewoon hoogleraar Medisch Recht aan de KULeuven en Directeur van het Centrum voor Biomedische Ethiek en Recht; Jos Rathé, een gepensioneerde leraar </w:t>
      </w:r>
      <w:r w:rsidR="00E333B6" w:rsidRPr="00D147A7">
        <w:rPr>
          <w:rFonts w:ascii="Times New Roman" w:hAnsi="Times New Roman" w:cs="Times New Roman"/>
          <w:sz w:val="24"/>
          <w:szCs w:val="24"/>
        </w:rPr>
        <w:t xml:space="preserve">geschiedenis </w:t>
      </w:r>
      <w:r w:rsidRPr="00D147A7">
        <w:rPr>
          <w:rFonts w:ascii="Times New Roman" w:hAnsi="Times New Roman" w:cs="Times New Roman"/>
          <w:sz w:val="24"/>
          <w:szCs w:val="24"/>
        </w:rPr>
        <w:t>met een voorliefde voor de geschiedenis van de psychiatrie; Willem Segers, archivaris van het Instituut voor Vetera</w:t>
      </w:r>
      <w:r w:rsidR="004C7924">
        <w:rPr>
          <w:rFonts w:ascii="Times New Roman" w:hAnsi="Times New Roman" w:cs="Times New Roman"/>
          <w:sz w:val="24"/>
          <w:szCs w:val="24"/>
        </w:rPr>
        <w:t>-</w:t>
      </w:r>
      <w:r w:rsidRPr="00D147A7">
        <w:rPr>
          <w:rFonts w:ascii="Times New Roman" w:hAnsi="Times New Roman" w:cs="Times New Roman"/>
          <w:sz w:val="24"/>
          <w:szCs w:val="24"/>
        </w:rPr>
        <w:t>nen, Nationaal Instituut voor Oorlogsinvaliden, Oud-strijders en Oorlogsslachtoffers; Jan Van Damme, een ‘hoogtechnologische’ huisarts uit Leuven.</w:t>
      </w:r>
      <w:r w:rsidR="00E333B6" w:rsidRPr="00D147A7">
        <w:rPr>
          <w:rFonts w:ascii="Times New Roman" w:hAnsi="Times New Roman" w:cs="Times New Roman"/>
          <w:sz w:val="24"/>
          <w:szCs w:val="24"/>
        </w:rPr>
        <w:t xml:space="preserve"> Ik dank allen voor hun bereidwillige hulpverlening.</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Verder wil ik ook alle professoren van de opleiding Archivistiek bedanken om de nodige theoretische en praktische kennis aan te reiken die bij dit onderzoek erg van pas gekomen zijn. Ook Kaat Knaepen, archivaresse van het Universiteitsarchief van de Vrije Universiteit Brussel, wil ik in het bijzonder bedanken voor alle goede zorgen en de vele hulp.</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Natuurlijk is er ook nog mijn familie, die het allergrootste aandeel hebben. Mijn ouders heb</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ben mij niet </w:t>
      </w:r>
      <w:r w:rsidR="00E333B6" w:rsidRPr="00D147A7">
        <w:rPr>
          <w:rFonts w:ascii="Times New Roman" w:hAnsi="Times New Roman" w:cs="Times New Roman"/>
          <w:sz w:val="24"/>
          <w:szCs w:val="24"/>
        </w:rPr>
        <w:t xml:space="preserve">alleen </w:t>
      </w:r>
      <w:r w:rsidRPr="00D147A7">
        <w:rPr>
          <w:rFonts w:ascii="Times New Roman" w:hAnsi="Times New Roman" w:cs="Times New Roman"/>
          <w:sz w:val="24"/>
          <w:szCs w:val="24"/>
        </w:rPr>
        <w:t>de kans geboden om verder te studeren, maar om verder te blijven stude</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ren. Alles wat ik bereikt heb, heb ik aan jullie te danken. </w:t>
      </w:r>
      <w:r w:rsidR="00E333B6" w:rsidRPr="00D147A7">
        <w:rPr>
          <w:rFonts w:ascii="Times New Roman" w:hAnsi="Times New Roman" w:cs="Times New Roman"/>
          <w:sz w:val="24"/>
          <w:szCs w:val="24"/>
        </w:rPr>
        <w:t>Er zijn geen treffende woorden</w:t>
      </w:r>
      <w:r w:rsidRPr="00D147A7">
        <w:rPr>
          <w:rFonts w:ascii="Times New Roman" w:hAnsi="Times New Roman" w:cs="Times New Roman"/>
          <w:sz w:val="24"/>
          <w:szCs w:val="24"/>
        </w:rPr>
        <w:t xml:space="preserve"> </w:t>
      </w:r>
      <w:r w:rsidR="00E333B6" w:rsidRPr="00D147A7">
        <w:rPr>
          <w:rFonts w:ascii="Times New Roman" w:hAnsi="Times New Roman" w:cs="Times New Roman"/>
          <w:sz w:val="24"/>
          <w:szCs w:val="24"/>
        </w:rPr>
        <w:t>om</w:t>
      </w:r>
      <w:r w:rsidRPr="00D147A7">
        <w:rPr>
          <w:rFonts w:ascii="Times New Roman" w:hAnsi="Times New Roman" w:cs="Times New Roman"/>
          <w:sz w:val="24"/>
          <w:szCs w:val="24"/>
        </w:rPr>
        <w:t xml:space="preserve"> jullie </w:t>
      </w:r>
      <w:r w:rsidR="00E333B6" w:rsidRPr="00D147A7">
        <w:rPr>
          <w:rFonts w:ascii="Times New Roman" w:hAnsi="Times New Roman" w:cs="Times New Roman"/>
          <w:sz w:val="24"/>
          <w:szCs w:val="24"/>
        </w:rPr>
        <w:t>genoeg te bedanken… Ik zou echt niet weten wat ik zonder jullie zou moeten beginnen!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Tijdens mijn jaartjes </w:t>
      </w:r>
      <w:r w:rsidR="00E333B6" w:rsidRPr="00D147A7">
        <w:rPr>
          <w:rFonts w:ascii="Times New Roman" w:hAnsi="Times New Roman" w:cs="Times New Roman"/>
          <w:sz w:val="24"/>
          <w:szCs w:val="24"/>
        </w:rPr>
        <w:t xml:space="preserve">op kot </w:t>
      </w:r>
      <w:r w:rsidRPr="00D147A7">
        <w:rPr>
          <w:rFonts w:ascii="Times New Roman" w:hAnsi="Times New Roman" w:cs="Times New Roman"/>
          <w:sz w:val="24"/>
          <w:szCs w:val="24"/>
        </w:rPr>
        <w:t xml:space="preserve">in Leuven kon ik steeds bij mijn </w:t>
      </w:r>
      <w:r w:rsidR="00E333B6" w:rsidRPr="00D147A7">
        <w:rPr>
          <w:rFonts w:ascii="Times New Roman" w:hAnsi="Times New Roman" w:cs="Times New Roman"/>
          <w:sz w:val="24"/>
          <w:szCs w:val="24"/>
        </w:rPr>
        <w:t xml:space="preserve">grote </w:t>
      </w:r>
      <w:r w:rsidRPr="00D147A7">
        <w:rPr>
          <w:rFonts w:ascii="Times New Roman" w:hAnsi="Times New Roman" w:cs="Times New Roman"/>
          <w:sz w:val="24"/>
          <w:szCs w:val="24"/>
        </w:rPr>
        <w:t>broer en zijn vriendin te</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recht voor de nodige ontspanning. Met de komst van Vigo’tje is dat niet langer in dezelfde mate mogelijk… Maar we hebben nu wel een zeer mooie, schattige en </w:t>
      </w:r>
      <w:r w:rsidR="00E45AF3" w:rsidRPr="00D147A7">
        <w:rPr>
          <w:rFonts w:ascii="Times New Roman" w:hAnsi="Times New Roman" w:cs="Times New Roman"/>
          <w:sz w:val="24"/>
          <w:szCs w:val="24"/>
        </w:rPr>
        <w:t>slimme</w:t>
      </w:r>
      <w:r w:rsidRPr="00D147A7">
        <w:rPr>
          <w:rFonts w:ascii="Times New Roman" w:hAnsi="Times New Roman" w:cs="Times New Roman"/>
          <w:sz w:val="24"/>
          <w:szCs w:val="24"/>
        </w:rPr>
        <w:t xml:space="preserve"> spruit bij!</w:t>
      </w:r>
    </w:p>
    <w:p w:rsidR="003E1E00" w:rsidRPr="00D147A7" w:rsidRDefault="003E1E00" w:rsidP="00E45AF3">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 xml:space="preserve">Last </w:t>
      </w:r>
      <w:r w:rsidRPr="00D147A7">
        <w:rPr>
          <w:rFonts w:ascii="Times New Roman" w:hAnsi="Times New Roman" w:cs="Times New Roman"/>
          <w:sz w:val="24"/>
          <w:szCs w:val="24"/>
        </w:rPr>
        <w:t xml:space="preserve">(sorry) </w:t>
      </w:r>
      <w:r w:rsidRPr="00D147A7">
        <w:rPr>
          <w:rFonts w:ascii="Times New Roman" w:hAnsi="Times New Roman" w:cs="Times New Roman"/>
          <w:i/>
          <w:sz w:val="24"/>
          <w:szCs w:val="24"/>
        </w:rPr>
        <w:t>but not least</w:t>
      </w:r>
      <w:r w:rsidRPr="00D147A7">
        <w:rPr>
          <w:rFonts w:ascii="Times New Roman" w:hAnsi="Times New Roman" w:cs="Times New Roman"/>
          <w:sz w:val="24"/>
          <w:szCs w:val="24"/>
        </w:rPr>
        <w:t xml:space="preserve"> is er mijn zusje, die ook steeds voor me klaarstaat. Telkens ik je hierom vroeg, ongeacht de hoeveelheid werk die je zelf voor de boeg had, las je mijn </w:t>
      </w:r>
      <w:r w:rsidR="00E45AF3" w:rsidRPr="00D147A7">
        <w:rPr>
          <w:rFonts w:ascii="Times New Roman" w:hAnsi="Times New Roman" w:cs="Times New Roman"/>
          <w:sz w:val="24"/>
          <w:szCs w:val="24"/>
        </w:rPr>
        <w:t>‘</w:t>
      </w:r>
      <w:r w:rsidRPr="00D147A7">
        <w:rPr>
          <w:rFonts w:ascii="Times New Roman" w:hAnsi="Times New Roman" w:cs="Times New Roman"/>
          <w:sz w:val="24"/>
          <w:szCs w:val="24"/>
        </w:rPr>
        <w:t>saaie</w:t>
      </w:r>
      <w:r w:rsidR="00E45AF3" w:rsidRPr="00D147A7">
        <w:rPr>
          <w:rFonts w:ascii="Times New Roman" w:hAnsi="Times New Roman" w:cs="Times New Roman"/>
          <w:sz w:val="24"/>
          <w:szCs w:val="24"/>
        </w:rPr>
        <w:t>’</w:t>
      </w:r>
      <w:r w:rsidRPr="00D147A7">
        <w:rPr>
          <w:rFonts w:ascii="Times New Roman" w:hAnsi="Times New Roman" w:cs="Times New Roman"/>
          <w:sz w:val="24"/>
          <w:szCs w:val="24"/>
        </w:rPr>
        <w:t xml:space="preserve"> papers na. Bovendien heb je met jouw nuchtere kijk op de zaken ettelijke malen mijn paniek</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aanvallen gecounterd, waar ik je enorm dankbaar </w:t>
      </w:r>
      <w:r w:rsidR="00E45AF3" w:rsidRPr="00D147A7">
        <w:rPr>
          <w:rFonts w:ascii="Times New Roman" w:hAnsi="Times New Roman" w:cs="Times New Roman"/>
          <w:sz w:val="24"/>
          <w:szCs w:val="24"/>
        </w:rPr>
        <w:t xml:space="preserve">voor </w:t>
      </w:r>
      <w:r w:rsidRPr="00D147A7">
        <w:rPr>
          <w:rFonts w:ascii="Times New Roman" w:hAnsi="Times New Roman" w:cs="Times New Roman"/>
          <w:sz w:val="24"/>
          <w:szCs w:val="24"/>
        </w:rPr>
        <w:t>ben. Dat onze wekelijkse etentjes in Leuven al eventjes niet meer op wekelijkse basis plaats vonden, lieten we niet aan ons hartje komen. Dat haalden we in het weekend wel weer in door samen met onze lieve oma te gaan kaarten of wandelen. Hoewel je nu je een eigen stekje hebt, hoop ik dat we nog even veel met elkaar zullen optrekken.</w:t>
      </w:r>
    </w:p>
    <w:p w:rsidR="003E1E00" w:rsidRPr="00D147A7" w:rsidRDefault="003E1E00" w:rsidP="00E45AF3">
      <w:pPr>
        <w:pStyle w:val="Geenafstand"/>
        <w:rPr>
          <w:rFonts w:ascii="Times New Roman" w:hAnsi="Times New Roman" w:cs="Times New Roman"/>
          <w:b/>
          <w:smallCaps/>
          <w:sz w:val="24"/>
          <w:szCs w:val="24"/>
        </w:rPr>
      </w:pPr>
      <w:r w:rsidRPr="00D147A7">
        <w:rPr>
          <w:rFonts w:ascii="Times New Roman" w:hAnsi="Times New Roman" w:cs="Times New Roman"/>
          <w:smallCaps/>
          <w:sz w:val="24"/>
          <w:szCs w:val="24"/>
        </w:rPr>
        <w:br w:type="page"/>
      </w:r>
      <w:r w:rsidRPr="00D147A7">
        <w:rPr>
          <w:rFonts w:ascii="Times New Roman" w:hAnsi="Times New Roman" w:cs="Times New Roman"/>
          <w:b/>
          <w:smallCaps/>
          <w:sz w:val="24"/>
          <w:szCs w:val="24"/>
        </w:rPr>
        <w:lastRenderedPageBreak/>
        <w:t>Inhoudsopgave</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Abstract……………………………………………………………………………........</w:t>
      </w:r>
      <w:r w:rsidRPr="00D147A7">
        <w:rPr>
          <w:rFonts w:ascii="Times New Roman" w:hAnsi="Times New Roman" w:cs="Times New Roman"/>
          <w:smallCaps/>
          <w:sz w:val="24"/>
          <w:szCs w:val="24"/>
        </w:rPr>
        <w:tab/>
        <w:t>3</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Dankwoord……………………………………………………………………………...</w:t>
      </w:r>
      <w:r w:rsidRPr="00D147A7">
        <w:rPr>
          <w:rFonts w:ascii="Times New Roman" w:hAnsi="Times New Roman" w:cs="Times New Roman"/>
          <w:smallCaps/>
          <w:sz w:val="24"/>
          <w:szCs w:val="24"/>
        </w:rPr>
        <w:tab/>
        <w:t>4</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Inhoudsopgave…………………………………………………………………………..</w:t>
      </w:r>
      <w:r w:rsidRPr="00D147A7">
        <w:rPr>
          <w:rFonts w:ascii="Times New Roman" w:hAnsi="Times New Roman" w:cs="Times New Roman"/>
          <w:smallCaps/>
          <w:sz w:val="24"/>
          <w:szCs w:val="24"/>
        </w:rPr>
        <w:tab/>
        <w:t>6</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Overzicht van figuren, grafieken, kaarten en tabellen………………………….</w:t>
      </w:r>
      <w:r w:rsidRPr="00D147A7">
        <w:rPr>
          <w:rFonts w:ascii="Times New Roman" w:hAnsi="Times New Roman" w:cs="Times New Roman"/>
          <w:smallCaps/>
          <w:sz w:val="24"/>
          <w:szCs w:val="24"/>
        </w:rPr>
        <w:tab/>
      </w:r>
      <w:r w:rsidR="00A11D8E" w:rsidRPr="00D147A7">
        <w:rPr>
          <w:rFonts w:ascii="Times New Roman" w:hAnsi="Times New Roman" w:cs="Times New Roman"/>
          <w:smallCaps/>
          <w:sz w:val="24"/>
          <w:szCs w:val="24"/>
        </w:rPr>
        <w:t>9</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Lijst met gebruikte afkortingen……………………………………………………...</w:t>
      </w:r>
      <w:r w:rsidRPr="00D147A7">
        <w:rPr>
          <w:rFonts w:ascii="Times New Roman" w:hAnsi="Times New Roman" w:cs="Times New Roman"/>
          <w:smallCaps/>
          <w:sz w:val="24"/>
          <w:szCs w:val="24"/>
        </w:rPr>
        <w:tab/>
      </w:r>
      <w:r w:rsidR="00A11D8E" w:rsidRPr="00D147A7">
        <w:rPr>
          <w:rFonts w:ascii="Times New Roman" w:hAnsi="Times New Roman" w:cs="Times New Roman"/>
          <w:smallCaps/>
          <w:sz w:val="24"/>
          <w:szCs w:val="24"/>
        </w:rPr>
        <w:t>12</w:t>
      </w:r>
    </w:p>
    <w:p w:rsidR="003E1E00" w:rsidRPr="00D147A7" w:rsidRDefault="003E1E00" w:rsidP="003E1E00">
      <w:pPr>
        <w:pStyle w:val="Geenafstand"/>
        <w:rPr>
          <w:rFonts w:ascii="Times New Roman" w:hAnsi="Times New Roman" w:cs="Times New Roman"/>
          <w:smallCaps/>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Inleiding……………………………………………………………………………</w:t>
      </w:r>
      <w:r w:rsidR="00A11D8E" w:rsidRPr="00D147A7">
        <w:rPr>
          <w:rFonts w:ascii="Times New Roman" w:hAnsi="Times New Roman" w:cs="Times New Roman"/>
          <w:smallCaps/>
          <w:sz w:val="24"/>
          <w:szCs w:val="24"/>
        </w:rPr>
        <w:t>…….</w:t>
      </w:r>
      <w:r w:rsidR="00A11D8E" w:rsidRPr="00D147A7">
        <w:rPr>
          <w:rFonts w:ascii="Times New Roman" w:hAnsi="Times New Roman" w:cs="Times New Roman"/>
          <w:smallCaps/>
          <w:sz w:val="24"/>
          <w:szCs w:val="24"/>
        </w:rPr>
        <w:tab/>
        <w:t>21</w:t>
      </w:r>
    </w:p>
    <w:p w:rsidR="002736A0" w:rsidRPr="00D147A7" w:rsidRDefault="002736A0" w:rsidP="003E1E00">
      <w:pPr>
        <w:pStyle w:val="Geenafstand"/>
        <w:rPr>
          <w:rFonts w:ascii="Times New Roman" w:hAnsi="Times New Roman" w:cs="Times New Roman"/>
          <w:smallCaps/>
          <w:sz w:val="24"/>
          <w:szCs w:val="24"/>
        </w:rPr>
      </w:pP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z w:val="24"/>
          <w:szCs w:val="24"/>
        </w:rPr>
        <w:t>1.Geschiedenis van patiëntendossiers…………………………………………</w:t>
      </w:r>
      <w:r w:rsidR="00A11D8E" w:rsidRPr="00D147A7">
        <w:rPr>
          <w:rFonts w:ascii="Times New Roman" w:hAnsi="Times New Roman" w:cs="Times New Roman"/>
          <w:sz w:val="24"/>
          <w:szCs w:val="24"/>
        </w:rPr>
        <w:t>…..</w:t>
      </w:r>
      <w:r w:rsidR="00A11D8E" w:rsidRPr="00D147A7">
        <w:rPr>
          <w:rFonts w:ascii="Times New Roman" w:hAnsi="Times New Roman" w:cs="Times New Roman"/>
          <w:sz w:val="24"/>
          <w:szCs w:val="24"/>
        </w:rPr>
        <w:tab/>
        <w:t>21</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2.</w:t>
      </w:r>
      <w:r w:rsidR="004C7924">
        <w:rPr>
          <w:rFonts w:ascii="Times New Roman" w:hAnsi="Times New Roman" w:cs="Times New Roman"/>
          <w:smallCaps/>
          <w:sz w:val="24"/>
          <w:szCs w:val="24"/>
        </w:rPr>
        <w:t xml:space="preserve"> </w:t>
      </w:r>
      <w:r w:rsidRPr="00D147A7">
        <w:rPr>
          <w:rFonts w:ascii="Times New Roman" w:hAnsi="Times New Roman" w:cs="Times New Roman"/>
          <w:sz w:val="24"/>
          <w:szCs w:val="24"/>
        </w:rPr>
        <w:t>Belang van patiëntendossiers</w:t>
      </w:r>
      <w:r w:rsidR="004C7924">
        <w:rPr>
          <w:rFonts w:ascii="Times New Roman" w:hAnsi="Times New Roman" w:cs="Times New Roman"/>
          <w:sz w:val="24"/>
          <w:szCs w:val="24"/>
        </w:rPr>
        <w:t>...</w:t>
      </w:r>
      <w:r w:rsidR="00A11D8E" w:rsidRPr="00D147A7">
        <w:rPr>
          <w:rFonts w:ascii="Times New Roman" w:hAnsi="Times New Roman" w:cs="Times New Roman"/>
          <w:sz w:val="24"/>
          <w:szCs w:val="24"/>
        </w:rPr>
        <w:t>…………………………………………………</w:t>
      </w:r>
      <w:r w:rsidR="00A11D8E" w:rsidRPr="00D147A7">
        <w:rPr>
          <w:rFonts w:ascii="Times New Roman" w:hAnsi="Times New Roman" w:cs="Times New Roman"/>
          <w:sz w:val="24"/>
          <w:szCs w:val="24"/>
        </w:rPr>
        <w:tab/>
        <w:t>25</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3.</w:t>
      </w:r>
      <w:r w:rsidR="004C7924">
        <w:rPr>
          <w:rFonts w:ascii="Times New Roman" w:hAnsi="Times New Roman" w:cs="Times New Roman"/>
          <w:sz w:val="24"/>
          <w:szCs w:val="24"/>
        </w:rPr>
        <w:t xml:space="preserve"> </w:t>
      </w:r>
      <w:r w:rsidRPr="00D147A7">
        <w:rPr>
          <w:rFonts w:ascii="Times New Roman" w:hAnsi="Times New Roman" w:cs="Times New Roman"/>
          <w:sz w:val="24"/>
          <w:szCs w:val="24"/>
        </w:rPr>
        <w:t>Structuur van verhandeling</w:t>
      </w:r>
      <w:r w:rsidR="00A11D8E" w:rsidRPr="00D147A7">
        <w:rPr>
          <w:rFonts w:ascii="Times New Roman" w:hAnsi="Times New Roman" w:cs="Times New Roman"/>
          <w:sz w:val="24"/>
          <w:szCs w:val="24"/>
        </w:rPr>
        <w:t>……………………………………………………..</w:t>
      </w:r>
      <w:r w:rsidR="00A11D8E" w:rsidRPr="00D147A7">
        <w:rPr>
          <w:rFonts w:ascii="Times New Roman" w:hAnsi="Times New Roman" w:cs="Times New Roman"/>
          <w:sz w:val="24"/>
          <w:szCs w:val="24"/>
        </w:rPr>
        <w:tab/>
      </w:r>
      <w:r w:rsidR="00F22E91">
        <w:rPr>
          <w:rFonts w:ascii="Times New Roman" w:hAnsi="Times New Roman" w:cs="Times New Roman"/>
          <w:sz w:val="24"/>
          <w:szCs w:val="24"/>
        </w:rPr>
        <w:t>30</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4. Bibliografie</w:t>
      </w:r>
      <w:r w:rsidR="00A11D8E" w:rsidRPr="00D147A7">
        <w:rPr>
          <w:rFonts w:ascii="Times New Roman" w:hAnsi="Times New Roman" w:cs="Times New Roman"/>
          <w:sz w:val="24"/>
          <w:szCs w:val="24"/>
        </w:rPr>
        <w:t>……………………………………………………………………..</w:t>
      </w:r>
      <w:r w:rsidR="00A11D8E" w:rsidRPr="00D147A7">
        <w:rPr>
          <w:rFonts w:ascii="Times New Roman" w:hAnsi="Times New Roman" w:cs="Times New Roman"/>
          <w:sz w:val="24"/>
          <w:szCs w:val="24"/>
        </w:rPr>
        <w:tab/>
        <w:t>3</w:t>
      </w:r>
      <w:r w:rsidR="00F22E91">
        <w:rPr>
          <w:rFonts w:ascii="Times New Roman" w:hAnsi="Times New Roman" w:cs="Times New Roman"/>
          <w:sz w:val="24"/>
          <w:szCs w:val="24"/>
        </w:rPr>
        <w:t>3</w:t>
      </w:r>
    </w:p>
    <w:p w:rsidR="003E1E00" w:rsidRPr="00D147A7" w:rsidRDefault="003E1E00" w:rsidP="00A11D8E">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 xml:space="preserve"> </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mallCaps/>
          <w:sz w:val="24"/>
          <w:szCs w:val="24"/>
        </w:rPr>
        <w:t>Deel 1: Creatie…………………………………………………………………………</w:t>
      </w:r>
      <w:r w:rsidR="00A11D8E" w:rsidRPr="00D147A7">
        <w:rPr>
          <w:rFonts w:ascii="Times New Roman" w:hAnsi="Times New Roman" w:cs="Times New Roman"/>
          <w:smallCaps/>
          <w:sz w:val="24"/>
          <w:szCs w:val="24"/>
        </w:rPr>
        <w:t>..</w:t>
      </w:r>
      <w:r w:rsidR="00A11D8E" w:rsidRPr="00D147A7">
        <w:rPr>
          <w:rFonts w:ascii="Times New Roman" w:hAnsi="Times New Roman" w:cs="Times New Roman"/>
          <w:smallCaps/>
          <w:sz w:val="24"/>
          <w:szCs w:val="24"/>
        </w:rPr>
        <w:tab/>
        <w:t>3</w:t>
      </w:r>
      <w:r w:rsidR="00F22E91">
        <w:rPr>
          <w:rFonts w:ascii="Times New Roman" w:hAnsi="Times New Roman" w:cs="Times New Roman"/>
          <w:smallCaps/>
          <w:sz w:val="24"/>
          <w:szCs w:val="24"/>
        </w:rPr>
        <w:t>7</w:t>
      </w:r>
    </w:p>
    <w:p w:rsidR="002736A0" w:rsidRPr="00D147A7" w:rsidRDefault="002736A0"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z w:val="24"/>
          <w:szCs w:val="24"/>
        </w:rPr>
        <w:tab/>
      </w:r>
      <w:r w:rsidRPr="00D147A7">
        <w:rPr>
          <w:rFonts w:ascii="Times New Roman" w:hAnsi="Times New Roman" w:cs="Times New Roman"/>
          <w:smallCaps/>
          <w:sz w:val="24"/>
          <w:szCs w:val="24"/>
        </w:rPr>
        <w:t>1.1 België…………………………………………………………………………</w:t>
      </w:r>
      <w:r w:rsidR="00A11D8E" w:rsidRPr="00D147A7">
        <w:rPr>
          <w:rFonts w:ascii="Times New Roman" w:hAnsi="Times New Roman" w:cs="Times New Roman"/>
          <w:smallCaps/>
          <w:sz w:val="24"/>
          <w:szCs w:val="24"/>
        </w:rPr>
        <w:tab/>
        <w:t>3</w:t>
      </w:r>
      <w:r w:rsidR="00F22E91">
        <w:rPr>
          <w:rFonts w:ascii="Times New Roman" w:hAnsi="Times New Roman" w:cs="Times New Roman"/>
          <w:smallCaps/>
          <w:sz w:val="24"/>
          <w:szCs w:val="24"/>
        </w:rPr>
        <w:t>8</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 xml:space="preserve">Hoofdstuk 1: </w:t>
      </w:r>
      <w:r w:rsidR="00A11D8E" w:rsidRPr="00D147A7">
        <w:rPr>
          <w:rFonts w:ascii="Times New Roman" w:hAnsi="Times New Roman" w:cs="Times New Roman"/>
          <w:sz w:val="24"/>
          <w:szCs w:val="24"/>
        </w:rPr>
        <w:t>Dossierplicht………………………………………………</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t>3</w:t>
      </w:r>
      <w:r w:rsidR="00F22E91">
        <w:rPr>
          <w:rFonts w:ascii="Times New Roman" w:hAnsi="Times New Roman" w:cs="Times New Roman"/>
          <w:sz w:val="24"/>
          <w:szCs w:val="24"/>
        </w:rPr>
        <w:t>8</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w:t>
      </w:r>
      <w:r w:rsidR="00A11D8E" w:rsidRPr="00D147A7">
        <w:rPr>
          <w:rFonts w:ascii="Times New Roman" w:hAnsi="Times New Roman" w:cs="Times New Roman"/>
          <w:sz w:val="24"/>
          <w:szCs w:val="24"/>
        </w:rPr>
        <w:t xml:space="preserve"> 2: Eigendom…………………………………………………</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r>
      <w:r w:rsidR="00F22E91">
        <w:rPr>
          <w:rFonts w:ascii="Times New Roman" w:hAnsi="Times New Roman" w:cs="Times New Roman"/>
          <w:sz w:val="24"/>
          <w:szCs w:val="24"/>
        </w:rPr>
        <w:t>45</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3: Vormvereisten………………………………………………</w:t>
      </w:r>
      <w:r w:rsidR="00A11D8E" w:rsidRPr="00D147A7">
        <w:rPr>
          <w:rFonts w:ascii="Times New Roman" w:hAnsi="Times New Roman" w:cs="Times New Roman"/>
          <w:sz w:val="24"/>
          <w:szCs w:val="24"/>
        </w:rPr>
        <w:tab/>
        <w:t>4</w:t>
      </w:r>
      <w:r w:rsidR="00F22E91">
        <w:rPr>
          <w:rFonts w:ascii="Times New Roman" w:hAnsi="Times New Roman" w:cs="Times New Roman"/>
          <w:sz w:val="24"/>
          <w:szCs w:val="24"/>
        </w:rPr>
        <w:t>7</w:t>
      </w:r>
    </w:p>
    <w:p w:rsidR="004C7924"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Hoofdstuk </w:t>
      </w:r>
      <w:r w:rsidR="00A11D8E" w:rsidRPr="00D147A7">
        <w:rPr>
          <w:rFonts w:ascii="Times New Roman" w:hAnsi="Times New Roman" w:cs="Times New Roman"/>
          <w:sz w:val="24"/>
          <w:szCs w:val="24"/>
        </w:rPr>
        <w:t>4: Typologie…………………………………………………</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r>
      <w:r w:rsidR="00F22E91">
        <w:rPr>
          <w:rFonts w:ascii="Times New Roman" w:hAnsi="Times New Roman" w:cs="Times New Roman"/>
          <w:sz w:val="24"/>
          <w:szCs w:val="24"/>
        </w:rPr>
        <w:t>50</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1.2 Nederland…………………</w:t>
      </w:r>
      <w:r w:rsidR="00A11D8E"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w:t>
      </w:r>
      <w:r w:rsidR="00A11D8E" w:rsidRPr="00D147A7">
        <w:rPr>
          <w:rFonts w:ascii="Times New Roman" w:hAnsi="Times New Roman" w:cs="Times New Roman"/>
          <w:smallCaps/>
          <w:sz w:val="24"/>
          <w:szCs w:val="24"/>
        </w:rPr>
        <w:tab/>
        <w:t>5</w:t>
      </w:r>
      <w:r w:rsidR="00F22E91">
        <w:rPr>
          <w:rFonts w:ascii="Times New Roman" w:hAnsi="Times New Roman" w:cs="Times New Roman"/>
          <w:smallCaps/>
          <w:sz w:val="24"/>
          <w:szCs w:val="24"/>
        </w:rPr>
        <w:t>3</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1: Dossierplicht………………………………………………</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t>5</w:t>
      </w:r>
      <w:r w:rsidR="00F22E91">
        <w:rPr>
          <w:rFonts w:ascii="Times New Roman" w:hAnsi="Times New Roman" w:cs="Times New Roman"/>
          <w:sz w:val="24"/>
          <w:szCs w:val="24"/>
        </w:rPr>
        <w:t>3</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2: Eigendom…………………………………………………</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t>5</w:t>
      </w:r>
      <w:r w:rsidR="00F22E91">
        <w:rPr>
          <w:rFonts w:ascii="Times New Roman" w:hAnsi="Times New Roman" w:cs="Times New Roman"/>
          <w:sz w:val="24"/>
          <w:szCs w:val="24"/>
        </w:rPr>
        <w:t>6</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3: Vormvereisten………………………………………………</w:t>
      </w:r>
      <w:r w:rsidR="00A11D8E" w:rsidRPr="00D147A7">
        <w:rPr>
          <w:rFonts w:ascii="Times New Roman" w:hAnsi="Times New Roman" w:cs="Times New Roman"/>
          <w:sz w:val="24"/>
          <w:szCs w:val="24"/>
        </w:rPr>
        <w:tab/>
        <w:t>5</w:t>
      </w:r>
      <w:r w:rsidR="00F22E91">
        <w:rPr>
          <w:rFonts w:ascii="Times New Roman" w:hAnsi="Times New Roman" w:cs="Times New Roman"/>
          <w:sz w:val="24"/>
          <w:szCs w:val="24"/>
        </w:rPr>
        <w:t>8</w:t>
      </w:r>
    </w:p>
    <w:p w:rsidR="004C7924" w:rsidRPr="004C7924" w:rsidRDefault="003E1E00" w:rsidP="004C7924">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Hoofdstuk </w:t>
      </w:r>
      <w:r w:rsidR="00A11D8E" w:rsidRPr="00D147A7">
        <w:rPr>
          <w:rFonts w:ascii="Times New Roman" w:hAnsi="Times New Roman" w:cs="Times New Roman"/>
          <w:sz w:val="24"/>
          <w:szCs w:val="24"/>
        </w:rPr>
        <w:t>4: Typologie…………………………………………………</w:t>
      </w:r>
      <w:r w:rsidR="005A0E00" w:rsidRPr="00D147A7">
        <w:rPr>
          <w:rFonts w:ascii="Times New Roman" w:hAnsi="Times New Roman" w:cs="Times New Roman"/>
          <w:sz w:val="24"/>
          <w:szCs w:val="24"/>
        </w:rPr>
        <w:t>...</w:t>
      </w:r>
      <w:r w:rsidR="00A11D8E" w:rsidRPr="00D147A7">
        <w:rPr>
          <w:rFonts w:ascii="Times New Roman" w:hAnsi="Times New Roman" w:cs="Times New Roman"/>
          <w:sz w:val="24"/>
          <w:szCs w:val="24"/>
        </w:rPr>
        <w:tab/>
      </w:r>
      <w:r w:rsidR="00F22E91">
        <w:rPr>
          <w:rFonts w:ascii="Times New Roman" w:hAnsi="Times New Roman" w:cs="Times New Roman"/>
          <w:sz w:val="24"/>
          <w:szCs w:val="24"/>
        </w:rPr>
        <w:t>61</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1.3 Frankrijk……………………………………………………………………</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r>
      <w:r w:rsidR="00F22E91">
        <w:rPr>
          <w:rFonts w:ascii="Times New Roman" w:hAnsi="Times New Roman" w:cs="Times New Roman"/>
          <w:smallCaps/>
          <w:sz w:val="24"/>
          <w:szCs w:val="24"/>
        </w:rPr>
        <w:t>61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1: Dossierplicht………………………………………………</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r>
      <w:r w:rsidR="00F22E91">
        <w:rPr>
          <w:rFonts w:ascii="Times New Roman" w:hAnsi="Times New Roman" w:cs="Times New Roman"/>
          <w:sz w:val="24"/>
          <w:szCs w:val="24"/>
        </w:rPr>
        <w:t>61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2: Eigendom…………………………………………………</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6</w:t>
      </w:r>
      <w:r w:rsidR="00F22E91">
        <w:rPr>
          <w:rFonts w:ascii="Times New Roman" w:hAnsi="Times New Roman" w:cs="Times New Roman"/>
          <w:sz w:val="24"/>
          <w:szCs w:val="24"/>
        </w:rPr>
        <w:t>5</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3: Vormvereisten………………………………………………</w:t>
      </w:r>
      <w:r w:rsidR="005A0E00" w:rsidRPr="00D147A7">
        <w:rPr>
          <w:rFonts w:ascii="Times New Roman" w:hAnsi="Times New Roman" w:cs="Times New Roman"/>
          <w:sz w:val="24"/>
          <w:szCs w:val="24"/>
        </w:rPr>
        <w:tab/>
        <w:t>6</w:t>
      </w:r>
      <w:r w:rsidR="00F22E91">
        <w:rPr>
          <w:rFonts w:ascii="Times New Roman" w:hAnsi="Times New Roman" w:cs="Times New Roman"/>
          <w:sz w:val="24"/>
          <w:szCs w:val="24"/>
        </w:rPr>
        <w:t>8</w:t>
      </w:r>
    </w:p>
    <w:p w:rsidR="004C7924" w:rsidRPr="004C7924" w:rsidRDefault="003E1E00" w:rsidP="004C7924">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Hoofdstuk </w:t>
      </w:r>
      <w:r w:rsidR="005A0E00" w:rsidRPr="00D147A7">
        <w:rPr>
          <w:rFonts w:ascii="Times New Roman" w:hAnsi="Times New Roman" w:cs="Times New Roman"/>
          <w:sz w:val="24"/>
          <w:szCs w:val="24"/>
        </w:rPr>
        <w:t>4: Typologie…………………………………………………...</w:t>
      </w:r>
      <w:r w:rsidR="005A0E00" w:rsidRPr="00D147A7">
        <w:rPr>
          <w:rFonts w:ascii="Times New Roman" w:hAnsi="Times New Roman" w:cs="Times New Roman"/>
          <w:sz w:val="24"/>
          <w:szCs w:val="24"/>
        </w:rPr>
        <w:tab/>
        <w:t>6</w:t>
      </w:r>
      <w:r w:rsidR="00F22E91">
        <w:rPr>
          <w:rFonts w:ascii="Times New Roman" w:hAnsi="Times New Roman" w:cs="Times New Roman"/>
          <w:sz w:val="24"/>
          <w:szCs w:val="24"/>
        </w:rPr>
        <w:t>9</w:t>
      </w:r>
    </w:p>
    <w:p w:rsidR="004C7924" w:rsidRPr="004C7924" w:rsidRDefault="003E1E00" w:rsidP="004C7924">
      <w:pPr>
        <w:pStyle w:val="Geenafstand"/>
        <w:ind w:firstLine="708"/>
        <w:rPr>
          <w:rFonts w:ascii="Times New Roman" w:hAnsi="Times New Roman" w:cs="Times New Roman"/>
          <w:i/>
          <w:smallCaps/>
          <w:sz w:val="24"/>
          <w:szCs w:val="24"/>
        </w:rPr>
      </w:pPr>
      <w:r w:rsidRPr="00D147A7">
        <w:rPr>
          <w:rFonts w:ascii="Times New Roman" w:hAnsi="Times New Roman" w:cs="Times New Roman"/>
          <w:smallCaps/>
          <w:sz w:val="24"/>
          <w:szCs w:val="24"/>
        </w:rPr>
        <w:t xml:space="preserve">1.4 Conclusie en aanbevelingen </w:t>
      </w:r>
      <w:r w:rsidRPr="00D147A7">
        <w:rPr>
          <w:rFonts w:ascii="Times New Roman" w:hAnsi="Times New Roman" w:cs="Times New Roman"/>
          <w:i/>
          <w:smallCaps/>
          <w:sz w:val="24"/>
          <w:szCs w:val="24"/>
        </w:rPr>
        <w:t>de lege ferenda</w:t>
      </w:r>
      <w:r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r>
      <w:r w:rsidR="00F22E91">
        <w:rPr>
          <w:rFonts w:ascii="Times New Roman" w:hAnsi="Times New Roman" w:cs="Times New Roman"/>
          <w:smallCaps/>
          <w:sz w:val="24"/>
          <w:szCs w:val="24"/>
        </w:rPr>
        <w:t>70</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1.5 Bibliografie………………………………………………………………</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r>
      <w:r w:rsidR="00F22E91">
        <w:rPr>
          <w:rFonts w:ascii="Times New Roman" w:hAnsi="Times New Roman" w:cs="Times New Roman"/>
          <w:smallCaps/>
          <w:sz w:val="24"/>
          <w:szCs w:val="24"/>
        </w:rPr>
        <w:t>71</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r>
      <w:r w:rsidRPr="00D147A7">
        <w:rPr>
          <w:rFonts w:ascii="Times New Roman" w:hAnsi="Times New Roman" w:cs="Times New Roman"/>
          <w:sz w:val="24"/>
          <w:szCs w:val="24"/>
        </w:rPr>
        <w:t>1.5.1 België...……………………………………………………………</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r>
      <w:r w:rsidR="00F22E91">
        <w:rPr>
          <w:rFonts w:ascii="Times New Roman" w:hAnsi="Times New Roman" w:cs="Times New Roman"/>
          <w:sz w:val="24"/>
          <w:szCs w:val="24"/>
        </w:rPr>
        <w:t>71</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1.5.2 Nederland…………………………………………………………</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7</w:t>
      </w:r>
      <w:r w:rsidR="00F22E91">
        <w:rPr>
          <w:rFonts w:ascii="Times New Roman" w:hAnsi="Times New Roman" w:cs="Times New Roman"/>
          <w:sz w:val="24"/>
          <w:szCs w:val="24"/>
        </w:rPr>
        <w:t>7</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1.5.3 Frankrijk……………………………………………………………</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7</w:t>
      </w:r>
      <w:r w:rsidR="00F22E91">
        <w:rPr>
          <w:rFonts w:ascii="Times New Roman" w:hAnsi="Times New Roman" w:cs="Times New Roman"/>
          <w:sz w:val="24"/>
          <w:szCs w:val="24"/>
        </w:rPr>
        <w:t>9</w:t>
      </w:r>
    </w:p>
    <w:p w:rsidR="00A11D8E" w:rsidRPr="00D147A7" w:rsidRDefault="00A11D8E" w:rsidP="003E1E0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mallCaps/>
          <w:sz w:val="24"/>
          <w:szCs w:val="24"/>
        </w:rPr>
        <w:t>Deel 2</w:t>
      </w:r>
      <w:r w:rsidRPr="00D147A7">
        <w:rPr>
          <w:rFonts w:ascii="Times New Roman" w:hAnsi="Times New Roman" w:cs="Times New Roman"/>
          <w:sz w:val="24"/>
          <w:szCs w:val="24"/>
        </w:rPr>
        <w:t xml:space="preserve">: </w:t>
      </w:r>
      <w:r w:rsidRPr="00D147A7">
        <w:rPr>
          <w:rFonts w:ascii="Times New Roman" w:hAnsi="Times New Roman" w:cs="Times New Roman"/>
          <w:smallCaps/>
          <w:sz w:val="24"/>
          <w:szCs w:val="24"/>
        </w:rPr>
        <w:t xml:space="preserve">Vastlegging, </w:t>
      </w:r>
      <w:r w:rsidR="005A0E00" w:rsidRPr="00D147A7">
        <w:rPr>
          <w:rFonts w:ascii="Times New Roman" w:hAnsi="Times New Roman" w:cs="Times New Roman"/>
          <w:smallCaps/>
          <w:sz w:val="24"/>
          <w:szCs w:val="24"/>
        </w:rPr>
        <w:t>registratie</w:t>
      </w:r>
      <w:r w:rsidRPr="00D147A7">
        <w:rPr>
          <w:rFonts w:ascii="Times New Roman" w:hAnsi="Times New Roman" w:cs="Times New Roman"/>
          <w:smallCaps/>
          <w:sz w:val="24"/>
          <w:szCs w:val="24"/>
        </w:rPr>
        <w:t xml:space="preserve"> en </w:t>
      </w:r>
      <w:r w:rsidR="005A0E00" w:rsidRPr="00D147A7">
        <w:rPr>
          <w:rFonts w:ascii="Times New Roman" w:hAnsi="Times New Roman" w:cs="Times New Roman"/>
          <w:smallCaps/>
          <w:sz w:val="24"/>
          <w:szCs w:val="24"/>
        </w:rPr>
        <w:t>classificatie</w:t>
      </w:r>
      <w:r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8</w:t>
      </w:r>
      <w:r w:rsidR="00F22E91">
        <w:rPr>
          <w:rFonts w:ascii="Times New Roman" w:hAnsi="Times New Roman" w:cs="Times New Roman"/>
          <w:smallCaps/>
          <w:sz w:val="24"/>
          <w:szCs w:val="24"/>
        </w:rPr>
        <w:t>5</w:t>
      </w:r>
    </w:p>
    <w:p w:rsidR="002736A0" w:rsidRPr="00D147A7" w:rsidRDefault="002736A0" w:rsidP="003E1E00">
      <w:pPr>
        <w:pStyle w:val="Geenafstand"/>
        <w:ind w:firstLine="708"/>
        <w:rPr>
          <w:rFonts w:ascii="Times New Roman" w:hAnsi="Times New Roman" w:cs="Times New Roman"/>
          <w:smallCaps/>
          <w:sz w:val="24"/>
          <w:szCs w:val="24"/>
        </w:rPr>
      </w:pP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2.1 Inleiding……………………………………………………………………</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8</w:t>
      </w:r>
      <w:r w:rsidR="00F22E91">
        <w:rPr>
          <w:rFonts w:ascii="Times New Roman" w:hAnsi="Times New Roman" w:cs="Times New Roman"/>
          <w:smallCaps/>
          <w:sz w:val="24"/>
          <w:szCs w:val="24"/>
        </w:rPr>
        <w:t>5</w:t>
      </w:r>
    </w:p>
    <w:p w:rsidR="003E1E00" w:rsidRPr="00D147A7" w:rsidRDefault="003E1E00" w:rsidP="003E1E00">
      <w:pPr>
        <w:pStyle w:val="Geenafstand"/>
        <w:ind w:left="1413"/>
        <w:jc w:val="both"/>
        <w:rPr>
          <w:rFonts w:ascii="Times New Roman" w:hAnsi="Times New Roman" w:cs="Times New Roman"/>
          <w:sz w:val="24"/>
          <w:szCs w:val="24"/>
        </w:rPr>
      </w:pPr>
      <w:r w:rsidRPr="00D147A7">
        <w:rPr>
          <w:rFonts w:ascii="Times New Roman" w:hAnsi="Times New Roman" w:cs="Times New Roman"/>
          <w:sz w:val="24"/>
          <w:szCs w:val="24"/>
        </w:rPr>
        <w:t>Hoofdstuk 1: De begrippen ‘vastlegging’, ‘registratie’, ‘classificatie’ en ‘orde</w:t>
      </w:r>
      <w:r w:rsidR="004C7924">
        <w:rPr>
          <w:rFonts w:ascii="Times New Roman" w:hAnsi="Times New Roman" w:cs="Times New Roman"/>
          <w:sz w:val="24"/>
          <w:szCs w:val="24"/>
        </w:rPr>
        <w:t>-</w:t>
      </w:r>
      <w:r w:rsidRPr="00D147A7">
        <w:rPr>
          <w:rFonts w:ascii="Times New Roman" w:hAnsi="Times New Roman" w:cs="Times New Roman"/>
          <w:sz w:val="24"/>
          <w:szCs w:val="24"/>
        </w:rPr>
        <w:t>ning’…………………………………………………………………</w:t>
      </w:r>
      <w:r w:rsidR="00F22E91">
        <w:rPr>
          <w:rFonts w:ascii="Times New Roman" w:hAnsi="Times New Roman" w:cs="Times New Roman"/>
          <w:sz w:val="24"/>
          <w:szCs w:val="24"/>
        </w:rPr>
        <w:t>…….</w:t>
      </w:r>
      <w:r w:rsidR="005A0E00" w:rsidRPr="00D147A7">
        <w:rPr>
          <w:rFonts w:ascii="Times New Roman" w:hAnsi="Times New Roman" w:cs="Times New Roman"/>
          <w:sz w:val="24"/>
          <w:szCs w:val="24"/>
        </w:rPr>
        <w:tab/>
        <w:t>8</w:t>
      </w:r>
      <w:r w:rsidR="00F22E91">
        <w:rPr>
          <w:rFonts w:ascii="Times New Roman" w:hAnsi="Times New Roman" w:cs="Times New Roman"/>
          <w:sz w:val="24"/>
          <w:szCs w:val="24"/>
        </w:rPr>
        <w:t>5</w:t>
      </w:r>
    </w:p>
    <w:p w:rsidR="004C7924" w:rsidRPr="004C7924" w:rsidRDefault="003E1E00" w:rsidP="004C7924">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Hoofdstuk 2: De k</w:t>
      </w:r>
      <w:r w:rsidR="005A0E00" w:rsidRPr="00D147A7">
        <w:rPr>
          <w:rFonts w:ascii="Times New Roman" w:hAnsi="Times New Roman" w:cs="Times New Roman"/>
          <w:sz w:val="24"/>
          <w:szCs w:val="24"/>
        </w:rPr>
        <w:t>euze voor eHealth……………………………………...</w:t>
      </w:r>
      <w:r w:rsidR="005A0E00" w:rsidRPr="00D147A7">
        <w:rPr>
          <w:rFonts w:ascii="Times New Roman" w:hAnsi="Times New Roman" w:cs="Times New Roman"/>
          <w:sz w:val="24"/>
          <w:szCs w:val="24"/>
        </w:rPr>
        <w:tab/>
        <w:t>8</w:t>
      </w:r>
      <w:r w:rsidR="00F22E91">
        <w:rPr>
          <w:rFonts w:ascii="Times New Roman" w:hAnsi="Times New Roman" w:cs="Times New Roman"/>
          <w:sz w:val="24"/>
          <w:szCs w:val="24"/>
        </w:rPr>
        <w:t>9</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2.2 België………………………………………………………………………</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9</w:t>
      </w:r>
      <w:r w:rsidR="00F22E91">
        <w:rPr>
          <w:rFonts w:ascii="Times New Roman" w:hAnsi="Times New Roman" w:cs="Times New Roman"/>
          <w:smallCaps/>
          <w:sz w:val="24"/>
          <w:szCs w:val="24"/>
        </w:rPr>
        <w:t>4</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1: Geschiedenis van eHealth..………………………………</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9</w:t>
      </w:r>
      <w:r w:rsidR="00F22E91">
        <w:rPr>
          <w:rFonts w:ascii="Times New Roman" w:hAnsi="Times New Roman" w:cs="Times New Roman"/>
          <w:sz w:val="24"/>
          <w:szCs w:val="24"/>
        </w:rPr>
        <w:t>4</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lastRenderedPageBreak/>
        <w:tab/>
      </w:r>
      <w:r w:rsidRPr="00D147A7">
        <w:rPr>
          <w:rFonts w:ascii="Times New Roman" w:hAnsi="Times New Roman" w:cs="Times New Roman"/>
          <w:sz w:val="24"/>
          <w:szCs w:val="24"/>
        </w:rPr>
        <w:tab/>
        <w:t>Hoofdstuk 2: Werking en organisatie van eHealth….…………………</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r>
      <w:r w:rsidR="00F22E91">
        <w:rPr>
          <w:rFonts w:ascii="Times New Roman" w:hAnsi="Times New Roman" w:cs="Times New Roman"/>
          <w:sz w:val="24"/>
          <w:szCs w:val="24"/>
        </w:rPr>
        <w:t>100</w:t>
      </w:r>
    </w:p>
    <w:p w:rsidR="004C7924" w:rsidRPr="004C7924" w:rsidRDefault="005A0E00" w:rsidP="004C7924">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3: Gemeenschappen</w:t>
      </w:r>
      <w:r w:rsidR="00F22E91">
        <w:rPr>
          <w:rFonts w:ascii="Times New Roman" w:hAnsi="Times New Roman" w:cs="Times New Roman"/>
          <w:smallCaps/>
          <w:sz w:val="24"/>
          <w:szCs w:val="24"/>
        </w:rPr>
        <w:t>…………………………………………....121</w:t>
      </w:r>
    </w:p>
    <w:p w:rsidR="003E1E00" w:rsidRPr="00D147A7" w:rsidRDefault="003E1E00" w:rsidP="00E45AF3">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2.3 Nederland</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12</w:t>
      </w:r>
      <w:r w:rsidR="00F22E91">
        <w:rPr>
          <w:rFonts w:ascii="Times New Roman" w:hAnsi="Times New Roman" w:cs="Times New Roman"/>
          <w:smallCaps/>
          <w:sz w:val="24"/>
          <w:szCs w:val="24"/>
        </w:rPr>
        <w:t>8</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1: Geschiedenis van eHealth…………………………………</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12</w:t>
      </w:r>
      <w:r w:rsidR="00F22E91">
        <w:rPr>
          <w:rFonts w:ascii="Times New Roman" w:hAnsi="Times New Roman" w:cs="Times New Roman"/>
          <w:sz w:val="24"/>
          <w:szCs w:val="24"/>
        </w:rPr>
        <w:t>8</w:t>
      </w:r>
    </w:p>
    <w:p w:rsidR="004C7924" w:rsidRPr="004C7924"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Werking en organisatie van eHealth………………………</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13</w:t>
      </w:r>
      <w:r w:rsidR="00F22E91">
        <w:rPr>
          <w:rFonts w:ascii="Times New Roman" w:hAnsi="Times New Roman" w:cs="Times New Roman"/>
          <w:sz w:val="24"/>
          <w:szCs w:val="24"/>
        </w:rPr>
        <w:t>9</w:t>
      </w:r>
    </w:p>
    <w:p w:rsidR="003E1E00" w:rsidRPr="00D147A7" w:rsidRDefault="003E1E00" w:rsidP="004C7924">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2.4 Frankrijk</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14</w:t>
      </w:r>
      <w:r w:rsidR="00F22E91">
        <w:rPr>
          <w:rFonts w:ascii="Times New Roman" w:hAnsi="Times New Roman" w:cs="Times New Roman"/>
          <w:smallCaps/>
          <w:sz w:val="24"/>
          <w:szCs w:val="24"/>
        </w:rPr>
        <w:t>5</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1: Geschiedenis van eHealth…………………………………</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14</w:t>
      </w:r>
      <w:r w:rsidR="00F22E91">
        <w:rPr>
          <w:rFonts w:ascii="Times New Roman" w:hAnsi="Times New Roman" w:cs="Times New Roman"/>
          <w:sz w:val="24"/>
          <w:szCs w:val="24"/>
        </w:rPr>
        <w:t>5</w:t>
      </w:r>
    </w:p>
    <w:p w:rsidR="004C7924"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Werking en organisatie van eHealth………………………</w:t>
      </w:r>
      <w:r w:rsidR="004C7924">
        <w:rPr>
          <w:rFonts w:ascii="Times New Roman" w:hAnsi="Times New Roman" w:cs="Times New Roman"/>
          <w:sz w:val="24"/>
          <w:szCs w:val="24"/>
        </w:rPr>
        <w:t>..</w:t>
      </w:r>
      <w:r w:rsidR="004C7924">
        <w:rPr>
          <w:rFonts w:ascii="Times New Roman" w:hAnsi="Times New Roman" w:cs="Times New Roman"/>
          <w:sz w:val="24"/>
          <w:szCs w:val="24"/>
        </w:rPr>
        <w:tab/>
        <w:t>15</w:t>
      </w:r>
      <w:r w:rsidR="00F22E91">
        <w:rPr>
          <w:rFonts w:ascii="Times New Roman" w:hAnsi="Times New Roman" w:cs="Times New Roman"/>
          <w:sz w:val="24"/>
          <w:szCs w:val="24"/>
        </w:rPr>
        <w:t>7</w:t>
      </w:r>
    </w:p>
    <w:p w:rsidR="004C7924" w:rsidRDefault="003E1E00" w:rsidP="004C7924">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 xml:space="preserve">2.5 Conclusie en aanbevelingen </w:t>
      </w:r>
      <w:r w:rsidRPr="00D147A7">
        <w:rPr>
          <w:rFonts w:ascii="Times New Roman" w:hAnsi="Times New Roman" w:cs="Times New Roman"/>
          <w:i/>
          <w:smallCaps/>
          <w:sz w:val="24"/>
          <w:szCs w:val="24"/>
        </w:rPr>
        <w:t>de lege ferenda</w:t>
      </w:r>
      <w:r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16</w:t>
      </w:r>
      <w:r w:rsidR="00F22E91">
        <w:rPr>
          <w:rFonts w:ascii="Times New Roman" w:hAnsi="Times New Roman" w:cs="Times New Roman"/>
          <w:smallCaps/>
          <w:sz w:val="24"/>
          <w:szCs w:val="24"/>
        </w:rPr>
        <w:t>6</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2.6 Bibliografie…………………………………………………………………</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16</w:t>
      </w:r>
      <w:r w:rsidR="00F22E91">
        <w:rPr>
          <w:rFonts w:ascii="Times New Roman" w:hAnsi="Times New Roman" w:cs="Times New Roman"/>
          <w:smallCaps/>
          <w:sz w:val="24"/>
          <w:szCs w:val="24"/>
        </w:rPr>
        <w:t>8</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t>2.6.</w:t>
      </w:r>
      <w:r w:rsidRPr="00D147A7">
        <w:rPr>
          <w:rFonts w:ascii="Times New Roman" w:hAnsi="Times New Roman" w:cs="Times New Roman"/>
          <w:sz w:val="24"/>
          <w:szCs w:val="24"/>
        </w:rPr>
        <w:t>1 Internationaal………………</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16</w:t>
      </w:r>
      <w:r w:rsidR="00F22E91">
        <w:rPr>
          <w:rFonts w:ascii="Times New Roman" w:hAnsi="Times New Roman" w:cs="Times New Roman"/>
          <w:sz w:val="24"/>
          <w:szCs w:val="24"/>
        </w:rPr>
        <w:t>8</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t>2.6.</w:t>
      </w:r>
      <w:r w:rsidRPr="00D147A7">
        <w:rPr>
          <w:rFonts w:ascii="Times New Roman" w:hAnsi="Times New Roman" w:cs="Times New Roman"/>
          <w:sz w:val="24"/>
          <w:szCs w:val="24"/>
        </w:rPr>
        <w:t>2</w:t>
      </w:r>
      <w:r w:rsidR="005A0E00" w:rsidRPr="00D147A7">
        <w:rPr>
          <w:rFonts w:ascii="Times New Roman" w:hAnsi="Times New Roman" w:cs="Times New Roman"/>
          <w:sz w:val="24"/>
          <w:szCs w:val="24"/>
        </w:rPr>
        <w:t xml:space="preserve"> België………………………………………………………………..</w:t>
      </w:r>
      <w:r w:rsidR="00F22E91">
        <w:rPr>
          <w:rFonts w:ascii="Times New Roman" w:hAnsi="Times New Roman" w:cs="Times New Roman"/>
          <w:sz w:val="24"/>
          <w:szCs w:val="24"/>
        </w:rPr>
        <w:t>.</w:t>
      </w:r>
      <w:r w:rsidR="005A0E00" w:rsidRPr="00D147A7">
        <w:rPr>
          <w:rFonts w:ascii="Times New Roman" w:hAnsi="Times New Roman" w:cs="Times New Roman"/>
          <w:sz w:val="24"/>
          <w:szCs w:val="24"/>
        </w:rPr>
        <w:t>16</w:t>
      </w:r>
      <w:r w:rsidR="00F22E91">
        <w:rPr>
          <w:rFonts w:ascii="Times New Roman" w:hAnsi="Times New Roman" w:cs="Times New Roman"/>
          <w:sz w:val="24"/>
          <w:szCs w:val="24"/>
        </w:rPr>
        <w:t>9</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mallCaps/>
          <w:sz w:val="24"/>
          <w:szCs w:val="24"/>
        </w:rPr>
        <w:t>2.6.</w:t>
      </w:r>
      <w:r w:rsidRPr="00D147A7">
        <w:rPr>
          <w:rFonts w:ascii="Times New Roman" w:hAnsi="Times New Roman" w:cs="Times New Roman"/>
          <w:sz w:val="24"/>
          <w:szCs w:val="24"/>
        </w:rPr>
        <w:t>2 Nederland…………………………………………………………</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182</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mallCaps/>
          <w:sz w:val="24"/>
          <w:szCs w:val="24"/>
        </w:rPr>
        <w:t>2.6.</w:t>
      </w:r>
      <w:r w:rsidRPr="00D147A7">
        <w:rPr>
          <w:rFonts w:ascii="Times New Roman" w:hAnsi="Times New Roman" w:cs="Times New Roman"/>
          <w:sz w:val="24"/>
          <w:szCs w:val="24"/>
        </w:rPr>
        <w:t>3 Frankrijk……………………………………………………………</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191</w:t>
      </w:r>
    </w:p>
    <w:p w:rsidR="00A11D8E" w:rsidRPr="00D147A7" w:rsidRDefault="00A11D8E" w:rsidP="003E1E00">
      <w:pPr>
        <w:pStyle w:val="Geenafstand"/>
        <w:rPr>
          <w:rFonts w:ascii="Times New Roman" w:hAnsi="Times New Roman" w:cs="Times New Roman"/>
          <w:sz w:val="24"/>
          <w:szCs w:val="24"/>
        </w:rPr>
      </w:pPr>
    </w:p>
    <w:p w:rsidR="002736A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 xml:space="preserve">Deel 3: Bewaring……………………………………………………………………… </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198</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ab/>
        <w:t>3.1 België…………………………………………………………………………</w:t>
      </w:r>
      <w:r w:rsidR="005A0E00" w:rsidRPr="00D147A7">
        <w:rPr>
          <w:rFonts w:ascii="Times New Roman" w:hAnsi="Times New Roman" w:cs="Times New Roman"/>
          <w:smallCaps/>
          <w:sz w:val="24"/>
          <w:szCs w:val="24"/>
        </w:rPr>
        <w:tab/>
        <w:t>200</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1: Zorg versus beheer…………………………………………</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200</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Pla</w:t>
      </w:r>
      <w:r w:rsidR="005A0E00" w:rsidRPr="00D147A7">
        <w:rPr>
          <w:rFonts w:ascii="Times New Roman" w:hAnsi="Times New Roman" w:cs="Times New Roman"/>
          <w:sz w:val="24"/>
          <w:szCs w:val="24"/>
        </w:rPr>
        <w:t>ats van bewaring………………………………………...</w:t>
      </w:r>
      <w:r w:rsidR="005A0E00" w:rsidRPr="00D147A7">
        <w:rPr>
          <w:rFonts w:ascii="Times New Roman" w:hAnsi="Times New Roman" w:cs="Times New Roman"/>
          <w:sz w:val="24"/>
          <w:szCs w:val="24"/>
        </w:rPr>
        <w:tab/>
        <w:t>201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3: Bewaartermijnen…………………………………………</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203</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ab/>
        <w:t>3.2 Nederland…………………………………………………………………</w:t>
      </w:r>
      <w:r w:rsidR="005A0E00"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211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1: Zorg versus beheer…………………………………………</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21</w:t>
      </w:r>
      <w:r w:rsidR="007450BA" w:rsidRPr="00D147A7">
        <w:rPr>
          <w:rFonts w:ascii="Times New Roman" w:hAnsi="Times New Roman" w:cs="Times New Roman"/>
          <w:sz w:val="24"/>
          <w:szCs w:val="24"/>
        </w:rPr>
        <w:t>1</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Plaats van bewaring………………………………………</w:t>
      </w:r>
      <w:r w:rsidR="005A0E00" w:rsidRPr="00D147A7">
        <w:rPr>
          <w:rFonts w:ascii="Times New Roman" w:hAnsi="Times New Roman" w:cs="Times New Roman"/>
          <w:sz w:val="24"/>
          <w:szCs w:val="24"/>
        </w:rPr>
        <w:t>...</w:t>
      </w:r>
      <w:r w:rsidR="005A0E00" w:rsidRPr="00D147A7">
        <w:rPr>
          <w:rFonts w:ascii="Times New Roman" w:hAnsi="Times New Roman" w:cs="Times New Roman"/>
          <w:sz w:val="24"/>
          <w:szCs w:val="24"/>
        </w:rPr>
        <w:tab/>
        <w:t>21</w:t>
      </w:r>
      <w:r w:rsidR="007450BA" w:rsidRPr="00D147A7">
        <w:rPr>
          <w:rFonts w:ascii="Times New Roman" w:hAnsi="Times New Roman" w:cs="Times New Roman"/>
          <w:sz w:val="24"/>
          <w:szCs w:val="24"/>
        </w:rPr>
        <w:t>2</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 xml:space="preserve">Hoofdstuk 3: </w:t>
      </w:r>
      <w:r w:rsidR="005A0E00" w:rsidRPr="00D147A7">
        <w:rPr>
          <w:rFonts w:ascii="Times New Roman" w:hAnsi="Times New Roman" w:cs="Times New Roman"/>
          <w:sz w:val="24"/>
          <w:szCs w:val="24"/>
        </w:rPr>
        <w:t>Bewaartermijnen…………………………………………</w:t>
      </w:r>
      <w:r w:rsidR="007450BA" w:rsidRPr="00D147A7">
        <w:rPr>
          <w:rFonts w:ascii="Times New Roman" w:hAnsi="Times New Roman" w:cs="Times New Roman"/>
          <w:sz w:val="24"/>
          <w:szCs w:val="24"/>
        </w:rPr>
        <w:t>…</w:t>
      </w:r>
      <w:r w:rsidR="005A0E00" w:rsidRPr="00D147A7">
        <w:rPr>
          <w:rFonts w:ascii="Times New Roman" w:hAnsi="Times New Roman" w:cs="Times New Roman"/>
          <w:sz w:val="24"/>
          <w:szCs w:val="24"/>
        </w:rPr>
        <w:tab/>
        <w:t>2</w:t>
      </w:r>
      <w:r w:rsidR="007450BA" w:rsidRPr="00D147A7">
        <w:rPr>
          <w:rFonts w:ascii="Times New Roman" w:hAnsi="Times New Roman" w:cs="Times New Roman"/>
          <w:sz w:val="24"/>
          <w:szCs w:val="24"/>
        </w:rPr>
        <w:t>13</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ab/>
        <w:t>3.3 Frankrijk……………………………………………………………………</w:t>
      </w:r>
      <w:r w:rsidR="007450BA"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221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1: Zorg versus beheer…………………………………………</w:t>
      </w:r>
      <w:r w:rsidR="007450BA" w:rsidRPr="00D147A7">
        <w:rPr>
          <w:rFonts w:ascii="Times New Roman" w:hAnsi="Times New Roman" w:cs="Times New Roman"/>
          <w:sz w:val="24"/>
          <w:szCs w:val="24"/>
        </w:rPr>
        <w:t>.</w:t>
      </w:r>
      <w:r w:rsidR="005A0E00" w:rsidRPr="00D147A7">
        <w:rPr>
          <w:rFonts w:ascii="Times New Roman" w:hAnsi="Times New Roman" w:cs="Times New Roman"/>
          <w:sz w:val="24"/>
          <w:szCs w:val="24"/>
        </w:rPr>
        <w:tab/>
        <w:t>22</w:t>
      </w:r>
      <w:r w:rsidR="007450BA" w:rsidRPr="00D147A7">
        <w:rPr>
          <w:rFonts w:ascii="Times New Roman" w:hAnsi="Times New Roman" w:cs="Times New Roman"/>
          <w:sz w:val="24"/>
          <w:szCs w:val="24"/>
        </w:rPr>
        <w:t>1</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Plaats van bewaring………………………………………</w:t>
      </w:r>
      <w:r w:rsidR="007450BA" w:rsidRPr="00D147A7">
        <w:rPr>
          <w:rFonts w:ascii="Times New Roman" w:hAnsi="Times New Roman" w:cs="Times New Roman"/>
          <w:sz w:val="24"/>
          <w:szCs w:val="24"/>
        </w:rPr>
        <w:t>...</w:t>
      </w:r>
      <w:r w:rsidR="005A0E00" w:rsidRPr="00D147A7">
        <w:rPr>
          <w:rFonts w:ascii="Times New Roman" w:hAnsi="Times New Roman" w:cs="Times New Roman"/>
          <w:sz w:val="24"/>
          <w:szCs w:val="24"/>
        </w:rPr>
        <w:tab/>
        <w:t>22</w:t>
      </w:r>
      <w:r w:rsidR="007450BA" w:rsidRPr="00D147A7">
        <w:rPr>
          <w:rFonts w:ascii="Times New Roman" w:hAnsi="Times New Roman" w:cs="Times New Roman"/>
          <w:sz w:val="24"/>
          <w:szCs w:val="24"/>
        </w:rPr>
        <w:t>3</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3: Bewaartermijnen……………………………………………</w:t>
      </w:r>
      <w:r w:rsidR="005A0E00" w:rsidRPr="00D147A7">
        <w:rPr>
          <w:rFonts w:ascii="Times New Roman" w:hAnsi="Times New Roman" w:cs="Times New Roman"/>
          <w:sz w:val="24"/>
          <w:szCs w:val="24"/>
        </w:rPr>
        <w:tab/>
        <w:t>2</w:t>
      </w:r>
      <w:r w:rsidR="007450BA" w:rsidRPr="00D147A7">
        <w:rPr>
          <w:rFonts w:ascii="Times New Roman" w:hAnsi="Times New Roman" w:cs="Times New Roman"/>
          <w:sz w:val="24"/>
          <w:szCs w:val="24"/>
        </w:rPr>
        <w:t>2</w:t>
      </w:r>
      <w:r w:rsidR="00F22E91">
        <w:rPr>
          <w:rFonts w:ascii="Times New Roman" w:hAnsi="Times New Roman" w:cs="Times New Roman"/>
          <w:sz w:val="24"/>
          <w:szCs w:val="24"/>
        </w:rPr>
        <w:t>5</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z w:val="24"/>
          <w:szCs w:val="24"/>
        </w:rPr>
        <w:tab/>
      </w:r>
      <w:r w:rsidRPr="00D147A7">
        <w:rPr>
          <w:rFonts w:ascii="Times New Roman" w:hAnsi="Times New Roman" w:cs="Times New Roman"/>
          <w:smallCaps/>
          <w:sz w:val="24"/>
          <w:szCs w:val="24"/>
        </w:rPr>
        <w:t xml:space="preserve">3.4 Conclusie en aanbevelingen </w:t>
      </w:r>
      <w:r w:rsidRPr="00D147A7">
        <w:rPr>
          <w:rFonts w:ascii="Times New Roman" w:hAnsi="Times New Roman" w:cs="Times New Roman"/>
          <w:i/>
          <w:smallCaps/>
          <w:sz w:val="24"/>
          <w:szCs w:val="24"/>
        </w:rPr>
        <w:t>de lege ferenda</w:t>
      </w:r>
      <w:r w:rsidRPr="00D147A7">
        <w:rPr>
          <w:rFonts w:ascii="Times New Roman" w:hAnsi="Times New Roman" w:cs="Times New Roman"/>
          <w:smallCaps/>
          <w:sz w:val="24"/>
          <w:szCs w:val="24"/>
        </w:rPr>
        <w:t>……………………………</w:t>
      </w:r>
      <w:r w:rsidR="005A0E00" w:rsidRPr="00D147A7">
        <w:rPr>
          <w:rFonts w:ascii="Times New Roman" w:hAnsi="Times New Roman" w:cs="Times New Roman"/>
          <w:smallCaps/>
          <w:sz w:val="24"/>
          <w:szCs w:val="24"/>
        </w:rPr>
        <w:tab/>
        <w:t>23</w:t>
      </w:r>
      <w:r w:rsidR="00F22E91">
        <w:rPr>
          <w:rFonts w:ascii="Times New Roman" w:hAnsi="Times New Roman" w:cs="Times New Roman"/>
          <w:smallCaps/>
          <w:sz w:val="24"/>
          <w:szCs w:val="24"/>
        </w:rPr>
        <w:t>0</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3.5 Bibliografie…………………………………………………………………</w:t>
      </w:r>
      <w:r w:rsidR="005A0E00" w:rsidRPr="00D147A7">
        <w:rPr>
          <w:rFonts w:ascii="Times New Roman" w:hAnsi="Times New Roman" w:cs="Times New Roman"/>
          <w:smallCaps/>
          <w:sz w:val="24"/>
          <w:szCs w:val="24"/>
        </w:rPr>
        <w:tab/>
      </w:r>
      <w:r w:rsidR="007450BA" w:rsidRPr="00D147A7">
        <w:rPr>
          <w:rFonts w:ascii="Times New Roman" w:hAnsi="Times New Roman" w:cs="Times New Roman"/>
          <w:smallCaps/>
          <w:sz w:val="24"/>
          <w:szCs w:val="24"/>
        </w:rPr>
        <w:t>23</w:t>
      </w:r>
      <w:r w:rsidR="00F22E91">
        <w:rPr>
          <w:rFonts w:ascii="Times New Roman" w:hAnsi="Times New Roman" w:cs="Times New Roman"/>
          <w:smallCaps/>
          <w:sz w:val="24"/>
          <w:szCs w:val="24"/>
        </w:rPr>
        <w:t>2</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t>3.5.</w:t>
      </w:r>
      <w:r w:rsidRPr="00D147A7">
        <w:rPr>
          <w:rFonts w:ascii="Times New Roman" w:hAnsi="Times New Roman" w:cs="Times New Roman"/>
          <w:sz w:val="24"/>
          <w:szCs w:val="24"/>
        </w:rPr>
        <w:t>1 Internationaal………………………………………………………</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23</w:t>
      </w:r>
      <w:r w:rsidR="00F22E91">
        <w:rPr>
          <w:rFonts w:ascii="Times New Roman" w:hAnsi="Times New Roman" w:cs="Times New Roman"/>
          <w:sz w:val="24"/>
          <w:szCs w:val="24"/>
        </w:rPr>
        <w:t>2</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r>
      <w:r w:rsidRPr="00D147A7">
        <w:rPr>
          <w:rFonts w:ascii="Times New Roman" w:hAnsi="Times New Roman" w:cs="Times New Roman"/>
          <w:sz w:val="24"/>
          <w:szCs w:val="24"/>
        </w:rPr>
        <w:t>3.5.2 België………………………………………………………………</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23</w:t>
      </w:r>
      <w:r w:rsidR="00F22E91">
        <w:rPr>
          <w:rFonts w:ascii="Times New Roman" w:hAnsi="Times New Roman" w:cs="Times New Roman"/>
          <w:sz w:val="24"/>
          <w:szCs w:val="24"/>
        </w:rPr>
        <w:t>2</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3.5.3 Nederland…………………………………………………………</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23</w:t>
      </w:r>
      <w:r w:rsidR="00F22E91">
        <w:rPr>
          <w:rFonts w:ascii="Times New Roman" w:hAnsi="Times New Roman" w:cs="Times New Roman"/>
          <w:sz w:val="24"/>
          <w:szCs w:val="24"/>
        </w:rPr>
        <w:t>5</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3.5.4 Frankrijk……………………………………………………………</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23</w:t>
      </w:r>
      <w:r w:rsidR="00F22E91">
        <w:rPr>
          <w:rFonts w:ascii="Times New Roman" w:hAnsi="Times New Roman" w:cs="Times New Roman"/>
          <w:sz w:val="24"/>
          <w:szCs w:val="24"/>
        </w:rPr>
        <w:t>8</w:t>
      </w:r>
    </w:p>
    <w:p w:rsidR="00A11D8E" w:rsidRPr="00D147A7" w:rsidRDefault="00A11D8E" w:rsidP="003E1E00">
      <w:pPr>
        <w:pStyle w:val="Geenafstand"/>
        <w:rPr>
          <w:rFonts w:ascii="Times New Roman" w:hAnsi="Times New Roman" w:cs="Times New Roman"/>
          <w:sz w:val="24"/>
          <w:szCs w:val="24"/>
        </w:rPr>
      </w:pPr>
    </w:p>
    <w:p w:rsidR="003E1E00" w:rsidRPr="00D147A7" w:rsidRDefault="003E1E00" w:rsidP="007450BA">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Deel 4: Toegang e</w:t>
      </w:r>
      <w:r w:rsidR="007450BA" w:rsidRPr="00D147A7">
        <w:rPr>
          <w:rFonts w:ascii="Times New Roman" w:hAnsi="Times New Roman" w:cs="Times New Roman"/>
          <w:smallCaps/>
          <w:sz w:val="24"/>
          <w:szCs w:val="24"/>
        </w:rPr>
        <w:t>n gebruik……………………………………………………………</w:t>
      </w:r>
      <w:r w:rsidR="007450BA" w:rsidRPr="00D147A7">
        <w:rPr>
          <w:rFonts w:ascii="Times New Roman" w:hAnsi="Times New Roman" w:cs="Times New Roman"/>
          <w:smallCaps/>
          <w:sz w:val="24"/>
          <w:szCs w:val="24"/>
        </w:rPr>
        <w:tab/>
        <w:t>24</w:t>
      </w:r>
      <w:r w:rsidR="00F22E91">
        <w:rPr>
          <w:rFonts w:ascii="Times New Roman" w:hAnsi="Times New Roman" w:cs="Times New Roman"/>
          <w:smallCaps/>
          <w:sz w:val="24"/>
          <w:szCs w:val="24"/>
        </w:rPr>
        <w:t>3</w:t>
      </w:r>
    </w:p>
    <w:p w:rsidR="002736A0" w:rsidRPr="00D147A7" w:rsidRDefault="002736A0" w:rsidP="007450BA">
      <w:pPr>
        <w:pStyle w:val="Geenafstand"/>
        <w:ind w:firstLine="708"/>
        <w:jc w:val="both"/>
        <w:rPr>
          <w:rFonts w:ascii="Times New Roman" w:hAnsi="Times New Roman" w:cs="Times New Roman"/>
          <w:smallCaps/>
          <w:sz w:val="24"/>
          <w:szCs w:val="24"/>
        </w:rPr>
      </w:pPr>
    </w:p>
    <w:p w:rsidR="003E1E00" w:rsidRPr="00D147A7" w:rsidRDefault="003E1E00" w:rsidP="007450BA">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4.1 Internationale privacywetgeving………………………………………</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24</w:t>
      </w:r>
      <w:r w:rsidR="00F22E91">
        <w:rPr>
          <w:rFonts w:ascii="Times New Roman" w:hAnsi="Times New Roman" w:cs="Times New Roman"/>
          <w:smallCaps/>
          <w:sz w:val="24"/>
          <w:szCs w:val="24"/>
        </w:rPr>
        <w:t>3</w:t>
      </w:r>
    </w:p>
    <w:p w:rsidR="003E1E00" w:rsidRPr="00D147A7" w:rsidRDefault="003E1E00" w:rsidP="007450BA">
      <w:pPr>
        <w:pStyle w:val="Geenafstand"/>
        <w:ind w:left="708"/>
        <w:jc w:val="both"/>
        <w:rPr>
          <w:rFonts w:ascii="Times New Roman" w:hAnsi="Times New Roman" w:cs="Times New Roman"/>
          <w:smallCaps/>
          <w:sz w:val="24"/>
          <w:szCs w:val="24"/>
        </w:rPr>
      </w:pPr>
      <w:r w:rsidRPr="00D147A7">
        <w:rPr>
          <w:rFonts w:ascii="Times New Roman" w:hAnsi="Times New Roman" w:cs="Times New Roman"/>
          <w:smallCaps/>
          <w:sz w:val="24"/>
          <w:szCs w:val="24"/>
        </w:rPr>
        <w:t>4.2 Definities en toepassingsgebied…………………………………………..</w:t>
      </w:r>
      <w:r w:rsidR="007450BA" w:rsidRPr="00D147A7">
        <w:rPr>
          <w:rFonts w:ascii="Times New Roman" w:hAnsi="Times New Roman" w:cs="Times New Roman"/>
          <w:smallCaps/>
          <w:sz w:val="24"/>
          <w:szCs w:val="24"/>
        </w:rPr>
        <w:tab/>
        <w:t>2</w:t>
      </w:r>
      <w:r w:rsidR="00F22E91">
        <w:rPr>
          <w:rFonts w:ascii="Times New Roman" w:hAnsi="Times New Roman" w:cs="Times New Roman"/>
          <w:smallCaps/>
          <w:sz w:val="24"/>
          <w:szCs w:val="24"/>
        </w:rPr>
        <w:t>59</w:t>
      </w:r>
    </w:p>
    <w:p w:rsidR="003E1E00" w:rsidRPr="00D147A7" w:rsidRDefault="003E1E00" w:rsidP="007450BA">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4.3 Voorwaarden voor rechtmatige verwerkingen………………………</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26</w:t>
      </w:r>
      <w:r w:rsidR="00F22E91">
        <w:rPr>
          <w:rFonts w:ascii="Times New Roman" w:hAnsi="Times New Roman" w:cs="Times New Roman"/>
          <w:smallCaps/>
          <w:sz w:val="24"/>
          <w:szCs w:val="24"/>
        </w:rPr>
        <w:t>6</w:t>
      </w:r>
    </w:p>
    <w:p w:rsidR="003E1E00" w:rsidRPr="00D147A7" w:rsidRDefault="003E1E00" w:rsidP="007450BA">
      <w:pPr>
        <w:pStyle w:val="Geenafstand"/>
        <w:ind w:left="1413"/>
        <w:jc w:val="both"/>
        <w:rPr>
          <w:rFonts w:ascii="Times New Roman" w:hAnsi="Times New Roman" w:cs="Times New Roman"/>
          <w:sz w:val="24"/>
          <w:szCs w:val="24"/>
        </w:rPr>
      </w:pPr>
      <w:r w:rsidRPr="00D147A7">
        <w:rPr>
          <w:rFonts w:ascii="Times New Roman" w:hAnsi="Times New Roman" w:cs="Times New Roman"/>
          <w:sz w:val="24"/>
          <w:szCs w:val="24"/>
        </w:rPr>
        <w:t>Hoofdstuk 1: Algemene voorwaarden voor de verwerking van persoons</w:t>
      </w:r>
      <w:r w:rsidR="007450BA" w:rsidRPr="00D147A7">
        <w:rPr>
          <w:rFonts w:ascii="Times New Roman" w:hAnsi="Times New Roman" w:cs="Times New Roman"/>
          <w:sz w:val="24"/>
          <w:szCs w:val="24"/>
        </w:rPr>
        <w:t>-</w:t>
      </w:r>
      <w:r w:rsidRPr="00D147A7">
        <w:rPr>
          <w:rFonts w:ascii="Times New Roman" w:hAnsi="Times New Roman" w:cs="Times New Roman"/>
          <w:sz w:val="24"/>
          <w:szCs w:val="24"/>
        </w:rPr>
        <w:t>gegevens…………</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26</w:t>
      </w:r>
      <w:r w:rsidR="00F22E91">
        <w:rPr>
          <w:rFonts w:ascii="Times New Roman" w:hAnsi="Times New Roman" w:cs="Times New Roman"/>
          <w:smallCaps/>
          <w:sz w:val="24"/>
          <w:szCs w:val="24"/>
        </w:rPr>
        <w:t>6</w:t>
      </w:r>
    </w:p>
    <w:p w:rsidR="003E1E00" w:rsidRPr="00D147A7" w:rsidRDefault="003E1E00" w:rsidP="007450BA">
      <w:pPr>
        <w:pStyle w:val="Geenafstand"/>
        <w:ind w:left="1413"/>
        <w:jc w:val="both"/>
        <w:rPr>
          <w:rFonts w:ascii="Times New Roman" w:hAnsi="Times New Roman" w:cs="Times New Roman"/>
          <w:sz w:val="24"/>
          <w:szCs w:val="24"/>
        </w:rPr>
      </w:pPr>
      <w:r w:rsidRPr="00D147A7">
        <w:rPr>
          <w:rFonts w:ascii="Times New Roman" w:hAnsi="Times New Roman" w:cs="Times New Roman"/>
          <w:sz w:val="24"/>
          <w:szCs w:val="24"/>
        </w:rPr>
        <w:t>Hoofdstuk 2: Specifieke voorwaarden voor de verwerking van gezondheids</w:t>
      </w:r>
      <w:r w:rsidR="007450BA" w:rsidRPr="00D147A7">
        <w:rPr>
          <w:rFonts w:ascii="Times New Roman" w:hAnsi="Times New Roman" w:cs="Times New Roman"/>
          <w:sz w:val="24"/>
          <w:szCs w:val="24"/>
        </w:rPr>
        <w:t>-</w:t>
      </w:r>
      <w:r w:rsidRPr="00D147A7">
        <w:rPr>
          <w:rFonts w:ascii="Times New Roman" w:hAnsi="Times New Roman" w:cs="Times New Roman"/>
          <w:sz w:val="24"/>
          <w:szCs w:val="24"/>
        </w:rPr>
        <w:t>gegevens…….</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27</w:t>
      </w:r>
      <w:r w:rsidR="00F22E91">
        <w:rPr>
          <w:rFonts w:ascii="Times New Roman" w:hAnsi="Times New Roman" w:cs="Times New Roman"/>
          <w:smallCaps/>
          <w:sz w:val="24"/>
          <w:szCs w:val="24"/>
        </w:rPr>
        <w:t>1</w:t>
      </w:r>
    </w:p>
    <w:p w:rsidR="003E1E00" w:rsidRPr="00D147A7" w:rsidRDefault="003E1E00" w:rsidP="007450BA">
      <w:pPr>
        <w:pStyle w:val="Geenafstand"/>
        <w:ind w:firstLine="705"/>
        <w:jc w:val="both"/>
        <w:rPr>
          <w:rFonts w:ascii="Times New Roman" w:hAnsi="Times New Roman" w:cs="Times New Roman"/>
          <w:smallCaps/>
          <w:sz w:val="24"/>
          <w:szCs w:val="24"/>
        </w:rPr>
      </w:pPr>
      <w:r w:rsidRPr="00D147A7">
        <w:rPr>
          <w:rFonts w:ascii="Times New Roman" w:hAnsi="Times New Roman" w:cs="Times New Roman"/>
          <w:smallCaps/>
          <w:sz w:val="24"/>
          <w:szCs w:val="24"/>
        </w:rPr>
        <w:t>4.4 Praktijkvoorbeelden……………………………………………………</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27</w:t>
      </w:r>
      <w:r w:rsidR="00F22E91">
        <w:rPr>
          <w:rFonts w:ascii="Times New Roman" w:hAnsi="Times New Roman" w:cs="Times New Roman"/>
          <w:smallCaps/>
          <w:sz w:val="24"/>
          <w:szCs w:val="24"/>
        </w:rPr>
        <w:t>6</w:t>
      </w:r>
    </w:p>
    <w:p w:rsidR="003E1E00" w:rsidRPr="00D147A7" w:rsidRDefault="003E1E00" w:rsidP="007450BA">
      <w:pPr>
        <w:pStyle w:val="Geenafstand"/>
        <w:ind w:firstLine="705"/>
        <w:jc w:val="both"/>
        <w:rPr>
          <w:rFonts w:ascii="Times New Roman" w:hAnsi="Times New Roman" w:cs="Times New Roman"/>
          <w:i/>
          <w:smallCaps/>
          <w:sz w:val="24"/>
          <w:szCs w:val="24"/>
        </w:rPr>
      </w:pPr>
      <w:r w:rsidRPr="00D147A7">
        <w:rPr>
          <w:rFonts w:ascii="Times New Roman" w:hAnsi="Times New Roman" w:cs="Times New Roman"/>
          <w:smallCaps/>
          <w:sz w:val="24"/>
          <w:szCs w:val="24"/>
        </w:rPr>
        <w:t xml:space="preserve">4.5 Conclusie en aanbevelingen </w:t>
      </w:r>
      <w:r w:rsidRPr="00D147A7">
        <w:rPr>
          <w:rFonts w:ascii="Times New Roman" w:hAnsi="Times New Roman" w:cs="Times New Roman"/>
          <w:i/>
          <w:smallCaps/>
          <w:sz w:val="24"/>
          <w:szCs w:val="24"/>
        </w:rPr>
        <w:t>de lege ferenda</w:t>
      </w:r>
      <w:r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28</w:t>
      </w:r>
      <w:r w:rsidR="00F22E91">
        <w:rPr>
          <w:rFonts w:ascii="Times New Roman" w:hAnsi="Times New Roman" w:cs="Times New Roman"/>
          <w:smallCaps/>
          <w:sz w:val="24"/>
          <w:szCs w:val="24"/>
        </w:rPr>
        <w:t>0</w:t>
      </w:r>
    </w:p>
    <w:p w:rsidR="003E1E00" w:rsidRPr="00D147A7" w:rsidRDefault="003E1E00" w:rsidP="007450BA">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4.6 Bibliografie……………………………………………………………</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28</w:t>
      </w:r>
      <w:r w:rsidR="00F22E91">
        <w:rPr>
          <w:rFonts w:ascii="Times New Roman" w:hAnsi="Times New Roman" w:cs="Times New Roman"/>
          <w:smallCaps/>
          <w:sz w:val="24"/>
          <w:szCs w:val="24"/>
        </w:rPr>
        <w:t>2</w:t>
      </w:r>
    </w:p>
    <w:p w:rsidR="003E1E00" w:rsidRPr="00D147A7" w:rsidRDefault="003E1E00" w:rsidP="007450BA">
      <w:pPr>
        <w:pStyle w:val="Geenafstand"/>
        <w:ind w:left="708" w:firstLine="708"/>
        <w:jc w:val="both"/>
        <w:rPr>
          <w:rFonts w:ascii="Times New Roman" w:hAnsi="Times New Roman" w:cs="Times New Roman"/>
          <w:sz w:val="24"/>
          <w:szCs w:val="24"/>
        </w:rPr>
      </w:pPr>
      <w:r w:rsidRPr="00D147A7">
        <w:rPr>
          <w:rFonts w:ascii="Times New Roman" w:hAnsi="Times New Roman" w:cs="Times New Roman"/>
          <w:sz w:val="24"/>
          <w:szCs w:val="24"/>
        </w:rPr>
        <w:t>4.6.1 Internationaal……………………………………………………….</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28</w:t>
      </w:r>
      <w:r w:rsidR="00F22E91">
        <w:rPr>
          <w:rFonts w:ascii="Times New Roman" w:hAnsi="Times New Roman" w:cs="Times New Roman"/>
          <w:sz w:val="24"/>
          <w:szCs w:val="24"/>
        </w:rPr>
        <w:t>2</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4.6.2 België………………………………………………………………</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28</w:t>
      </w:r>
      <w:r w:rsidR="00F22E91">
        <w:rPr>
          <w:rFonts w:ascii="Times New Roman" w:hAnsi="Times New Roman" w:cs="Times New Roman"/>
          <w:sz w:val="24"/>
          <w:szCs w:val="24"/>
        </w:rPr>
        <w:t>5</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4.6.3 Nederland…………………………………………………………</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29</w:t>
      </w:r>
      <w:r w:rsidR="00F22E91">
        <w:rPr>
          <w:rFonts w:ascii="Times New Roman" w:hAnsi="Times New Roman" w:cs="Times New Roman"/>
          <w:sz w:val="24"/>
          <w:szCs w:val="24"/>
        </w:rPr>
        <w:t>5</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lastRenderedPageBreak/>
        <w:tab/>
        <w:t>4.6.4 Frankrijk…………………………………………………………</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30</w:t>
      </w:r>
      <w:r w:rsidR="00F22E91">
        <w:rPr>
          <w:rFonts w:ascii="Times New Roman" w:hAnsi="Times New Roman" w:cs="Times New Roman"/>
          <w:sz w:val="24"/>
          <w:szCs w:val="24"/>
        </w:rPr>
        <w:t>0</w:t>
      </w:r>
    </w:p>
    <w:p w:rsidR="00A11D8E" w:rsidRPr="00D147A7" w:rsidRDefault="00A11D8E" w:rsidP="002736A0">
      <w:pPr>
        <w:pStyle w:val="Geenafstand"/>
        <w:rPr>
          <w:rFonts w:ascii="Times New Roman" w:hAnsi="Times New Roman" w:cs="Times New Roman"/>
          <w:sz w:val="24"/>
          <w:szCs w:val="24"/>
        </w:rPr>
      </w:pP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Deel 5</w:t>
      </w:r>
      <w:r w:rsidRPr="00D147A7">
        <w:rPr>
          <w:rFonts w:ascii="Times New Roman" w:hAnsi="Times New Roman" w:cs="Times New Roman"/>
          <w:sz w:val="24"/>
          <w:szCs w:val="24"/>
        </w:rPr>
        <w:t xml:space="preserve">: </w:t>
      </w:r>
      <w:r w:rsidRPr="00D147A7">
        <w:rPr>
          <w:rFonts w:ascii="Times New Roman" w:hAnsi="Times New Roman" w:cs="Times New Roman"/>
          <w:smallCaps/>
          <w:sz w:val="24"/>
          <w:szCs w:val="24"/>
        </w:rPr>
        <w:t>Selectie, overdracht en vernietiging………………………………………</w:t>
      </w:r>
      <w:r w:rsidR="007450BA" w:rsidRPr="00D147A7">
        <w:rPr>
          <w:rFonts w:ascii="Times New Roman" w:hAnsi="Times New Roman" w:cs="Times New Roman"/>
          <w:smallCaps/>
          <w:sz w:val="24"/>
          <w:szCs w:val="24"/>
        </w:rPr>
        <w:tab/>
        <w:t>30</w:t>
      </w:r>
      <w:r w:rsidR="00F22E91">
        <w:rPr>
          <w:rFonts w:ascii="Times New Roman" w:hAnsi="Times New Roman" w:cs="Times New Roman"/>
          <w:smallCaps/>
          <w:sz w:val="24"/>
          <w:szCs w:val="24"/>
        </w:rPr>
        <w:t>5</w:t>
      </w:r>
    </w:p>
    <w:p w:rsidR="002736A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ab/>
      </w:r>
    </w:p>
    <w:p w:rsidR="003E1E00" w:rsidRPr="00D147A7" w:rsidRDefault="003E1E00" w:rsidP="002736A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5.1 Selectie………………………………………………………………………</w:t>
      </w:r>
      <w:r w:rsidR="007450BA" w:rsidRPr="00D147A7">
        <w:rPr>
          <w:rFonts w:ascii="Times New Roman" w:hAnsi="Times New Roman" w:cs="Times New Roman"/>
          <w:smallCaps/>
          <w:sz w:val="24"/>
          <w:szCs w:val="24"/>
        </w:rPr>
        <w:tab/>
        <w:t>30</w:t>
      </w:r>
      <w:r w:rsidR="00F22E91">
        <w:rPr>
          <w:rFonts w:ascii="Times New Roman" w:hAnsi="Times New Roman" w:cs="Times New Roman"/>
          <w:smallCaps/>
          <w:sz w:val="24"/>
          <w:szCs w:val="24"/>
        </w:rPr>
        <w:t>5</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z w:val="24"/>
          <w:szCs w:val="24"/>
        </w:rPr>
        <w:tab/>
        <w:t xml:space="preserve">5.2 </w:t>
      </w:r>
      <w:r w:rsidRPr="00D147A7">
        <w:rPr>
          <w:rFonts w:ascii="Times New Roman" w:hAnsi="Times New Roman" w:cs="Times New Roman"/>
          <w:smallCaps/>
          <w:sz w:val="24"/>
          <w:szCs w:val="24"/>
        </w:rPr>
        <w:t>Be</w:t>
      </w:r>
      <w:r w:rsidR="007450BA" w:rsidRPr="00D147A7">
        <w:rPr>
          <w:rFonts w:ascii="Times New Roman" w:hAnsi="Times New Roman" w:cs="Times New Roman"/>
          <w:smallCaps/>
          <w:sz w:val="24"/>
          <w:szCs w:val="24"/>
        </w:rPr>
        <w:t>lgië………………………………………………………………………...</w:t>
      </w:r>
      <w:r w:rsidR="007450BA" w:rsidRPr="00D147A7">
        <w:rPr>
          <w:rFonts w:ascii="Times New Roman" w:hAnsi="Times New Roman" w:cs="Times New Roman"/>
          <w:smallCaps/>
          <w:sz w:val="24"/>
          <w:szCs w:val="24"/>
        </w:rPr>
        <w:tab/>
        <w:t>31</w:t>
      </w:r>
      <w:r w:rsidR="00F22E91">
        <w:rPr>
          <w:rFonts w:ascii="Times New Roman" w:hAnsi="Times New Roman" w:cs="Times New Roman"/>
          <w:smallCaps/>
          <w:sz w:val="24"/>
          <w:szCs w:val="24"/>
        </w:rPr>
        <w:t>2</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mallCaps/>
          <w:sz w:val="24"/>
          <w:szCs w:val="24"/>
        </w:rPr>
        <w:tab/>
      </w:r>
      <w:r w:rsidRPr="00D147A7">
        <w:rPr>
          <w:rFonts w:ascii="Times New Roman" w:hAnsi="Times New Roman" w:cs="Times New Roman"/>
          <w:smallCaps/>
          <w:sz w:val="24"/>
          <w:szCs w:val="24"/>
        </w:rPr>
        <w:tab/>
      </w:r>
      <w:r w:rsidRPr="00D147A7">
        <w:rPr>
          <w:rFonts w:ascii="Times New Roman" w:hAnsi="Times New Roman" w:cs="Times New Roman"/>
          <w:sz w:val="24"/>
          <w:szCs w:val="24"/>
        </w:rPr>
        <w:t>Hoofdstuk 1: Inleiding……………………………………………………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31</w:t>
      </w:r>
      <w:r w:rsidR="00F22E91">
        <w:rPr>
          <w:rFonts w:ascii="Times New Roman" w:hAnsi="Times New Roman" w:cs="Times New Roman"/>
          <w:sz w:val="24"/>
          <w:szCs w:val="24"/>
        </w:rPr>
        <w:t>2</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Overdracht…………………………………………………</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17</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3: Vernietiging………………………………………………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32</w:t>
      </w:r>
      <w:r w:rsidR="00F22E91">
        <w:rPr>
          <w:rFonts w:ascii="Times New Roman" w:hAnsi="Times New Roman" w:cs="Times New Roman"/>
          <w:sz w:val="24"/>
          <w:szCs w:val="24"/>
        </w:rPr>
        <w:t>2</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1. Vó</w:t>
      </w:r>
      <w:r w:rsidRPr="00D147A7">
        <w:rPr>
          <w:rFonts w:ascii="Times New Roman" w:hAnsi="Times New Roman" w:cs="Times New Roman"/>
        </w:rPr>
        <w:t>ó</w:t>
      </w:r>
      <w:r w:rsidRPr="00D147A7">
        <w:rPr>
          <w:rFonts w:ascii="Times New Roman" w:hAnsi="Times New Roman" w:cs="Times New Roman"/>
          <w:sz w:val="24"/>
          <w:szCs w:val="24"/>
        </w:rPr>
        <w:t>r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32</w:t>
      </w:r>
      <w:r w:rsidR="00F22E91">
        <w:rPr>
          <w:rFonts w:ascii="Times New Roman" w:hAnsi="Times New Roman" w:cs="Times New Roman"/>
          <w:sz w:val="24"/>
          <w:szCs w:val="24"/>
        </w:rPr>
        <w:t>2</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2. Tijdens of na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32</w:t>
      </w:r>
      <w:r w:rsidR="00F22E91">
        <w:rPr>
          <w:rFonts w:ascii="Times New Roman" w:hAnsi="Times New Roman" w:cs="Times New Roman"/>
          <w:sz w:val="24"/>
          <w:szCs w:val="24"/>
        </w:rPr>
        <w:t>4</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z w:val="24"/>
          <w:szCs w:val="24"/>
        </w:rPr>
        <w:tab/>
        <w:t xml:space="preserve">5.3 </w:t>
      </w:r>
      <w:r w:rsidRPr="00D147A7">
        <w:rPr>
          <w:rFonts w:ascii="Times New Roman" w:hAnsi="Times New Roman" w:cs="Times New Roman"/>
          <w:smallCaps/>
          <w:sz w:val="24"/>
          <w:szCs w:val="24"/>
        </w:rPr>
        <w:t>Ned</w:t>
      </w:r>
      <w:r w:rsidR="007450BA" w:rsidRPr="00D147A7">
        <w:rPr>
          <w:rFonts w:ascii="Times New Roman" w:hAnsi="Times New Roman" w:cs="Times New Roman"/>
          <w:smallCaps/>
          <w:sz w:val="24"/>
          <w:szCs w:val="24"/>
        </w:rPr>
        <w:t>erland…………………………………………………………………...</w:t>
      </w:r>
      <w:r w:rsidR="007450BA" w:rsidRPr="00D147A7">
        <w:rPr>
          <w:rFonts w:ascii="Times New Roman" w:hAnsi="Times New Roman" w:cs="Times New Roman"/>
          <w:smallCaps/>
          <w:sz w:val="24"/>
          <w:szCs w:val="24"/>
        </w:rPr>
        <w:tab/>
        <w:t>32</w:t>
      </w:r>
      <w:r w:rsidR="00F22E91">
        <w:rPr>
          <w:rFonts w:ascii="Times New Roman" w:hAnsi="Times New Roman" w:cs="Times New Roman"/>
          <w:smallCaps/>
          <w:sz w:val="24"/>
          <w:szCs w:val="24"/>
        </w:rPr>
        <w:t>6</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1: Inleiding……………………………………………………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32</w:t>
      </w:r>
      <w:r w:rsidR="00F22E91">
        <w:rPr>
          <w:rFonts w:ascii="Times New Roman" w:hAnsi="Times New Roman" w:cs="Times New Roman"/>
          <w:sz w:val="24"/>
          <w:szCs w:val="24"/>
        </w:rPr>
        <w:t>6</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2: Overdracht…………………………………………………</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33</w:t>
      </w:r>
      <w:r w:rsidR="00F22E91">
        <w:rPr>
          <w:rFonts w:ascii="Times New Roman" w:hAnsi="Times New Roman" w:cs="Times New Roman"/>
          <w:sz w:val="24"/>
          <w:szCs w:val="24"/>
        </w:rPr>
        <w:t>1</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3: Vernietiging………………………………………………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38</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1. Vóór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38</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2. Tijdens of na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34</w:t>
      </w:r>
      <w:r w:rsidR="00F22E91">
        <w:rPr>
          <w:rFonts w:ascii="Times New Roman" w:hAnsi="Times New Roman" w:cs="Times New Roman"/>
          <w:sz w:val="24"/>
          <w:szCs w:val="24"/>
        </w:rPr>
        <w:t>0</w:t>
      </w:r>
    </w:p>
    <w:p w:rsidR="003E1E00" w:rsidRPr="00D147A7" w:rsidRDefault="003E1E00" w:rsidP="003E1E00">
      <w:pPr>
        <w:pStyle w:val="Geenafstand"/>
        <w:rPr>
          <w:rFonts w:ascii="Times New Roman" w:hAnsi="Times New Roman" w:cs="Times New Roman"/>
          <w:smallCaps/>
          <w:sz w:val="24"/>
          <w:szCs w:val="24"/>
        </w:rPr>
      </w:pPr>
      <w:r w:rsidRPr="00D147A7">
        <w:rPr>
          <w:rFonts w:ascii="Times New Roman" w:hAnsi="Times New Roman" w:cs="Times New Roman"/>
          <w:sz w:val="24"/>
          <w:szCs w:val="24"/>
        </w:rPr>
        <w:tab/>
        <w:t xml:space="preserve">5.4 </w:t>
      </w:r>
      <w:r w:rsidRPr="00D147A7">
        <w:rPr>
          <w:rFonts w:ascii="Times New Roman" w:hAnsi="Times New Roman" w:cs="Times New Roman"/>
          <w:smallCaps/>
          <w:sz w:val="24"/>
          <w:szCs w:val="24"/>
        </w:rPr>
        <w:t>Frankrijk……………………………………………………………………</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34</w:t>
      </w:r>
      <w:r w:rsidR="00F22E91">
        <w:rPr>
          <w:rFonts w:ascii="Times New Roman" w:hAnsi="Times New Roman" w:cs="Times New Roman"/>
          <w:smallCaps/>
          <w:sz w:val="24"/>
          <w:szCs w:val="24"/>
        </w:rPr>
        <w:t>1</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1: Inleiding…………………………………………………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34</w:t>
      </w:r>
      <w:r w:rsidR="00F22E91">
        <w:rPr>
          <w:rFonts w:ascii="Times New Roman" w:hAnsi="Times New Roman" w:cs="Times New Roman"/>
          <w:sz w:val="24"/>
          <w:szCs w:val="24"/>
        </w:rPr>
        <w:t>1</w:t>
      </w:r>
    </w:p>
    <w:p w:rsidR="003E1E00" w:rsidRPr="00D147A7" w:rsidRDefault="003E1E00" w:rsidP="003E1E00">
      <w:pPr>
        <w:pStyle w:val="Geenafstand"/>
        <w:ind w:left="708" w:firstLine="708"/>
        <w:rPr>
          <w:rFonts w:ascii="Times New Roman" w:hAnsi="Times New Roman" w:cs="Times New Roman"/>
          <w:sz w:val="24"/>
          <w:szCs w:val="24"/>
        </w:rPr>
      </w:pPr>
      <w:r w:rsidRPr="00D147A7">
        <w:rPr>
          <w:rFonts w:ascii="Times New Roman" w:hAnsi="Times New Roman" w:cs="Times New Roman"/>
          <w:sz w:val="24"/>
          <w:szCs w:val="24"/>
        </w:rPr>
        <w:t>Hoofdstuk 2: Overdracht…………………………………………………</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34</w:t>
      </w:r>
      <w:r w:rsidR="00F22E91">
        <w:rPr>
          <w:rFonts w:ascii="Times New Roman" w:hAnsi="Times New Roman" w:cs="Times New Roman"/>
          <w:sz w:val="24"/>
          <w:szCs w:val="24"/>
        </w:rPr>
        <w:t>3</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t>Hoofdstuk 3: Vernietiging………………………………………………</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47</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1. Vóór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47</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2. Tijdens of na beëindiging bewaartermijn………………………</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48</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 xml:space="preserve">5.5 Conclusie en aanbevelingen </w:t>
      </w:r>
      <w:r w:rsidRPr="00D147A7">
        <w:rPr>
          <w:rFonts w:ascii="Times New Roman" w:hAnsi="Times New Roman" w:cs="Times New Roman"/>
          <w:i/>
          <w:smallCaps/>
          <w:sz w:val="24"/>
          <w:szCs w:val="24"/>
        </w:rPr>
        <w:t>de lege ferenda</w:t>
      </w:r>
      <w:r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35</w:t>
      </w:r>
      <w:r w:rsidR="00F22E91">
        <w:rPr>
          <w:rFonts w:ascii="Times New Roman" w:hAnsi="Times New Roman" w:cs="Times New Roman"/>
          <w:smallCaps/>
          <w:sz w:val="24"/>
          <w:szCs w:val="24"/>
        </w:rPr>
        <w:t>1</w:t>
      </w:r>
    </w:p>
    <w:p w:rsidR="003E1E00" w:rsidRPr="00D147A7" w:rsidRDefault="003E1E00" w:rsidP="003E1E00">
      <w:pPr>
        <w:pStyle w:val="Geenafstand"/>
        <w:ind w:firstLine="708"/>
        <w:rPr>
          <w:rFonts w:ascii="Times New Roman" w:hAnsi="Times New Roman" w:cs="Times New Roman"/>
          <w:smallCaps/>
          <w:sz w:val="24"/>
          <w:szCs w:val="24"/>
        </w:rPr>
      </w:pPr>
      <w:r w:rsidRPr="00D147A7">
        <w:rPr>
          <w:rFonts w:ascii="Times New Roman" w:hAnsi="Times New Roman" w:cs="Times New Roman"/>
          <w:smallCaps/>
          <w:sz w:val="24"/>
          <w:szCs w:val="24"/>
        </w:rPr>
        <w:t>5.6 Bibliografie………………………………………………………………</w:t>
      </w:r>
      <w:r w:rsidR="007450BA" w:rsidRPr="00D147A7">
        <w:rPr>
          <w:rFonts w:ascii="Times New Roman" w:hAnsi="Times New Roman" w:cs="Times New Roman"/>
          <w:smallCaps/>
          <w:sz w:val="24"/>
          <w:szCs w:val="24"/>
        </w:rPr>
        <w:t>…</w:t>
      </w:r>
      <w:r w:rsidR="007450BA" w:rsidRPr="00D147A7">
        <w:rPr>
          <w:rFonts w:ascii="Times New Roman" w:hAnsi="Times New Roman" w:cs="Times New Roman"/>
          <w:smallCaps/>
          <w:sz w:val="24"/>
          <w:szCs w:val="24"/>
        </w:rPr>
        <w:tab/>
        <w:t>35</w:t>
      </w:r>
      <w:r w:rsidR="00F22E91">
        <w:rPr>
          <w:rFonts w:ascii="Times New Roman" w:hAnsi="Times New Roman" w:cs="Times New Roman"/>
          <w:smallCaps/>
          <w:sz w:val="24"/>
          <w:szCs w:val="24"/>
        </w:rPr>
        <w:t>3</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r>
      <w:r w:rsidRPr="00D147A7">
        <w:rPr>
          <w:rFonts w:ascii="Times New Roman" w:hAnsi="Times New Roman" w:cs="Times New Roman"/>
          <w:sz w:val="24"/>
          <w:szCs w:val="24"/>
        </w:rPr>
        <w:t>5.6.1 Internationaal……………………………………………………</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35</w:t>
      </w:r>
      <w:r w:rsidR="00F22E91">
        <w:rPr>
          <w:rFonts w:ascii="Times New Roman" w:hAnsi="Times New Roman" w:cs="Times New Roman"/>
          <w:sz w:val="24"/>
          <w:szCs w:val="24"/>
        </w:rPr>
        <w:t>3</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mallCaps/>
          <w:sz w:val="24"/>
          <w:szCs w:val="24"/>
        </w:rPr>
        <w:tab/>
      </w:r>
      <w:r w:rsidRPr="00D147A7">
        <w:rPr>
          <w:rFonts w:ascii="Times New Roman" w:hAnsi="Times New Roman" w:cs="Times New Roman"/>
          <w:sz w:val="24"/>
          <w:szCs w:val="24"/>
        </w:rPr>
        <w:t>5.6.2 België……………………………………………………</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35</w:t>
      </w:r>
      <w:r w:rsidR="00F22E91">
        <w:rPr>
          <w:rFonts w:ascii="Times New Roman" w:hAnsi="Times New Roman" w:cs="Times New Roman"/>
          <w:sz w:val="24"/>
          <w:szCs w:val="24"/>
        </w:rPr>
        <w:t>4</w:t>
      </w:r>
    </w:p>
    <w:p w:rsidR="003E1E00" w:rsidRPr="00D147A7"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5.6.3 Nederland……………………………………………………</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w:t>
      </w:r>
      <w:r w:rsidR="00F22E91">
        <w:rPr>
          <w:rFonts w:ascii="Times New Roman" w:hAnsi="Times New Roman" w:cs="Times New Roman"/>
          <w:sz w:val="24"/>
          <w:szCs w:val="24"/>
        </w:rPr>
        <w:t>58</w:t>
      </w:r>
    </w:p>
    <w:p w:rsidR="003E1E00" w:rsidRDefault="003E1E00" w:rsidP="003E1E00">
      <w:pPr>
        <w:pStyle w:val="Geenafstand"/>
        <w:ind w:firstLine="708"/>
        <w:rPr>
          <w:rFonts w:ascii="Times New Roman" w:hAnsi="Times New Roman" w:cs="Times New Roman"/>
          <w:sz w:val="24"/>
          <w:szCs w:val="24"/>
        </w:rPr>
      </w:pPr>
      <w:r w:rsidRPr="00D147A7">
        <w:rPr>
          <w:rFonts w:ascii="Times New Roman" w:hAnsi="Times New Roman" w:cs="Times New Roman"/>
          <w:sz w:val="24"/>
          <w:szCs w:val="24"/>
        </w:rPr>
        <w:tab/>
        <w:t>5.6.4 Frankrijk…………………………………………………………</w:t>
      </w:r>
      <w:r w:rsidR="007450BA" w:rsidRPr="00D147A7">
        <w:rPr>
          <w:rFonts w:ascii="Times New Roman" w:hAnsi="Times New Roman" w:cs="Times New Roman"/>
          <w:sz w:val="24"/>
          <w:szCs w:val="24"/>
        </w:rPr>
        <w:t>…..</w:t>
      </w:r>
      <w:r w:rsidR="007450BA" w:rsidRPr="00D147A7">
        <w:rPr>
          <w:rFonts w:ascii="Times New Roman" w:hAnsi="Times New Roman" w:cs="Times New Roman"/>
          <w:sz w:val="24"/>
          <w:szCs w:val="24"/>
        </w:rPr>
        <w:tab/>
        <w:t>36</w:t>
      </w:r>
      <w:r w:rsidR="00F22E91">
        <w:rPr>
          <w:rFonts w:ascii="Times New Roman" w:hAnsi="Times New Roman" w:cs="Times New Roman"/>
          <w:sz w:val="24"/>
          <w:szCs w:val="24"/>
        </w:rPr>
        <w:t>1</w:t>
      </w:r>
    </w:p>
    <w:p w:rsidR="002E7E12" w:rsidRDefault="002E7E12" w:rsidP="002E7E12">
      <w:pPr>
        <w:pStyle w:val="Geenafstand"/>
        <w:rPr>
          <w:rFonts w:ascii="Times New Roman" w:hAnsi="Times New Roman" w:cs="Times New Roman"/>
          <w:sz w:val="24"/>
          <w:szCs w:val="24"/>
        </w:rPr>
      </w:pPr>
    </w:p>
    <w:p w:rsidR="002E7E12" w:rsidRPr="00D147A7" w:rsidRDefault="002E7E12" w:rsidP="002E7E12">
      <w:pPr>
        <w:pStyle w:val="Geenafstand"/>
        <w:rPr>
          <w:rFonts w:ascii="Times New Roman" w:hAnsi="Times New Roman" w:cs="Times New Roman"/>
          <w:sz w:val="24"/>
          <w:szCs w:val="24"/>
        </w:rPr>
      </w:pPr>
      <w:r w:rsidRPr="004C3BF6">
        <w:rPr>
          <w:rFonts w:ascii="Times New Roman" w:hAnsi="Times New Roman" w:cs="Times New Roman"/>
          <w:smallCaps/>
          <w:sz w:val="24"/>
          <w:szCs w:val="24"/>
        </w:rPr>
        <w:t>Samenvatting</w:t>
      </w:r>
      <w:r w:rsidRPr="004C3BF6">
        <w:rPr>
          <w:rFonts w:ascii="Times New Roman" w:hAnsi="Times New Roman" w:cs="Times New Roman"/>
          <w:sz w:val="24"/>
          <w:szCs w:val="24"/>
        </w:rPr>
        <w:t>……………………………………………………………………………</w:t>
      </w:r>
      <w:r w:rsidR="00F22E91">
        <w:rPr>
          <w:rFonts w:ascii="Times New Roman" w:hAnsi="Times New Roman" w:cs="Times New Roman"/>
          <w:sz w:val="24"/>
          <w:szCs w:val="24"/>
        </w:rPr>
        <w:t>365</w:t>
      </w:r>
    </w:p>
    <w:p w:rsidR="003E1E00" w:rsidRPr="00D147A7" w:rsidRDefault="003E1E00" w:rsidP="003E1E00">
      <w:pPr>
        <w:pStyle w:val="Geenafstand"/>
        <w:jc w:val="center"/>
        <w:rPr>
          <w:rFonts w:ascii="Times New Roman" w:hAnsi="Times New Roman" w:cs="Times New Roman"/>
          <w:b/>
          <w:smallCaps/>
          <w:sz w:val="24"/>
          <w:szCs w:val="24"/>
        </w:rPr>
      </w:pPr>
      <w:r w:rsidRPr="00D147A7">
        <w:rPr>
          <w:rFonts w:ascii="Times New Roman" w:hAnsi="Times New Roman" w:cs="Times New Roman"/>
          <w:sz w:val="24"/>
          <w:szCs w:val="24"/>
        </w:rPr>
        <w:br w:type="page"/>
      </w:r>
      <w:r w:rsidRPr="00D147A7">
        <w:rPr>
          <w:rFonts w:ascii="Times New Roman" w:hAnsi="Times New Roman" w:cs="Times New Roman"/>
          <w:b/>
          <w:smallCaps/>
          <w:sz w:val="24"/>
          <w:szCs w:val="24"/>
        </w:rPr>
        <w:lastRenderedPageBreak/>
        <w:t xml:space="preserve">Overzicht van figuren, grafieken, kaarten en tabellen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 </w:t>
      </w:r>
    </w:p>
    <w:p w:rsidR="003E1E00" w:rsidRPr="00D147A7" w:rsidRDefault="003E1E00" w:rsidP="003E1E00">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Figuren</w:t>
      </w:r>
    </w:p>
    <w:p w:rsidR="003E1E00" w:rsidRPr="00D147A7" w:rsidRDefault="003E1E00" w:rsidP="003E1E00">
      <w:pPr>
        <w:pStyle w:val="Geenafstand"/>
        <w:ind w:firstLine="708"/>
        <w:jc w:val="both"/>
        <w:rPr>
          <w:rFonts w:ascii="Times New Roman" w:hAnsi="Times New Roman" w:cs="Times New Roman"/>
          <w:smallCaps/>
          <w:sz w:val="24"/>
          <w:szCs w:val="24"/>
        </w:rPr>
      </w:pPr>
    </w:p>
    <w:p w:rsidR="00B540A4" w:rsidRPr="00D147A7" w:rsidRDefault="003E1E00" w:rsidP="003E1E00">
      <w:pPr>
        <w:pStyle w:val="Geenafstand"/>
        <w:jc w:val="both"/>
        <w:rPr>
          <w:rFonts w:ascii="Times New Roman" w:hAnsi="Times New Roman" w:cs="Times New Roman"/>
          <w:noProof/>
          <w:sz w:val="24"/>
          <w:szCs w:val="24"/>
          <w:lang w:eastAsia="nl-BE"/>
        </w:rPr>
      </w:pPr>
      <w:r w:rsidRPr="00D147A7">
        <w:rPr>
          <w:rFonts w:ascii="Times New Roman" w:hAnsi="Times New Roman" w:cs="Times New Roman"/>
          <w:noProof/>
          <w:sz w:val="24"/>
          <w:szCs w:val="24"/>
          <w:lang w:eastAsia="nl-BE"/>
        </w:rPr>
        <w:t>Figuur 1: Handafdrukken uit het laat-Paleolithicum op de wanden van een rots te Gar</w:t>
      </w:r>
      <w:r w:rsidR="004C7924">
        <w:rPr>
          <w:rFonts w:ascii="Times New Roman" w:hAnsi="Times New Roman" w:cs="Times New Roman"/>
          <w:noProof/>
          <w:sz w:val="24"/>
          <w:szCs w:val="24"/>
          <w:lang w:eastAsia="nl-BE"/>
        </w:rPr>
        <w:t>-</w:t>
      </w:r>
      <w:r w:rsidRPr="00D147A7">
        <w:rPr>
          <w:rFonts w:ascii="Times New Roman" w:hAnsi="Times New Roman" w:cs="Times New Roman"/>
          <w:noProof/>
          <w:sz w:val="24"/>
          <w:szCs w:val="24"/>
          <w:lang w:eastAsia="nl-BE"/>
        </w:rPr>
        <w:t>gas</w:t>
      </w:r>
      <w:r w:rsidR="00B540A4" w:rsidRPr="00D147A7">
        <w:rPr>
          <w:rFonts w:ascii="Times New Roman" w:hAnsi="Times New Roman" w:cs="Times New Roman"/>
          <w:noProof/>
          <w:sz w:val="24"/>
          <w:szCs w:val="24"/>
          <w:lang w:eastAsia="nl-BE"/>
        </w:rPr>
        <w:t>……………………………………………………………………………………</w:t>
      </w:r>
      <w:r w:rsidR="00F22E91">
        <w:rPr>
          <w:rFonts w:ascii="Times New Roman" w:hAnsi="Times New Roman" w:cs="Times New Roman"/>
          <w:noProof/>
          <w:sz w:val="24"/>
          <w:szCs w:val="24"/>
          <w:lang w:eastAsia="nl-BE"/>
        </w:rPr>
        <w:t>……</w:t>
      </w:r>
      <w:r w:rsidR="00B540A4" w:rsidRPr="00D147A7">
        <w:rPr>
          <w:rFonts w:ascii="Times New Roman" w:hAnsi="Times New Roman" w:cs="Times New Roman"/>
          <w:noProof/>
          <w:sz w:val="24"/>
          <w:szCs w:val="24"/>
          <w:lang w:eastAsia="nl-BE"/>
        </w:rPr>
        <w:tab/>
        <w:t>21</w:t>
      </w:r>
    </w:p>
    <w:p w:rsidR="003E1E00" w:rsidRPr="00D147A7" w:rsidRDefault="003E1E00" w:rsidP="003E1E00">
      <w:pPr>
        <w:pStyle w:val="Geenafstand"/>
        <w:jc w:val="both"/>
        <w:rPr>
          <w:rFonts w:ascii="Times New Roman" w:hAnsi="Times New Roman" w:cs="Times New Roman"/>
          <w:noProof/>
          <w:sz w:val="24"/>
          <w:szCs w:val="24"/>
          <w:lang w:eastAsia="nl-BE"/>
        </w:rPr>
      </w:pPr>
      <w:r w:rsidRPr="00D147A7">
        <w:rPr>
          <w:rFonts w:ascii="Times New Roman" w:hAnsi="Times New Roman" w:cs="Times New Roman"/>
          <w:sz w:val="24"/>
          <w:szCs w:val="24"/>
        </w:rPr>
        <w:t>Figuur 2: Standaardformulier om slachtoffers uit de tweede wereldoorlog die in het buitenland begraven waren aan de hand van hun gebit te identificeren</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23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3: Verschillende onderdelen van het patiëntendossier</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24</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4: Bescherming gezondheidsgegevens van patiëntendossiers doorheen de levens</w:t>
      </w:r>
      <w:r w:rsidR="004C7924">
        <w:rPr>
          <w:rFonts w:ascii="Times New Roman" w:hAnsi="Times New Roman" w:cs="Times New Roman"/>
          <w:sz w:val="24"/>
          <w:szCs w:val="24"/>
        </w:rPr>
        <w:t>-</w:t>
      </w:r>
      <w:r w:rsidRPr="00D147A7">
        <w:rPr>
          <w:rFonts w:ascii="Times New Roman" w:hAnsi="Times New Roman" w:cs="Times New Roman"/>
          <w:sz w:val="24"/>
          <w:szCs w:val="24"/>
        </w:rPr>
        <w:t>cyclus</w:t>
      </w:r>
      <w:r w:rsidR="00B540A4" w:rsidRPr="00D147A7">
        <w:rPr>
          <w:rFonts w:ascii="Times New Roman" w:hAnsi="Times New Roman" w:cs="Times New Roman"/>
          <w:sz w:val="24"/>
          <w:szCs w:val="24"/>
        </w:rPr>
        <w:t>………………………………………………………………………………</w:t>
      </w:r>
      <w:r w:rsidR="00F22E91">
        <w:rPr>
          <w:rFonts w:ascii="Times New Roman" w:hAnsi="Times New Roman" w:cs="Times New Roman"/>
          <w:sz w:val="24"/>
          <w:szCs w:val="24"/>
        </w:rPr>
        <w:t>……...</w:t>
      </w:r>
      <w:r w:rsidR="00F22E91">
        <w:rPr>
          <w:rFonts w:ascii="Times New Roman" w:hAnsi="Times New Roman" w:cs="Times New Roman"/>
          <w:sz w:val="24"/>
          <w:szCs w:val="24"/>
        </w:rPr>
        <w:tab/>
      </w:r>
      <w:r w:rsidR="00B540A4" w:rsidRPr="00D147A7">
        <w:rPr>
          <w:rFonts w:ascii="Times New Roman" w:hAnsi="Times New Roman" w:cs="Times New Roman"/>
          <w:sz w:val="24"/>
          <w:szCs w:val="24"/>
        </w:rPr>
        <w:t>25</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5: Voorbeeld van ophangsysteem met kleurens</w:t>
      </w:r>
      <w:r w:rsidR="004721B1" w:rsidRPr="00D147A7">
        <w:rPr>
          <w:rFonts w:ascii="Times New Roman" w:hAnsi="Times New Roman" w:cs="Times New Roman"/>
          <w:sz w:val="24"/>
          <w:szCs w:val="24"/>
        </w:rPr>
        <w:t>tickers</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8</w:t>
      </w:r>
      <w:r w:rsidR="00F22E91">
        <w:rPr>
          <w:rFonts w:ascii="Times New Roman" w:hAnsi="Times New Roman" w:cs="Times New Roman"/>
          <w:sz w:val="24"/>
          <w:szCs w:val="24"/>
        </w:rPr>
        <w:t>8</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Figuur 6: Schematische voorstelling van ‘Rotatie 3’, een variant van de </w:t>
      </w:r>
      <w:r w:rsidRPr="00D147A7">
        <w:rPr>
          <w:rFonts w:ascii="Times New Roman" w:hAnsi="Times New Roman" w:cs="Times New Roman"/>
          <w:i/>
          <w:sz w:val="24"/>
          <w:szCs w:val="24"/>
        </w:rPr>
        <w:t>Caesar’s cipher</w:t>
      </w:r>
      <w:r w:rsidRPr="00D147A7">
        <w:rPr>
          <w:rFonts w:ascii="Times New Roman" w:hAnsi="Times New Roman" w:cs="Times New Roman"/>
          <w:sz w:val="24"/>
          <w:szCs w:val="24"/>
        </w:rPr>
        <w:t xml:space="preserve"> waar</w:t>
      </w:r>
      <w:r w:rsidR="004C7924">
        <w:rPr>
          <w:rFonts w:ascii="Times New Roman" w:hAnsi="Times New Roman" w:cs="Times New Roman"/>
          <w:sz w:val="24"/>
          <w:szCs w:val="24"/>
        </w:rPr>
        <w:t>-</w:t>
      </w:r>
      <w:r w:rsidRPr="00D147A7">
        <w:rPr>
          <w:rFonts w:ascii="Times New Roman" w:hAnsi="Times New Roman" w:cs="Times New Roman"/>
          <w:sz w:val="24"/>
          <w:szCs w:val="24"/>
        </w:rPr>
        <w:t>bij iedere letter drie plaatsen in het alfabet opschuift</w:t>
      </w:r>
      <w:r w:rsidR="00B540A4" w:rsidRPr="00D147A7">
        <w:rPr>
          <w:rFonts w:ascii="Times New Roman" w:hAnsi="Times New Roman" w:cs="Times New Roman"/>
          <w:sz w:val="24"/>
          <w:szCs w:val="24"/>
        </w:rPr>
        <w:t>………………………………</w:t>
      </w:r>
      <w:r w:rsidR="00F22E91">
        <w:rPr>
          <w:rFonts w:ascii="Times New Roman" w:hAnsi="Times New Roman" w:cs="Times New Roman"/>
          <w:sz w:val="24"/>
          <w:szCs w:val="24"/>
        </w:rPr>
        <w:t>…….</w:t>
      </w:r>
      <w:r w:rsidR="00B540A4" w:rsidRPr="00D147A7">
        <w:rPr>
          <w:rFonts w:ascii="Times New Roman" w:hAnsi="Times New Roman" w:cs="Times New Roman"/>
          <w:sz w:val="24"/>
          <w:szCs w:val="24"/>
        </w:rPr>
        <w:tab/>
        <w:t>11</w:t>
      </w:r>
      <w:r w:rsidR="00F22E91">
        <w:rPr>
          <w:rFonts w:ascii="Times New Roman" w:hAnsi="Times New Roman" w:cs="Times New Roman"/>
          <w:sz w:val="24"/>
          <w:szCs w:val="24"/>
        </w:rPr>
        <w:t>5</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7:</w:t>
      </w:r>
      <w:r w:rsidRPr="00D147A7">
        <w:rPr>
          <w:rFonts w:ascii="Times New Roman" w:hAnsi="Times New Roman" w:cs="Times New Roman"/>
          <w:color w:val="00B0F0"/>
          <w:sz w:val="24"/>
          <w:szCs w:val="24"/>
        </w:rPr>
        <w:t xml:space="preserve"> </w:t>
      </w:r>
      <w:r w:rsidRPr="00D147A7">
        <w:rPr>
          <w:rFonts w:ascii="Times New Roman" w:hAnsi="Times New Roman" w:cs="Times New Roman"/>
          <w:sz w:val="24"/>
          <w:szCs w:val="24"/>
        </w:rPr>
        <w:t>Schematische voorstelling van de digitale handtekening (algemeen)</w:t>
      </w:r>
      <w:r w:rsidR="00F22E91">
        <w:rPr>
          <w:rFonts w:ascii="Times New Roman" w:hAnsi="Times New Roman" w:cs="Times New Roman"/>
          <w:sz w:val="24"/>
          <w:szCs w:val="24"/>
        </w:rPr>
        <w:t>………….</w:t>
      </w:r>
      <w:r w:rsidR="00F22E91">
        <w:rPr>
          <w:rFonts w:ascii="Times New Roman" w:hAnsi="Times New Roman" w:cs="Times New Roman"/>
          <w:sz w:val="24"/>
          <w:szCs w:val="24"/>
        </w:rPr>
        <w:tab/>
        <w:t>116</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8: Symmetrische ver- en ontcijfering van niet-geadresseerde berichten via het eHealth-platform</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11</w:t>
      </w:r>
      <w:r w:rsidR="00F22E91">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9: Asymmetrische ver- en ontcijfering van geadresseerde berichten via het eHealth-platform</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11</w:t>
      </w:r>
      <w:r w:rsidR="00F22E91">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Figuur 10: Schematisch voorstelling van </w:t>
      </w:r>
      <w:r w:rsidRPr="00D147A7">
        <w:rPr>
          <w:rFonts w:ascii="Times New Roman" w:hAnsi="Times New Roman" w:cs="Times New Roman"/>
          <w:i/>
          <w:sz w:val="24"/>
          <w:szCs w:val="24"/>
        </w:rPr>
        <w:t>timestamping</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11</w:t>
      </w:r>
      <w:r w:rsidR="00F22E91">
        <w:rPr>
          <w:rFonts w:ascii="Times New Roman" w:hAnsi="Times New Roman" w:cs="Times New Roman"/>
          <w:sz w:val="24"/>
          <w:szCs w:val="24"/>
        </w:rPr>
        <w:t>8</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11: Schematische voorstelling van het medicatieschema</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12</w:t>
      </w:r>
      <w:r w:rsidR="00F22E91">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12: Het wetsvoorstel tot wijziging van de Wet gebruik burgerservicenummer in de zorg in verband met de elektronische informatie-uitwisseling in de zorg strandde in de vergadering van 5 april 2011 van de Eerste Kamer</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13</w:t>
      </w:r>
      <w:r w:rsidR="00F22E91">
        <w:rPr>
          <w:rFonts w:ascii="Times New Roman" w:hAnsi="Times New Roman" w:cs="Times New Roman"/>
          <w:sz w:val="24"/>
          <w:szCs w:val="24"/>
        </w:rPr>
        <w:t>5</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13: De werking van het Landelijk EPD</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w:t>
      </w:r>
      <w:r w:rsidR="00F22E91">
        <w:rPr>
          <w:rFonts w:ascii="Times New Roman" w:hAnsi="Times New Roman" w:cs="Times New Roman"/>
          <w:sz w:val="24"/>
          <w:szCs w:val="24"/>
        </w:rPr>
        <w:t>40</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rPr>
        <w:t>Figuur 14: Referentiekader met eisen waaraan de middelen en methodes voor de toegang van patiënten tot hun dossier moeten voldoen</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B540A4" w:rsidRPr="00D147A7">
        <w:rPr>
          <w:rFonts w:ascii="Times New Roman" w:hAnsi="Times New Roman" w:cs="Times New Roman"/>
          <w:sz w:val="24"/>
          <w:szCs w:val="24"/>
          <w:lang w:val="fr-BE"/>
        </w:rPr>
        <w:t>14</w:t>
      </w:r>
      <w:r w:rsidR="00F22E91">
        <w:rPr>
          <w:rFonts w:ascii="Times New Roman" w:hAnsi="Times New Roman" w:cs="Times New Roman"/>
          <w:sz w:val="24"/>
          <w:szCs w:val="24"/>
          <w:lang w:val="fr-BE"/>
        </w:rPr>
        <w:t>3</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Figuur 15: Samenstelling van de </w:t>
      </w:r>
      <w:r w:rsidRPr="00D147A7">
        <w:rPr>
          <w:rFonts w:ascii="Times New Roman" w:hAnsi="Times New Roman" w:cs="Times New Roman"/>
          <w:i/>
          <w:sz w:val="24"/>
          <w:szCs w:val="24"/>
          <w:lang w:val="fr-BE"/>
        </w:rPr>
        <w:t xml:space="preserve">Identifiant National de Santé – Calculé </w:t>
      </w:r>
      <w:r w:rsidRPr="00D147A7">
        <w:rPr>
          <w:rFonts w:ascii="Times New Roman" w:hAnsi="Times New Roman" w:cs="Times New Roman"/>
          <w:sz w:val="24"/>
          <w:szCs w:val="24"/>
          <w:lang w:val="fr-BE"/>
        </w:rPr>
        <w:t>(INS-C)</w:t>
      </w:r>
      <w:r w:rsidR="00B540A4" w:rsidRPr="00D147A7">
        <w:rPr>
          <w:rFonts w:ascii="Times New Roman" w:hAnsi="Times New Roman" w:cs="Times New Roman"/>
          <w:sz w:val="24"/>
          <w:szCs w:val="24"/>
          <w:lang w:val="fr-BE"/>
        </w:rPr>
        <w:t>……...</w:t>
      </w:r>
      <w:r w:rsidR="00B540A4" w:rsidRPr="00D147A7">
        <w:rPr>
          <w:rFonts w:ascii="Times New Roman" w:hAnsi="Times New Roman" w:cs="Times New Roman"/>
          <w:sz w:val="24"/>
          <w:szCs w:val="24"/>
          <w:lang w:val="fr-BE"/>
        </w:rPr>
        <w:tab/>
        <w:t>14</w:t>
      </w:r>
      <w:r w:rsidR="00F22E91">
        <w:rPr>
          <w:rFonts w:ascii="Times New Roman" w:hAnsi="Times New Roman" w:cs="Times New Roman"/>
          <w:sz w:val="24"/>
          <w:szCs w:val="24"/>
          <w:lang w:val="fr-BE"/>
        </w:rPr>
        <w:t>8</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Figuur 16: enkele affiches die Franse burgers willen overtuigen van het nut en de veiligheid van het DMP (de zgn. </w:t>
      </w:r>
      <w:r w:rsidRPr="00D147A7">
        <w:rPr>
          <w:rFonts w:ascii="Times New Roman" w:hAnsi="Times New Roman" w:cs="Times New Roman"/>
          <w:i/>
          <w:sz w:val="24"/>
          <w:szCs w:val="24"/>
          <w:lang w:val="fr-BE"/>
        </w:rPr>
        <w:t>affiches «bénéfices»</w:t>
      </w:r>
      <w:r w:rsidRPr="00D147A7">
        <w:rPr>
          <w:rFonts w:ascii="Times New Roman" w:hAnsi="Times New Roman" w:cs="Times New Roman"/>
          <w:sz w:val="24"/>
          <w:szCs w:val="24"/>
          <w:lang w:val="fr-BE"/>
        </w:rPr>
        <w:t>, met de slogans ‘</w:t>
      </w:r>
      <w:r w:rsidRPr="00D147A7">
        <w:rPr>
          <w:rFonts w:ascii="Times New Roman" w:hAnsi="Times New Roman" w:cs="Times New Roman"/>
          <w:i/>
          <w:sz w:val="24"/>
          <w:szCs w:val="24"/>
          <w:lang w:val="fr-BE"/>
        </w:rPr>
        <w:t>Le Dossier Médical Personnel, un atout pour votre santé</w:t>
      </w:r>
      <w:r w:rsidRPr="00D147A7">
        <w:rPr>
          <w:rFonts w:ascii="Times New Roman" w:hAnsi="Times New Roman" w:cs="Times New Roman"/>
          <w:sz w:val="24"/>
          <w:szCs w:val="24"/>
          <w:lang w:val="fr-BE"/>
        </w:rPr>
        <w:t>’ en ‘</w:t>
      </w:r>
      <w:r w:rsidRPr="00D147A7">
        <w:rPr>
          <w:rFonts w:ascii="Times New Roman" w:hAnsi="Times New Roman" w:cs="Times New Roman"/>
          <w:i/>
          <w:sz w:val="24"/>
          <w:szCs w:val="24"/>
          <w:lang w:val="fr-BE"/>
        </w:rPr>
        <w:t>Le Dossier Médical Personnel, simple et sécurisé</w:t>
      </w:r>
      <w:r w:rsidRPr="00D147A7">
        <w:rPr>
          <w:rFonts w:ascii="Times New Roman" w:hAnsi="Times New Roman" w:cs="Times New Roman"/>
          <w:sz w:val="24"/>
          <w:szCs w:val="24"/>
          <w:lang w:val="fr-BE"/>
        </w:rPr>
        <w:t>’)</w:t>
      </w:r>
      <w:r w:rsidR="00F22E91">
        <w:rPr>
          <w:rFonts w:ascii="Times New Roman" w:hAnsi="Times New Roman" w:cs="Times New Roman"/>
          <w:sz w:val="24"/>
          <w:szCs w:val="24"/>
          <w:lang w:val="fr-BE"/>
        </w:rPr>
        <w:t>……..</w:t>
      </w:r>
      <w:r w:rsidR="00F22E91">
        <w:rPr>
          <w:rFonts w:ascii="Times New Roman" w:hAnsi="Times New Roman" w:cs="Times New Roman"/>
          <w:sz w:val="24"/>
          <w:szCs w:val="24"/>
          <w:lang w:val="fr-BE"/>
        </w:rPr>
        <w:tab/>
        <w:t>150</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Figuur 17: enkele affiches die Franse burgers willen aansporen om een DMP te laten aanma</w:t>
      </w:r>
      <w:r w:rsidR="004C7924">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ken (de zgn. </w:t>
      </w:r>
      <w:r w:rsidRPr="00D147A7">
        <w:rPr>
          <w:rFonts w:ascii="Times New Roman" w:hAnsi="Times New Roman" w:cs="Times New Roman"/>
          <w:i/>
          <w:sz w:val="24"/>
          <w:szCs w:val="24"/>
          <w:lang w:val="fr-BE"/>
        </w:rPr>
        <w:t>affiches «recrutement»</w:t>
      </w:r>
      <w:r w:rsidRPr="00D147A7">
        <w:rPr>
          <w:rFonts w:ascii="Times New Roman" w:hAnsi="Times New Roman" w:cs="Times New Roman"/>
          <w:sz w:val="24"/>
          <w:szCs w:val="24"/>
          <w:lang w:val="fr-BE"/>
        </w:rPr>
        <w:t xml:space="preserve"> met de slogan ‘</w:t>
      </w:r>
      <w:r w:rsidRPr="00D147A7">
        <w:rPr>
          <w:rFonts w:ascii="Times New Roman" w:hAnsi="Times New Roman" w:cs="Times New Roman"/>
          <w:i/>
          <w:sz w:val="24"/>
          <w:szCs w:val="24"/>
          <w:lang w:val="fr-BE"/>
        </w:rPr>
        <w:t>C’est le moment de créer votre [DMP] Dossier Médical Personnel</w:t>
      </w:r>
      <w:r w:rsidRPr="00D147A7">
        <w:rPr>
          <w:rFonts w:ascii="Times New Roman" w:hAnsi="Times New Roman" w:cs="Times New Roman"/>
          <w:sz w:val="24"/>
          <w:szCs w:val="24"/>
          <w:lang w:val="fr-BE"/>
        </w:rPr>
        <w:t>’)</w:t>
      </w:r>
      <w:r w:rsidR="00B540A4" w:rsidRPr="00D147A7">
        <w:rPr>
          <w:rFonts w:ascii="Times New Roman" w:hAnsi="Times New Roman" w:cs="Times New Roman"/>
          <w:sz w:val="24"/>
          <w:szCs w:val="24"/>
          <w:lang w:val="fr-BE"/>
        </w:rPr>
        <w:t>……………………………………………………</w:t>
      </w:r>
      <w:r w:rsidR="00F22E91">
        <w:rPr>
          <w:rFonts w:ascii="Times New Roman" w:hAnsi="Times New Roman" w:cs="Times New Roman"/>
          <w:sz w:val="24"/>
          <w:szCs w:val="24"/>
          <w:lang w:val="fr-BE"/>
        </w:rPr>
        <w:t>………...</w:t>
      </w:r>
      <w:r w:rsidR="00F22E91">
        <w:rPr>
          <w:rFonts w:ascii="Times New Roman" w:hAnsi="Times New Roman" w:cs="Times New Roman"/>
          <w:sz w:val="24"/>
          <w:szCs w:val="24"/>
          <w:lang w:val="fr-BE"/>
        </w:rPr>
        <w:tab/>
      </w:r>
      <w:r w:rsidR="00B540A4" w:rsidRPr="00D147A7">
        <w:rPr>
          <w:rFonts w:ascii="Times New Roman" w:hAnsi="Times New Roman" w:cs="Times New Roman"/>
          <w:sz w:val="24"/>
          <w:szCs w:val="24"/>
        </w:rPr>
        <w:t>1</w:t>
      </w:r>
      <w:r w:rsidR="00F22E91">
        <w:rPr>
          <w:rFonts w:ascii="Times New Roman" w:hAnsi="Times New Roman" w:cs="Times New Roman"/>
          <w:sz w:val="24"/>
          <w:szCs w:val="24"/>
        </w:rPr>
        <w:t>50</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Figuur 18: Organisatie van de </w:t>
      </w:r>
      <w:r w:rsidRPr="00D147A7">
        <w:rPr>
          <w:rFonts w:ascii="Times New Roman" w:hAnsi="Times New Roman" w:cs="Times New Roman"/>
          <w:i/>
          <w:sz w:val="24"/>
          <w:szCs w:val="24"/>
        </w:rPr>
        <w:t>Agences Régionales de Santé</w:t>
      </w:r>
      <w:r w:rsidRPr="00D147A7">
        <w:rPr>
          <w:rFonts w:ascii="Times New Roman" w:hAnsi="Times New Roman" w:cs="Times New Roman"/>
          <w:sz w:val="24"/>
          <w:szCs w:val="24"/>
        </w:rPr>
        <w:t xml:space="preserve"> (ASP)</w:t>
      </w:r>
      <w:r w:rsidR="00B540A4" w:rsidRPr="00D147A7">
        <w:rPr>
          <w:rFonts w:ascii="Times New Roman" w:hAnsi="Times New Roman" w:cs="Times New Roman"/>
          <w:sz w:val="24"/>
          <w:szCs w:val="24"/>
        </w:rPr>
        <w:t>……………………..</w:t>
      </w:r>
      <w:r w:rsidR="00F22E91">
        <w:rPr>
          <w:rFonts w:ascii="Times New Roman" w:hAnsi="Times New Roman" w:cs="Times New Roman"/>
          <w:sz w:val="24"/>
          <w:szCs w:val="24"/>
        </w:rPr>
        <w:t>.</w:t>
      </w:r>
      <w:r w:rsidR="00B540A4" w:rsidRPr="00D147A7">
        <w:rPr>
          <w:rFonts w:ascii="Times New Roman" w:hAnsi="Times New Roman" w:cs="Times New Roman"/>
          <w:sz w:val="24"/>
          <w:szCs w:val="24"/>
        </w:rPr>
        <w:tab/>
        <w:t>15</w:t>
      </w:r>
      <w:r w:rsidR="00F22E91">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19: Schematisch overzicht van toegang tot DMP</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16</w:t>
      </w:r>
      <w:r w:rsidR="00F22E91">
        <w:rPr>
          <w:rFonts w:ascii="Times New Roman" w:hAnsi="Times New Roman" w:cs="Times New Roman"/>
          <w:sz w:val="24"/>
          <w:szCs w:val="24"/>
        </w:rPr>
        <w:t>1</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Figuur 20: Overzicht van het systeem van het </w:t>
      </w:r>
      <w:r w:rsidRPr="00D147A7">
        <w:rPr>
          <w:rFonts w:ascii="Times New Roman" w:hAnsi="Times New Roman" w:cs="Times New Roman"/>
          <w:i/>
          <w:sz w:val="24"/>
          <w:szCs w:val="24"/>
        </w:rPr>
        <w:t>dossier médical personnel</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16</w:t>
      </w:r>
      <w:r w:rsidR="00F22E91">
        <w:rPr>
          <w:rFonts w:ascii="Times New Roman" w:hAnsi="Times New Roman" w:cs="Times New Roman"/>
          <w:sz w:val="24"/>
          <w:szCs w:val="24"/>
        </w:rPr>
        <w:t>6</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21: De ‘IBM 5150’</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25</w:t>
      </w:r>
      <w:r w:rsidR="00F22E91">
        <w:rPr>
          <w:rFonts w:ascii="Times New Roman" w:hAnsi="Times New Roman" w:cs="Times New Roman"/>
          <w:sz w:val="24"/>
          <w:szCs w:val="24"/>
        </w:rPr>
        <w:t>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22: De ‘gewone wetgevingsprocedure’ (COD) voor besluitvoering in de Europese Unie</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25</w:t>
      </w:r>
      <w:r w:rsidR="00F22E91">
        <w:rPr>
          <w:rFonts w:ascii="Times New Roman" w:hAnsi="Times New Roman" w:cs="Times New Roman"/>
          <w:sz w:val="24"/>
          <w:szCs w:val="24"/>
        </w:rPr>
        <w:t>6</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23: Schematische voorstelling van de selectietheorie van Schellenberg</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31</w:t>
      </w:r>
      <w:r w:rsidR="00F22E91">
        <w:rPr>
          <w:rFonts w:ascii="Times New Roman" w:hAnsi="Times New Roman" w:cs="Times New Roman"/>
          <w:sz w:val="24"/>
          <w:szCs w:val="24"/>
        </w:rPr>
        <w:t>0</w:t>
      </w:r>
    </w:p>
    <w:p w:rsidR="00F22E91" w:rsidRDefault="00F22E91"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w:t>
      </w:r>
      <w:r>
        <w:rPr>
          <w:rFonts w:ascii="Times New Roman" w:hAnsi="Times New Roman" w:cs="Times New Roman"/>
          <w:sz w:val="24"/>
          <w:szCs w:val="24"/>
        </w:rPr>
        <w:t>4</w:t>
      </w:r>
      <w:r w:rsidRPr="00D147A7">
        <w:rPr>
          <w:rFonts w:ascii="Times New Roman" w:hAnsi="Times New Roman" w:cs="Times New Roman"/>
          <w:sz w:val="24"/>
          <w:szCs w:val="24"/>
        </w:rPr>
        <w:t>: Mogelijkheden voor ziekenhuizen en zorgverleners als hun archieven vol zijn………………………………………………………………………………………...</w:t>
      </w:r>
      <w:r w:rsidRPr="00D147A7">
        <w:rPr>
          <w:rFonts w:ascii="Times New Roman" w:hAnsi="Times New Roman" w:cs="Times New Roman"/>
          <w:sz w:val="24"/>
          <w:szCs w:val="24"/>
        </w:rPr>
        <w:tab/>
        <w:t>3</w:t>
      </w:r>
      <w:r>
        <w:rPr>
          <w:rFonts w:ascii="Times New Roman" w:hAnsi="Times New Roman" w:cs="Times New Roman"/>
          <w:sz w:val="24"/>
          <w:szCs w:val="24"/>
        </w:rPr>
        <w:t>11</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w:t>
      </w:r>
      <w:r w:rsidR="00F22E91">
        <w:rPr>
          <w:rFonts w:ascii="Times New Roman" w:hAnsi="Times New Roman" w:cs="Times New Roman"/>
          <w:sz w:val="24"/>
          <w:szCs w:val="24"/>
        </w:rPr>
        <w:t>5</w:t>
      </w:r>
      <w:r w:rsidRPr="00D147A7">
        <w:rPr>
          <w:rFonts w:ascii="Times New Roman" w:hAnsi="Times New Roman" w:cs="Times New Roman"/>
          <w:sz w:val="24"/>
          <w:szCs w:val="24"/>
        </w:rPr>
        <w:t>: Aanvraagformulier tot machtiging van het Rijksarchief om archiefbescheiden te vernietigen</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3</w:t>
      </w:r>
      <w:r w:rsidR="00F22E91">
        <w:rPr>
          <w:rFonts w:ascii="Times New Roman" w:hAnsi="Times New Roman" w:cs="Times New Roman"/>
          <w:sz w:val="24"/>
          <w:szCs w:val="24"/>
        </w:rPr>
        <w:t>25</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Figuur 26: Ontslagbrief van Theodorus van Gogh (</w:t>
      </w:r>
      <w:r w:rsidRPr="00013CF2">
        <w:rPr>
          <w:rFonts w:ascii="Times New Roman" w:hAnsi="Times New Roman" w:cs="Times New Roman"/>
          <w:color w:val="222222"/>
          <w:sz w:val="24"/>
          <w:szCs w:val="24"/>
          <w:shd w:val="clear" w:color="auto" w:fill="FFFFFF"/>
        </w:rPr>
        <w:t>1 mei 1857 - 25 januari 1891</w:t>
      </w:r>
      <w:r w:rsidRPr="00013CF2">
        <w:rPr>
          <w:rFonts w:ascii="Times New Roman" w:hAnsi="Times New Roman" w:cs="Times New Roman"/>
          <w:sz w:val="24"/>
          <w:szCs w:val="24"/>
        </w:rPr>
        <w:t>)</w:t>
      </w:r>
      <w:r w:rsidR="00B540A4" w:rsidRPr="00013CF2">
        <w:rPr>
          <w:rFonts w:ascii="Times New Roman" w:hAnsi="Times New Roman" w:cs="Times New Roman"/>
          <w:sz w:val="24"/>
          <w:szCs w:val="24"/>
        </w:rPr>
        <w:t>………</w:t>
      </w:r>
      <w:r w:rsidR="00B540A4" w:rsidRPr="00013CF2">
        <w:rPr>
          <w:rFonts w:ascii="Times New Roman" w:hAnsi="Times New Roman" w:cs="Times New Roman"/>
          <w:sz w:val="24"/>
          <w:szCs w:val="24"/>
        </w:rPr>
        <w:tab/>
        <w:t>33</w:t>
      </w:r>
      <w:r w:rsidR="00F22E91">
        <w:rPr>
          <w:rFonts w:ascii="Times New Roman" w:hAnsi="Times New Roman" w:cs="Times New Roman"/>
          <w:sz w:val="24"/>
          <w:szCs w:val="24"/>
        </w:rPr>
        <w:t>3</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 xml:space="preserve">Figuur 27: Enquête ingevuld door </w:t>
      </w:r>
      <w:r w:rsidRPr="00013CF2">
        <w:rPr>
          <w:rFonts w:ascii="Times New Roman" w:hAnsi="Times New Roman" w:cs="Times New Roman"/>
          <w:color w:val="000000"/>
          <w:sz w:val="24"/>
          <w:szCs w:val="24"/>
        </w:rPr>
        <w:t>Johanna Gesina van Gogh-Bonger</w:t>
      </w:r>
      <w:r w:rsidRPr="00013CF2">
        <w:rPr>
          <w:rFonts w:ascii="Times New Roman" w:hAnsi="Times New Roman" w:cs="Times New Roman"/>
          <w:sz w:val="24"/>
          <w:szCs w:val="24"/>
        </w:rPr>
        <w:t xml:space="preserve">, de vrouw van Theo van Gogh, bij zijn opname in het </w:t>
      </w:r>
      <w:r w:rsidRPr="00013CF2">
        <w:rPr>
          <w:rFonts w:ascii="Times New Roman" w:hAnsi="Times New Roman" w:cs="Times New Roman"/>
          <w:color w:val="000000"/>
          <w:sz w:val="24"/>
          <w:szCs w:val="24"/>
        </w:rPr>
        <w:t>Geneeskundig Gesticht voor Krankzinnigen te Utrecht op 18 no</w:t>
      </w:r>
      <w:r w:rsidR="004C7924">
        <w:rPr>
          <w:rFonts w:ascii="Times New Roman" w:hAnsi="Times New Roman" w:cs="Times New Roman"/>
          <w:color w:val="000000"/>
          <w:sz w:val="24"/>
          <w:szCs w:val="24"/>
        </w:rPr>
        <w:t>-</w:t>
      </w:r>
      <w:r w:rsidRPr="00013CF2">
        <w:rPr>
          <w:rFonts w:ascii="Times New Roman" w:hAnsi="Times New Roman" w:cs="Times New Roman"/>
          <w:color w:val="000000"/>
          <w:sz w:val="24"/>
          <w:szCs w:val="24"/>
        </w:rPr>
        <w:t>vember 1890</w:t>
      </w:r>
      <w:r w:rsidR="00B540A4" w:rsidRPr="00013CF2">
        <w:rPr>
          <w:rFonts w:ascii="Times New Roman" w:hAnsi="Times New Roman" w:cs="Times New Roman"/>
          <w:color w:val="000000"/>
          <w:sz w:val="24"/>
          <w:szCs w:val="24"/>
        </w:rPr>
        <w:t>……………………………………………………………………………</w:t>
      </w:r>
      <w:r w:rsidR="00F22E91">
        <w:rPr>
          <w:rFonts w:ascii="Times New Roman" w:hAnsi="Times New Roman" w:cs="Times New Roman"/>
          <w:color w:val="000000"/>
          <w:sz w:val="24"/>
          <w:szCs w:val="24"/>
        </w:rPr>
        <w:t>…</w:t>
      </w:r>
      <w:r w:rsidR="00B540A4" w:rsidRPr="00013CF2">
        <w:rPr>
          <w:rFonts w:ascii="Times New Roman" w:hAnsi="Times New Roman" w:cs="Times New Roman"/>
          <w:color w:val="000000"/>
          <w:sz w:val="24"/>
          <w:szCs w:val="24"/>
        </w:rPr>
        <w:tab/>
        <w:t>33</w:t>
      </w:r>
      <w:r w:rsidR="00F22E91">
        <w:rPr>
          <w:rFonts w:ascii="Times New Roman" w:hAnsi="Times New Roman" w:cs="Times New Roman"/>
          <w:color w:val="000000"/>
          <w:sz w:val="24"/>
          <w:szCs w:val="24"/>
        </w:rPr>
        <w:t>4</w:t>
      </w:r>
    </w:p>
    <w:p w:rsidR="003E1E00" w:rsidRPr="00D147A7"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lastRenderedPageBreak/>
        <w:t xml:space="preserve">Figuur 28: Verwijsbrief van dokter Meuriot, </w:t>
      </w:r>
      <w:r w:rsidRPr="00013CF2">
        <w:rPr>
          <w:rFonts w:ascii="Times New Roman" w:hAnsi="Times New Roman" w:cs="Times New Roman"/>
          <w:color w:val="000000"/>
          <w:sz w:val="24"/>
          <w:szCs w:val="24"/>
        </w:rPr>
        <w:t xml:space="preserve">directeur van het </w:t>
      </w:r>
      <w:r w:rsidRPr="00013CF2">
        <w:rPr>
          <w:rFonts w:ascii="Times New Roman" w:hAnsi="Times New Roman" w:cs="Times New Roman"/>
          <w:i/>
          <w:color w:val="000000"/>
          <w:sz w:val="24"/>
          <w:szCs w:val="24"/>
        </w:rPr>
        <w:t>Maison de Santé de Passy</w:t>
      </w:r>
      <w:r w:rsidRPr="00013CF2">
        <w:rPr>
          <w:rFonts w:ascii="Times New Roman" w:hAnsi="Times New Roman" w:cs="Times New Roman"/>
          <w:color w:val="000000"/>
          <w:sz w:val="24"/>
          <w:szCs w:val="24"/>
        </w:rPr>
        <w:t xml:space="preserve"> te Parijs, aan dokter Moll van het Utrechts Geneeskundig Gesticht voor Krankzinnigen d.d. 16 november 1890</w:t>
      </w:r>
      <w:r w:rsidR="00B540A4" w:rsidRPr="00013CF2">
        <w:rPr>
          <w:rFonts w:ascii="Times New Roman" w:hAnsi="Times New Roman" w:cs="Times New Roman"/>
          <w:color w:val="000000"/>
          <w:sz w:val="24"/>
          <w:szCs w:val="24"/>
        </w:rPr>
        <w:t>…</w:t>
      </w:r>
      <w:r w:rsidR="00F22E91">
        <w:rPr>
          <w:rFonts w:ascii="Times New Roman" w:hAnsi="Times New Roman" w:cs="Times New Roman"/>
          <w:color w:val="000000"/>
          <w:sz w:val="24"/>
          <w:szCs w:val="24"/>
        </w:rPr>
        <w:t>…………………………………………………………………………</w:t>
      </w:r>
      <w:r w:rsidR="00F22E91">
        <w:rPr>
          <w:rFonts w:ascii="Times New Roman" w:hAnsi="Times New Roman" w:cs="Times New Roman"/>
          <w:color w:val="000000"/>
          <w:sz w:val="24"/>
          <w:szCs w:val="24"/>
        </w:rPr>
        <w:tab/>
        <w:t>336</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Figuur 29: Voorbeeld van een Franse overdrachtslijst voor patiëntendossiers</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34</w:t>
      </w:r>
      <w:r w:rsidR="00F22E91">
        <w:rPr>
          <w:rFonts w:ascii="Times New Roman" w:hAnsi="Times New Roman" w:cs="Times New Roman"/>
          <w:sz w:val="24"/>
          <w:szCs w:val="24"/>
        </w:rPr>
        <w:t>6</w:t>
      </w:r>
    </w:p>
    <w:p w:rsidR="00B540A4" w:rsidRPr="00D147A7" w:rsidRDefault="00B540A4" w:rsidP="003E1E00">
      <w:pPr>
        <w:pStyle w:val="Geenafstand"/>
        <w:jc w:val="both"/>
        <w:rPr>
          <w:rFonts w:ascii="Times New Roman" w:hAnsi="Times New Roman" w:cs="Times New Roman"/>
          <w:sz w:val="24"/>
          <w:szCs w:val="24"/>
        </w:rPr>
      </w:pPr>
    </w:p>
    <w:p w:rsidR="003E1E00" w:rsidRPr="00D147A7" w:rsidRDefault="003E1E00" w:rsidP="003E1E00">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 xml:space="preserve">Grafieken </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1: Het gebruik van eHealth-toepassingen in Belgische ziekenhuizen anno 2011</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2: Het gebruik van eHealth-toepassingen door Belgische huisartsen anno 2010</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3: Het gebruik van eHealth-toepassingen in Nederlandse ziekenhuizen in 2011</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4: Het gebruik van eHealth-toepassingen door Nederlandse huisartsen in 2010</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5: Het gebruik van eHealth-toepassingen in Franse ziekenhuizen anno 2011</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6: Het gebruik van eHealth-toepassingen door Franse huisartsen anno 2010</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F22E91">
        <w:rPr>
          <w:rFonts w:ascii="Times New Roman" w:hAnsi="Times New Roman" w:cs="Times New Roman"/>
          <w:sz w:val="24"/>
          <w:szCs w:val="24"/>
        </w:rPr>
        <w:t>93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Grafiek 7: Grafisch overzicht van de evolutie van het procentuele aandeel van de vier Franse ‘koploperregio’s’ in de creatie van </w:t>
      </w:r>
      <w:r w:rsidRPr="00D147A7">
        <w:rPr>
          <w:rFonts w:ascii="Times New Roman" w:hAnsi="Times New Roman" w:cs="Times New Roman"/>
          <w:i/>
          <w:sz w:val="24"/>
          <w:szCs w:val="24"/>
        </w:rPr>
        <w:t>dossiers médicaux personnelles</w:t>
      </w:r>
      <w:r w:rsidRPr="00D147A7">
        <w:rPr>
          <w:rFonts w:ascii="Times New Roman" w:hAnsi="Times New Roman" w:cs="Times New Roman"/>
          <w:sz w:val="24"/>
          <w:szCs w:val="24"/>
        </w:rPr>
        <w:t xml:space="preserve"> sinds de landelijke uitrol op 16 december 2010</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15</w:t>
      </w:r>
      <w:r w:rsidR="00F22E91">
        <w:rPr>
          <w:rFonts w:ascii="Times New Roman" w:hAnsi="Times New Roman" w:cs="Times New Roman"/>
          <w:sz w:val="24"/>
          <w:szCs w:val="24"/>
        </w:rPr>
        <w:t>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8: Rangschikking van Europese gezondheidzorgsystemen volgens de Euro Health Consumer Index (EHCI) in 2012</w:t>
      </w:r>
      <w:r w:rsidR="00B540A4" w:rsidRPr="00D147A7">
        <w:rPr>
          <w:rFonts w:ascii="Times New Roman" w:hAnsi="Times New Roman" w:cs="Times New Roman"/>
          <w:sz w:val="24"/>
          <w:szCs w:val="24"/>
        </w:rPr>
        <w:t>…………………………………………………………</w:t>
      </w:r>
      <w:r w:rsidR="00B540A4" w:rsidRPr="00D147A7">
        <w:rPr>
          <w:rFonts w:ascii="Times New Roman" w:hAnsi="Times New Roman" w:cs="Times New Roman"/>
          <w:sz w:val="24"/>
          <w:szCs w:val="24"/>
        </w:rPr>
        <w:tab/>
        <w:t>16</w:t>
      </w:r>
      <w:r w:rsidR="00F22E91">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9: Vergelijking van de bewaartermijnen van patiëntendossiers in 18 landen uit de Europese Unie, Noorwegen en Zwitserland</w:t>
      </w:r>
      <w:r w:rsidR="00B540A4" w:rsidRPr="00D147A7">
        <w:rPr>
          <w:rFonts w:ascii="Times New Roman" w:hAnsi="Times New Roman" w:cs="Times New Roman"/>
          <w:sz w:val="24"/>
          <w:szCs w:val="24"/>
        </w:rPr>
        <w:t>……………………………………………</w:t>
      </w:r>
      <w:r w:rsidR="0060172F" w:rsidRPr="00D147A7">
        <w:rPr>
          <w:rFonts w:ascii="Times New Roman" w:hAnsi="Times New Roman" w:cs="Times New Roman"/>
          <w:sz w:val="24"/>
          <w:szCs w:val="24"/>
        </w:rPr>
        <w:t>…</w:t>
      </w:r>
      <w:r w:rsidR="00B540A4" w:rsidRPr="00D147A7">
        <w:rPr>
          <w:rFonts w:ascii="Times New Roman" w:hAnsi="Times New Roman" w:cs="Times New Roman"/>
          <w:sz w:val="24"/>
          <w:szCs w:val="24"/>
        </w:rPr>
        <w:tab/>
      </w:r>
      <w:r w:rsidR="0060172F" w:rsidRPr="00D147A7">
        <w:rPr>
          <w:rFonts w:ascii="Times New Roman" w:hAnsi="Times New Roman" w:cs="Times New Roman"/>
          <w:sz w:val="24"/>
          <w:szCs w:val="24"/>
        </w:rPr>
        <w:t>200</w:t>
      </w:r>
    </w:p>
    <w:p w:rsidR="003E1E00" w:rsidRPr="00D147A7" w:rsidRDefault="003E1E00" w:rsidP="003E1E00">
      <w:pPr>
        <w:pStyle w:val="Geenafstand"/>
        <w:jc w:val="both"/>
        <w:rPr>
          <w:rFonts w:ascii="Times New Roman" w:hAnsi="Times New Roman" w:cs="Times New Roman"/>
          <w:noProof/>
          <w:sz w:val="24"/>
          <w:szCs w:val="24"/>
          <w:lang w:eastAsia="nl-BE"/>
        </w:rPr>
      </w:pPr>
      <w:r w:rsidRPr="00D147A7">
        <w:rPr>
          <w:rFonts w:ascii="Times New Roman" w:hAnsi="Times New Roman" w:cs="Times New Roman"/>
          <w:noProof/>
          <w:sz w:val="24"/>
          <w:szCs w:val="24"/>
          <w:lang w:eastAsia="nl-BE"/>
        </w:rPr>
        <w:t>Grafiek 10: Aantal strekkende meters die patiëntendossiers in beslag namen in een (groot) Nederlands academisch ziekenhuis (1981 – 1986)</w:t>
      </w:r>
      <w:r w:rsidR="00F22E91">
        <w:rPr>
          <w:rFonts w:ascii="Times New Roman" w:hAnsi="Times New Roman" w:cs="Times New Roman"/>
          <w:noProof/>
          <w:sz w:val="24"/>
          <w:szCs w:val="24"/>
          <w:lang w:eastAsia="nl-BE"/>
        </w:rPr>
        <w:t>……………………………………….</w:t>
      </w:r>
      <w:r w:rsidR="00F22E91">
        <w:rPr>
          <w:rFonts w:ascii="Times New Roman" w:hAnsi="Times New Roman" w:cs="Times New Roman"/>
          <w:noProof/>
          <w:sz w:val="24"/>
          <w:szCs w:val="24"/>
          <w:lang w:eastAsia="nl-BE"/>
        </w:rPr>
        <w:tab/>
        <w:t>3</w:t>
      </w:r>
      <w:r w:rsidR="0060172F" w:rsidRPr="00D147A7">
        <w:rPr>
          <w:rFonts w:ascii="Times New Roman" w:hAnsi="Times New Roman" w:cs="Times New Roman"/>
          <w:noProof/>
          <w:sz w:val="24"/>
          <w:szCs w:val="24"/>
          <w:lang w:eastAsia="nl-BE"/>
        </w:rPr>
        <w:t>0</w:t>
      </w:r>
      <w:r w:rsidR="00F22E91">
        <w:rPr>
          <w:rFonts w:ascii="Times New Roman" w:hAnsi="Times New Roman" w:cs="Times New Roman"/>
          <w:noProof/>
          <w:sz w:val="24"/>
          <w:szCs w:val="24"/>
          <w:lang w:eastAsia="nl-BE"/>
        </w:rPr>
        <w:t>8</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11: Evolutie van de omvang van enkele patiëntendossiers in een (groot) Nederlands academisch ziekenhuis (1960 – 1990)</w:t>
      </w:r>
      <w:r w:rsidR="00B14C13">
        <w:rPr>
          <w:rFonts w:ascii="Times New Roman" w:hAnsi="Times New Roman" w:cs="Times New Roman"/>
          <w:sz w:val="24"/>
          <w:szCs w:val="24"/>
        </w:rPr>
        <w:t>…………………………………………………….</w:t>
      </w:r>
      <w:r w:rsidR="00B14C13">
        <w:rPr>
          <w:rFonts w:ascii="Times New Roman" w:hAnsi="Times New Roman" w:cs="Times New Roman"/>
          <w:sz w:val="24"/>
          <w:szCs w:val="24"/>
        </w:rPr>
        <w:tab/>
        <w:t>3</w:t>
      </w:r>
      <w:r w:rsidR="0060172F" w:rsidRPr="00D147A7">
        <w:rPr>
          <w:rFonts w:ascii="Times New Roman" w:hAnsi="Times New Roman" w:cs="Times New Roman"/>
          <w:sz w:val="24"/>
          <w:szCs w:val="24"/>
        </w:rPr>
        <w:t>0</w:t>
      </w:r>
      <w:r w:rsidR="00B14C13">
        <w:rPr>
          <w:rFonts w:ascii="Times New Roman" w:hAnsi="Times New Roman" w:cs="Times New Roman"/>
          <w:sz w:val="24"/>
          <w:szCs w:val="24"/>
        </w:rPr>
        <w:t>8</w:t>
      </w:r>
    </w:p>
    <w:p w:rsidR="003E1E00" w:rsidRPr="00D147A7" w:rsidRDefault="003E1E00" w:rsidP="003E1E00">
      <w:pPr>
        <w:pStyle w:val="Geenafstand"/>
        <w:jc w:val="both"/>
        <w:rPr>
          <w:rStyle w:val="Nadruk"/>
          <w:rFonts w:ascii="Times New Roman" w:hAnsi="Times New Roman" w:cs="Times New Roman"/>
          <w:i w:val="0"/>
          <w:sz w:val="24"/>
          <w:szCs w:val="24"/>
        </w:rPr>
      </w:pPr>
      <w:r w:rsidRPr="00D147A7">
        <w:rPr>
          <w:rStyle w:val="Nadruk"/>
          <w:rFonts w:ascii="Times New Roman" w:hAnsi="Times New Roman" w:cs="Times New Roman"/>
          <w:i w:val="0"/>
          <w:sz w:val="24"/>
          <w:szCs w:val="24"/>
        </w:rPr>
        <w:t>Grafiek 12: De verschillende soorten ziekenhuizen in België op 1 januari 2012</w:t>
      </w:r>
      <w:r w:rsidR="00B14C13">
        <w:rPr>
          <w:rStyle w:val="Nadruk"/>
          <w:rFonts w:ascii="Times New Roman" w:hAnsi="Times New Roman" w:cs="Times New Roman"/>
          <w:i w:val="0"/>
          <w:sz w:val="24"/>
          <w:szCs w:val="24"/>
        </w:rPr>
        <w:t>………...</w:t>
      </w:r>
      <w:r w:rsidR="0060172F" w:rsidRPr="00B14C13">
        <w:rPr>
          <w:rStyle w:val="Nadruk"/>
          <w:rFonts w:ascii="Times New Roman" w:hAnsi="Times New Roman" w:cs="Times New Roman"/>
          <w:i w:val="0"/>
          <w:sz w:val="24"/>
          <w:szCs w:val="24"/>
        </w:rPr>
        <w:tab/>
        <w:t>31</w:t>
      </w:r>
      <w:r w:rsidR="00B14C13" w:rsidRPr="00B14C13">
        <w:rPr>
          <w:rStyle w:val="Nadruk"/>
          <w:rFonts w:ascii="Times New Roman" w:hAnsi="Times New Roman" w:cs="Times New Roman"/>
          <w:i w:val="0"/>
          <w:sz w:val="24"/>
          <w:szCs w:val="24"/>
        </w:rPr>
        <w:t>6</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13: Het aandeel van privaat- en publiekrechtelijke ziekenhuizen in België op 1 januari 2012</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t>31</w:t>
      </w:r>
      <w:r w:rsidR="00B14C13">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Grafiek 14: Capaciteit van Nederlandse ziekenhuizen</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t>3</w:t>
      </w:r>
      <w:r w:rsidR="00B14C13">
        <w:rPr>
          <w:rFonts w:ascii="Times New Roman" w:hAnsi="Times New Roman" w:cs="Times New Roman"/>
          <w:sz w:val="24"/>
          <w:szCs w:val="24"/>
        </w:rPr>
        <w:t>28</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Kaarten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Kaart 1: Grafische weergave van de ziekenhuizen die in 2010 bij de vijf regionale hubs aan</w:t>
      </w:r>
      <w:r w:rsidR="004C7924">
        <w:rPr>
          <w:rFonts w:ascii="Times New Roman" w:hAnsi="Times New Roman" w:cs="Times New Roman"/>
          <w:sz w:val="24"/>
          <w:szCs w:val="24"/>
        </w:rPr>
        <w:t>-</w:t>
      </w:r>
      <w:r w:rsidRPr="00D147A7">
        <w:rPr>
          <w:rFonts w:ascii="Times New Roman" w:hAnsi="Times New Roman" w:cs="Times New Roman"/>
          <w:sz w:val="24"/>
          <w:szCs w:val="24"/>
        </w:rPr>
        <w:t>gesloten waren</w:t>
      </w:r>
      <w:r w:rsidR="0060172F" w:rsidRPr="00D147A7">
        <w:rPr>
          <w:rFonts w:ascii="Times New Roman" w:hAnsi="Times New Roman" w:cs="Times New Roman"/>
          <w:sz w:val="24"/>
          <w:szCs w:val="24"/>
        </w:rPr>
        <w:t>………………………………………………………………………...</w:t>
      </w:r>
      <w:r w:rsidR="00B14C13">
        <w:rPr>
          <w:rFonts w:ascii="Times New Roman" w:hAnsi="Times New Roman" w:cs="Times New Roman"/>
          <w:sz w:val="24"/>
          <w:szCs w:val="24"/>
        </w:rPr>
        <w:t>......</w:t>
      </w:r>
      <w:r w:rsidR="0060172F" w:rsidRPr="00D147A7">
        <w:rPr>
          <w:rFonts w:ascii="Times New Roman" w:hAnsi="Times New Roman" w:cs="Times New Roman"/>
          <w:sz w:val="24"/>
          <w:szCs w:val="24"/>
        </w:rPr>
        <w:tab/>
        <w:t>10</w:t>
      </w:r>
      <w:r w:rsidR="00B14C13">
        <w:rPr>
          <w:rFonts w:ascii="Times New Roman" w:hAnsi="Times New Roman" w:cs="Times New Roman"/>
          <w:sz w:val="24"/>
          <w:szCs w:val="24"/>
        </w:rPr>
        <w:t>5</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Kaart 2: Vijftien voorbeelden van regio-indelingen voor de gezondheidszorg in Neder</w:t>
      </w:r>
      <w:r w:rsidR="004C7924">
        <w:rPr>
          <w:rFonts w:ascii="Times New Roman" w:hAnsi="Times New Roman" w:cs="Times New Roman"/>
          <w:sz w:val="24"/>
          <w:szCs w:val="24"/>
        </w:rPr>
        <w:t>-</w:t>
      </w:r>
      <w:r w:rsidRPr="00D147A7">
        <w:rPr>
          <w:rFonts w:ascii="Times New Roman" w:hAnsi="Times New Roman" w:cs="Times New Roman"/>
          <w:sz w:val="24"/>
          <w:szCs w:val="24"/>
        </w:rPr>
        <w:t>land</w:t>
      </w:r>
      <w:r w:rsidR="0060172F" w:rsidRPr="00D147A7">
        <w:rPr>
          <w:rFonts w:ascii="Times New Roman" w:hAnsi="Times New Roman" w:cs="Times New Roman"/>
          <w:sz w:val="24"/>
          <w:szCs w:val="24"/>
        </w:rPr>
        <w:t>…………………………………………………………………………………</w:t>
      </w:r>
      <w:r w:rsidR="00B14C13">
        <w:rPr>
          <w:rFonts w:ascii="Times New Roman" w:hAnsi="Times New Roman" w:cs="Times New Roman"/>
          <w:sz w:val="24"/>
          <w:szCs w:val="24"/>
        </w:rPr>
        <w:t>……..</w:t>
      </w:r>
      <w:r w:rsidR="0060172F" w:rsidRPr="00D147A7">
        <w:rPr>
          <w:rFonts w:ascii="Times New Roman" w:hAnsi="Times New Roman" w:cs="Times New Roman"/>
          <w:sz w:val="24"/>
          <w:szCs w:val="24"/>
        </w:rPr>
        <w:tab/>
        <w:t>13</w:t>
      </w:r>
      <w:r w:rsidR="00B14C13">
        <w:rPr>
          <w:rFonts w:ascii="Times New Roman" w:hAnsi="Times New Roman" w:cs="Times New Roman"/>
          <w:sz w:val="24"/>
          <w:szCs w:val="24"/>
        </w:rPr>
        <w:t>8</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Kaart 3: grafische voorstelling van de geografische verspreiding van het totaal aantal </w:t>
      </w:r>
      <w:r w:rsidRPr="00D147A7">
        <w:rPr>
          <w:rFonts w:ascii="Times New Roman" w:hAnsi="Times New Roman" w:cs="Times New Roman"/>
          <w:i/>
          <w:sz w:val="24"/>
          <w:szCs w:val="24"/>
        </w:rPr>
        <w:t>dossiers médicaux personnelles</w:t>
      </w:r>
      <w:r w:rsidRPr="00D147A7">
        <w:rPr>
          <w:rFonts w:ascii="Times New Roman" w:hAnsi="Times New Roman" w:cs="Times New Roman"/>
          <w:sz w:val="24"/>
          <w:szCs w:val="24"/>
        </w:rPr>
        <w:t xml:space="preserve"> in de Franse regio’s op 30 april 2012</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t>15</w:t>
      </w:r>
      <w:r w:rsidR="00B14C13">
        <w:rPr>
          <w:rFonts w:ascii="Times New Roman" w:hAnsi="Times New Roman" w:cs="Times New Roman"/>
          <w:sz w:val="24"/>
          <w:szCs w:val="24"/>
        </w:rPr>
        <w:t>3</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Kaart 4: Geografische spreiding van de acht Universitaire Medische Centra in Neder</w:t>
      </w:r>
      <w:r w:rsidR="004C7924">
        <w:rPr>
          <w:rFonts w:ascii="Times New Roman" w:hAnsi="Times New Roman" w:cs="Times New Roman"/>
          <w:sz w:val="24"/>
          <w:szCs w:val="24"/>
        </w:rPr>
        <w:t>-</w:t>
      </w:r>
      <w:r w:rsidRPr="00D147A7">
        <w:rPr>
          <w:rFonts w:ascii="Times New Roman" w:hAnsi="Times New Roman" w:cs="Times New Roman"/>
          <w:sz w:val="24"/>
          <w:szCs w:val="24"/>
        </w:rPr>
        <w:t>land</w:t>
      </w:r>
      <w:r w:rsidR="0060172F" w:rsidRPr="00D147A7">
        <w:rPr>
          <w:rFonts w:ascii="Times New Roman" w:hAnsi="Times New Roman" w:cs="Times New Roman"/>
          <w:sz w:val="24"/>
          <w:szCs w:val="24"/>
        </w:rPr>
        <w:t>…………………………………………………………………………………</w:t>
      </w:r>
      <w:r w:rsidR="00B14C13">
        <w:rPr>
          <w:rFonts w:ascii="Times New Roman" w:hAnsi="Times New Roman" w:cs="Times New Roman"/>
          <w:sz w:val="24"/>
          <w:szCs w:val="24"/>
        </w:rPr>
        <w:t>……..</w:t>
      </w:r>
      <w:r w:rsidR="0060172F" w:rsidRPr="00D147A7">
        <w:rPr>
          <w:rFonts w:ascii="Times New Roman" w:hAnsi="Times New Roman" w:cs="Times New Roman"/>
          <w:sz w:val="24"/>
          <w:szCs w:val="24"/>
        </w:rPr>
        <w:tab/>
        <w:t>3</w:t>
      </w:r>
      <w:r w:rsidR="00B14C13">
        <w:rPr>
          <w:rFonts w:ascii="Times New Roman" w:hAnsi="Times New Roman" w:cs="Times New Roman"/>
          <w:sz w:val="24"/>
          <w:szCs w:val="24"/>
        </w:rPr>
        <w:t>28</w:t>
      </w:r>
    </w:p>
    <w:p w:rsidR="003E1E00" w:rsidRPr="00D147A7" w:rsidRDefault="003E1E00" w:rsidP="003E1E00">
      <w:pPr>
        <w:pStyle w:val="Geenafstand"/>
        <w:rPr>
          <w:rFonts w:ascii="Times New Roman" w:hAnsi="Times New Roman" w:cs="Times New Roman"/>
          <w:sz w:val="24"/>
          <w:szCs w:val="24"/>
        </w:rPr>
      </w:pPr>
    </w:p>
    <w:p w:rsidR="003E1E00" w:rsidRPr="00D147A7" w:rsidRDefault="003E1E00" w:rsidP="003E1E00">
      <w:pPr>
        <w:pStyle w:val="Geenafstand"/>
        <w:ind w:firstLine="708"/>
        <w:jc w:val="both"/>
        <w:rPr>
          <w:rFonts w:ascii="Times New Roman" w:hAnsi="Times New Roman" w:cs="Times New Roman"/>
          <w:smallCaps/>
          <w:sz w:val="24"/>
          <w:szCs w:val="24"/>
        </w:rPr>
      </w:pPr>
      <w:r w:rsidRPr="00D147A7">
        <w:rPr>
          <w:rFonts w:ascii="Times New Roman" w:hAnsi="Times New Roman" w:cs="Times New Roman"/>
          <w:smallCaps/>
          <w:sz w:val="24"/>
          <w:szCs w:val="24"/>
        </w:rPr>
        <w:t>Tabellen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Tabel 1: Voor- en nadelen van elektronische patiëntendossiers</w:t>
      </w:r>
      <w:r w:rsidR="00B14C13">
        <w:rPr>
          <w:rFonts w:ascii="Times New Roman" w:hAnsi="Times New Roman" w:cs="Times New Roman"/>
          <w:sz w:val="24"/>
          <w:szCs w:val="24"/>
        </w:rPr>
        <w:t>………………………….</w:t>
      </w:r>
      <w:r w:rsidR="00B14C13">
        <w:rPr>
          <w:rFonts w:ascii="Times New Roman" w:hAnsi="Times New Roman" w:cs="Times New Roman"/>
          <w:sz w:val="24"/>
          <w:szCs w:val="24"/>
        </w:rPr>
        <w:tab/>
        <w:t>48</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Tabel 2: Door het eHealth-platform erkende semantische en technische interoperabiliteits</w:t>
      </w:r>
      <w:r w:rsidR="0060172F" w:rsidRPr="00D147A7">
        <w:rPr>
          <w:rFonts w:ascii="Times New Roman" w:hAnsi="Times New Roman" w:cs="Times New Roman"/>
          <w:sz w:val="24"/>
          <w:szCs w:val="24"/>
        </w:rPr>
        <w:t>-</w:t>
      </w:r>
      <w:r w:rsidRPr="00D147A7">
        <w:rPr>
          <w:rFonts w:ascii="Times New Roman" w:hAnsi="Times New Roman" w:cs="Times New Roman"/>
          <w:sz w:val="24"/>
          <w:szCs w:val="24"/>
        </w:rPr>
        <w:t>standaarden</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r>
      <w:r w:rsidR="00B14C13">
        <w:rPr>
          <w:rFonts w:ascii="Times New Roman" w:hAnsi="Times New Roman" w:cs="Times New Roman"/>
          <w:sz w:val="24"/>
          <w:szCs w:val="24"/>
        </w:rPr>
        <w:t>102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Tabel 3: Medische software die aan de vastgelegde ICT-gerelateerde normen, standaarden en specificaties van het eHealth-platform voldoen in 2012 en 2013</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r>
      <w:r w:rsidR="00B14C13">
        <w:rPr>
          <w:rFonts w:ascii="Times New Roman" w:hAnsi="Times New Roman" w:cs="Times New Roman"/>
          <w:sz w:val="24"/>
          <w:szCs w:val="24"/>
        </w:rPr>
        <w:t>103</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4: Uitgebreide informatie over de ziekenhuizen die in 2010 bij de vijf regionale hubs aangesloten waren</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10</w:t>
      </w:r>
      <w:r w:rsidR="00B14C13">
        <w:rPr>
          <w:rFonts w:ascii="Times New Roman" w:hAnsi="Times New Roman" w:cs="Times New Roman"/>
          <w:sz w:val="24"/>
          <w:szCs w:val="24"/>
        </w:rPr>
        <w:t>6</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lastRenderedPageBreak/>
        <w:t>Tabel 5: Verschillen tussen het operationeel en beleidsondersteunend platform, de onderdelen van het platform voor gezondheids- en welzijnsinformatie van de Vlaamse Gemeen</w:t>
      </w:r>
      <w:r w:rsidR="004C7924">
        <w:rPr>
          <w:rFonts w:ascii="Times New Roman" w:hAnsi="Times New Roman" w:cs="Times New Roman"/>
          <w:sz w:val="24"/>
          <w:szCs w:val="24"/>
        </w:rPr>
        <w:t>-</w:t>
      </w:r>
      <w:r w:rsidRPr="00013CF2">
        <w:rPr>
          <w:rFonts w:ascii="Times New Roman" w:hAnsi="Times New Roman" w:cs="Times New Roman"/>
          <w:sz w:val="24"/>
          <w:szCs w:val="24"/>
        </w:rPr>
        <w:t>schap</w:t>
      </w:r>
      <w:r w:rsidR="0060172F" w:rsidRPr="00013CF2">
        <w:rPr>
          <w:rFonts w:ascii="Times New Roman" w:hAnsi="Times New Roman" w:cs="Times New Roman"/>
          <w:sz w:val="24"/>
          <w:szCs w:val="24"/>
        </w:rPr>
        <w:t>……………………………………………………………………………...</w:t>
      </w:r>
      <w:r w:rsidR="00B14C13">
        <w:rPr>
          <w:rFonts w:ascii="Times New Roman" w:hAnsi="Times New Roman" w:cs="Times New Roman"/>
          <w:sz w:val="24"/>
          <w:szCs w:val="24"/>
        </w:rPr>
        <w:t>.............</w:t>
      </w:r>
      <w:r w:rsidR="0060172F" w:rsidRPr="00013CF2">
        <w:rPr>
          <w:rFonts w:ascii="Times New Roman" w:hAnsi="Times New Roman" w:cs="Times New Roman"/>
          <w:sz w:val="24"/>
          <w:szCs w:val="24"/>
        </w:rPr>
        <w:tab/>
        <w:t>12</w:t>
      </w:r>
      <w:r w:rsidR="00B14C13">
        <w:rPr>
          <w:rFonts w:ascii="Times New Roman" w:hAnsi="Times New Roman" w:cs="Times New Roman"/>
          <w:sz w:val="24"/>
          <w:szCs w:val="24"/>
        </w:rPr>
        <w:t>4</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6: Minimale inhoud van een kerndossier volgens de Belgische standaard SumEHR</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12</w:t>
      </w:r>
      <w:r w:rsidR="00B14C13">
        <w:rPr>
          <w:rFonts w:ascii="Times New Roman" w:hAnsi="Times New Roman" w:cs="Times New Roman"/>
          <w:sz w:val="24"/>
          <w:szCs w:val="24"/>
        </w:rPr>
        <w:t>6</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7: Voorbeeld van een conversietabel</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14</w:t>
      </w:r>
      <w:r w:rsidR="00B14C13">
        <w:rPr>
          <w:rFonts w:ascii="Times New Roman" w:hAnsi="Times New Roman" w:cs="Times New Roman"/>
          <w:sz w:val="24"/>
          <w:szCs w:val="24"/>
        </w:rPr>
        <w:t>3</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8: Gedetailleerd overzicht van de evolutie van het aandeel van de vier Franse ‘kop</w:t>
      </w:r>
      <w:r w:rsidR="004C7924">
        <w:rPr>
          <w:rFonts w:ascii="Times New Roman" w:hAnsi="Times New Roman" w:cs="Times New Roman"/>
          <w:sz w:val="24"/>
          <w:szCs w:val="24"/>
        </w:rPr>
        <w:t>-</w:t>
      </w:r>
      <w:r w:rsidRPr="00013CF2">
        <w:rPr>
          <w:rFonts w:ascii="Times New Roman" w:hAnsi="Times New Roman" w:cs="Times New Roman"/>
          <w:sz w:val="24"/>
          <w:szCs w:val="24"/>
        </w:rPr>
        <w:t xml:space="preserve">loperregio’s’ in de creatie van </w:t>
      </w:r>
      <w:r w:rsidRPr="00013CF2">
        <w:rPr>
          <w:rFonts w:ascii="Times New Roman" w:hAnsi="Times New Roman" w:cs="Times New Roman"/>
          <w:i/>
          <w:sz w:val="24"/>
          <w:szCs w:val="24"/>
        </w:rPr>
        <w:t>dossiers médicaux personnelles</w:t>
      </w:r>
      <w:r w:rsidRPr="00013CF2">
        <w:rPr>
          <w:rFonts w:ascii="Times New Roman" w:hAnsi="Times New Roman" w:cs="Times New Roman"/>
          <w:sz w:val="24"/>
          <w:szCs w:val="24"/>
        </w:rPr>
        <w:t xml:space="preserve"> sinds de landelijke uitrol op 16 december 2010</w:t>
      </w:r>
      <w:r w:rsidR="0060172F" w:rsidRPr="00013CF2">
        <w:rPr>
          <w:rFonts w:ascii="Times New Roman" w:hAnsi="Times New Roman" w:cs="Times New Roman"/>
          <w:sz w:val="24"/>
          <w:szCs w:val="24"/>
        </w:rPr>
        <w:t>……………………………………………………………………...</w:t>
      </w:r>
      <w:r w:rsidR="00B14C13">
        <w:rPr>
          <w:rFonts w:ascii="Times New Roman" w:hAnsi="Times New Roman" w:cs="Times New Roman"/>
          <w:sz w:val="24"/>
          <w:szCs w:val="24"/>
        </w:rPr>
        <w:t>..........</w:t>
      </w:r>
      <w:r w:rsidR="0060172F" w:rsidRPr="00013CF2">
        <w:rPr>
          <w:rFonts w:ascii="Times New Roman" w:hAnsi="Times New Roman" w:cs="Times New Roman"/>
          <w:sz w:val="24"/>
          <w:szCs w:val="24"/>
        </w:rPr>
        <w:tab/>
        <w:t>15</w:t>
      </w:r>
      <w:r w:rsidR="00B14C13">
        <w:rPr>
          <w:rFonts w:ascii="Times New Roman" w:hAnsi="Times New Roman" w:cs="Times New Roman"/>
          <w:sz w:val="24"/>
          <w:szCs w:val="24"/>
        </w:rPr>
        <w:t>2</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 xml:space="preserve">Tabel 9: </w:t>
      </w:r>
      <w:r w:rsidR="00483505" w:rsidRPr="00013CF2">
        <w:rPr>
          <w:rFonts w:ascii="Times New Roman" w:hAnsi="Times New Roman" w:cs="Times New Roman"/>
          <w:sz w:val="24"/>
          <w:szCs w:val="24"/>
        </w:rPr>
        <w:t>G</w:t>
      </w:r>
      <w:r w:rsidRPr="00013CF2">
        <w:rPr>
          <w:rFonts w:ascii="Times New Roman" w:hAnsi="Times New Roman" w:cs="Times New Roman"/>
          <w:sz w:val="24"/>
          <w:szCs w:val="24"/>
        </w:rPr>
        <w:t xml:space="preserve">edetailleerd overzicht van de geografische verspreiding van het totaal aantal </w:t>
      </w:r>
      <w:r w:rsidRPr="00013CF2">
        <w:rPr>
          <w:rFonts w:ascii="Times New Roman" w:hAnsi="Times New Roman" w:cs="Times New Roman"/>
          <w:i/>
          <w:sz w:val="24"/>
          <w:szCs w:val="24"/>
        </w:rPr>
        <w:t>dos</w:t>
      </w:r>
      <w:r w:rsidR="004C7924">
        <w:rPr>
          <w:rFonts w:ascii="Times New Roman" w:hAnsi="Times New Roman" w:cs="Times New Roman"/>
          <w:i/>
          <w:sz w:val="24"/>
          <w:szCs w:val="24"/>
        </w:rPr>
        <w:t>-</w:t>
      </w:r>
      <w:r w:rsidRPr="00013CF2">
        <w:rPr>
          <w:rFonts w:ascii="Times New Roman" w:hAnsi="Times New Roman" w:cs="Times New Roman"/>
          <w:i/>
          <w:sz w:val="24"/>
          <w:szCs w:val="24"/>
        </w:rPr>
        <w:t xml:space="preserve">siers médicaux personnelles </w:t>
      </w:r>
      <w:r w:rsidRPr="00013CF2">
        <w:rPr>
          <w:rFonts w:ascii="Times New Roman" w:hAnsi="Times New Roman" w:cs="Times New Roman"/>
          <w:sz w:val="24"/>
          <w:szCs w:val="24"/>
        </w:rPr>
        <w:t>in de Franse regio’s op 30 april 2012</w:t>
      </w:r>
      <w:r w:rsidR="0060172F" w:rsidRPr="00013CF2">
        <w:rPr>
          <w:rFonts w:ascii="Times New Roman" w:hAnsi="Times New Roman" w:cs="Times New Roman"/>
          <w:sz w:val="24"/>
          <w:szCs w:val="24"/>
        </w:rPr>
        <w:t>…………………</w:t>
      </w:r>
      <w:r w:rsidR="00B14C13">
        <w:rPr>
          <w:rFonts w:ascii="Times New Roman" w:hAnsi="Times New Roman" w:cs="Times New Roman"/>
          <w:sz w:val="24"/>
          <w:szCs w:val="24"/>
        </w:rPr>
        <w:t>……</w:t>
      </w:r>
      <w:r w:rsidR="0060172F" w:rsidRPr="00013CF2">
        <w:rPr>
          <w:rFonts w:ascii="Times New Roman" w:hAnsi="Times New Roman" w:cs="Times New Roman"/>
          <w:sz w:val="24"/>
          <w:szCs w:val="24"/>
        </w:rPr>
        <w:tab/>
        <w:t>15</w:t>
      </w:r>
      <w:r w:rsidR="00B14C13">
        <w:rPr>
          <w:rFonts w:ascii="Times New Roman" w:hAnsi="Times New Roman" w:cs="Times New Roman"/>
          <w:sz w:val="24"/>
          <w:szCs w:val="24"/>
        </w:rPr>
        <w:t>4</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10: DMP-activiteit per regio, maart 2012</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15</w:t>
      </w:r>
      <w:r w:rsidR="00B14C13">
        <w:rPr>
          <w:rFonts w:ascii="Times New Roman" w:hAnsi="Times New Roman" w:cs="Times New Roman"/>
          <w:sz w:val="24"/>
          <w:szCs w:val="24"/>
        </w:rPr>
        <w:t>5</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11: actoren die met DMP werken in maart 2012</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15</w:t>
      </w:r>
      <w:r w:rsidR="00B14C13">
        <w:rPr>
          <w:rFonts w:ascii="Times New Roman" w:hAnsi="Times New Roman" w:cs="Times New Roman"/>
          <w:sz w:val="24"/>
          <w:szCs w:val="24"/>
        </w:rPr>
        <w:t>6</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 xml:space="preserve">Tabel 12: Lijst van compatibele software met het </w:t>
      </w:r>
      <w:r w:rsidRPr="00013CF2">
        <w:rPr>
          <w:rFonts w:ascii="Times New Roman" w:hAnsi="Times New Roman" w:cs="Times New Roman"/>
          <w:i/>
          <w:sz w:val="24"/>
          <w:szCs w:val="24"/>
        </w:rPr>
        <w:t>dossier médical personnel</w:t>
      </w:r>
      <w:r w:rsidRPr="00013CF2">
        <w:rPr>
          <w:rFonts w:ascii="Times New Roman" w:hAnsi="Times New Roman" w:cs="Times New Roman"/>
          <w:sz w:val="24"/>
          <w:szCs w:val="24"/>
        </w:rPr>
        <w:t xml:space="preserve"> op 22 mei 2012</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16</w:t>
      </w:r>
      <w:r w:rsidR="00B14C13">
        <w:rPr>
          <w:rFonts w:ascii="Times New Roman" w:hAnsi="Times New Roman" w:cs="Times New Roman"/>
          <w:sz w:val="24"/>
          <w:szCs w:val="24"/>
        </w:rPr>
        <w:t>1</w:t>
      </w:r>
    </w:p>
    <w:p w:rsidR="003E1E00" w:rsidRPr="00013CF2" w:rsidRDefault="003E1E00" w:rsidP="003E1E00">
      <w:pPr>
        <w:pStyle w:val="Geenafstand"/>
        <w:jc w:val="both"/>
        <w:rPr>
          <w:rFonts w:ascii="Times New Roman" w:hAnsi="Times New Roman" w:cs="Times New Roman"/>
          <w:kern w:val="1"/>
          <w:sz w:val="24"/>
          <w:szCs w:val="24"/>
          <w:lang w:eastAsia="hi-IN" w:bidi="hi-IN"/>
        </w:rPr>
      </w:pPr>
      <w:r w:rsidRPr="00013CF2">
        <w:rPr>
          <w:rFonts w:ascii="Times New Roman" w:hAnsi="Times New Roman" w:cs="Times New Roman"/>
          <w:kern w:val="1"/>
          <w:sz w:val="24"/>
          <w:szCs w:val="24"/>
          <w:lang w:eastAsia="hi-IN" w:bidi="hi-IN"/>
        </w:rPr>
        <w:t>Tabel 13: Overzicht van de verschillende soorten patiëntendossiers en hun bewaartermijnen in België</w:t>
      </w:r>
      <w:r w:rsidR="0060172F" w:rsidRPr="00013CF2">
        <w:rPr>
          <w:rFonts w:ascii="Times New Roman" w:hAnsi="Times New Roman" w:cs="Times New Roman"/>
          <w:kern w:val="1"/>
          <w:sz w:val="24"/>
          <w:szCs w:val="24"/>
          <w:lang w:eastAsia="hi-IN" w:bidi="hi-IN"/>
        </w:rPr>
        <w:t>……………………………………………………………………………………...</w:t>
      </w:r>
      <w:r w:rsidR="0060172F" w:rsidRPr="00013CF2">
        <w:rPr>
          <w:rFonts w:ascii="Times New Roman" w:hAnsi="Times New Roman" w:cs="Times New Roman"/>
          <w:kern w:val="1"/>
          <w:sz w:val="24"/>
          <w:szCs w:val="24"/>
          <w:lang w:eastAsia="hi-IN" w:bidi="hi-IN"/>
        </w:rPr>
        <w:tab/>
        <w:t>205</w:t>
      </w:r>
    </w:p>
    <w:p w:rsidR="003E1E00" w:rsidRPr="00013CF2" w:rsidRDefault="003E1E00" w:rsidP="003E1E00">
      <w:pPr>
        <w:pStyle w:val="Geenafstand"/>
        <w:jc w:val="both"/>
        <w:rPr>
          <w:rFonts w:ascii="Times New Roman" w:hAnsi="Times New Roman" w:cs="Times New Roman"/>
          <w:kern w:val="1"/>
          <w:sz w:val="24"/>
          <w:szCs w:val="24"/>
          <w:lang w:eastAsia="hi-IN" w:bidi="hi-IN"/>
        </w:rPr>
      </w:pPr>
      <w:r w:rsidRPr="00013CF2">
        <w:rPr>
          <w:rFonts w:ascii="Times New Roman" w:hAnsi="Times New Roman" w:cs="Times New Roman"/>
          <w:sz w:val="24"/>
          <w:szCs w:val="24"/>
        </w:rPr>
        <w:t>Tabel 14: Bewaartermijnen van medische documenten in openbare ziekenhuizen</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210</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15: Afzonderlijke bewaarregeling voor de gezondheidsgegevens van de arbeidsgenees</w:t>
      </w:r>
      <w:r w:rsidR="0060172F" w:rsidRPr="00013CF2">
        <w:rPr>
          <w:rFonts w:ascii="Times New Roman" w:hAnsi="Times New Roman" w:cs="Times New Roman"/>
          <w:sz w:val="24"/>
          <w:szCs w:val="24"/>
        </w:rPr>
        <w:t>-</w:t>
      </w:r>
      <w:r w:rsidRPr="00013CF2">
        <w:rPr>
          <w:rFonts w:ascii="Times New Roman" w:hAnsi="Times New Roman" w:cs="Times New Roman"/>
          <w:sz w:val="24"/>
          <w:szCs w:val="24"/>
        </w:rPr>
        <w:t>kunde in Nederland</w:t>
      </w:r>
      <w:r w:rsidR="0060172F" w:rsidRPr="00013CF2">
        <w:rPr>
          <w:rFonts w:ascii="Times New Roman" w:hAnsi="Times New Roman" w:cs="Times New Roman"/>
          <w:sz w:val="24"/>
          <w:szCs w:val="24"/>
        </w:rPr>
        <w:t>………………………………………………………………………</w:t>
      </w:r>
      <w:r w:rsidR="00B14C13">
        <w:rPr>
          <w:rFonts w:ascii="Times New Roman" w:hAnsi="Times New Roman" w:cs="Times New Roman"/>
          <w:sz w:val="24"/>
          <w:szCs w:val="24"/>
        </w:rPr>
        <w:t>.</w:t>
      </w:r>
      <w:r w:rsidR="0060172F" w:rsidRPr="00013CF2">
        <w:rPr>
          <w:rFonts w:ascii="Times New Roman" w:hAnsi="Times New Roman" w:cs="Times New Roman"/>
          <w:sz w:val="24"/>
          <w:szCs w:val="24"/>
        </w:rPr>
        <w:tab/>
        <w:t>220</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16: Bewaartermijnen van medische documenten in Franse verzorgingsinstellingen tussen 11 maart 1968 en 4 januari 2006</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226</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17: Bewaartermijnen van medische documenten en gegevens in Franse verzorgings</w:t>
      </w:r>
      <w:r w:rsidR="0060172F" w:rsidRPr="00013CF2">
        <w:rPr>
          <w:rFonts w:ascii="Times New Roman" w:hAnsi="Times New Roman" w:cs="Times New Roman"/>
          <w:sz w:val="24"/>
          <w:szCs w:val="24"/>
        </w:rPr>
        <w:t>-</w:t>
      </w:r>
      <w:r w:rsidRPr="00013CF2">
        <w:rPr>
          <w:rFonts w:ascii="Times New Roman" w:hAnsi="Times New Roman" w:cs="Times New Roman"/>
          <w:sz w:val="24"/>
          <w:szCs w:val="24"/>
        </w:rPr>
        <w:t>instellingen</w:t>
      </w:r>
      <w:r w:rsidR="0060172F" w:rsidRPr="00013CF2">
        <w:rPr>
          <w:rFonts w:ascii="Times New Roman" w:hAnsi="Times New Roman" w:cs="Times New Roman"/>
          <w:sz w:val="24"/>
          <w:szCs w:val="24"/>
        </w:rPr>
        <w:t>…………</w:t>
      </w:r>
      <w:r w:rsidR="00B14C13">
        <w:rPr>
          <w:rFonts w:ascii="Times New Roman" w:hAnsi="Times New Roman" w:cs="Times New Roman"/>
          <w:sz w:val="24"/>
          <w:szCs w:val="24"/>
        </w:rPr>
        <w:t>……………………………………………………………………..</w:t>
      </w:r>
      <w:r w:rsidR="00B14C13">
        <w:rPr>
          <w:rFonts w:ascii="Times New Roman" w:hAnsi="Times New Roman" w:cs="Times New Roman"/>
          <w:sz w:val="24"/>
          <w:szCs w:val="24"/>
        </w:rPr>
        <w:tab/>
        <w:t>228</w:t>
      </w:r>
    </w:p>
    <w:p w:rsidR="003E1E00" w:rsidRPr="00013CF2"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18: Openbare algemene ziekenhuizen in België op 1 januari 2012</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31</w:t>
      </w:r>
      <w:r w:rsidR="00B14C13">
        <w:rPr>
          <w:rFonts w:ascii="Times New Roman" w:hAnsi="Times New Roman" w:cs="Times New Roman"/>
          <w:sz w:val="24"/>
          <w:szCs w:val="24"/>
        </w:rPr>
        <w:t>3</w:t>
      </w:r>
    </w:p>
    <w:p w:rsidR="003E1E00" w:rsidRPr="00D147A7" w:rsidRDefault="003E1E00" w:rsidP="003E1E00">
      <w:pPr>
        <w:pStyle w:val="Geenafstand"/>
        <w:jc w:val="both"/>
        <w:rPr>
          <w:rFonts w:ascii="Times New Roman" w:hAnsi="Times New Roman" w:cs="Times New Roman"/>
          <w:sz w:val="24"/>
          <w:szCs w:val="24"/>
        </w:rPr>
      </w:pPr>
      <w:r w:rsidRPr="00013CF2">
        <w:rPr>
          <w:rFonts w:ascii="Times New Roman" w:hAnsi="Times New Roman" w:cs="Times New Roman"/>
          <w:sz w:val="24"/>
          <w:szCs w:val="24"/>
        </w:rPr>
        <w:t>Tabel 19: Openbare psychiatrische ziekenhuizen in België op 1 januari 2012</w:t>
      </w:r>
      <w:r w:rsidR="0060172F" w:rsidRPr="00013CF2">
        <w:rPr>
          <w:rFonts w:ascii="Times New Roman" w:hAnsi="Times New Roman" w:cs="Times New Roman"/>
          <w:sz w:val="24"/>
          <w:szCs w:val="24"/>
        </w:rPr>
        <w:t>…………...</w:t>
      </w:r>
      <w:r w:rsidR="0060172F" w:rsidRPr="00013CF2">
        <w:rPr>
          <w:rFonts w:ascii="Times New Roman" w:hAnsi="Times New Roman" w:cs="Times New Roman"/>
          <w:sz w:val="24"/>
          <w:szCs w:val="24"/>
        </w:rPr>
        <w:tab/>
        <w:t>31</w:t>
      </w:r>
      <w:r w:rsidR="00B14C13">
        <w:rPr>
          <w:rFonts w:ascii="Times New Roman" w:hAnsi="Times New Roman" w:cs="Times New Roman"/>
          <w:sz w:val="24"/>
          <w:szCs w:val="24"/>
        </w:rPr>
        <w:t>6</w:t>
      </w:r>
    </w:p>
    <w:p w:rsidR="003E1E00" w:rsidRPr="00D147A7" w:rsidRDefault="003E1E00" w:rsidP="003E1E00">
      <w:pPr>
        <w:pStyle w:val="Geenafstand"/>
        <w:rPr>
          <w:rFonts w:ascii="Times New Roman" w:hAnsi="Times New Roman" w:cs="Times New Roman"/>
          <w:sz w:val="24"/>
          <w:szCs w:val="24"/>
        </w:rPr>
      </w:pPr>
      <w:r w:rsidRPr="00D147A7">
        <w:rPr>
          <w:rFonts w:ascii="Times New Roman" w:hAnsi="Times New Roman" w:cs="Times New Roman"/>
          <w:sz w:val="24"/>
          <w:szCs w:val="24"/>
        </w:rPr>
        <w:t>Tabel 20: Details van de verschillende Universitaire Medische Centra in Nederland</w:t>
      </w:r>
      <w:r w:rsidR="0060172F" w:rsidRPr="00D147A7">
        <w:rPr>
          <w:rFonts w:ascii="Times New Roman" w:hAnsi="Times New Roman" w:cs="Times New Roman"/>
          <w:sz w:val="24"/>
          <w:szCs w:val="24"/>
        </w:rPr>
        <w:t>……</w:t>
      </w:r>
      <w:r w:rsidR="0060172F" w:rsidRPr="00D147A7">
        <w:rPr>
          <w:rFonts w:ascii="Times New Roman" w:hAnsi="Times New Roman" w:cs="Times New Roman"/>
          <w:sz w:val="24"/>
          <w:szCs w:val="24"/>
        </w:rPr>
        <w:tab/>
        <w:t>32</w:t>
      </w:r>
      <w:r w:rsidR="00B14C13">
        <w:rPr>
          <w:rFonts w:ascii="Times New Roman" w:hAnsi="Times New Roman" w:cs="Times New Roman"/>
          <w:sz w:val="24"/>
          <w:szCs w:val="24"/>
        </w:rPr>
        <w:t>7</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Tabel 21: Capaciteit van de verschillende soorten verzorgingsinstellingen in Frankrijk anno 2008</w:t>
      </w:r>
      <w:r w:rsidR="0060172F" w:rsidRPr="00D147A7">
        <w:rPr>
          <w:rFonts w:ascii="Times New Roman" w:hAnsi="Times New Roman" w:cs="Times New Roman"/>
          <w:sz w:val="24"/>
          <w:szCs w:val="24"/>
        </w:rPr>
        <w:t>. ……………………………………………………………………………………...</w:t>
      </w:r>
      <w:r w:rsidR="0060172F" w:rsidRPr="00D147A7">
        <w:rPr>
          <w:rFonts w:ascii="Times New Roman" w:hAnsi="Times New Roman" w:cs="Times New Roman"/>
          <w:sz w:val="24"/>
          <w:szCs w:val="24"/>
        </w:rPr>
        <w:tab/>
        <w:t>34</w:t>
      </w:r>
      <w:r w:rsidR="00B14C13">
        <w:rPr>
          <w:rFonts w:ascii="Times New Roman" w:hAnsi="Times New Roman" w:cs="Times New Roman"/>
          <w:sz w:val="24"/>
          <w:szCs w:val="24"/>
        </w:rPr>
        <w:t>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Tabel 22: Capaciteit van de verzorgingsinstellingen in Frankrijk per juridisch statuut en deel</w:t>
      </w:r>
      <w:r w:rsidR="004C7924">
        <w:rPr>
          <w:rFonts w:ascii="Times New Roman" w:hAnsi="Times New Roman" w:cs="Times New Roman"/>
          <w:sz w:val="24"/>
          <w:szCs w:val="24"/>
        </w:rPr>
        <w:t>-</w:t>
      </w:r>
      <w:r w:rsidRPr="00D147A7">
        <w:rPr>
          <w:rFonts w:ascii="Times New Roman" w:hAnsi="Times New Roman" w:cs="Times New Roman"/>
          <w:sz w:val="24"/>
          <w:szCs w:val="24"/>
        </w:rPr>
        <w:t>name aan de openbare ziekenhuisdienstverlening anno 2008</w:t>
      </w:r>
      <w:r w:rsidR="0060172F" w:rsidRPr="00D147A7">
        <w:rPr>
          <w:rFonts w:ascii="Times New Roman" w:hAnsi="Times New Roman" w:cs="Times New Roman"/>
          <w:sz w:val="24"/>
          <w:szCs w:val="24"/>
        </w:rPr>
        <w:t>………………………</w:t>
      </w:r>
      <w:r w:rsidR="00B14C13">
        <w:rPr>
          <w:rFonts w:ascii="Times New Roman" w:hAnsi="Times New Roman" w:cs="Times New Roman"/>
          <w:sz w:val="24"/>
          <w:szCs w:val="24"/>
        </w:rPr>
        <w:t>…….</w:t>
      </w:r>
      <w:r w:rsidR="0060172F" w:rsidRPr="00D147A7">
        <w:rPr>
          <w:rFonts w:ascii="Times New Roman" w:hAnsi="Times New Roman" w:cs="Times New Roman"/>
          <w:sz w:val="24"/>
          <w:szCs w:val="24"/>
        </w:rPr>
        <w:tab/>
        <w:t>34</w:t>
      </w:r>
      <w:r w:rsidR="00B14C13">
        <w:rPr>
          <w:rFonts w:ascii="Times New Roman" w:hAnsi="Times New Roman" w:cs="Times New Roman"/>
          <w:sz w:val="24"/>
          <w:szCs w:val="24"/>
        </w:rPr>
        <w:t>3</w:t>
      </w:r>
      <w:bookmarkStart w:id="0" w:name="_GoBack"/>
      <w:bookmarkEnd w:id="0"/>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br w:type="page"/>
      </w:r>
      <w:r w:rsidRPr="00D147A7">
        <w:rPr>
          <w:rFonts w:ascii="Times New Roman" w:hAnsi="Times New Roman" w:cs="Times New Roman"/>
          <w:b/>
          <w:smallCaps/>
          <w:sz w:val="24"/>
          <w:szCs w:val="24"/>
        </w:rPr>
        <w:lastRenderedPageBreak/>
        <w:t>Lijst met gebruikte afkortingen</w:t>
      </w:r>
      <w:r w:rsidRPr="00D147A7">
        <w:rPr>
          <w:rStyle w:val="Voetnootmarkering"/>
          <w:rFonts w:ascii="Times New Roman" w:hAnsi="Times New Roman" w:cs="Times New Roman"/>
          <w:sz w:val="24"/>
          <w:szCs w:val="24"/>
        </w:rPr>
        <w:footnoteReference w:id="1"/>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1. Algemeen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Art.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Artikel</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Err.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Erratum</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ind w:firstLine="708"/>
        <w:jc w:val="both"/>
        <w:rPr>
          <w:rFonts w:ascii="Times New Roman" w:hAnsi="Times New Roman" w:cs="Times New Roman"/>
          <w:sz w:val="24"/>
          <w:szCs w:val="24"/>
        </w:rPr>
      </w:pPr>
      <w:r w:rsidRPr="00D147A7">
        <w:rPr>
          <w:rFonts w:ascii="Times New Roman" w:hAnsi="Times New Roman" w:cs="Times New Roman"/>
          <w:b/>
          <w:sz w:val="24"/>
          <w:szCs w:val="24"/>
        </w:rPr>
        <w:t>1.1 Internationaal</w:t>
      </w:r>
      <w:r w:rsidRPr="00D147A7">
        <w:rPr>
          <w:rStyle w:val="Voetnootmarkering"/>
          <w:rFonts w:ascii="Times New Roman" w:hAnsi="Times New Roman" w:cs="Times New Roman"/>
          <w:b/>
          <w:smallCaps/>
          <w:sz w:val="24"/>
          <w:szCs w:val="24"/>
        </w:rPr>
        <w:footnoteReference w:id="2"/>
      </w:r>
    </w:p>
    <w:p w:rsidR="003E1E00" w:rsidRPr="00D147A7" w:rsidRDefault="003E1E00" w:rsidP="003E1E00">
      <w:pPr>
        <w:pStyle w:val="Geenafstand"/>
        <w:ind w:firstLine="708"/>
        <w:jc w:val="both"/>
        <w:rPr>
          <w:rFonts w:ascii="Times New Roman" w:hAnsi="Times New Roman" w:cs="Times New Roman"/>
          <w:b/>
          <w:sz w:val="24"/>
          <w:szCs w:val="24"/>
        </w:rPr>
      </w:pP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Pb.EG L.</w:t>
      </w:r>
      <w:r w:rsidRPr="00D147A7">
        <w:rPr>
          <w:rFonts w:ascii="Times New Roman" w:hAnsi="Times New Roman" w:cs="Times New Roman"/>
          <w:sz w:val="24"/>
          <w:szCs w:val="24"/>
        </w:rPr>
        <w:tab/>
        <w:t>Publicatieblad van de Eur</w:t>
      </w:r>
      <w:r w:rsidR="00C04265">
        <w:rPr>
          <w:rFonts w:ascii="Times New Roman" w:hAnsi="Times New Roman" w:cs="Times New Roman"/>
          <w:sz w:val="24"/>
          <w:szCs w:val="24"/>
        </w:rPr>
        <w:t xml:space="preserve">opese Gemeenschappen – Afdeling </w:t>
      </w:r>
      <w:r w:rsidRPr="00D147A7">
        <w:rPr>
          <w:rFonts w:ascii="Times New Roman" w:hAnsi="Times New Roman" w:cs="Times New Roman"/>
          <w:sz w:val="24"/>
          <w:szCs w:val="24"/>
        </w:rPr>
        <w:t>Legislation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Pb.EG C.</w:t>
      </w:r>
      <w:r w:rsidRPr="00D147A7">
        <w:rPr>
          <w:rFonts w:ascii="Times New Roman" w:hAnsi="Times New Roman" w:cs="Times New Roman"/>
          <w:sz w:val="24"/>
          <w:szCs w:val="24"/>
        </w:rPr>
        <w:tab/>
        <w:t>Publicatieblad van de Europese Gemeenschappen – Afdeling Communications</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t>1.2 België</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BS</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Belgisch Staatsblad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Burgerlijk Wetboek</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Cass.</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Hof van Cassatie</w:t>
      </w:r>
    </w:p>
    <w:p w:rsidR="003E1E00" w:rsidRPr="00D147A7" w:rsidRDefault="003E1E00" w:rsidP="004C7924">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CBPL</w:t>
      </w:r>
      <w:r w:rsidRPr="00D147A7">
        <w:rPr>
          <w:rFonts w:ascii="Times New Roman" w:hAnsi="Times New Roman" w:cs="Times New Roman"/>
          <w:sz w:val="24"/>
          <w:szCs w:val="24"/>
        </w:rPr>
        <w:tab/>
        <w:t>Commissie voor de bescherming v</w:t>
      </w:r>
      <w:r w:rsidR="004C7924">
        <w:rPr>
          <w:rFonts w:ascii="Times New Roman" w:hAnsi="Times New Roman" w:cs="Times New Roman"/>
          <w:sz w:val="24"/>
          <w:szCs w:val="24"/>
        </w:rPr>
        <w:t xml:space="preserve">an de persoonlijke levenssfeer </w:t>
      </w:r>
      <w:r w:rsidRPr="00D147A7">
        <w:rPr>
          <w:rFonts w:ascii="Times New Roman" w:hAnsi="Times New Roman" w:cs="Times New Roman"/>
          <w:sz w:val="24"/>
          <w:szCs w:val="24"/>
        </w:rPr>
        <w:t>(kortweg: Privacycommissie)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C.G.P.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Code van Geneeskundige Plichtenleer</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Corr.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Correctionele rechtbank</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Grondwet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Hand.</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Parlementaire Handelingen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Koninklijk besluit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Ministerieel besluit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O.C.M.W.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Openbaar Centrum voor Maatschappelijk Welzijn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Parl.St.</w:t>
      </w:r>
      <w:r w:rsidRPr="00D147A7">
        <w:rPr>
          <w:rFonts w:ascii="Times New Roman" w:hAnsi="Times New Roman" w:cs="Times New Roman"/>
        </w:rPr>
        <w:t xml:space="preserve"> </w:t>
      </w:r>
      <w:r w:rsidRPr="00D147A7">
        <w:rPr>
          <w:rFonts w:ascii="Times New Roman" w:hAnsi="Times New Roman" w:cs="Times New Roman"/>
        </w:rPr>
        <w:tab/>
      </w:r>
      <w:r w:rsidRPr="00D147A7">
        <w:rPr>
          <w:rFonts w:ascii="Times New Roman" w:hAnsi="Times New Roman" w:cs="Times New Roman"/>
          <w:sz w:val="24"/>
          <w:szCs w:val="24"/>
        </w:rPr>
        <w:t>Parlementaire Stukken – Parlementaire Bescheiden – Parlemen</w:t>
      </w:r>
      <w:r w:rsidR="004C7924">
        <w:rPr>
          <w:rFonts w:ascii="Times New Roman" w:hAnsi="Times New Roman" w:cs="Times New Roman"/>
          <w:sz w:val="24"/>
          <w:szCs w:val="24"/>
        </w:rPr>
        <w:t>-</w:t>
      </w:r>
      <w:r w:rsidRPr="00D147A7">
        <w:rPr>
          <w:rFonts w:ascii="Times New Roman" w:hAnsi="Times New Roman" w:cs="Times New Roman"/>
          <w:sz w:val="24"/>
          <w:szCs w:val="24"/>
        </w:rPr>
        <w:t>taire Documenten – Parlementaire Voorbereiding</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RIZIV</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Rijksinstituut voor Ziekte- en Invaliditeitsverzekering</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RVT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Rust- en verzorgingstehuis</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Strafwetboek</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Telematicacommissie </w:t>
      </w:r>
      <w:r w:rsidRPr="00D147A7">
        <w:rPr>
          <w:rFonts w:ascii="Times New Roman" w:hAnsi="Times New Roman" w:cs="Times New Roman"/>
          <w:sz w:val="24"/>
          <w:szCs w:val="24"/>
        </w:rPr>
        <w:tab/>
        <w:t>Commissie ‘Standaarden inzak</w:t>
      </w:r>
      <w:r w:rsidR="004C7924">
        <w:rPr>
          <w:rFonts w:ascii="Times New Roman" w:hAnsi="Times New Roman" w:cs="Times New Roman"/>
          <w:sz w:val="24"/>
          <w:szCs w:val="24"/>
        </w:rPr>
        <w:t xml:space="preserve">e telematica ten behoeve van de </w:t>
      </w:r>
      <w:r w:rsidRPr="00D147A7">
        <w:rPr>
          <w:rFonts w:ascii="Times New Roman" w:hAnsi="Times New Roman" w:cs="Times New Roman"/>
          <w:sz w:val="24"/>
          <w:szCs w:val="24"/>
        </w:rPr>
        <w:t>sector van de gezondheidszorg’</w:t>
      </w:r>
    </w:p>
    <w:p w:rsidR="00AF492F" w:rsidRDefault="00AF492F" w:rsidP="003E1E00">
      <w:pPr>
        <w:pStyle w:val="Geenafstand"/>
        <w:jc w:val="both"/>
        <w:rPr>
          <w:rFonts w:ascii="Times New Roman" w:hAnsi="Times New Roman" w:cs="Times New Roman"/>
          <w:sz w:val="24"/>
          <w:szCs w:val="24"/>
        </w:rPr>
      </w:pPr>
      <w:r>
        <w:rPr>
          <w:rFonts w:ascii="Times New Roman" w:hAnsi="Times New Roman" w:cs="Times New Roman"/>
          <w:sz w:val="24"/>
          <w:szCs w:val="24"/>
        </w:rPr>
        <w:t>TSEG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Tijdschrift voor Sociale en Economische Geschiedenis</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Vr. en Antw. </w:t>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Parlementaire Vragen en Antwoorden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VVBAD</w:t>
      </w:r>
      <w:r w:rsidRPr="00D147A7">
        <w:rPr>
          <w:rFonts w:ascii="Times New Roman" w:hAnsi="Times New Roman" w:cs="Times New Roman"/>
          <w:sz w:val="24"/>
          <w:szCs w:val="24"/>
        </w:rPr>
        <w:tab/>
        <w:t>Vlaamse Vereniging</w:t>
      </w:r>
      <w:r w:rsidR="004C7924">
        <w:rPr>
          <w:rFonts w:ascii="Times New Roman" w:hAnsi="Times New Roman" w:cs="Times New Roman"/>
          <w:sz w:val="24"/>
          <w:szCs w:val="24"/>
        </w:rPr>
        <w:t xml:space="preserve"> voor Bibliotheek-, Archief- en </w:t>
      </w:r>
      <w:r w:rsidRPr="00D147A7">
        <w:rPr>
          <w:rFonts w:ascii="Times New Roman" w:hAnsi="Times New Roman" w:cs="Times New Roman"/>
          <w:sz w:val="24"/>
          <w:szCs w:val="24"/>
        </w:rPr>
        <w:t>Documenta</w:t>
      </w:r>
      <w:r w:rsidR="004C7924">
        <w:rPr>
          <w:rFonts w:ascii="Times New Roman" w:hAnsi="Times New Roman" w:cs="Times New Roman"/>
          <w:sz w:val="24"/>
          <w:szCs w:val="24"/>
        </w:rPr>
        <w:t>-</w:t>
      </w:r>
      <w:r w:rsidRPr="00D147A7">
        <w:rPr>
          <w:rFonts w:ascii="Times New Roman" w:hAnsi="Times New Roman" w:cs="Times New Roman"/>
          <w:sz w:val="24"/>
          <w:szCs w:val="24"/>
        </w:rPr>
        <w:t>tiewezen</w:t>
      </w:r>
    </w:p>
    <w:p w:rsidR="003E1E00" w:rsidRPr="00D147A7" w:rsidRDefault="003E1E00" w:rsidP="003E1E00">
      <w:pPr>
        <w:pStyle w:val="Geenafstand"/>
        <w:ind w:left="2832" w:hanging="2832"/>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Werkgroep G19</w:t>
      </w:r>
      <w:r w:rsidRPr="00D147A7">
        <w:rPr>
          <w:rFonts w:ascii="Times New Roman" w:hAnsi="Times New Roman" w:cs="Times New Roman"/>
          <w:sz w:val="24"/>
          <w:szCs w:val="24"/>
          <w:lang w:val="en-US"/>
        </w:rPr>
        <w:tab/>
        <w:t>Belgian Care Providers Telematic Advisory Group</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WSV</w:t>
      </w:r>
      <w:r w:rsidRPr="00D147A7">
        <w:rPr>
          <w:rFonts w:ascii="Times New Roman" w:hAnsi="Times New Roman" w:cs="Times New Roman"/>
          <w:sz w:val="24"/>
          <w:szCs w:val="24"/>
        </w:rPr>
        <w:tab/>
        <w:t>Wetboek van strafvordering</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smallCaps/>
          <w:sz w:val="24"/>
          <w:szCs w:val="24"/>
        </w:rPr>
        <w:tab/>
      </w:r>
      <w:r w:rsidRPr="00D147A7">
        <w:rPr>
          <w:rFonts w:ascii="Times New Roman" w:hAnsi="Times New Roman" w:cs="Times New Roman"/>
          <w:b/>
          <w:sz w:val="24"/>
          <w:szCs w:val="24"/>
        </w:rPr>
        <w:t>1.3 Nederland</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NBW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Burgerlijk Wetboek</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Cbp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College Bescherming Persoonsgegevens</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w:t>
      </w:r>
      <w:r w:rsidRPr="00D147A7">
        <w:rPr>
          <w:rFonts w:ascii="Times New Roman" w:hAnsi="Times New Roman" w:cs="Times New Roman"/>
          <w:sz w:val="24"/>
          <w:szCs w:val="24"/>
        </w:rPr>
        <w:tab/>
      </w:r>
      <w:r w:rsidRPr="00D147A7">
        <w:rPr>
          <w:rFonts w:ascii="Times New Roman" w:hAnsi="Times New Roman" w:cs="Times New Roman"/>
          <w:sz w:val="24"/>
          <w:szCs w:val="24"/>
        </w:rPr>
        <w:tab/>
        <w:t>Stukken van de Eerste Kamer</w:t>
      </w:r>
      <w:r w:rsidRPr="00D147A7">
        <w:rPr>
          <w:rStyle w:val="Voetnootmarkering"/>
          <w:rFonts w:ascii="Times New Roman" w:hAnsi="Times New Roman" w:cs="Times New Roman"/>
          <w:sz w:val="24"/>
          <w:szCs w:val="24"/>
        </w:rPr>
        <w:footnoteReference w:id="3"/>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w:t>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Stukken van de Tweede Kamer</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KNGF</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Koninklijk Nederlands Genootschap voor Fysiotherapue</w:t>
      </w:r>
      <w:r w:rsidRPr="00D147A7">
        <w:rPr>
          <w:rStyle w:val="Voetnootmarkering"/>
          <w:rFonts w:ascii="Times New Roman" w:hAnsi="Times New Roman" w:cs="Times New Roman"/>
          <w:sz w:val="24"/>
          <w:szCs w:val="24"/>
        </w:rPr>
        <w:footnoteReference w:id="4"/>
      </w:r>
    </w:p>
    <w:p w:rsidR="003E1E00" w:rsidRPr="00D147A7" w:rsidRDefault="003E1E00" w:rsidP="004C7924">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KNMG</w:t>
      </w:r>
      <w:r w:rsidRPr="00D147A7">
        <w:rPr>
          <w:rFonts w:ascii="Times New Roman" w:hAnsi="Times New Roman" w:cs="Times New Roman"/>
          <w:sz w:val="24"/>
          <w:szCs w:val="24"/>
        </w:rPr>
        <w:tab/>
        <w:t>Koninklijke Nederlandsche Ma</w:t>
      </w:r>
      <w:r w:rsidR="004C7924">
        <w:rPr>
          <w:rFonts w:ascii="Times New Roman" w:hAnsi="Times New Roman" w:cs="Times New Roman"/>
          <w:sz w:val="24"/>
          <w:szCs w:val="24"/>
        </w:rPr>
        <w:t xml:space="preserve">atschappij tot bevordering der </w:t>
      </w:r>
      <w:r w:rsidRPr="00D147A7">
        <w:rPr>
          <w:rFonts w:ascii="Times New Roman" w:hAnsi="Times New Roman" w:cs="Times New Roman"/>
          <w:sz w:val="24"/>
          <w:szCs w:val="24"/>
        </w:rPr>
        <w:t>Geneeskunst</w:t>
      </w:r>
      <w:r w:rsidRPr="00D147A7">
        <w:rPr>
          <w:rStyle w:val="Voetnootmarkering"/>
          <w:rFonts w:ascii="Times New Roman" w:hAnsi="Times New Roman" w:cs="Times New Roman"/>
          <w:sz w:val="24"/>
          <w:szCs w:val="24"/>
        </w:rPr>
        <w:footnoteReference w:id="5"/>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KNMP</w:t>
      </w:r>
      <w:r w:rsidRPr="00D147A7">
        <w:rPr>
          <w:rFonts w:ascii="Times New Roman" w:hAnsi="Times New Roman" w:cs="Times New Roman"/>
          <w:sz w:val="24"/>
          <w:szCs w:val="24"/>
        </w:rPr>
        <w:tab/>
        <w:t>Koninklijke Nederlandse M</w:t>
      </w:r>
      <w:r w:rsidR="004C7924">
        <w:rPr>
          <w:rFonts w:ascii="Times New Roman" w:hAnsi="Times New Roman" w:cs="Times New Roman"/>
          <w:sz w:val="24"/>
          <w:szCs w:val="24"/>
        </w:rPr>
        <w:t xml:space="preserve">aatschappij ter bevordering der </w:t>
      </w:r>
      <w:r w:rsidRPr="00D147A7">
        <w:rPr>
          <w:rFonts w:ascii="Times New Roman" w:hAnsi="Times New Roman" w:cs="Times New Roman"/>
          <w:sz w:val="24"/>
          <w:szCs w:val="24"/>
        </w:rPr>
        <w:t>Phar</w:t>
      </w:r>
      <w:r w:rsidR="004C7924">
        <w:rPr>
          <w:rFonts w:ascii="Times New Roman" w:hAnsi="Times New Roman" w:cs="Times New Roman"/>
          <w:sz w:val="24"/>
          <w:szCs w:val="24"/>
        </w:rPr>
        <w:t>-</w:t>
      </w:r>
      <w:r w:rsidRPr="00D147A7">
        <w:rPr>
          <w:rFonts w:ascii="Times New Roman" w:hAnsi="Times New Roman" w:cs="Times New Roman"/>
          <w:sz w:val="24"/>
          <w:szCs w:val="24"/>
        </w:rPr>
        <w:t>macie</w:t>
      </w:r>
      <w:r w:rsidRPr="00D147A7">
        <w:rPr>
          <w:rStyle w:val="Voetnootmarkering"/>
          <w:rFonts w:ascii="Times New Roman" w:hAnsi="Times New Roman" w:cs="Times New Roman"/>
          <w:sz w:val="24"/>
          <w:szCs w:val="24"/>
        </w:rPr>
        <w:footnoteReference w:id="6"/>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LHV</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Landelijke Huisartsen Vereniging</w:t>
      </w:r>
      <w:r w:rsidRPr="00D147A7">
        <w:rPr>
          <w:rStyle w:val="Voetnootmarkering"/>
          <w:rFonts w:ascii="Times New Roman" w:hAnsi="Times New Roman" w:cs="Times New Roman"/>
          <w:sz w:val="24"/>
          <w:szCs w:val="24"/>
        </w:rPr>
        <w:footnoteReference w:id="7"/>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NGW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Nederlandse Grondwet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NHG</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 Huisartsen Genootschap</w:t>
      </w:r>
      <w:r w:rsidRPr="00D147A7">
        <w:rPr>
          <w:rStyle w:val="Voetnootmarkering"/>
          <w:rFonts w:ascii="Times New Roman" w:hAnsi="Times New Roman" w:cs="Times New Roman"/>
          <w:sz w:val="24"/>
          <w:szCs w:val="24"/>
        </w:rPr>
        <w:footnoteReference w:id="8"/>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NMT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Nederlandse Maatschappij tot bevordering der Tandheelkund</w:t>
      </w:r>
      <w:r w:rsidRPr="00D147A7">
        <w:rPr>
          <w:rStyle w:val="Voetnootmarkering"/>
          <w:rFonts w:ascii="Times New Roman" w:hAnsi="Times New Roman" w:cs="Times New Roman"/>
          <w:sz w:val="24"/>
          <w:szCs w:val="24"/>
        </w:rPr>
        <w:footnoteReference w:id="9"/>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Orde</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Orde van Medische Specialisten</w:t>
      </w:r>
      <w:r w:rsidRPr="00D147A7">
        <w:rPr>
          <w:rStyle w:val="Voetnootmarkering"/>
          <w:rFonts w:ascii="Times New Roman" w:hAnsi="Times New Roman" w:cs="Times New Roman"/>
          <w:sz w:val="24"/>
          <w:szCs w:val="24"/>
        </w:rPr>
        <w:footnoteReference w:id="10"/>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Stb.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Staatsblad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Stcrt.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Staatscourant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Sv.</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Wetboek van strafvordering</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Trb.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Tractatenblad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V&amp;VN</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Verpleegkundigen &amp; Verzorgenden Nederland</w:t>
      </w:r>
      <w:r w:rsidRPr="00D147A7">
        <w:rPr>
          <w:rStyle w:val="Voetnootmarkering"/>
          <w:rFonts w:ascii="Times New Roman" w:hAnsi="Times New Roman" w:cs="Times New Roman"/>
          <w:sz w:val="24"/>
          <w:szCs w:val="24"/>
        </w:rPr>
        <w:footnoteReference w:id="11"/>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VHN</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Vereniging Huisartsenposten Nederland</w:t>
      </w:r>
      <w:r w:rsidRPr="00D147A7">
        <w:rPr>
          <w:rStyle w:val="Voetnootmarkering"/>
          <w:rFonts w:ascii="Times New Roman" w:hAnsi="Times New Roman" w:cs="Times New Roman"/>
          <w:sz w:val="24"/>
          <w:szCs w:val="24"/>
        </w:rPr>
        <w:footnoteReference w:id="12"/>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WBR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Wetboek van Burgerlijke Rechtsvordering</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WS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Wetboek van Strafrecht</w:t>
      </w:r>
    </w:p>
    <w:p w:rsidR="003E1E00" w:rsidRPr="00D147A7" w:rsidRDefault="003E1E00" w:rsidP="003E1E00">
      <w:pPr>
        <w:pStyle w:val="Geenafstand"/>
        <w:jc w:val="both"/>
        <w:rPr>
          <w:rFonts w:ascii="Times New Roman" w:hAnsi="Times New Roman" w:cs="Times New Roman"/>
          <w:sz w:val="24"/>
          <w:szCs w:val="24"/>
          <w:lang w:val="fr-BE"/>
        </w:rPr>
      </w:pPr>
    </w:p>
    <w:p w:rsidR="003E1E00" w:rsidRPr="00D147A7" w:rsidRDefault="003E1E00" w:rsidP="003E1E00">
      <w:pPr>
        <w:pStyle w:val="Geenafstand"/>
        <w:jc w:val="both"/>
        <w:rPr>
          <w:rFonts w:ascii="Times New Roman" w:hAnsi="Times New Roman" w:cs="Times New Roman"/>
          <w:b/>
          <w:sz w:val="24"/>
          <w:szCs w:val="24"/>
          <w:lang w:val="fr-BE"/>
        </w:rPr>
      </w:pPr>
      <w:r w:rsidRPr="00D147A7">
        <w:rPr>
          <w:rFonts w:ascii="Times New Roman" w:hAnsi="Times New Roman" w:cs="Times New Roman"/>
          <w:sz w:val="24"/>
          <w:szCs w:val="24"/>
          <w:lang w:val="fr-BE"/>
        </w:rPr>
        <w:tab/>
      </w:r>
      <w:r w:rsidRPr="00D147A7">
        <w:rPr>
          <w:rFonts w:ascii="Times New Roman" w:hAnsi="Times New Roman" w:cs="Times New Roman"/>
          <w:b/>
          <w:sz w:val="24"/>
          <w:szCs w:val="24"/>
          <w:lang w:val="fr-BE"/>
        </w:rPr>
        <w:t>1.4 Frankrijk</w:t>
      </w:r>
    </w:p>
    <w:p w:rsidR="003E1E00" w:rsidRPr="00D147A7" w:rsidRDefault="003E1E00" w:rsidP="003E1E00">
      <w:pPr>
        <w:pStyle w:val="Geenafstand"/>
        <w:jc w:val="both"/>
        <w:rPr>
          <w:rFonts w:ascii="Times New Roman" w:hAnsi="Times New Roman" w:cs="Times New Roman"/>
          <w:smallCaps/>
          <w:sz w:val="24"/>
          <w:szCs w:val="24"/>
          <w:lang w:val="fr-BE"/>
        </w:rPr>
      </w:pP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ANAES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Agence Nationale d’Accréditation et d’Evaluation en Santé</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CC</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Code civil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CNIL</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Commission nationale de l'informatique et des libertés</w:t>
      </w:r>
      <w:r w:rsidRPr="00D147A7">
        <w:rPr>
          <w:rStyle w:val="Voetnootmarkering"/>
          <w:rFonts w:ascii="Times New Roman" w:hAnsi="Times New Roman" w:cs="Times New Roman"/>
          <w:sz w:val="24"/>
          <w:szCs w:val="24"/>
        </w:rPr>
        <w:footnoteReference w:id="13"/>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CNOM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Conseil National de l’Ordre des Médecins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CDM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Code de déontologie médicale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CDP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Code du patrimoine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Code pénal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CPP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Code de procedure pénal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CPCE</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Code des postes et des communications électroniques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CSP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Code de la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EHESP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École des hautes etudes en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ENSP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École nationale de la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JORF</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Journal officiel de la République française</w:t>
      </w:r>
    </w:p>
    <w:p w:rsidR="003E1E00" w:rsidRPr="00D147A7" w:rsidRDefault="003E1E00" w:rsidP="003E1E00">
      <w:pPr>
        <w:pStyle w:val="Geenafstand"/>
        <w:jc w:val="both"/>
        <w:rPr>
          <w:rFonts w:ascii="Times New Roman" w:hAnsi="Times New Roman" w:cs="Times New Roman"/>
          <w:b/>
          <w:smallCaps/>
          <w:sz w:val="24"/>
          <w:szCs w:val="24"/>
          <w:lang w:val="fr-BE"/>
        </w:rPr>
      </w:pPr>
    </w:p>
    <w:p w:rsidR="003E1E00" w:rsidRPr="00D147A7" w:rsidRDefault="003E1E00" w:rsidP="003E1E00">
      <w:pPr>
        <w:rPr>
          <w:smallCaps/>
        </w:rPr>
      </w:pPr>
      <w:r w:rsidRPr="00D147A7">
        <w:rPr>
          <w:b/>
          <w:smallCaps/>
          <w:lang w:val="fr-BE"/>
        </w:rPr>
        <w:br w:type="page"/>
      </w:r>
      <w:r w:rsidRPr="00D147A7">
        <w:rPr>
          <w:smallCaps/>
        </w:rPr>
        <w:lastRenderedPageBreak/>
        <w:t>2. Tijdschriften</w:t>
      </w:r>
    </w:p>
    <w:p w:rsidR="003E1E00" w:rsidRPr="00D147A7" w:rsidRDefault="003E1E00" w:rsidP="003E1E00">
      <w:pPr>
        <w:pStyle w:val="Geenafstand"/>
        <w:jc w:val="both"/>
        <w:rPr>
          <w:rFonts w:ascii="Times New Roman" w:hAnsi="Times New Roman" w:cs="Times New Roman"/>
          <w:b/>
          <w:smallCaps/>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smallCaps/>
          <w:sz w:val="24"/>
          <w:szCs w:val="24"/>
        </w:rPr>
        <w:tab/>
      </w:r>
      <w:r w:rsidRPr="00D147A7">
        <w:rPr>
          <w:rFonts w:ascii="Times New Roman" w:hAnsi="Times New Roman" w:cs="Times New Roman"/>
          <w:b/>
          <w:sz w:val="24"/>
          <w:szCs w:val="24"/>
        </w:rPr>
        <w:t>2.1 Internationaal</w:t>
      </w:r>
    </w:p>
    <w:p w:rsidR="003E1E00" w:rsidRPr="00D147A7" w:rsidRDefault="003E1E00" w:rsidP="003E1E00">
      <w:pPr>
        <w:pStyle w:val="Geenafstand"/>
        <w:jc w:val="both"/>
        <w:rPr>
          <w:rFonts w:ascii="Times New Roman" w:hAnsi="Times New Roman" w:cs="Times New Roman"/>
          <w:b/>
          <w:smallCaps/>
          <w:sz w:val="24"/>
          <w:szCs w:val="24"/>
        </w:rPr>
      </w:pPr>
    </w:p>
    <w:p w:rsidR="003E1E00" w:rsidRPr="00D147A7" w:rsidRDefault="003E1E00" w:rsidP="003E1E00">
      <w:pPr>
        <w:pStyle w:val="Geenafstand"/>
        <w:jc w:val="both"/>
        <w:rPr>
          <w:rFonts w:ascii="Times New Roman" w:hAnsi="Times New Roman" w:cs="Times New Roman"/>
          <w:smallCaps/>
          <w:sz w:val="24"/>
          <w:szCs w:val="24"/>
          <w:lang w:val="en-US"/>
        </w:rPr>
      </w:pPr>
      <w:r w:rsidRPr="00D147A7">
        <w:rPr>
          <w:rFonts w:ascii="Times New Roman" w:hAnsi="Times New Roman" w:cs="Times New Roman"/>
          <w:smallCaps/>
          <w:sz w:val="24"/>
          <w:szCs w:val="24"/>
        </w:rPr>
        <w:t>C.L.S.R.</w:t>
      </w:r>
      <w:r w:rsidRPr="00D147A7">
        <w:rPr>
          <w:rFonts w:ascii="Times New Roman" w:hAnsi="Times New Roman" w:cs="Times New Roman"/>
          <w:smallCaps/>
          <w:sz w:val="24"/>
          <w:szCs w:val="24"/>
        </w:rPr>
        <w:tab/>
      </w:r>
      <w:r w:rsidRPr="00D147A7">
        <w:rPr>
          <w:rFonts w:ascii="Times New Roman" w:hAnsi="Times New Roman" w:cs="Times New Roman"/>
          <w:smallCaps/>
          <w:sz w:val="24"/>
          <w:szCs w:val="24"/>
        </w:rPr>
        <w:tab/>
      </w:r>
      <w:r w:rsidRPr="00D147A7">
        <w:rPr>
          <w:rFonts w:ascii="Times New Roman" w:hAnsi="Times New Roman" w:cs="Times New Roman"/>
          <w:smallCaps/>
          <w:sz w:val="24"/>
          <w:szCs w:val="24"/>
        </w:rPr>
        <w:tab/>
      </w:r>
      <w:r w:rsidRPr="00D147A7">
        <w:rPr>
          <w:rFonts w:ascii="Times New Roman" w:hAnsi="Times New Roman" w:cs="Times New Roman"/>
          <w:sz w:val="24"/>
          <w:szCs w:val="24"/>
          <w:lang w:val="en-US"/>
        </w:rPr>
        <w:t>Computer Law &amp; Security Review</w:t>
      </w:r>
    </w:p>
    <w:p w:rsidR="003E1E00" w:rsidRPr="00D147A7" w:rsidRDefault="003E1E00" w:rsidP="003E1E00">
      <w:pPr>
        <w:pStyle w:val="Geenafstand"/>
        <w:jc w:val="both"/>
        <w:rPr>
          <w:rFonts w:ascii="Times New Roman" w:hAnsi="Times New Roman" w:cs="Times New Roman"/>
          <w:smallCaps/>
          <w:sz w:val="24"/>
          <w:szCs w:val="24"/>
          <w:lang w:val="en-US"/>
        </w:rPr>
      </w:pPr>
      <w:r w:rsidRPr="00D147A7">
        <w:rPr>
          <w:rFonts w:ascii="Times New Roman" w:hAnsi="Times New Roman" w:cs="Times New Roman"/>
          <w:sz w:val="24"/>
          <w:szCs w:val="24"/>
          <w:lang w:val="en-US"/>
        </w:rPr>
        <w:t>E.J.H.L.</w:t>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t>European Journal of Health Law</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E.J.P.C.</w:t>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t xml:space="preserve"> </w:t>
      </w:r>
      <w:r w:rsidRPr="00D147A7">
        <w:rPr>
          <w:rFonts w:ascii="Times New Roman" w:hAnsi="Times New Roman" w:cs="Times New Roman"/>
          <w:sz w:val="24"/>
          <w:szCs w:val="24"/>
          <w:lang w:val="en-US"/>
        </w:rPr>
        <w:tab/>
        <w:t>European Journal of Palliative Care</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E.T.S</w:t>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t>European Treaty Series</w:t>
      </w:r>
    </w:p>
    <w:p w:rsidR="003E1E00" w:rsidRPr="00D147A7" w:rsidRDefault="003E1E00" w:rsidP="003E1E00">
      <w:pPr>
        <w:pStyle w:val="Geenafstand"/>
        <w:jc w:val="both"/>
        <w:rPr>
          <w:rFonts w:ascii="Times New Roman" w:hAnsi="Times New Roman" w:cs="Times New Roman"/>
          <w:iCs/>
          <w:color w:val="000000"/>
          <w:sz w:val="24"/>
          <w:szCs w:val="24"/>
          <w:shd w:val="clear" w:color="auto" w:fill="FFFFFF"/>
          <w:lang w:val="fr-BE"/>
        </w:rPr>
      </w:pPr>
      <w:r w:rsidRPr="00D147A7">
        <w:rPr>
          <w:rFonts w:ascii="Times New Roman" w:hAnsi="Times New Roman" w:cs="Times New Roman"/>
          <w:iCs/>
          <w:color w:val="000000"/>
          <w:sz w:val="24"/>
          <w:szCs w:val="24"/>
          <w:shd w:val="clear" w:color="auto" w:fill="FFFFFF"/>
          <w:lang w:val="fr-BE"/>
        </w:rPr>
        <w:t>JDE</w:t>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t>Journal de droit européen</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fr-BE"/>
        </w:rPr>
        <w:t>J.M.I.R.</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en-US"/>
        </w:rPr>
        <w:t>Journal of Medical Internet Research</w:t>
      </w:r>
      <w:r w:rsidRPr="00D147A7">
        <w:rPr>
          <w:rStyle w:val="Voetnootmarkering"/>
          <w:rFonts w:ascii="Times New Roman" w:hAnsi="Times New Roman" w:cs="Times New Roman"/>
          <w:sz w:val="24"/>
          <w:szCs w:val="24"/>
        </w:rPr>
        <w:footnoteReference w:id="14"/>
      </w:r>
    </w:p>
    <w:p w:rsidR="003E1E00" w:rsidRPr="00D147A7" w:rsidRDefault="003E1E00" w:rsidP="003E1E00">
      <w:pPr>
        <w:pStyle w:val="Geenafstand"/>
        <w:jc w:val="both"/>
        <w:rPr>
          <w:rFonts w:ascii="Times New Roman" w:hAnsi="Times New Roman" w:cs="Times New Roman"/>
          <w:smallCaps/>
          <w:sz w:val="24"/>
          <w:szCs w:val="24"/>
          <w:lang w:val="fr-BE"/>
        </w:rPr>
      </w:pPr>
      <w:r w:rsidRPr="00D147A7">
        <w:rPr>
          <w:rFonts w:ascii="Times New Roman" w:hAnsi="Times New Roman" w:cs="Times New Roman"/>
          <w:smallCaps/>
          <w:sz w:val="24"/>
          <w:szCs w:val="24"/>
          <w:lang w:val="fr-BE"/>
        </w:rPr>
        <w:t>J.M.L.</w:t>
      </w:r>
      <w:r w:rsidRPr="00D147A7">
        <w:rPr>
          <w:rFonts w:ascii="Times New Roman" w:hAnsi="Times New Roman" w:cs="Times New Roman"/>
          <w:smallCaps/>
          <w:sz w:val="24"/>
          <w:szCs w:val="24"/>
          <w:lang w:val="fr-BE"/>
        </w:rPr>
        <w:tab/>
      </w:r>
      <w:r w:rsidRPr="00D147A7">
        <w:rPr>
          <w:rFonts w:ascii="Times New Roman" w:hAnsi="Times New Roman" w:cs="Times New Roman"/>
          <w:smallCaps/>
          <w:sz w:val="24"/>
          <w:szCs w:val="24"/>
          <w:lang w:val="fr-BE"/>
        </w:rPr>
        <w:tab/>
      </w:r>
      <w:r w:rsidRPr="00D147A7">
        <w:rPr>
          <w:rFonts w:ascii="Times New Roman" w:hAnsi="Times New Roman" w:cs="Times New Roman"/>
          <w:smallCaps/>
          <w:sz w:val="24"/>
          <w:szCs w:val="24"/>
          <w:lang w:val="fr-BE"/>
        </w:rPr>
        <w:tab/>
      </w:r>
      <w:r w:rsidRPr="00D147A7">
        <w:rPr>
          <w:rFonts w:ascii="Times New Roman" w:hAnsi="Times New Roman" w:cs="Times New Roman"/>
          <w:smallCaps/>
          <w:sz w:val="24"/>
          <w:szCs w:val="24"/>
          <w:lang w:val="fr-BE"/>
        </w:rPr>
        <w:tab/>
      </w:r>
      <w:r w:rsidRPr="00D147A7">
        <w:rPr>
          <w:rFonts w:ascii="Times New Roman" w:hAnsi="Times New Roman" w:cs="Times New Roman"/>
          <w:sz w:val="24"/>
          <w:szCs w:val="24"/>
          <w:lang w:val="fr-BE"/>
        </w:rPr>
        <w:t>Journal de médecine légal droit médical</w:t>
      </w:r>
    </w:p>
    <w:p w:rsidR="003E1E00" w:rsidRPr="00D147A7" w:rsidRDefault="003E1E00" w:rsidP="003E1E00">
      <w:pPr>
        <w:pStyle w:val="Geenafstand"/>
        <w:jc w:val="both"/>
        <w:rPr>
          <w:rFonts w:ascii="Times New Roman" w:hAnsi="Times New Roman" w:cs="Times New Roman"/>
          <w:b/>
          <w:smallCaps/>
          <w:sz w:val="24"/>
          <w:szCs w:val="24"/>
          <w:lang w:val="fr-BE"/>
        </w:rPr>
      </w:pPr>
      <w:r w:rsidRPr="00D147A7">
        <w:rPr>
          <w:rFonts w:ascii="Times New Roman" w:hAnsi="Times New Roman" w:cs="Times New Roman"/>
          <w:sz w:val="24"/>
          <w:szCs w:val="24"/>
          <w:lang w:val="fr-BE"/>
        </w:rPr>
        <w:t xml:space="preserve">R.M.C. </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du marché commun et de l’Union européenne</w:t>
      </w:r>
    </w:p>
    <w:p w:rsidR="003E1E00" w:rsidRPr="00D147A7" w:rsidRDefault="003E1E00" w:rsidP="003E1E00">
      <w:pPr>
        <w:pStyle w:val="Geenafstand"/>
        <w:jc w:val="both"/>
        <w:rPr>
          <w:rFonts w:ascii="Times New Roman" w:hAnsi="Times New Roman" w:cs="Times New Roman"/>
          <w:b/>
          <w:smallCaps/>
          <w:sz w:val="24"/>
          <w:szCs w:val="24"/>
          <w:lang w:val="fr-BE"/>
        </w:rPr>
      </w:pPr>
      <w:r w:rsidRPr="00D147A7">
        <w:rPr>
          <w:rFonts w:ascii="Times New Roman" w:hAnsi="Times New Roman" w:cs="Times New Roman"/>
          <w:sz w:val="24"/>
          <w:szCs w:val="24"/>
          <w:lang w:val="fr-BE"/>
        </w:rPr>
        <w:t>R.E.D.C.</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européenne de droit de la consommation</w:t>
      </w:r>
    </w:p>
    <w:p w:rsidR="003E1E00" w:rsidRPr="00D147A7" w:rsidRDefault="003E1E00" w:rsidP="003E1E00">
      <w:pPr>
        <w:pStyle w:val="Geenafstand"/>
        <w:jc w:val="both"/>
        <w:rPr>
          <w:rFonts w:ascii="Times New Roman" w:hAnsi="Times New Roman" w:cs="Times New Roman"/>
          <w:b/>
          <w:smallCaps/>
          <w:sz w:val="24"/>
          <w:szCs w:val="24"/>
          <w:lang w:val="fr-BE"/>
        </w:rPr>
      </w:pPr>
    </w:p>
    <w:p w:rsidR="003E1E00" w:rsidRPr="00D147A7" w:rsidRDefault="003E1E00" w:rsidP="003E1E00">
      <w:pPr>
        <w:pStyle w:val="Geenafstand"/>
        <w:jc w:val="both"/>
        <w:rPr>
          <w:rFonts w:ascii="Times New Roman" w:hAnsi="Times New Roman" w:cs="Times New Roman"/>
          <w:b/>
          <w:sz w:val="24"/>
          <w:szCs w:val="24"/>
          <w:lang w:val="en-US"/>
        </w:rPr>
      </w:pPr>
      <w:r w:rsidRPr="00D147A7">
        <w:rPr>
          <w:rFonts w:ascii="Times New Roman" w:hAnsi="Times New Roman" w:cs="Times New Roman"/>
          <w:smallCaps/>
          <w:sz w:val="24"/>
          <w:szCs w:val="24"/>
          <w:lang w:val="fr-BE"/>
        </w:rPr>
        <w:tab/>
      </w:r>
      <w:r w:rsidRPr="00D147A7">
        <w:rPr>
          <w:rFonts w:ascii="Times New Roman" w:hAnsi="Times New Roman" w:cs="Times New Roman"/>
          <w:b/>
          <w:sz w:val="24"/>
          <w:szCs w:val="24"/>
          <w:lang w:val="en-US"/>
        </w:rPr>
        <w:t>2.2 België</w:t>
      </w:r>
    </w:p>
    <w:p w:rsidR="003E1E00" w:rsidRPr="00D147A7" w:rsidRDefault="003E1E00" w:rsidP="003E1E00">
      <w:pPr>
        <w:pStyle w:val="Geenafstand"/>
        <w:jc w:val="both"/>
        <w:rPr>
          <w:rFonts w:ascii="Times New Roman" w:hAnsi="Times New Roman" w:cs="Times New Roman"/>
          <w:smallCaps/>
          <w:sz w:val="24"/>
          <w:szCs w:val="24"/>
          <w:lang w:val="en-US"/>
        </w:rPr>
      </w:pPr>
    </w:p>
    <w:p w:rsidR="003E1E00" w:rsidRPr="00D147A7" w:rsidRDefault="003E1E00" w:rsidP="003E1E00">
      <w:pPr>
        <w:pStyle w:val="Geenafstand"/>
        <w:ind w:left="2832" w:hanging="2832"/>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4instance</w:t>
      </w:r>
      <w:r w:rsidRPr="00D147A7">
        <w:rPr>
          <w:rFonts w:ascii="Times New Roman" w:hAnsi="Times New Roman" w:cs="Times New Roman"/>
          <w:sz w:val="24"/>
          <w:szCs w:val="24"/>
          <w:lang w:val="en-US"/>
        </w:rPr>
        <w:tab/>
        <w:t>4instance: periodical for public management</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A.B.B.</w:t>
      </w:r>
      <w:r w:rsidRPr="00D147A7">
        <w:rPr>
          <w:rFonts w:ascii="Times New Roman" w:hAnsi="Times New Roman" w:cs="Times New Roman"/>
          <w:sz w:val="24"/>
          <w:szCs w:val="24"/>
        </w:rPr>
        <w:tab/>
        <w:t>Archief- en Bibliotheekwezen in België</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A.Hosp.</w:t>
      </w:r>
      <w:r w:rsidRPr="00D147A7">
        <w:rPr>
          <w:rFonts w:ascii="Times New Roman" w:hAnsi="Times New Roman" w:cs="Times New Roman"/>
          <w:sz w:val="24"/>
          <w:szCs w:val="24"/>
        </w:rPr>
        <w:tab/>
        <w:t>Acta Hospitalia</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AT2</w:t>
      </w:r>
      <w:r w:rsidRPr="00D147A7">
        <w:rPr>
          <w:rFonts w:ascii="Times New Roman" w:hAnsi="Times New Roman" w:cs="Times New Roman"/>
          <w:sz w:val="24"/>
          <w:szCs w:val="24"/>
        </w:rPr>
        <w:tab/>
        <w:t xml:space="preserve">COPPENS, H., </w:t>
      </w:r>
      <w:r w:rsidRPr="00D147A7">
        <w:rPr>
          <w:rFonts w:ascii="Times New Roman" w:hAnsi="Times New Roman" w:cs="Times New Roman"/>
          <w:i/>
          <w:sz w:val="24"/>
          <w:szCs w:val="24"/>
        </w:rPr>
        <w:t>Archiefterminologie (AT2)</w:t>
      </w:r>
      <w:r w:rsidRPr="00D147A7">
        <w:rPr>
          <w:rFonts w:ascii="Times New Roman" w:hAnsi="Times New Roman" w:cs="Times New Roman"/>
          <w:sz w:val="24"/>
          <w:szCs w:val="24"/>
        </w:rPr>
        <w:t>, Miscellanea Archi</w:t>
      </w:r>
      <w:r w:rsidR="004C7924">
        <w:rPr>
          <w:rFonts w:ascii="Times New Roman" w:hAnsi="Times New Roman" w:cs="Times New Roman"/>
          <w:sz w:val="24"/>
          <w:szCs w:val="24"/>
        </w:rPr>
        <w:t>-</w:t>
      </w:r>
      <w:r w:rsidRPr="00D147A7">
        <w:rPr>
          <w:rFonts w:ascii="Times New Roman" w:hAnsi="Times New Roman" w:cs="Times New Roman"/>
          <w:sz w:val="24"/>
          <w:szCs w:val="24"/>
        </w:rPr>
        <w:t>vistica Manuale, 49, Brussel, Algemeen Rijksarchief en Rijks</w:t>
      </w:r>
      <w:r w:rsidR="004C7924">
        <w:rPr>
          <w:rFonts w:ascii="Times New Roman" w:hAnsi="Times New Roman" w:cs="Times New Roman"/>
          <w:sz w:val="24"/>
          <w:szCs w:val="24"/>
        </w:rPr>
        <w:t>-</w:t>
      </w:r>
      <w:r w:rsidRPr="00D147A7">
        <w:rPr>
          <w:rFonts w:ascii="Times New Roman" w:hAnsi="Times New Roman" w:cs="Times New Roman"/>
          <w:sz w:val="24"/>
          <w:szCs w:val="24"/>
        </w:rPr>
        <w:t xml:space="preserve">archief in de Provinciën, 2004, 229p. </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ATNV</w:t>
      </w:r>
      <w:r w:rsidRPr="00D147A7">
        <w:rPr>
          <w:rFonts w:ascii="Times New Roman" w:hAnsi="Times New Roman" w:cs="Times New Roman"/>
          <w:sz w:val="24"/>
          <w:szCs w:val="24"/>
        </w:rPr>
        <w:tab/>
        <w:t xml:space="preserve">DEN TEULING, A.J.M., </w:t>
      </w:r>
      <w:r w:rsidRPr="00D147A7">
        <w:rPr>
          <w:rFonts w:ascii="Times New Roman" w:hAnsi="Times New Roman" w:cs="Times New Roman"/>
          <w:i/>
          <w:sz w:val="24"/>
          <w:szCs w:val="24"/>
        </w:rPr>
        <w:t>Archiefterminologie voor Nederland en Vlaanderen</w:t>
      </w:r>
      <w:r w:rsidRPr="00D147A7">
        <w:rPr>
          <w:rFonts w:ascii="Times New Roman" w:hAnsi="Times New Roman" w:cs="Times New Roman"/>
          <w:sz w:val="24"/>
          <w:szCs w:val="24"/>
        </w:rPr>
        <w:t>, Den Haag, Stichting Archiefpublicaties, 2007².</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Artsenkrant</w:t>
      </w:r>
      <w:r w:rsidRPr="00D147A7">
        <w:rPr>
          <w:rFonts w:ascii="Times New Roman" w:hAnsi="Times New Roman" w:cs="Times New Roman"/>
          <w:sz w:val="24"/>
          <w:szCs w:val="24"/>
        </w:rPr>
        <w:tab/>
        <w:t>Artsenkrant: halfwekelijks blad voor het artsenkorps</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B.A.G.</w:t>
      </w:r>
      <w:r w:rsidRPr="00D147A7">
        <w:rPr>
          <w:rFonts w:ascii="Times New Roman" w:hAnsi="Times New Roman" w:cs="Times New Roman"/>
          <w:sz w:val="24"/>
          <w:szCs w:val="24"/>
        </w:rPr>
        <w:tab/>
        <w:t>Bibliotheek- en Archiefgids</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B.T.S.Z.</w:t>
      </w:r>
      <w:r w:rsidRPr="00D147A7">
        <w:rPr>
          <w:rFonts w:ascii="Times New Roman" w:hAnsi="Times New Roman" w:cs="Times New Roman"/>
          <w:sz w:val="24"/>
          <w:szCs w:val="24"/>
        </w:rPr>
        <w:tab/>
        <w:t>Belgisch tijdschrift voor sociale zekerheid</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Comm. Pers.</w:t>
      </w:r>
      <w:r w:rsidRPr="00D147A7">
        <w:rPr>
          <w:rFonts w:ascii="Times New Roman" w:hAnsi="Times New Roman" w:cs="Times New Roman"/>
          <w:sz w:val="24"/>
          <w:szCs w:val="24"/>
        </w:rPr>
        <w:tab/>
        <w:t>Artikelsgewijze commentaar personen- en familierecht</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Con.M. </w:t>
      </w:r>
      <w:r w:rsidRPr="00D147A7">
        <w:rPr>
          <w:rFonts w:ascii="Times New Roman" w:hAnsi="Times New Roman" w:cs="Times New Roman"/>
          <w:sz w:val="24"/>
          <w:szCs w:val="24"/>
        </w:rPr>
        <w:tab/>
        <w:t>Consilio Manuque: Belgisch tijds</w:t>
      </w:r>
      <w:r w:rsidR="00C04265">
        <w:rPr>
          <w:rFonts w:ascii="Times New Roman" w:hAnsi="Times New Roman" w:cs="Times New Roman"/>
          <w:sz w:val="24"/>
          <w:szCs w:val="24"/>
        </w:rPr>
        <w:t xml:space="preserve">chrift voor lichamelijke schade </w:t>
      </w:r>
      <w:r w:rsidRPr="00D147A7">
        <w:rPr>
          <w:rFonts w:ascii="Times New Roman" w:hAnsi="Times New Roman" w:cs="Times New Roman"/>
          <w:sz w:val="24"/>
          <w:szCs w:val="24"/>
        </w:rPr>
        <w:t>en gerechtelijke geneeskunde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D.C.C.R.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Consumentenrecht</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rPr>
        <w:t>D.I.T.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lang w:val="fr-BE"/>
        </w:rPr>
        <w:t>Droit de l’informatique et des télécoms</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D&amp;T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Deontologie en Tuchtrecht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Fedra </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Fedra: het magazine van de ambtenaar</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Hosp.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Hospitalia</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Inf.RIZIV</w:t>
      </w:r>
      <w:r w:rsidRPr="00D147A7">
        <w:rPr>
          <w:rFonts w:ascii="Times New Roman" w:hAnsi="Times New Roman" w:cs="Times New Roman"/>
          <w:sz w:val="24"/>
          <w:szCs w:val="24"/>
        </w:rPr>
        <w:tab/>
        <w:t>Informatieblad van het Rijksinstituut voor Ziekte- en Invalidi</w:t>
      </w:r>
      <w:r w:rsidR="004C7924">
        <w:rPr>
          <w:rFonts w:ascii="Times New Roman" w:hAnsi="Times New Roman" w:cs="Times New Roman"/>
          <w:sz w:val="24"/>
          <w:szCs w:val="24"/>
        </w:rPr>
        <w:t>-</w:t>
      </w:r>
      <w:r w:rsidRPr="00D147A7">
        <w:rPr>
          <w:rFonts w:ascii="Times New Roman" w:hAnsi="Times New Roman" w:cs="Times New Roman"/>
          <w:sz w:val="24"/>
          <w:szCs w:val="24"/>
        </w:rPr>
        <w:t>teitsverzekering</w:t>
      </w:r>
    </w:p>
    <w:p w:rsidR="003E1E00" w:rsidRPr="00D147A7" w:rsidRDefault="003E1E00" w:rsidP="003E1E00">
      <w:pPr>
        <w:pStyle w:val="Geenafstand"/>
        <w:ind w:left="2832" w:hanging="2832"/>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J.L.M.B.</w:t>
      </w:r>
      <w:r w:rsidRPr="00D147A7">
        <w:rPr>
          <w:rFonts w:ascii="Times New Roman" w:hAnsi="Times New Roman" w:cs="Times New Roman"/>
          <w:sz w:val="24"/>
          <w:szCs w:val="24"/>
          <w:lang w:val="fr-BE"/>
        </w:rPr>
        <w:tab/>
        <w:t>Revue de jurisprudence de Liège, Mons et Bruxelles</w:t>
      </w:r>
    </w:p>
    <w:p w:rsidR="003E1E00" w:rsidRPr="00D147A7" w:rsidRDefault="003E1E00" w:rsidP="003E1E00">
      <w:pPr>
        <w:pStyle w:val="Geenafstand"/>
        <w:ind w:left="2832" w:hanging="2832"/>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J.T.</w:t>
      </w:r>
      <w:r w:rsidRPr="00D147A7">
        <w:rPr>
          <w:rFonts w:ascii="Times New Roman" w:hAnsi="Times New Roman" w:cs="Times New Roman"/>
          <w:sz w:val="24"/>
          <w:szCs w:val="24"/>
          <w:lang w:val="fr-BE"/>
        </w:rPr>
        <w:tab/>
        <w:t>Journal des tribunaux</w:t>
      </w:r>
    </w:p>
    <w:p w:rsidR="003E1E00" w:rsidRPr="00D147A7" w:rsidRDefault="003E1E00" w:rsidP="003E1E00">
      <w:pPr>
        <w:pStyle w:val="Geenafstand"/>
        <w:ind w:left="2832" w:hanging="2832"/>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J.T.D.E.</w:t>
      </w:r>
      <w:r w:rsidRPr="00D147A7">
        <w:rPr>
          <w:rFonts w:ascii="Times New Roman" w:hAnsi="Times New Roman" w:cs="Times New Roman"/>
          <w:sz w:val="24"/>
          <w:szCs w:val="24"/>
          <w:lang w:val="fr-BE"/>
        </w:rPr>
        <w:tab/>
        <w:t>Journal des tribunaux – droit européen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J.T.T.</w:t>
      </w:r>
      <w:r w:rsidRPr="00D147A7">
        <w:rPr>
          <w:rFonts w:ascii="Times New Roman" w:hAnsi="Times New Roman" w:cs="Times New Roman"/>
          <w:sz w:val="24"/>
          <w:szCs w:val="24"/>
        </w:rPr>
        <w:tab/>
        <w:t>Arbeidsrecht, sociale zekerheid, sociaal procesrecht, sociaal strafrecht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Jura Falc.</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Jura Falconis. Juridisch wetenschappelijk studententijdschrift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Med.V.B.O.</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VBO Mededelingen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N.C.</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Nullum Crimen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N.J.W.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Nieuw Juridisch Weekblad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Not.Fisc.M.</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Notariaat: notarieel en fiscaal maandblad</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Ors.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Orientations: droit social – gestion du personnel</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P&amp;B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procesrecht en bewijsrecht</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R.C.J.B.</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critique de jurisprudence belge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R.D.T.I.</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du Droit des Technologies de l’Information</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R.G.A.R.</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générale des assurances et des responsabilités</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Rechtskundig Weekblad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Soc.Kron.</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Sociaalrechtelijke Kronieken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S&amp;P</w:t>
      </w:r>
      <w:r w:rsidRPr="00D147A7">
        <w:rPr>
          <w:rFonts w:ascii="Times New Roman" w:hAnsi="Times New Roman" w:cs="Times New Roman"/>
          <w:sz w:val="24"/>
          <w:szCs w:val="24"/>
        </w:rPr>
        <w:tab/>
        <w:t>Samenleving en politiek: tijdschrift voor een democratisch so</w:t>
      </w:r>
      <w:r w:rsidR="00C04265">
        <w:rPr>
          <w:rFonts w:ascii="Times New Roman" w:hAnsi="Times New Roman" w:cs="Times New Roman"/>
          <w:sz w:val="24"/>
          <w:szCs w:val="24"/>
        </w:rPr>
        <w:t>-</w:t>
      </w:r>
      <w:r w:rsidRPr="00D147A7">
        <w:rPr>
          <w:rFonts w:ascii="Times New Roman" w:hAnsi="Times New Roman" w:cs="Times New Roman"/>
          <w:sz w:val="24"/>
          <w:szCs w:val="24"/>
        </w:rPr>
        <w:t>cialisme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T.App.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appartements- en immorecht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T.B.B.R.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Belgisch burgerlijk 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T.B.P.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bestuurswetenschappen en publiekrecht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T.Gez.</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Tijdschrift voor gezondheidsrecht</w:t>
      </w:r>
    </w:p>
    <w:p w:rsidR="003E1E00" w:rsidRPr="00D147A7" w:rsidRDefault="003E1E00" w:rsidP="004C7924">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T.N.R.</w:t>
      </w:r>
      <w:r w:rsidRPr="00D147A7">
        <w:rPr>
          <w:rFonts w:ascii="Times New Roman" w:hAnsi="Times New Roman" w:cs="Times New Roman"/>
          <w:sz w:val="24"/>
          <w:szCs w:val="24"/>
        </w:rPr>
        <w:tab/>
        <w:t>Tijdschrift van de Nationale Raad [van de Orde d</w:t>
      </w:r>
      <w:r w:rsidR="004C7924">
        <w:rPr>
          <w:rFonts w:ascii="Times New Roman" w:hAnsi="Times New Roman" w:cs="Times New Roman"/>
          <w:sz w:val="24"/>
          <w:szCs w:val="24"/>
        </w:rPr>
        <w:t xml:space="preserve">er </w:t>
      </w:r>
      <w:r w:rsidRPr="00D147A7">
        <w:rPr>
          <w:rFonts w:ascii="Times New Roman" w:hAnsi="Times New Roman" w:cs="Times New Roman"/>
          <w:sz w:val="24"/>
          <w:szCs w:val="24"/>
        </w:rPr>
        <w:t>geneeshe</w:t>
      </w:r>
      <w:r w:rsidR="00C04265">
        <w:rPr>
          <w:rFonts w:ascii="Times New Roman" w:hAnsi="Times New Roman" w:cs="Times New Roman"/>
          <w:sz w:val="24"/>
          <w:szCs w:val="24"/>
        </w:rPr>
        <w:t>-</w:t>
      </w:r>
      <w:r w:rsidRPr="00D147A7">
        <w:rPr>
          <w:rFonts w:ascii="Times New Roman" w:hAnsi="Times New Roman" w:cs="Times New Roman"/>
          <w:sz w:val="24"/>
          <w:szCs w:val="24"/>
        </w:rPr>
        <w:t>ren]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T.O.R.B.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onderwijsrecht en onderwijsbeleid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T.P.R.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Tijdschrift voor privaatrecht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T.S.R.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sociaalrecht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T.v.G.</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geneeskunde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T.v.W.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wetgeving</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Vl.T.Gez.</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Vlaams tijdschrift voor gezondheidsrecht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Vl.T.O.</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Vlaams tijdschrift voor overheidsmanagement</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W.A.V.</w:t>
      </w:r>
      <w:r w:rsidRPr="00D147A7">
        <w:rPr>
          <w:rFonts w:ascii="Times New Roman" w:hAnsi="Times New Roman" w:cs="Times New Roman"/>
          <w:sz w:val="24"/>
          <w:szCs w:val="24"/>
        </w:rPr>
        <w:tab/>
        <w:t>Werkgelegenheid, arbeid, vorming: nieuwsbrief van het Steun</w:t>
      </w:r>
      <w:r w:rsidR="004C7924">
        <w:rPr>
          <w:rFonts w:ascii="Times New Roman" w:hAnsi="Times New Roman" w:cs="Times New Roman"/>
          <w:sz w:val="24"/>
          <w:szCs w:val="24"/>
        </w:rPr>
        <w:t>-</w:t>
      </w:r>
      <w:r w:rsidRPr="00D147A7">
        <w:rPr>
          <w:rFonts w:ascii="Times New Roman" w:hAnsi="Times New Roman" w:cs="Times New Roman"/>
          <w:sz w:val="24"/>
          <w:szCs w:val="24"/>
        </w:rPr>
        <w:t>punt WAV</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smallCaps/>
          <w:sz w:val="24"/>
          <w:szCs w:val="24"/>
        </w:rPr>
        <w:tab/>
      </w:r>
      <w:r w:rsidRPr="00D147A7">
        <w:rPr>
          <w:rFonts w:ascii="Times New Roman" w:hAnsi="Times New Roman" w:cs="Times New Roman"/>
          <w:b/>
          <w:sz w:val="24"/>
          <w:szCs w:val="24"/>
        </w:rPr>
        <w:t>2.3 Nederland</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Bedrijfsjuridische berichten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Computerr.</w:t>
      </w:r>
      <w:r w:rsidRPr="00D147A7">
        <w:rPr>
          <w:rFonts w:ascii="Times New Roman" w:hAnsi="Times New Roman" w:cs="Times New Roman"/>
          <w:sz w:val="24"/>
          <w:szCs w:val="24"/>
        </w:rPr>
        <w:tab/>
        <w:t>Computerrecht: tijdschrift voor informatica, telecommunicatie en 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M.C.</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Medisch Contact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N.A.</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 Archievenblad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N.J.B.</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 Juristenblad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N.T.E.R.</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 tijdschrift voor Europees 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N.T.G.</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 </w:t>
      </w:r>
      <w:r w:rsidRPr="00D147A7">
        <w:rPr>
          <w:rFonts w:ascii="Times New Roman" w:hAnsi="Times New Roman" w:cs="Times New Roman"/>
          <w:sz w:val="24"/>
          <w:szCs w:val="24"/>
        </w:rPr>
        <w:tab/>
        <w:t>Nederlands tijdschrift voor geneeskunde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NTMA</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NTMA. Tijdschrift voor zorgadministratie en informatie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N.T.T.</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Nederlands Tijdschrift voor Tandheelkunde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P&amp;I</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Privacy en Informatie</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P.W.</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Pharmaceutisch Weekblad</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T.G.</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gezondheidsrecht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T.I.</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internetrecht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Trema</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de Rechterlijke Macht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T.S.G.</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gezondheidswetenschappen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T.V.</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Tijdschrift voor verloskundigen</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Z&amp;F</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Zorg &amp; Financiering</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smallCaps/>
          <w:sz w:val="24"/>
          <w:szCs w:val="24"/>
        </w:rPr>
        <w:tab/>
      </w:r>
      <w:r w:rsidRPr="00D147A7">
        <w:rPr>
          <w:rFonts w:ascii="Times New Roman" w:hAnsi="Times New Roman" w:cs="Times New Roman"/>
          <w:b/>
          <w:sz w:val="24"/>
          <w:szCs w:val="24"/>
        </w:rPr>
        <w:t>2.4 Frankrijk</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rPr>
        <w:t>A.D.S.P.</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lang w:val="fr-BE"/>
        </w:rPr>
        <w:t>Actualité et Dossier en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A.J.D.A. </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Actualité Juridique – Droit administratif</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A.J.S.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Actualités JuriSanté</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lastRenderedPageBreak/>
        <w:t>A.S.H.</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Actualités sociales hebdomadaires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B.J.P.H.</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Bulletin juridique du praticien hospitalier</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B.J.S.P.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Bulletin juridique de la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B.O.M.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Bulletin de l’Ordre des Médecins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Le concours médical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E.M.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Espérance médicale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G.H.</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Gestions hospitalières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G.P.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Gazette du Palais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G.S.S.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La Gazette Santé Social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J.M.L.</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Journal de médicine légale droit médicale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J.P.C.</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Journal des plaies et cicatrisations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G.A.N.S.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La Gazette des Archives – nouvelle série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L.D.I.</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Lamy droit de l’informatique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Liaisons sociales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M.D.</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Médecine et droit: information éthique et juridique du praticien</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M.I.M.</w:t>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r>
      <w:r w:rsidRPr="00D147A7">
        <w:rPr>
          <w:rFonts w:ascii="Times New Roman" w:hAnsi="Times New Roman" w:cs="Times New Roman"/>
          <w:sz w:val="24"/>
          <w:szCs w:val="24"/>
          <w:lang w:val="en-US"/>
        </w:rPr>
        <w:tab/>
        <w:t xml:space="preserve"> </w:t>
      </w:r>
      <w:r w:rsidRPr="00D147A7">
        <w:rPr>
          <w:rFonts w:ascii="Times New Roman" w:hAnsi="Times New Roman" w:cs="Times New Roman"/>
          <w:sz w:val="24"/>
          <w:szCs w:val="24"/>
          <w:lang w:val="en-US"/>
        </w:rPr>
        <w:tab/>
        <w:t>Methods of information in medicine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M.S.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Médecine Sciences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O.S.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Objectif Soins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R.D.S.</w:t>
      </w:r>
      <w:r w:rsidRPr="00D147A7">
        <w:rPr>
          <w:rFonts w:ascii="Times New Roman" w:hAnsi="Times New Roman" w:cs="Times New Roman"/>
          <w:sz w:val="24"/>
          <w:szCs w:val="24"/>
          <w:lang w:val="fr-BE"/>
        </w:rPr>
        <w:tab/>
        <w:t>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de droit sanitaire et social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R.E.S.P.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d’épidemiologie et de santé publique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R.F.Q.H.</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fondamentale des questions hospitalières</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R.G.D.M.</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générale de droit médical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R.H.F.</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hospitalière de France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R.I.P.</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Revue Internationale de Pédiatrie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R.L.D.I.</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Revue Lamy droit de l’immatériel</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R.P.M.G.</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La revue du praticien médecine générale</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R.S.T.</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Réseaux, santé &amp; territoires</w:t>
      </w:r>
    </w:p>
    <w:p w:rsidR="003E1E00" w:rsidRPr="00D147A7" w:rsidRDefault="003E1E00" w:rsidP="003E1E00">
      <w:pPr>
        <w:pStyle w:val="Geenafstand"/>
        <w:jc w:val="both"/>
        <w:rPr>
          <w:rFonts w:ascii="Times New Roman" w:hAnsi="Times New Roman" w:cs="Times New Roman"/>
          <w:sz w:val="24"/>
          <w:szCs w:val="24"/>
          <w:highlight w:val="yellow"/>
          <w:lang w:val="fr-BE"/>
        </w:rPr>
      </w:pPr>
      <w:r w:rsidRPr="00D147A7">
        <w:rPr>
          <w:rFonts w:ascii="Times New Roman" w:hAnsi="Times New Roman" w:cs="Times New Roman"/>
          <w:sz w:val="24"/>
          <w:szCs w:val="24"/>
          <w:lang w:val="fr-BE"/>
        </w:rPr>
        <w:t xml:space="preserve">Sève </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Sève: les tribunes de la santé</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Soins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Soins - cadres de santé</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T.H.M.S.</w:t>
      </w:r>
      <w:r w:rsidRPr="00D147A7">
        <w:rPr>
          <w:rFonts w:ascii="Times New Roman" w:hAnsi="Times New Roman" w:cs="Times New Roman"/>
          <w:sz w:val="24"/>
          <w:szCs w:val="24"/>
          <w:lang w:val="fr-BE"/>
        </w:rPr>
        <w:tab/>
      </w:r>
      <w:r w:rsidRPr="00D147A7">
        <w:rPr>
          <w:rFonts w:ascii="Times New Roman" w:hAnsi="Times New Roman" w:cs="Times New Roman"/>
          <w:sz w:val="24"/>
          <w:szCs w:val="24"/>
          <w:lang w:val="fr-BE"/>
        </w:rPr>
        <w:tab/>
        <w:t xml:space="preserve"> </w:t>
      </w:r>
      <w:r w:rsidRPr="00D147A7">
        <w:rPr>
          <w:rFonts w:ascii="Times New Roman" w:hAnsi="Times New Roman" w:cs="Times New Roman"/>
          <w:sz w:val="24"/>
          <w:szCs w:val="24"/>
          <w:lang w:val="fr-BE"/>
        </w:rPr>
        <w:tab/>
        <w:t>Techniques hospitalières médico-sociales et sanitaires</w:t>
      </w:r>
    </w:p>
    <w:p w:rsidR="003E1E00" w:rsidRPr="00D147A7" w:rsidRDefault="003E1E00" w:rsidP="003E1E00">
      <w:pPr>
        <w:pStyle w:val="Geenafstand"/>
        <w:jc w:val="both"/>
        <w:rPr>
          <w:rFonts w:ascii="Times New Roman" w:hAnsi="Times New Roman" w:cs="Times New Roman"/>
          <w:iCs/>
          <w:color w:val="000000"/>
          <w:sz w:val="24"/>
          <w:szCs w:val="24"/>
          <w:shd w:val="clear" w:color="auto" w:fill="FFFFFF"/>
          <w:lang w:val="fr-BE"/>
        </w:rPr>
      </w:pPr>
      <w:r w:rsidRPr="00D147A7">
        <w:rPr>
          <w:rFonts w:ascii="Times New Roman" w:hAnsi="Times New Roman" w:cs="Times New Roman"/>
          <w:iCs/>
          <w:color w:val="000000"/>
          <w:sz w:val="24"/>
          <w:szCs w:val="24"/>
          <w:shd w:val="clear" w:color="auto" w:fill="FFFFFF"/>
          <w:lang w:val="fr-BE"/>
        </w:rPr>
        <w:t>T.S.</w:t>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r>
      <w:r w:rsidRPr="00D147A7">
        <w:rPr>
          <w:rFonts w:ascii="Times New Roman" w:hAnsi="Times New Roman" w:cs="Times New Roman"/>
          <w:iCs/>
          <w:color w:val="000000"/>
          <w:sz w:val="24"/>
          <w:szCs w:val="24"/>
          <w:shd w:val="clear" w:color="auto" w:fill="FFFFFF"/>
          <w:lang w:val="fr-BE"/>
        </w:rPr>
        <w:tab/>
        <w:t>Les tribunes de la santé</w:t>
      </w:r>
    </w:p>
    <w:p w:rsidR="003E1E00" w:rsidRPr="00D147A7" w:rsidRDefault="003E1E00" w:rsidP="003E1E00">
      <w:pPr>
        <w:pStyle w:val="Geenafstand"/>
        <w:jc w:val="both"/>
        <w:rPr>
          <w:rFonts w:ascii="Times New Roman" w:hAnsi="Times New Roman" w:cs="Times New Roman"/>
          <w:sz w:val="24"/>
          <w:szCs w:val="24"/>
          <w:lang w:val="fr-BE"/>
        </w:rPr>
      </w:pP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3. Wetteksten</w:t>
      </w: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ab/>
      </w: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smallCaps/>
          <w:sz w:val="24"/>
          <w:szCs w:val="24"/>
        </w:rPr>
        <w:tab/>
      </w:r>
      <w:r w:rsidRPr="00D147A7">
        <w:rPr>
          <w:rFonts w:ascii="Times New Roman" w:hAnsi="Times New Roman" w:cs="Times New Roman"/>
          <w:b/>
          <w:sz w:val="24"/>
          <w:szCs w:val="24"/>
        </w:rPr>
        <w:t>3.1 Internationaal</w:t>
      </w:r>
      <w:r w:rsidRPr="00D147A7">
        <w:rPr>
          <w:rStyle w:val="Voetnootmarkering"/>
          <w:rFonts w:ascii="Times New Roman" w:hAnsi="Times New Roman" w:cs="Times New Roman"/>
          <w:b/>
          <w:sz w:val="24"/>
          <w:szCs w:val="24"/>
        </w:rPr>
        <w:footnoteReference w:id="15"/>
      </w:r>
    </w:p>
    <w:p w:rsidR="003E1E00" w:rsidRPr="00D147A7" w:rsidRDefault="003E1E00" w:rsidP="003E1E00">
      <w:pPr>
        <w:pStyle w:val="Geenafstand"/>
        <w:ind w:firstLine="708"/>
        <w:jc w:val="both"/>
        <w:rPr>
          <w:rFonts w:ascii="Times New Roman" w:hAnsi="Times New Roman" w:cs="Times New Roman"/>
          <w:b/>
          <w:sz w:val="24"/>
          <w:szCs w:val="24"/>
        </w:rPr>
      </w:pPr>
    </w:p>
    <w:p w:rsidR="003E1E00" w:rsidRPr="00D147A7" w:rsidRDefault="003E1E00" w:rsidP="003E1E00">
      <w:pPr>
        <w:pStyle w:val="Geenafstand"/>
        <w:ind w:left="2832" w:hanging="2832"/>
        <w:jc w:val="both"/>
        <w:rPr>
          <w:rFonts w:ascii="Times New Roman" w:hAnsi="Times New Roman" w:cs="Times New Roman"/>
          <w:b/>
          <w:sz w:val="24"/>
          <w:szCs w:val="24"/>
        </w:rPr>
      </w:pPr>
      <w:r w:rsidRPr="00D147A7">
        <w:rPr>
          <w:rFonts w:ascii="Times New Roman" w:hAnsi="Times New Roman" w:cs="Times New Roman"/>
        </w:rPr>
        <w:t xml:space="preserve">Aanbeveling 81/679/EEG </w:t>
      </w:r>
      <w:r w:rsidRPr="00D147A7">
        <w:rPr>
          <w:rFonts w:ascii="Times New Roman" w:hAnsi="Times New Roman" w:cs="Times New Roman"/>
        </w:rPr>
        <w:tab/>
        <w:t>Aanbeveling 81/679/EEG van de Commissie van 29 juli 1981 betref</w:t>
      </w:r>
      <w:r w:rsidR="004C7924">
        <w:rPr>
          <w:rFonts w:ascii="Times New Roman" w:hAnsi="Times New Roman" w:cs="Times New Roman"/>
        </w:rPr>
        <w:t>-</w:t>
      </w:r>
      <w:r w:rsidRPr="00D147A7">
        <w:rPr>
          <w:rFonts w:ascii="Times New Roman" w:hAnsi="Times New Roman" w:cs="Times New Roman"/>
        </w:rPr>
        <w:t>fende een overeenkomst van de Raad van Europa ter bescherming van de mens bij de automatische verwerking van op de persoon betrekking hebbende gegevens (</w:t>
      </w:r>
      <w:r w:rsidRPr="00D147A7">
        <w:rPr>
          <w:rFonts w:ascii="Times New Roman" w:hAnsi="Times New Roman" w:cs="Times New Roman"/>
          <w:i/>
        </w:rPr>
        <w:t>Pb.EG</w:t>
      </w:r>
      <w:r w:rsidRPr="00D147A7">
        <w:rPr>
          <w:rFonts w:ascii="Times New Roman" w:hAnsi="Times New Roman" w:cs="Times New Roman"/>
        </w:rPr>
        <w:t xml:space="preserve"> </w:t>
      </w:r>
      <w:r w:rsidRPr="00D147A7">
        <w:rPr>
          <w:rFonts w:ascii="Times New Roman" w:hAnsi="Times New Roman" w:cs="Times New Roman"/>
          <w:i/>
        </w:rPr>
        <w:t>L.</w:t>
      </w:r>
      <w:r w:rsidRPr="00D147A7">
        <w:rPr>
          <w:rFonts w:ascii="Times New Roman" w:hAnsi="Times New Roman" w:cs="Times New Roman"/>
        </w:rPr>
        <w:t xml:space="preserve"> 246, 29 augustus 1981)</w:t>
      </w:r>
    </w:p>
    <w:p w:rsidR="003E1E00" w:rsidRPr="00D147A7" w:rsidRDefault="003E1E00" w:rsidP="003E1E00">
      <w:pPr>
        <w:pStyle w:val="Geenafstand"/>
        <w:ind w:left="2832" w:hanging="2832"/>
        <w:jc w:val="both"/>
        <w:rPr>
          <w:rFonts w:ascii="Times New Roman" w:hAnsi="Times New Roman" w:cs="Times New Roman"/>
        </w:rPr>
      </w:pPr>
      <w:r w:rsidRPr="00D147A7">
        <w:rPr>
          <w:rFonts w:ascii="Times New Roman" w:hAnsi="Times New Roman" w:cs="Times New Roman"/>
        </w:rPr>
        <w:t>Aanbeveling nr. R(83)10</w:t>
      </w:r>
      <w:r w:rsidRPr="00D147A7">
        <w:rPr>
          <w:rFonts w:ascii="Times New Roman" w:hAnsi="Times New Roman" w:cs="Times New Roman"/>
        </w:rPr>
        <w:tab/>
        <w:t>Aanbeveling nr. R(83)10 van het Comité van Ministers aan de Lid</w:t>
      </w:r>
      <w:r w:rsidR="004C7924">
        <w:rPr>
          <w:rFonts w:ascii="Times New Roman" w:hAnsi="Times New Roman" w:cs="Times New Roman"/>
        </w:rPr>
        <w:t>-</w:t>
      </w:r>
      <w:r w:rsidRPr="00D147A7">
        <w:rPr>
          <w:rFonts w:ascii="Times New Roman" w:hAnsi="Times New Roman" w:cs="Times New Roman"/>
        </w:rPr>
        <w:t>staten van 23 september 1983 over de bescherming van persoonsge</w:t>
      </w:r>
      <w:r w:rsidR="004C7924">
        <w:rPr>
          <w:rFonts w:ascii="Times New Roman" w:hAnsi="Times New Roman" w:cs="Times New Roman"/>
        </w:rPr>
        <w:t>-</w:t>
      </w:r>
      <w:r w:rsidRPr="00D147A7">
        <w:rPr>
          <w:rFonts w:ascii="Times New Roman" w:hAnsi="Times New Roman" w:cs="Times New Roman"/>
        </w:rPr>
        <w:t>gevens gebruikt voor wetenschappelijk onderzoek en statistieken</w:t>
      </w:r>
    </w:p>
    <w:p w:rsidR="003E1E00" w:rsidRPr="00D147A7" w:rsidRDefault="003E1E00" w:rsidP="003E1E00">
      <w:pPr>
        <w:pStyle w:val="Geenafstand"/>
        <w:ind w:left="2832" w:hanging="2832"/>
        <w:jc w:val="both"/>
        <w:rPr>
          <w:rFonts w:ascii="Times New Roman" w:hAnsi="Times New Roman" w:cs="Times New Roman"/>
        </w:rPr>
      </w:pPr>
      <w:r w:rsidRPr="00D147A7">
        <w:rPr>
          <w:rFonts w:ascii="Times New Roman" w:hAnsi="Times New Roman" w:cs="Times New Roman"/>
        </w:rPr>
        <w:t>Aanbeveling nr. R(85)20</w:t>
      </w:r>
      <w:r w:rsidRPr="00D147A7">
        <w:rPr>
          <w:rFonts w:ascii="Times New Roman" w:hAnsi="Times New Roman" w:cs="Times New Roman"/>
        </w:rPr>
        <w:tab/>
        <w:t>Aanbeveling nr. R(85)20 van het Comité van Ministers aan de Lid</w:t>
      </w:r>
      <w:r w:rsidR="004C7924">
        <w:rPr>
          <w:rFonts w:ascii="Times New Roman" w:hAnsi="Times New Roman" w:cs="Times New Roman"/>
        </w:rPr>
        <w:t>-</w:t>
      </w:r>
      <w:r w:rsidRPr="00D147A7">
        <w:rPr>
          <w:rFonts w:ascii="Times New Roman" w:hAnsi="Times New Roman" w:cs="Times New Roman"/>
        </w:rPr>
        <w:t>staten van 25 oktober 1985 over de bescherming van persoonsge</w:t>
      </w:r>
      <w:r w:rsidR="004C7924">
        <w:rPr>
          <w:rFonts w:ascii="Times New Roman" w:hAnsi="Times New Roman" w:cs="Times New Roman"/>
        </w:rPr>
        <w:t>-</w:t>
      </w:r>
      <w:r w:rsidRPr="00D147A7">
        <w:rPr>
          <w:rFonts w:ascii="Times New Roman" w:hAnsi="Times New Roman" w:cs="Times New Roman"/>
        </w:rPr>
        <w:t xml:space="preserve">gevens gebruikt voor </w:t>
      </w:r>
      <w:r w:rsidRPr="00D147A7">
        <w:rPr>
          <w:rFonts w:ascii="Times New Roman" w:hAnsi="Times New Roman" w:cs="Times New Roman"/>
          <w:i/>
        </w:rPr>
        <w:t>direct marketing</w:t>
      </w:r>
      <w:r w:rsidRPr="00D147A7">
        <w:rPr>
          <w:rFonts w:ascii="Times New Roman" w:hAnsi="Times New Roman" w:cs="Times New Roman"/>
        </w:rPr>
        <w:t xml:space="preserve">-doeleinden </w:t>
      </w:r>
    </w:p>
    <w:p w:rsidR="003E1E00" w:rsidRPr="00D147A7" w:rsidRDefault="003E1E00" w:rsidP="003E1E00">
      <w:pPr>
        <w:pStyle w:val="Geenafstand"/>
        <w:ind w:left="2832" w:hanging="2832"/>
        <w:jc w:val="both"/>
        <w:rPr>
          <w:rFonts w:ascii="Times New Roman" w:hAnsi="Times New Roman" w:cs="Times New Roman"/>
        </w:rPr>
      </w:pPr>
      <w:r w:rsidRPr="00D147A7">
        <w:rPr>
          <w:rFonts w:ascii="Times New Roman" w:hAnsi="Times New Roman" w:cs="Times New Roman"/>
        </w:rPr>
        <w:t xml:space="preserve">Aanbeveling nr. R(86)1 </w:t>
      </w:r>
      <w:r w:rsidRPr="00D147A7">
        <w:rPr>
          <w:rFonts w:ascii="Times New Roman" w:hAnsi="Times New Roman" w:cs="Times New Roman"/>
        </w:rPr>
        <w:tab/>
        <w:t>Aanbeveling nr. R(86)1 van het Comité van Ministers aan de Lid</w:t>
      </w:r>
      <w:r w:rsidR="004C7924">
        <w:rPr>
          <w:rFonts w:ascii="Times New Roman" w:hAnsi="Times New Roman" w:cs="Times New Roman"/>
        </w:rPr>
        <w:t>-</w:t>
      </w:r>
      <w:r w:rsidRPr="00D147A7">
        <w:rPr>
          <w:rFonts w:ascii="Times New Roman" w:hAnsi="Times New Roman" w:cs="Times New Roman"/>
        </w:rPr>
        <w:t>staten van 23 januari 1986 over de bescherming van persoonsgegevens bij gebruik voor sociale zekerheidsdoeleinden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rPr>
        <w:lastRenderedPageBreak/>
        <w:t xml:space="preserve">Aanbeveling nr. R(89)2 </w:t>
      </w:r>
      <w:r w:rsidRPr="00D147A7">
        <w:rPr>
          <w:rFonts w:ascii="Times New Roman" w:hAnsi="Times New Roman" w:cs="Times New Roman"/>
        </w:rPr>
        <w:tab/>
        <w:t>Aanbeveling nr. R(89)2 van het Comité van Ministers aan de Lid</w:t>
      </w:r>
      <w:r w:rsidR="00D55544">
        <w:rPr>
          <w:rFonts w:ascii="Times New Roman" w:hAnsi="Times New Roman" w:cs="Times New Roman"/>
        </w:rPr>
        <w:t>-</w:t>
      </w:r>
      <w:r w:rsidRPr="00D147A7">
        <w:rPr>
          <w:rFonts w:ascii="Times New Roman" w:hAnsi="Times New Roman" w:cs="Times New Roman"/>
        </w:rPr>
        <w:t>staten over de bescherming van persoonsgegevens gebruikt voor aan</w:t>
      </w:r>
      <w:r w:rsidR="00D55544">
        <w:rPr>
          <w:rFonts w:ascii="Times New Roman" w:hAnsi="Times New Roman" w:cs="Times New Roman"/>
        </w:rPr>
        <w:t>-</w:t>
      </w:r>
      <w:r w:rsidRPr="00D147A7">
        <w:rPr>
          <w:rFonts w:ascii="Times New Roman" w:hAnsi="Times New Roman" w:cs="Times New Roman"/>
        </w:rPr>
        <w:t>wervingsdoeleinden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Aanbeveling R(97)5 </w:t>
      </w:r>
      <w:r w:rsidRPr="00D147A7">
        <w:rPr>
          <w:rFonts w:ascii="Times New Roman" w:hAnsi="Times New Roman" w:cs="Times New Roman"/>
          <w:sz w:val="24"/>
          <w:szCs w:val="24"/>
        </w:rPr>
        <w:tab/>
        <w:t>Aanbeveling R(97)5 van het Comité van Ministers aan de Lid</w:t>
      </w:r>
      <w:r w:rsidR="00D55544">
        <w:rPr>
          <w:rFonts w:ascii="Times New Roman" w:hAnsi="Times New Roman" w:cs="Times New Roman"/>
          <w:sz w:val="24"/>
          <w:szCs w:val="24"/>
        </w:rPr>
        <w:t>-</w:t>
      </w:r>
      <w:r w:rsidRPr="00D147A7">
        <w:rPr>
          <w:rFonts w:ascii="Times New Roman" w:hAnsi="Times New Roman" w:cs="Times New Roman"/>
          <w:sz w:val="24"/>
          <w:szCs w:val="24"/>
        </w:rPr>
        <w:t>staten van 13 februari 1997 betreffende de bescherming van me</w:t>
      </w:r>
      <w:r w:rsidR="00D55544">
        <w:rPr>
          <w:rFonts w:ascii="Times New Roman" w:hAnsi="Times New Roman" w:cs="Times New Roman"/>
          <w:sz w:val="24"/>
          <w:szCs w:val="24"/>
        </w:rPr>
        <w:t>-</w:t>
      </w:r>
      <w:r w:rsidRPr="00D147A7">
        <w:rPr>
          <w:rFonts w:ascii="Times New Roman" w:hAnsi="Times New Roman" w:cs="Times New Roman"/>
          <w:sz w:val="24"/>
          <w:szCs w:val="24"/>
        </w:rPr>
        <w:t>dische gegevens</w:t>
      </w:r>
    </w:p>
    <w:p w:rsidR="003E1E00" w:rsidRPr="00D147A7" w:rsidRDefault="003E1E00" w:rsidP="003E1E00">
      <w:pPr>
        <w:pStyle w:val="Geenafstand"/>
        <w:ind w:left="2832" w:hanging="2832"/>
        <w:jc w:val="both"/>
        <w:rPr>
          <w:rFonts w:ascii="Times New Roman" w:hAnsi="Times New Roman" w:cs="Times New Roman"/>
        </w:rPr>
      </w:pPr>
      <w:r w:rsidRPr="00D147A7">
        <w:rPr>
          <w:rFonts w:ascii="Times New Roman" w:hAnsi="Times New Roman" w:cs="Times New Roman"/>
        </w:rPr>
        <w:t>Aanbeveling nr. R(97)18</w:t>
      </w:r>
      <w:r w:rsidRPr="00D147A7">
        <w:rPr>
          <w:rFonts w:ascii="Times New Roman" w:hAnsi="Times New Roman" w:cs="Times New Roman"/>
        </w:rPr>
        <w:tab/>
        <w:t>Aanbeveling nr. R(97)18 van het Comité van Ministers aan de Lid</w:t>
      </w:r>
      <w:r w:rsidR="00D55544">
        <w:rPr>
          <w:rFonts w:ascii="Times New Roman" w:hAnsi="Times New Roman" w:cs="Times New Roman"/>
        </w:rPr>
        <w:t>-</w:t>
      </w:r>
      <w:r w:rsidRPr="00D147A7">
        <w:rPr>
          <w:rFonts w:ascii="Times New Roman" w:hAnsi="Times New Roman" w:cs="Times New Roman"/>
        </w:rPr>
        <w:t>staten van 30 september 1997 betreffende de bescherming van per</w:t>
      </w:r>
      <w:r w:rsidR="00D55544">
        <w:rPr>
          <w:rFonts w:ascii="Times New Roman" w:hAnsi="Times New Roman" w:cs="Times New Roman"/>
        </w:rPr>
        <w:t>-</w:t>
      </w:r>
      <w:r w:rsidRPr="00D147A7">
        <w:rPr>
          <w:rFonts w:ascii="Times New Roman" w:hAnsi="Times New Roman" w:cs="Times New Roman"/>
        </w:rPr>
        <w:t>soonsgegevens verzameld en verwerkt voor statistische doeleinden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rPr>
        <w:t>Aanbeveling nr. R(99)5</w:t>
      </w:r>
      <w:r w:rsidRPr="00D147A7">
        <w:rPr>
          <w:rFonts w:ascii="Times New Roman" w:hAnsi="Times New Roman" w:cs="Times New Roman"/>
        </w:rPr>
        <w:tab/>
        <w:t>Aanbeveling nr. R(99)5 van het Comité van Ministers aan de Lid</w:t>
      </w:r>
      <w:r w:rsidR="00D55544">
        <w:rPr>
          <w:rFonts w:ascii="Times New Roman" w:hAnsi="Times New Roman" w:cs="Times New Roman"/>
        </w:rPr>
        <w:t>-</w:t>
      </w:r>
      <w:r w:rsidRPr="00D147A7">
        <w:rPr>
          <w:rFonts w:ascii="Times New Roman" w:hAnsi="Times New Roman" w:cs="Times New Roman"/>
        </w:rPr>
        <w:t>staten van 23 februari 1999 over de bescherming van privacy op inter</w:t>
      </w:r>
      <w:r w:rsidR="00D55544">
        <w:rPr>
          <w:rFonts w:ascii="Times New Roman" w:hAnsi="Times New Roman" w:cs="Times New Roman"/>
        </w:rPr>
        <w:t>-</w:t>
      </w:r>
      <w:r w:rsidRPr="00D147A7">
        <w:rPr>
          <w:rFonts w:ascii="Times New Roman" w:hAnsi="Times New Roman" w:cs="Times New Roman"/>
        </w:rPr>
        <w:t>net</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Aanbeveling nr. R(2002)9</w:t>
      </w:r>
      <w:r w:rsidRPr="00D147A7">
        <w:rPr>
          <w:rFonts w:ascii="Times New Roman" w:hAnsi="Times New Roman" w:cs="Times New Roman"/>
          <w:sz w:val="24"/>
          <w:szCs w:val="24"/>
        </w:rPr>
        <w:tab/>
        <w:t>Aanbeveling nr. R(2002)9 van het Comité van Ministers aan de Lidstaten van 18 september 2002 over de bescherming van per</w:t>
      </w:r>
      <w:r w:rsidR="00D55544">
        <w:rPr>
          <w:rFonts w:ascii="Times New Roman" w:hAnsi="Times New Roman" w:cs="Times New Roman"/>
          <w:sz w:val="24"/>
          <w:szCs w:val="24"/>
        </w:rPr>
        <w:t>-</w:t>
      </w:r>
      <w:r w:rsidRPr="00D147A7">
        <w:rPr>
          <w:rFonts w:ascii="Times New Roman" w:hAnsi="Times New Roman" w:cs="Times New Roman"/>
          <w:sz w:val="24"/>
          <w:szCs w:val="24"/>
        </w:rPr>
        <w:t>soonsgegevens die verzameld en verwerkt worden voor verzeke</w:t>
      </w:r>
      <w:r w:rsidR="00D55544">
        <w:rPr>
          <w:rFonts w:ascii="Times New Roman" w:hAnsi="Times New Roman" w:cs="Times New Roman"/>
          <w:sz w:val="24"/>
          <w:szCs w:val="24"/>
        </w:rPr>
        <w:t>-</w:t>
      </w:r>
      <w:r w:rsidRPr="00D147A7">
        <w:rPr>
          <w:rFonts w:ascii="Times New Roman" w:hAnsi="Times New Roman" w:cs="Times New Roman"/>
          <w:sz w:val="24"/>
          <w:szCs w:val="24"/>
        </w:rPr>
        <w:t>ringsdoeleinden</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EVRM</w:t>
      </w:r>
      <w:r w:rsidRPr="00D147A7">
        <w:rPr>
          <w:rFonts w:ascii="Times New Roman" w:hAnsi="Times New Roman" w:cs="Times New Roman"/>
          <w:sz w:val="24"/>
          <w:szCs w:val="24"/>
        </w:rPr>
        <w:tab/>
        <w:t>Verdrag tot bescherming van de mens en de fundamentele vrij</w:t>
      </w:r>
      <w:r w:rsidR="00D55544">
        <w:rPr>
          <w:rFonts w:ascii="Times New Roman" w:hAnsi="Times New Roman" w:cs="Times New Roman"/>
          <w:sz w:val="24"/>
          <w:szCs w:val="24"/>
        </w:rPr>
        <w:t>-</w:t>
      </w:r>
      <w:r w:rsidRPr="00D147A7">
        <w:rPr>
          <w:rFonts w:ascii="Times New Roman" w:hAnsi="Times New Roman" w:cs="Times New Roman"/>
          <w:sz w:val="24"/>
          <w:szCs w:val="24"/>
        </w:rPr>
        <w:t>heden, opgemaakt te Rome op 4 novermber 1950</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Richtlijn 95/46/EG</w:t>
      </w:r>
      <w:r w:rsidRPr="00D147A7">
        <w:rPr>
          <w:rFonts w:ascii="Times New Roman" w:hAnsi="Times New Roman" w:cs="Times New Roman"/>
          <w:sz w:val="24"/>
          <w:szCs w:val="24"/>
        </w:rPr>
        <w:tab/>
        <w:t>Richtlijn 95/46/EG van het Europese Parlement en de Raad van 24 oktober 1995 betreffende de bescherming van natuurlijke personen in verband met de verwerking van persoonsgegevens en betreffende het vrije verkeer van die gegevens (</w:t>
      </w:r>
      <w:r w:rsidRPr="00D147A7">
        <w:rPr>
          <w:rFonts w:ascii="Times New Roman" w:hAnsi="Times New Roman" w:cs="Times New Roman"/>
          <w:i/>
          <w:sz w:val="24"/>
          <w:szCs w:val="24"/>
        </w:rPr>
        <w:t>Pb.EG L.</w:t>
      </w:r>
      <w:r w:rsidRPr="00D147A7">
        <w:rPr>
          <w:rFonts w:ascii="Times New Roman" w:hAnsi="Times New Roman" w:cs="Times New Roman"/>
          <w:sz w:val="24"/>
          <w:szCs w:val="24"/>
        </w:rPr>
        <w:t xml:space="preserve"> 281, 23 november 1995)</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97/66/EG </w:t>
      </w:r>
      <w:r w:rsidRPr="00D147A7">
        <w:rPr>
          <w:rFonts w:ascii="Times New Roman" w:hAnsi="Times New Roman" w:cs="Times New Roman"/>
          <w:sz w:val="24"/>
          <w:szCs w:val="24"/>
        </w:rPr>
        <w:tab/>
        <w:t>Richtlijn 97/66/EG van het Europees Parlement en de Raad van 15 december 1997 betreffende de verwerking van persoonsge</w:t>
      </w:r>
      <w:r w:rsidR="00D55544">
        <w:rPr>
          <w:rFonts w:ascii="Times New Roman" w:hAnsi="Times New Roman" w:cs="Times New Roman"/>
          <w:sz w:val="24"/>
          <w:szCs w:val="24"/>
        </w:rPr>
        <w:t>-</w:t>
      </w:r>
      <w:r w:rsidRPr="00D147A7">
        <w:rPr>
          <w:rFonts w:ascii="Times New Roman" w:hAnsi="Times New Roman" w:cs="Times New Roman"/>
          <w:sz w:val="24"/>
          <w:szCs w:val="24"/>
        </w:rPr>
        <w:t>gevens en de bescherming van de persoonlijke levenssfeer in de telecommunicatiesector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24, 30 januari 1998)</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2002/19/EG </w:t>
      </w:r>
      <w:r w:rsidRPr="00D147A7">
        <w:rPr>
          <w:rFonts w:ascii="Times New Roman" w:hAnsi="Times New Roman" w:cs="Times New Roman"/>
          <w:sz w:val="24"/>
          <w:szCs w:val="24"/>
        </w:rPr>
        <w:tab/>
        <w:t>Richtlijn 2002/19/EG van het Europees Parlement en de Raad van 7 maart 2002 inzake de toegang tot en onderlinge verbin</w:t>
      </w:r>
      <w:r w:rsidR="00D55544">
        <w:rPr>
          <w:rFonts w:ascii="Times New Roman" w:hAnsi="Times New Roman" w:cs="Times New Roman"/>
          <w:sz w:val="24"/>
          <w:szCs w:val="24"/>
        </w:rPr>
        <w:t>-</w:t>
      </w:r>
      <w:r w:rsidRPr="00D147A7">
        <w:rPr>
          <w:rFonts w:ascii="Times New Roman" w:hAnsi="Times New Roman" w:cs="Times New Roman"/>
          <w:sz w:val="24"/>
          <w:szCs w:val="24"/>
        </w:rPr>
        <w:t>ding van elektronische-communicatienetwerken en bijbehorende faciliteiten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108, 24 april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2002/20/EG </w:t>
      </w:r>
      <w:r w:rsidRPr="00D147A7">
        <w:rPr>
          <w:rFonts w:ascii="Times New Roman" w:hAnsi="Times New Roman" w:cs="Times New Roman"/>
          <w:sz w:val="24"/>
          <w:szCs w:val="24"/>
        </w:rPr>
        <w:tab/>
        <w:t>Richtlijn 2002/20/EG van het Europees Parlement en de Raad van 7 maart 2002 betreffende de machtiging voor elektronische-communicatienetwerken en -diensten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108, 24 april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2002/21/EG </w:t>
      </w:r>
      <w:r w:rsidRPr="00D147A7">
        <w:rPr>
          <w:rFonts w:ascii="Times New Roman" w:hAnsi="Times New Roman" w:cs="Times New Roman"/>
          <w:sz w:val="24"/>
          <w:szCs w:val="24"/>
        </w:rPr>
        <w:tab/>
        <w:t>Richtlijn 2002/21/EG van het Europees Parlement en de Raad van 7 maart 2002 inzake een gemeenschappelijk regelgevings</w:t>
      </w:r>
      <w:r w:rsidR="00D55544">
        <w:rPr>
          <w:rFonts w:ascii="Times New Roman" w:hAnsi="Times New Roman" w:cs="Times New Roman"/>
          <w:sz w:val="24"/>
          <w:szCs w:val="24"/>
        </w:rPr>
        <w:t>-</w:t>
      </w:r>
      <w:r w:rsidRPr="00D147A7">
        <w:rPr>
          <w:rFonts w:ascii="Times New Roman" w:hAnsi="Times New Roman" w:cs="Times New Roman"/>
          <w:sz w:val="24"/>
          <w:szCs w:val="24"/>
        </w:rPr>
        <w:t>kader voor elektronische</w:t>
      </w:r>
      <w:r w:rsidR="00D55544">
        <w:rPr>
          <w:rFonts w:ascii="Times New Roman" w:hAnsi="Times New Roman" w:cs="Times New Roman"/>
          <w:sz w:val="24"/>
          <w:szCs w:val="24"/>
        </w:rPr>
        <w:t xml:space="preserve"> </w:t>
      </w:r>
      <w:r w:rsidRPr="00D147A7">
        <w:rPr>
          <w:rFonts w:ascii="Times New Roman" w:hAnsi="Times New Roman" w:cs="Times New Roman"/>
          <w:sz w:val="24"/>
          <w:szCs w:val="24"/>
        </w:rPr>
        <w:t>communicatienetwerken en -diensten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108, 24 april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2002/22/EG </w:t>
      </w:r>
      <w:r w:rsidRPr="00D147A7">
        <w:rPr>
          <w:rFonts w:ascii="Times New Roman" w:hAnsi="Times New Roman" w:cs="Times New Roman"/>
          <w:sz w:val="24"/>
          <w:szCs w:val="24"/>
        </w:rPr>
        <w:tab/>
        <w:t>Richtlijn 2002/22/EG van het Europees Parlement en de Raad van 7 maart 2002 inzake de universele dienst en gebruikers</w:t>
      </w:r>
      <w:r w:rsidR="00D55544">
        <w:rPr>
          <w:rFonts w:ascii="Times New Roman" w:hAnsi="Times New Roman" w:cs="Times New Roman"/>
          <w:sz w:val="24"/>
          <w:szCs w:val="24"/>
        </w:rPr>
        <w:t>-</w:t>
      </w:r>
      <w:r w:rsidRPr="00D147A7">
        <w:rPr>
          <w:rFonts w:ascii="Times New Roman" w:hAnsi="Times New Roman" w:cs="Times New Roman"/>
          <w:sz w:val="24"/>
          <w:szCs w:val="24"/>
        </w:rPr>
        <w:t>rechten m</w:t>
      </w:r>
      <w:r w:rsidR="00D55544">
        <w:rPr>
          <w:rFonts w:ascii="Times New Roman" w:hAnsi="Times New Roman" w:cs="Times New Roman"/>
          <w:sz w:val="24"/>
          <w:szCs w:val="24"/>
        </w:rPr>
        <w:t xml:space="preserve">et betrekking tot elektronische </w:t>
      </w:r>
      <w:r w:rsidRPr="00D147A7">
        <w:rPr>
          <w:rFonts w:ascii="Times New Roman" w:hAnsi="Times New Roman" w:cs="Times New Roman"/>
          <w:sz w:val="24"/>
          <w:szCs w:val="24"/>
        </w:rPr>
        <w:t>communicatienetwer</w:t>
      </w:r>
      <w:r w:rsidR="00D55544">
        <w:rPr>
          <w:rFonts w:ascii="Times New Roman" w:hAnsi="Times New Roman" w:cs="Times New Roman"/>
          <w:sz w:val="24"/>
          <w:szCs w:val="24"/>
        </w:rPr>
        <w:t>-</w:t>
      </w:r>
      <w:r w:rsidRPr="00D147A7">
        <w:rPr>
          <w:rFonts w:ascii="Times New Roman" w:hAnsi="Times New Roman" w:cs="Times New Roman"/>
          <w:sz w:val="24"/>
          <w:szCs w:val="24"/>
        </w:rPr>
        <w:t>ken en -diensten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108, 24 april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Richtlijn 2002/58/EG </w:t>
      </w:r>
      <w:r w:rsidRPr="00D147A7">
        <w:rPr>
          <w:rFonts w:ascii="Times New Roman" w:hAnsi="Times New Roman" w:cs="Times New Roman"/>
          <w:sz w:val="24"/>
          <w:szCs w:val="24"/>
        </w:rPr>
        <w:tab/>
        <w:t>Richtlijn 2002/58/EG van het Europees Parlement en de Raad van 12 juli 2002 betreffende de verwerking van persoonsge</w:t>
      </w:r>
      <w:r w:rsidR="00D55544">
        <w:rPr>
          <w:rFonts w:ascii="Times New Roman" w:hAnsi="Times New Roman" w:cs="Times New Roman"/>
          <w:sz w:val="24"/>
          <w:szCs w:val="24"/>
        </w:rPr>
        <w:t>-</w:t>
      </w:r>
      <w:r w:rsidRPr="00D147A7">
        <w:rPr>
          <w:rFonts w:ascii="Times New Roman" w:hAnsi="Times New Roman" w:cs="Times New Roman"/>
          <w:sz w:val="24"/>
          <w:szCs w:val="24"/>
        </w:rPr>
        <w:t>gevens en de bescherming van de persoonlijke levenssfeer in de sector elektronische communicatie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201, 31 juli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UVRM</w:t>
      </w:r>
      <w:r w:rsidRPr="00D147A7">
        <w:rPr>
          <w:rFonts w:ascii="Times New Roman" w:hAnsi="Times New Roman" w:cs="Times New Roman"/>
          <w:sz w:val="24"/>
          <w:szCs w:val="24"/>
        </w:rPr>
        <w:tab/>
        <w:t>Universele Verklaring van de Rechten van de Mens, opgemaakt te Parijs op 10 december 1948</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Verdrag van Lissabon</w:t>
      </w:r>
      <w:r w:rsidRPr="00D147A7">
        <w:rPr>
          <w:rFonts w:ascii="Times New Roman" w:hAnsi="Times New Roman" w:cs="Times New Roman"/>
          <w:sz w:val="24"/>
          <w:szCs w:val="24"/>
        </w:rPr>
        <w:tab/>
        <w:t>Verdrag van Lissabon van 13 december 2007 tot wijziging van het Verdrag betreffende de Europese Unie en het Verdrag tot op</w:t>
      </w:r>
      <w:r w:rsidR="00D55544">
        <w:rPr>
          <w:rFonts w:ascii="Times New Roman" w:hAnsi="Times New Roman" w:cs="Times New Roman"/>
          <w:sz w:val="24"/>
          <w:szCs w:val="24"/>
        </w:rPr>
        <w:t>-</w:t>
      </w:r>
      <w:r w:rsidRPr="00D147A7">
        <w:rPr>
          <w:rFonts w:ascii="Times New Roman" w:hAnsi="Times New Roman" w:cs="Times New Roman"/>
          <w:sz w:val="24"/>
          <w:szCs w:val="24"/>
        </w:rPr>
        <w:lastRenderedPageBreak/>
        <w:t>richting van de Europese Gemeenschap (</w:t>
      </w:r>
      <w:r w:rsidRPr="00D147A7">
        <w:rPr>
          <w:rFonts w:ascii="Times New Roman" w:hAnsi="Times New Roman" w:cs="Times New Roman"/>
          <w:i/>
          <w:sz w:val="24"/>
          <w:szCs w:val="24"/>
        </w:rPr>
        <w:t>Pb.EG C.</w:t>
      </w:r>
      <w:r w:rsidRPr="00D147A7">
        <w:rPr>
          <w:rFonts w:ascii="Times New Roman" w:hAnsi="Times New Roman" w:cs="Times New Roman"/>
          <w:sz w:val="24"/>
          <w:szCs w:val="24"/>
        </w:rPr>
        <w:t xml:space="preserve"> 306, 17 de</w:t>
      </w:r>
      <w:r w:rsidR="00D55544">
        <w:rPr>
          <w:rFonts w:ascii="Times New Roman" w:hAnsi="Times New Roman" w:cs="Times New Roman"/>
          <w:sz w:val="24"/>
          <w:szCs w:val="24"/>
        </w:rPr>
        <w:t>-</w:t>
      </w:r>
      <w:r w:rsidRPr="00D147A7">
        <w:rPr>
          <w:rFonts w:ascii="Times New Roman" w:hAnsi="Times New Roman" w:cs="Times New Roman"/>
          <w:sz w:val="24"/>
          <w:szCs w:val="24"/>
        </w:rPr>
        <w:t>cember 2007)</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Verdrag van Straatsburg</w:t>
      </w:r>
      <w:r w:rsidRPr="00D147A7">
        <w:rPr>
          <w:rFonts w:ascii="Times New Roman" w:hAnsi="Times New Roman" w:cs="Times New Roman"/>
          <w:sz w:val="24"/>
          <w:szCs w:val="24"/>
        </w:rPr>
        <w:tab/>
        <w:t>Verdrag nr. 108 van de Raad van Europa tot bescherming van personen ten opzichte van de geautomatiseerde verwerking van persoonsgegevens, opgemaakt te Straatsburg op 28 januari 1981 en verklarend rapport (</w:t>
      </w:r>
      <w:r w:rsidRPr="00D147A7">
        <w:rPr>
          <w:rFonts w:ascii="Times New Roman" w:hAnsi="Times New Roman" w:cs="Times New Roman"/>
          <w:i/>
          <w:sz w:val="24"/>
          <w:szCs w:val="24"/>
        </w:rPr>
        <w:t>E.T.S.</w:t>
      </w:r>
      <w:r w:rsidRPr="00D147A7">
        <w:rPr>
          <w:rFonts w:ascii="Times New Roman" w:hAnsi="Times New Roman" w:cs="Times New Roman"/>
          <w:sz w:val="24"/>
          <w:szCs w:val="24"/>
        </w:rPr>
        <w:t>, nr. 108)</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Verordening nr. 54/2001</w:t>
      </w:r>
      <w:r w:rsidRPr="00D147A7">
        <w:rPr>
          <w:rFonts w:ascii="Times New Roman" w:hAnsi="Times New Roman" w:cs="Times New Roman"/>
          <w:sz w:val="24"/>
          <w:szCs w:val="24"/>
        </w:rPr>
        <w:tab/>
        <w:t>Verordening (EG) nr. 45/2001 van het Europees Parlement en de Raad van 18 december 2000 betreffende de bescherming van na</w:t>
      </w:r>
      <w:r w:rsidR="00D55544">
        <w:rPr>
          <w:rFonts w:ascii="Times New Roman" w:hAnsi="Times New Roman" w:cs="Times New Roman"/>
          <w:sz w:val="24"/>
          <w:szCs w:val="24"/>
        </w:rPr>
        <w:t>-</w:t>
      </w:r>
      <w:r w:rsidRPr="00D147A7">
        <w:rPr>
          <w:rFonts w:ascii="Times New Roman" w:hAnsi="Times New Roman" w:cs="Times New Roman"/>
          <w:sz w:val="24"/>
          <w:szCs w:val="24"/>
        </w:rPr>
        <w:t>tuurlĳke personen in verband met de verwerking van persoons</w:t>
      </w:r>
      <w:r w:rsidR="00D55544">
        <w:rPr>
          <w:rFonts w:ascii="Times New Roman" w:hAnsi="Times New Roman" w:cs="Times New Roman"/>
          <w:sz w:val="24"/>
          <w:szCs w:val="24"/>
        </w:rPr>
        <w:t>-</w:t>
      </w:r>
      <w:r w:rsidRPr="00D147A7">
        <w:rPr>
          <w:rFonts w:ascii="Times New Roman" w:hAnsi="Times New Roman" w:cs="Times New Roman"/>
          <w:sz w:val="24"/>
          <w:szCs w:val="24"/>
        </w:rPr>
        <w:t>gegevens door de communautaire instellingen en organen en be</w:t>
      </w:r>
      <w:r w:rsidR="00D55544">
        <w:rPr>
          <w:rFonts w:ascii="Times New Roman" w:hAnsi="Times New Roman" w:cs="Times New Roman"/>
          <w:sz w:val="24"/>
          <w:szCs w:val="24"/>
        </w:rPr>
        <w:t>-</w:t>
      </w:r>
      <w:r w:rsidRPr="00D147A7">
        <w:rPr>
          <w:rFonts w:ascii="Times New Roman" w:hAnsi="Times New Roman" w:cs="Times New Roman"/>
          <w:sz w:val="24"/>
          <w:szCs w:val="24"/>
        </w:rPr>
        <w:t>treffende het vrĳe verkeer van die gegevens (</w:t>
      </w:r>
      <w:r w:rsidRPr="00D147A7">
        <w:rPr>
          <w:rFonts w:ascii="Times New Roman" w:hAnsi="Times New Roman" w:cs="Times New Roman"/>
          <w:i/>
          <w:sz w:val="24"/>
          <w:szCs w:val="24"/>
        </w:rPr>
        <w:t xml:space="preserve">Pb.EG L. </w:t>
      </w:r>
      <w:r w:rsidRPr="00D147A7">
        <w:rPr>
          <w:rFonts w:ascii="Times New Roman" w:hAnsi="Times New Roman" w:cs="Times New Roman"/>
          <w:sz w:val="24"/>
          <w:szCs w:val="24"/>
        </w:rPr>
        <w:t>8, 12 ja</w:t>
      </w:r>
      <w:r w:rsidR="00D55544">
        <w:rPr>
          <w:rFonts w:ascii="Times New Roman" w:hAnsi="Times New Roman" w:cs="Times New Roman"/>
          <w:sz w:val="24"/>
          <w:szCs w:val="24"/>
        </w:rPr>
        <w:t>-</w:t>
      </w:r>
      <w:r w:rsidRPr="00D147A7">
        <w:rPr>
          <w:rFonts w:ascii="Times New Roman" w:hAnsi="Times New Roman" w:cs="Times New Roman"/>
          <w:sz w:val="24"/>
          <w:szCs w:val="24"/>
        </w:rPr>
        <w:t>nuari 2001)</w:t>
      </w:r>
    </w:p>
    <w:p w:rsidR="003E1E00" w:rsidRPr="00D147A7" w:rsidRDefault="003E1E00"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3.2 België</w:t>
      </w:r>
    </w:p>
    <w:p w:rsidR="003E1E00" w:rsidRPr="00D147A7" w:rsidRDefault="003E1E00" w:rsidP="003E1E00">
      <w:pPr>
        <w:pStyle w:val="Geenafstand"/>
        <w:ind w:left="2832" w:hanging="2832"/>
        <w:jc w:val="both"/>
        <w:rPr>
          <w:rFonts w:ascii="Times New Roman" w:hAnsi="Times New Roman" w:cs="Times New Roman"/>
          <w:sz w:val="24"/>
          <w:szCs w:val="24"/>
        </w:rPr>
      </w:pP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Archiefwet</w:t>
      </w:r>
      <w:r w:rsidRPr="00D147A7">
        <w:rPr>
          <w:rFonts w:ascii="Times New Roman" w:hAnsi="Times New Roman" w:cs="Times New Roman"/>
          <w:sz w:val="24"/>
          <w:szCs w:val="24"/>
        </w:rPr>
        <w:tab/>
        <w:t>Archiefwet van 24 juni 1955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12 augustus 1955), zoals ge</w:t>
      </w:r>
      <w:r w:rsidR="00D55544">
        <w:rPr>
          <w:rFonts w:ascii="Times New Roman" w:hAnsi="Times New Roman" w:cs="Times New Roman"/>
          <w:sz w:val="24"/>
          <w:szCs w:val="24"/>
        </w:rPr>
        <w:t>-</w:t>
      </w:r>
      <w:r w:rsidRPr="00D147A7">
        <w:rPr>
          <w:rFonts w:ascii="Times New Roman" w:hAnsi="Times New Roman" w:cs="Times New Roman"/>
          <w:sz w:val="24"/>
          <w:szCs w:val="24"/>
        </w:rPr>
        <w:t>wijzigd door art. 126 tot art. 132 van de wet van 6 mei 2009 houdende diverse bepalingen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19 mei 2009)</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GIS-decreet </w:t>
      </w:r>
      <w:r w:rsidRPr="00D147A7">
        <w:rPr>
          <w:rFonts w:ascii="Times New Roman" w:hAnsi="Times New Roman" w:cs="Times New Roman"/>
          <w:sz w:val="24"/>
          <w:szCs w:val="24"/>
        </w:rPr>
        <w:tab/>
        <w:t>Vlaams decreet van 16 juni 2006 betreffende het gezondheids</w:t>
      </w:r>
      <w:r w:rsidR="00D55544">
        <w:rPr>
          <w:rFonts w:ascii="Times New Roman" w:hAnsi="Times New Roman" w:cs="Times New Roman"/>
          <w:sz w:val="24"/>
          <w:szCs w:val="24"/>
        </w:rPr>
        <w:t>-</w:t>
      </w:r>
      <w:r w:rsidRPr="00D147A7">
        <w:rPr>
          <w:rFonts w:ascii="Times New Roman" w:hAnsi="Times New Roman" w:cs="Times New Roman"/>
          <w:sz w:val="24"/>
          <w:szCs w:val="24"/>
        </w:rPr>
        <w:t>informatiesysteem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7 september 2006)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nr. 78</w:t>
      </w: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KB nr. 78 van 10 november 1967 betreffende de uitoefening van </w:t>
      </w:r>
    </w:p>
    <w:p w:rsidR="003E1E00" w:rsidRPr="00D147A7" w:rsidRDefault="003E1E00" w:rsidP="003E1E00">
      <w:pPr>
        <w:pStyle w:val="Geenafstand"/>
        <w:ind w:left="2124" w:firstLine="708"/>
        <w:jc w:val="both"/>
        <w:rPr>
          <w:rFonts w:ascii="Times New Roman" w:hAnsi="Times New Roman" w:cs="Times New Roman"/>
          <w:sz w:val="24"/>
          <w:szCs w:val="24"/>
        </w:rPr>
      </w:pPr>
      <w:r w:rsidRPr="00D147A7">
        <w:rPr>
          <w:rFonts w:ascii="Times New Roman" w:hAnsi="Times New Roman" w:cs="Times New Roman"/>
          <w:sz w:val="24"/>
          <w:szCs w:val="24"/>
        </w:rPr>
        <w:t>de gezondheidszorgberoepen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14 november 1967)</w:t>
      </w:r>
      <w:r w:rsidRPr="00D147A7">
        <w:rPr>
          <w:rStyle w:val="Voetnootmarkering"/>
          <w:rFonts w:ascii="Times New Roman" w:hAnsi="Times New Roman" w:cs="Times New Roman"/>
          <w:sz w:val="24"/>
          <w:szCs w:val="24"/>
        </w:rPr>
        <w:footnoteReference w:id="16"/>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KB van 3 mei 1999 (1) </w:t>
      </w:r>
      <w:r w:rsidRPr="00D147A7">
        <w:rPr>
          <w:rFonts w:ascii="Times New Roman" w:hAnsi="Times New Roman" w:cs="Times New Roman"/>
          <w:sz w:val="24"/>
          <w:szCs w:val="24"/>
        </w:rPr>
        <w:tab/>
        <w:t>KB van 3 mei 1999 betreffende het Algemeen Medisch Dossier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17 juli 1999)</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KB van 3 mei 1999 (2)</w:t>
      </w:r>
      <w:r w:rsidRPr="00D147A7">
        <w:rPr>
          <w:rFonts w:ascii="Times New Roman" w:hAnsi="Times New Roman" w:cs="Times New Roman"/>
          <w:sz w:val="24"/>
          <w:szCs w:val="24"/>
        </w:rPr>
        <w:tab/>
        <w:t>KB van 3 mei 1999 houdende bepaling van de algemene mini</w:t>
      </w:r>
      <w:r w:rsidR="00D55544">
        <w:rPr>
          <w:rFonts w:ascii="Times New Roman" w:hAnsi="Times New Roman" w:cs="Times New Roman"/>
          <w:sz w:val="24"/>
          <w:szCs w:val="24"/>
        </w:rPr>
        <w:t>-</w:t>
      </w:r>
      <w:r w:rsidRPr="00D147A7">
        <w:rPr>
          <w:rFonts w:ascii="Times New Roman" w:hAnsi="Times New Roman" w:cs="Times New Roman"/>
          <w:sz w:val="24"/>
          <w:szCs w:val="24"/>
        </w:rPr>
        <w:t>mumvoorwaarden waarvan het medisch dossier, bedoeld in arti</w:t>
      </w:r>
      <w:r w:rsidR="00D55544">
        <w:rPr>
          <w:rFonts w:ascii="Times New Roman" w:hAnsi="Times New Roman" w:cs="Times New Roman"/>
          <w:sz w:val="24"/>
          <w:szCs w:val="24"/>
        </w:rPr>
        <w:t>-</w:t>
      </w:r>
      <w:r w:rsidRPr="00D147A7">
        <w:rPr>
          <w:rFonts w:ascii="Times New Roman" w:hAnsi="Times New Roman" w:cs="Times New Roman"/>
          <w:sz w:val="24"/>
          <w:szCs w:val="24"/>
        </w:rPr>
        <w:t>kel 15 van de wet op de ziekenhuizen, gecoördineerd op 7 au</w:t>
      </w:r>
      <w:r w:rsidR="00D55544">
        <w:rPr>
          <w:rFonts w:ascii="Times New Roman" w:hAnsi="Times New Roman" w:cs="Times New Roman"/>
          <w:sz w:val="24"/>
          <w:szCs w:val="24"/>
        </w:rPr>
        <w:t>-</w:t>
      </w:r>
      <w:r w:rsidRPr="00D147A7">
        <w:rPr>
          <w:rFonts w:ascii="Times New Roman" w:hAnsi="Times New Roman" w:cs="Times New Roman"/>
          <w:sz w:val="24"/>
          <w:szCs w:val="24"/>
        </w:rPr>
        <w:t>gustus 1987, moet voldoen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juli 1999)</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KB van 21 september 2004 </w:t>
      </w:r>
      <w:r w:rsidRPr="00D147A7">
        <w:rPr>
          <w:rFonts w:ascii="Times New Roman" w:hAnsi="Times New Roman" w:cs="Times New Roman"/>
          <w:sz w:val="24"/>
          <w:szCs w:val="24"/>
        </w:rPr>
        <w:tab/>
        <w:t>KB van 21 september 2004 houdende vaststelling van de nor</w:t>
      </w:r>
      <w:r w:rsidR="00D55544">
        <w:rPr>
          <w:rFonts w:ascii="Times New Roman" w:hAnsi="Times New Roman" w:cs="Times New Roman"/>
          <w:sz w:val="24"/>
          <w:szCs w:val="24"/>
        </w:rPr>
        <w:t>-</w:t>
      </w:r>
      <w:r w:rsidRPr="00D147A7">
        <w:rPr>
          <w:rFonts w:ascii="Times New Roman" w:hAnsi="Times New Roman" w:cs="Times New Roman"/>
          <w:sz w:val="24"/>
          <w:szCs w:val="24"/>
        </w:rPr>
        <w:t>men voor de bijzondere erkenning als rust- en verzorgingstehuis, als centrum voor dagverzorging of als centrum voor niet aange</w:t>
      </w:r>
      <w:r w:rsidR="00D55544">
        <w:rPr>
          <w:rFonts w:ascii="Times New Roman" w:hAnsi="Times New Roman" w:cs="Times New Roman"/>
          <w:sz w:val="24"/>
          <w:szCs w:val="24"/>
        </w:rPr>
        <w:t>-</w:t>
      </w:r>
      <w:r w:rsidRPr="00D147A7">
        <w:rPr>
          <w:rFonts w:ascii="Times New Roman" w:hAnsi="Times New Roman" w:cs="Times New Roman"/>
          <w:sz w:val="24"/>
          <w:szCs w:val="24"/>
        </w:rPr>
        <w:t>boren hersenletsels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28 oktober 2004)</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KB van 12 januari 2006 </w:t>
      </w:r>
      <w:r w:rsidRPr="00D147A7">
        <w:rPr>
          <w:rFonts w:ascii="Times New Roman" w:hAnsi="Times New Roman" w:cs="Times New Roman"/>
          <w:sz w:val="24"/>
          <w:szCs w:val="24"/>
        </w:rPr>
        <w:tab/>
        <w:t>KB van 12 januari 2006 tot vaststelling van de verpleegkundige activiteiten die de zorgkundigen mogen uitvoeren en de voor</w:t>
      </w:r>
      <w:r w:rsidR="00D55544">
        <w:rPr>
          <w:rFonts w:ascii="Times New Roman" w:hAnsi="Times New Roman" w:cs="Times New Roman"/>
          <w:sz w:val="24"/>
          <w:szCs w:val="24"/>
        </w:rPr>
        <w:t>-</w:t>
      </w:r>
      <w:r w:rsidRPr="00D147A7">
        <w:rPr>
          <w:rFonts w:ascii="Times New Roman" w:hAnsi="Times New Roman" w:cs="Times New Roman"/>
          <w:sz w:val="24"/>
          <w:szCs w:val="24"/>
        </w:rPr>
        <w:t>waarden waaronder de zorgkundigen deze handelingen mogen stellen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 februari 2006)</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PrivacyKB</w:t>
      </w:r>
      <w:r w:rsidRPr="00D147A7">
        <w:rPr>
          <w:rFonts w:ascii="Times New Roman" w:hAnsi="Times New Roman" w:cs="Times New Roman"/>
          <w:sz w:val="24"/>
          <w:szCs w:val="24"/>
        </w:rPr>
        <w:tab/>
        <w:t>KB van 13 februari 2001 ter uitvoering van de wet van 8 decem</w:t>
      </w:r>
      <w:r w:rsidR="00D55544">
        <w:rPr>
          <w:rFonts w:ascii="Times New Roman" w:hAnsi="Times New Roman" w:cs="Times New Roman"/>
          <w:sz w:val="24"/>
          <w:szCs w:val="24"/>
        </w:rPr>
        <w:t>-</w:t>
      </w:r>
      <w:r w:rsidRPr="00D147A7">
        <w:rPr>
          <w:rFonts w:ascii="Times New Roman" w:hAnsi="Times New Roman" w:cs="Times New Roman"/>
          <w:sz w:val="24"/>
          <w:szCs w:val="24"/>
        </w:rPr>
        <w:t>ber tot bescherming van de persoonlijke levenssfeer ten opzichte van de verwerking van persoonsgegevens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13 maart 2001)</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Privacywet </w:t>
      </w:r>
      <w:r w:rsidRPr="00D147A7">
        <w:rPr>
          <w:rFonts w:ascii="Times New Roman" w:hAnsi="Times New Roman" w:cs="Times New Roman"/>
          <w:sz w:val="24"/>
          <w:szCs w:val="24"/>
        </w:rPr>
        <w:tab/>
        <w:t>Wet van 8 december 1992 tot bescherming van de persoonlijke levenssfeer ten opzichte van de verwerking van persoonsgege</w:t>
      </w:r>
      <w:r w:rsidR="00D55544">
        <w:rPr>
          <w:rFonts w:ascii="Times New Roman" w:hAnsi="Times New Roman" w:cs="Times New Roman"/>
          <w:sz w:val="24"/>
          <w:szCs w:val="24"/>
        </w:rPr>
        <w:t>-</w:t>
      </w:r>
      <w:r w:rsidRPr="00D147A7">
        <w:rPr>
          <w:rFonts w:ascii="Times New Roman" w:hAnsi="Times New Roman" w:cs="Times New Roman"/>
          <w:sz w:val="24"/>
          <w:szCs w:val="24"/>
        </w:rPr>
        <w:t>vens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18 maart 1993), gewijzigd door de wet van 11 decem</w:t>
      </w:r>
      <w:r w:rsidR="00D55544">
        <w:rPr>
          <w:rFonts w:ascii="Times New Roman" w:hAnsi="Times New Roman" w:cs="Times New Roman"/>
          <w:sz w:val="24"/>
          <w:szCs w:val="24"/>
        </w:rPr>
        <w:t>-</w:t>
      </w:r>
      <w:r w:rsidRPr="00D147A7">
        <w:rPr>
          <w:rFonts w:ascii="Times New Roman" w:hAnsi="Times New Roman" w:cs="Times New Roman"/>
          <w:sz w:val="24"/>
          <w:szCs w:val="24"/>
        </w:rPr>
        <w:t>ber 1998 tot omzetting van de richtlijn 95/46/EG van 24 oktober 1995 van het Europees Parlement en de Raad betreffende de be</w:t>
      </w:r>
      <w:r w:rsidR="00D55544">
        <w:rPr>
          <w:rFonts w:ascii="Times New Roman" w:hAnsi="Times New Roman" w:cs="Times New Roman"/>
          <w:sz w:val="24"/>
          <w:szCs w:val="24"/>
        </w:rPr>
        <w:t>-</w:t>
      </w:r>
      <w:r w:rsidRPr="00D147A7">
        <w:rPr>
          <w:rFonts w:ascii="Times New Roman" w:hAnsi="Times New Roman" w:cs="Times New Roman"/>
          <w:sz w:val="24"/>
          <w:szCs w:val="24"/>
        </w:rPr>
        <w:t>scherming van natuurlijke personen in verband met de verwer</w:t>
      </w:r>
      <w:r w:rsidR="00D55544">
        <w:rPr>
          <w:rFonts w:ascii="Times New Roman" w:hAnsi="Times New Roman" w:cs="Times New Roman"/>
          <w:sz w:val="24"/>
          <w:szCs w:val="24"/>
        </w:rPr>
        <w:t>-</w:t>
      </w:r>
      <w:r w:rsidRPr="00D147A7">
        <w:rPr>
          <w:rFonts w:ascii="Times New Roman" w:hAnsi="Times New Roman" w:cs="Times New Roman"/>
          <w:sz w:val="24"/>
          <w:szCs w:val="24"/>
        </w:rPr>
        <w:t>king van persoonsgegevens en betreffende het vrij verkeer van die gegevens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 februari 1999)</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Vlaams Archiefdecreet </w:t>
      </w:r>
      <w:r w:rsidRPr="00D147A7">
        <w:rPr>
          <w:rFonts w:ascii="Times New Roman" w:hAnsi="Times New Roman" w:cs="Times New Roman"/>
          <w:sz w:val="24"/>
          <w:szCs w:val="24"/>
        </w:rPr>
        <w:tab/>
        <w:t>Decreet van 9 juli 2010 betreffende de bestuurlijk-administratie</w:t>
      </w:r>
      <w:r w:rsidR="00D55544">
        <w:rPr>
          <w:rFonts w:ascii="Times New Roman" w:hAnsi="Times New Roman" w:cs="Times New Roman"/>
          <w:sz w:val="24"/>
          <w:szCs w:val="24"/>
        </w:rPr>
        <w:t>-</w:t>
      </w:r>
      <w:r w:rsidRPr="00D147A7">
        <w:rPr>
          <w:rFonts w:ascii="Times New Roman" w:hAnsi="Times New Roman" w:cs="Times New Roman"/>
          <w:sz w:val="24"/>
          <w:szCs w:val="24"/>
        </w:rPr>
        <w:t>ve archiefwerking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5 augustus 2010)</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Wet Patiëntenrechten </w:t>
      </w:r>
      <w:r w:rsidRPr="00D147A7">
        <w:rPr>
          <w:rFonts w:ascii="Times New Roman" w:hAnsi="Times New Roman" w:cs="Times New Roman"/>
          <w:sz w:val="24"/>
          <w:szCs w:val="24"/>
        </w:rPr>
        <w:tab/>
      </w:r>
      <w:r w:rsidRPr="00D147A7">
        <w:rPr>
          <w:rFonts w:ascii="Times New Roman" w:hAnsi="Times New Roman" w:cs="Times New Roman"/>
          <w:sz w:val="24"/>
          <w:szCs w:val="24"/>
        </w:rPr>
        <w:tab/>
        <w:t xml:space="preserve">Wet van 22 augustus 2002 betreffende de rechten van de patiënt </w:t>
      </w:r>
    </w:p>
    <w:p w:rsidR="003E1E00" w:rsidRPr="00D147A7" w:rsidRDefault="003E1E00" w:rsidP="003E1E00">
      <w:pPr>
        <w:pStyle w:val="Geenafstand"/>
        <w:ind w:left="2124" w:firstLine="708"/>
        <w:jc w:val="both"/>
        <w:rPr>
          <w:rFonts w:ascii="Times New Roman" w:hAnsi="Times New Roman" w:cs="Times New Roman"/>
          <w:sz w:val="24"/>
          <w:szCs w:val="24"/>
        </w:rPr>
      </w:pPr>
      <w:r w:rsidRPr="00D147A7">
        <w:rPr>
          <w:rFonts w:ascii="Times New Roman" w:hAnsi="Times New Roman" w:cs="Times New Roman"/>
          <w:sz w:val="24"/>
          <w:szCs w:val="24"/>
        </w:rPr>
        <w:t>(</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26 september 2002)</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Ziekenhuiswet (1) </w:t>
      </w:r>
      <w:r w:rsidRPr="00D147A7">
        <w:rPr>
          <w:rFonts w:ascii="Times New Roman" w:hAnsi="Times New Roman" w:cs="Times New Roman"/>
          <w:sz w:val="24"/>
          <w:szCs w:val="24"/>
        </w:rPr>
        <w:tab/>
        <w:t>Wet op de ziekenhuizen, gecoördineerd op 7 augustus 1987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7 oktober 1987)</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 xml:space="preserve">Ziekenhuiswet (2) </w:t>
      </w:r>
      <w:r w:rsidRPr="00D147A7">
        <w:rPr>
          <w:rFonts w:ascii="Times New Roman" w:hAnsi="Times New Roman" w:cs="Times New Roman"/>
          <w:sz w:val="24"/>
          <w:szCs w:val="24"/>
        </w:rPr>
        <w:tab/>
        <w:t>Wet betreffende de ziekenhuizen en andere verzorgingsinstel</w:t>
      </w:r>
      <w:r w:rsidR="00D55544">
        <w:rPr>
          <w:rFonts w:ascii="Times New Roman" w:hAnsi="Times New Roman" w:cs="Times New Roman"/>
          <w:sz w:val="24"/>
          <w:szCs w:val="24"/>
        </w:rPr>
        <w:t>-</w:t>
      </w:r>
      <w:r w:rsidRPr="00D147A7">
        <w:rPr>
          <w:rFonts w:ascii="Times New Roman" w:hAnsi="Times New Roman" w:cs="Times New Roman"/>
          <w:sz w:val="24"/>
          <w:szCs w:val="24"/>
        </w:rPr>
        <w:t>lingen, gecoördineerd op 10 juli 2008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7 november 2008)</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KB van 18 augustus 2010 (1)</w:t>
      </w:r>
      <w:r w:rsidRPr="00D147A7">
        <w:rPr>
          <w:rFonts w:ascii="Times New Roman" w:hAnsi="Times New Roman" w:cs="Times New Roman"/>
          <w:sz w:val="24"/>
          <w:szCs w:val="24"/>
        </w:rPr>
        <w:tab/>
        <w:t>KB van 18 augustus 2010 tot uitvoering van artikelen 1, 5 en 6</w:t>
      </w:r>
      <w:r w:rsidRPr="00D147A7">
        <w:rPr>
          <w:rFonts w:ascii="Times New Roman" w:hAnsi="Times New Roman" w:cs="Times New Roman"/>
          <w:i/>
          <w:sz w:val="24"/>
          <w:szCs w:val="24"/>
        </w:rPr>
        <w:t>bis</w:t>
      </w:r>
      <w:r w:rsidRPr="00D147A7">
        <w:rPr>
          <w:rFonts w:ascii="Times New Roman" w:hAnsi="Times New Roman" w:cs="Times New Roman"/>
          <w:sz w:val="24"/>
          <w:szCs w:val="24"/>
        </w:rPr>
        <w:t xml:space="preserve"> van de archiefwet van 24 juni 1955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23 september 2010)</w:t>
      </w:r>
    </w:p>
    <w:p w:rsidR="003E1E00" w:rsidRPr="00D147A7" w:rsidRDefault="003E1E00" w:rsidP="003E1E00">
      <w:pPr>
        <w:pStyle w:val="Geenafstand"/>
        <w:ind w:left="2832" w:hanging="2832"/>
        <w:jc w:val="both"/>
        <w:rPr>
          <w:rFonts w:ascii="Times New Roman" w:hAnsi="Times New Roman" w:cs="Times New Roman"/>
          <w:sz w:val="24"/>
          <w:szCs w:val="24"/>
        </w:rPr>
      </w:pPr>
      <w:r w:rsidRPr="00D147A7">
        <w:rPr>
          <w:rFonts w:ascii="Times New Roman" w:hAnsi="Times New Roman" w:cs="Times New Roman"/>
          <w:sz w:val="24"/>
          <w:szCs w:val="24"/>
        </w:rPr>
        <w:t>KB van 18 augustus 2010 (2)</w:t>
      </w:r>
      <w:r w:rsidRPr="00D147A7">
        <w:rPr>
          <w:rFonts w:ascii="Times New Roman" w:hAnsi="Times New Roman" w:cs="Times New Roman"/>
          <w:sz w:val="24"/>
          <w:szCs w:val="24"/>
        </w:rPr>
        <w:tab/>
        <w:t>KB van 18 augustus 2010 tot uitvoering van artikelen 5 en 6 van de archiefwet van 24 juni 1955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23 september 2010)</w:t>
      </w: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ab/>
      </w:r>
    </w:p>
    <w:p w:rsidR="003E1E00" w:rsidRPr="00D147A7" w:rsidRDefault="003E1E00" w:rsidP="003E1E00">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3.3 Nederland</w:t>
      </w:r>
    </w:p>
    <w:p w:rsidR="003E1E00" w:rsidRPr="00D147A7" w:rsidRDefault="003E1E00" w:rsidP="003E1E00">
      <w:pPr>
        <w:pStyle w:val="Geenafstand"/>
        <w:ind w:left="3540" w:hanging="3540"/>
        <w:jc w:val="both"/>
        <w:rPr>
          <w:rFonts w:ascii="Times New Roman" w:hAnsi="Times New Roman" w:cs="Times New Roman"/>
          <w:sz w:val="24"/>
          <w:szCs w:val="24"/>
        </w:rPr>
      </w:pP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Arbeidsomstandighedenbesluit</w:t>
      </w:r>
      <w:r w:rsidRPr="00D147A7">
        <w:rPr>
          <w:rFonts w:ascii="Times New Roman" w:hAnsi="Times New Roman" w:cs="Times New Roman"/>
          <w:sz w:val="24"/>
          <w:szCs w:val="24"/>
        </w:rPr>
        <w:tab/>
        <w:t>Besluit van 15 januari 1997 houdende regels in het be</w:t>
      </w:r>
      <w:r w:rsidR="00D55544">
        <w:rPr>
          <w:rFonts w:ascii="Times New Roman" w:hAnsi="Times New Roman" w:cs="Times New Roman"/>
          <w:sz w:val="24"/>
          <w:szCs w:val="24"/>
        </w:rPr>
        <w:t>-</w:t>
      </w:r>
      <w:r w:rsidRPr="00D147A7">
        <w:rPr>
          <w:rFonts w:ascii="Times New Roman" w:hAnsi="Times New Roman" w:cs="Times New Roman"/>
          <w:sz w:val="24"/>
          <w:szCs w:val="24"/>
        </w:rPr>
        <w:t>lang van de veiligheid, de gezondheid en het welzijn in verband met de arbeid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60, 25 februari 1997) </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Archiefbesluit</w:t>
      </w:r>
      <w:r w:rsidRPr="00D147A7">
        <w:rPr>
          <w:rFonts w:ascii="Times New Roman" w:hAnsi="Times New Roman" w:cs="Times New Roman"/>
          <w:sz w:val="24"/>
          <w:szCs w:val="24"/>
        </w:rPr>
        <w:tab/>
        <w:t>Besluit van 15 december 1995, houdende regelen ter uit</w:t>
      </w:r>
      <w:r w:rsidR="00D55544">
        <w:rPr>
          <w:rFonts w:ascii="Times New Roman" w:hAnsi="Times New Roman" w:cs="Times New Roman"/>
          <w:sz w:val="24"/>
          <w:szCs w:val="24"/>
        </w:rPr>
        <w:t>-</w:t>
      </w:r>
      <w:r w:rsidRPr="00D147A7">
        <w:rPr>
          <w:rFonts w:ascii="Times New Roman" w:hAnsi="Times New Roman" w:cs="Times New Roman"/>
          <w:sz w:val="24"/>
          <w:szCs w:val="24"/>
        </w:rPr>
        <w:t>voering van een aantal bepalingen van de Archiefwet 1995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671, 28 december 1995)</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Archiefregeling</w:t>
      </w:r>
      <w:r w:rsidRPr="00D147A7">
        <w:rPr>
          <w:rFonts w:ascii="Times New Roman" w:hAnsi="Times New Roman" w:cs="Times New Roman"/>
          <w:sz w:val="24"/>
          <w:szCs w:val="24"/>
        </w:rPr>
        <w:tab/>
        <w:t>Regeling van de Minister van Onderwijs, Cultuur en We</w:t>
      </w:r>
      <w:r w:rsidR="00D55544">
        <w:rPr>
          <w:rFonts w:ascii="Times New Roman" w:hAnsi="Times New Roman" w:cs="Times New Roman"/>
          <w:sz w:val="24"/>
          <w:szCs w:val="24"/>
        </w:rPr>
        <w:t>-</w:t>
      </w:r>
      <w:r w:rsidRPr="00D147A7">
        <w:rPr>
          <w:rFonts w:ascii="Times New Roman" w:hAnsi="Times New Roman" w:cs="Times New Roman"/>
          <w:sz w:val="24"/>
          <w:szCs w:val="24"/>
        </w:rPr>
        <w:t>tenschap van 15 december 2009, nr. WJZ/178205 (8189), met betrekking tot de duurzaamheid en de geordende en toegankelijke staat van archiefbescheiden en de bouw en inrichting van archiefruimten en archiefbewaarplaatsen (</w:t>
      </w:r>
      <w:r w:rsidRPr="00D147A7">
        <w:rPr>
          <w:rFonts w:ascii="Times New Roman" w:hAnsi="Times New Roman" w:cs="Times New Roman"/>
          <w:i/>
          <w:sz w:val="24"/>
          <w:szCs w:val="24"/>
        </w:rPr>
        <w:t>Stcrt.</w:t>
      </w:r>
      <w:r w:rsidRPr="00D147A7">
        <w:rPr>
          <w:rFonts w:ascii="Times New Roman" w:hAnsi="Times New Roman" w:cs="Times New Roman"/>
          <w:sz w:val="24"/>
          <w:szCs w:val="24"/>
        </w:rPr>
        <w:t xml:space="preserve"> 70, 6 januari 2010)</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Archiefwet </w:t>
      </w:r>
      <w:r w:rsidRPr="00D147A7">
        <w:rPr>
          <w:rFonts w:ascii="Times New Roman" w:hAnsi="Times New Roman" w:cs="Times New Roman"/>
          <w:sz w:val="24"/>
          <w:szCs w:val="24"/>
        </w:rPr>
        <w:tab/>
        <w:t>Wet van 28 april 1995 houdende vervanging van de Ar</w:t>
      </w:r>
      <w:r w:rsidR="00D55544">
        <w:rPr>
          <w:rFonts w:ascii="Times New Roman" w:hAnsi="Times New Roman" w:cs="Times New Roman"/>
          <w:sz w:val="24"/>
          <w:szCs w:val="24"/>
        </w:rPr>
        <w:t>-</w:t>
      </w:r>
      <w:r w:rsidRPr="00D147A7">
        <w:rPr>
          <w:rFonts w:ascii="Times New Roman" w:hAnsi="Times New Roman" w:cs="Times New Roman"/>
          <w:sz w:val="24"/>
          <w:szCs w:val="24"/>
        </w:rPr>
        <w:t>chiefwet 1962 en in verband daarmede wijziging van eni</w:t>
      </w:r>
      <w:r w:rsidR="00D55544">
        <w:rPr>
          <w:rFonts w:ascii="Times New Roman" w:hAnsi="Times New Roman" w:cs="Times New Roman"/>
          <w:sz w:val="24"/>
          <w:szCs w:val="24"/>
        </w:rPr>
        <w:t>-</w:t>
      </w:r>
      <w:r w:rsidRPr="00D147A7">
        <w:rPr>
          <w:rFonts w:ascii="Times New Roman" w:hAnsi="Times New Roman" w:cs="Times New Roman"/>
          <w:sz w:val="24"/>
          <w:szCs w:val="24"/>
        </w:rPr>
        <w:t>ge andere wetten (</w:t>
      </w:r>
      <w:r w:rsidRPr="00D147A7">
        <w:rPr>
          <w:rFonts w:ascii="Times New Roman" w:hAnsi="Times New Roman" w:cs="Times New Roman"/>
          <w:i/>
          <w:sz w:val="24"/>
          <w:szCs w:val="24"/>
        </w:rPr>
        <w:t>Stb</w:t>
      </w:r>
      <w:r w:rsidRPr="00D147A7">
        <w:rPr>
          <w:rFonts w:ascii="Times New Roman" w:hAnsi="Times New Roman" w:cs="Times New Roman"/>
          <w:sz w:val="24"/>
          <w:szCs w:val="24"/>
        </w:rPr>
        <w:t>. 276, 30 mei 1995)</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Besluit patiëntendossier Bopz </w:t>
      </w:r>
      <w:r w:rsidRPr="00D147A7">
        <w:rPr>
          <w:rFonts w:ascii="Times New Roman" w:hAnsi="Times New Roman" w:cs="Times New Roman"/>
          <w:sz w:val="24"/>
          <w:szCs w:val="24"/>
        </w:rPr>
        <w:tab/>
        <w:t>Besluit van 3 november 1993, houdende regels omtrent het beheer van de patiëntendossiers, de kennisneming van de daarin opgenomen gegevens en de daarbij be</w:t>
      </w:r>
      <w:r w:rsidR="00D55544">
        <w:rPr>
          <w:rFonts w:ascii="Times New Roman" w:hAnsi="Times New Roman" w:cs="Times New Roman"/>
          <w:sz w:val="24"/>
          <w:szCs w:val="24"/>
        </w:rPr>
        <w:t>-</w:t>
      </w:r>
      <w:r w:rsidRPr="00D147A7">
        <w:rPr>
          <w:rFonts w:ascii="Times New Roman" w:hAnsi="Times New Roman" w:cs="Times New Roman"/>
          <w:sz w:val="24"/>
          <w:szCs w:val="24"/>
        </w:rPr>
        <w:t>waarde stukken en de verbetering van gegevens (</w:t>
      </w:r>
      <w:r w:rsidRPr="00D147A7">
        <w:rPr>
          <w:rFonts w:ascii="Times New Roman" w:hAnsi="Times New Roman" w:cs="Times New Roman"/>
          <w:i/>
          <w:sz w:val="24"/>
          <w:szCs w:val="24"/>
        </w:rPr>
        <w:t>Stb</w:t>
      </w:r>
      <w:r w:rsidRPr="00D147A7">
        <w:rPr>
          <w:rFonts w:ascii="Times New Roman" w:hAnsi="Times New Roman" w:cs="Times New Roman"/>
          <w:sz w:val="24"/>
          <w:szCs w:val="24"/>
        </w:rPr>
        <w:t>. 562, 9 november 1993), gewijzigd bij het besluit van 12 april 1996 (</w:t>
      </w:r>
      <w:r w:rsidRPr="00D147A7">
        <w:rPr>
          <w:rFonts w:ascii="Times New Roman" w:hAnsi="Times New Roman" w:cs="Times New Roman"/>
          <w:i/>
          <w:sz w:val="24"/>
          <w:szCs w:val="24"/>
        </w:rPr>
        <w:t>Stb</w:t>
      </w:r>
      <w:r w:rsidRPr="00D147A7">
        <w:rPr>
          <w:rFonts w:ascii="Times New Roman" w:hAnsi="Times New Roman" w:cs="Times New Roman"/>
          <w:sz w:val="24"/>
          <w:szCs w:val="24"/>
        </w:rPr>
        <w:t>. 261, 21 mei 1996)</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Besluit Stralingsbescherming</w:t>
      </w:r>
      <w:r w:rsidRPr="00D147A7">
        <w:rPr>
          <w:rFonts w:ascii="Times New Roman" w:hAnsi="Times New Roman" w:cs="Times New Roman"/>
          <w:sz w:val="24"/>
          <w:szCs w:val="24"/>
        </w:rPr>
        <w:tab/>
        <w:t>Besluit van 16 juli 2001, houdende vaststelling van het Besluit stralingsbescherming (</w:t>
      </w:r>
      <w:r w:rsidRPr="00D147A7">
        <w:rPr>
          <w:rFonts w:ascii="Times New Roman" w:hAnsi="Times New Roman" w:cs="Times New Roman"/>
          <w:i/>
          <w:sz w:val="24"/>
          <w:szCs w:val="24"/>
        </w:rPr>
        <w:t>Stb</w:t>
      </w:r>
      <w:r w:rsidRPr="00D147A7">
        <w:rPr>
          <w:rFonts w:ascii="Times New Roman" w:hAnsi="Times New Roman" w:cs="Times New Roman"/>
          <w:sz w:val="24"/>
          <w:szCs w:val="24"/>
        </w:rPr>
        <w:t>. 397, 6 september 2001)</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BGB-Z</w:t>
      </w:r>
      <w:r w:rsidRPr="00D147A7">
        <w:rPr>
          <w:rFonts w:ascii="Times New Roman" w:hAnsi="Times New Roman" w:cs="Times New Roman"/>
          <w:sz w:val="24"/>
          <w:szCs w:val="24"/>
        </w:rPr>
        <w:tab/>
        <w:t>Besluit van 23 mei 2008 houdende regels voor het ge</w:t>
      </w:r>
      <w:r w:rsidR="00D55544">
        <w:rPr>
          <w:rFonts w:ascii="Times New Roman" w:hAnsi="Times New Roman" w:cs="Times New Roman"/>
          <w:sz w:val="24"/>
          <w:szCs w:val="24"/>
        </w:rPr>
        <w:t>-</w:t>
      </w:r>
      <w:r w:rsidRPr="00D147A7">
        <w:rPr>
          <w:rFonts w:ascii="Times New Roman" w:hAnsi="Times New Roman" w:cs="Times New Roman"/>
          <w:sz w:val="24"/>
          <w:szCs w:val="24"/>
        </w:rPr>
        <w:t>bruik van het burgerservicenummer in de zorg (</w:t>
      </w:r>
      <w:r w:rsidRPr="00D147A7">
        <w:rPr>
          <w:rFonts w:ascii="Times New Roman" w:hAnsi="Times New Roman" w:cs="Times New Roman"/>
          <w:i/>
          <w:sz w:val="24"/>
          <w:szCs w:val="24"/>
        </w:rPr>
        <w:t xml:space="preserve">Stb. </w:t>
      </w:r>
      <w:r w:rsidRPr="00D147A7">
        <w:rPr>
          <w:rFonts w:ascii="Times New Roman" w:hAnsi="Times New Roman" w:cs="Times New Roman"/>
          <w:sz w:val="24"/>
          <w:szCs w:val="24"/>
        </w:rPr>
        <w:t>185, 29 mei 2008)</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Bopz </w:t>
      </w:r>
      <w:r w:rsidRPr="00D147A7">
        <w:rPr>
          <w:rFonts w:ascii="Times New Roman" w:hAnsi="Times New Roman" w:cs="Times New Roman"/>
          <w:sz w:val="24"/>
          <w:szCs w:val="24"/>
        </w:rPr>
        <w:tab/>
        <w:t xml:space="preserve">Wet van 29 oktober 1992, tot vervanging van de Wet van 27 april 1884, </w:t>
      </w:r>
      <w:r w:rsidRPr="00D147A7">
        <w:rPr>
          <w:rFonts w:ascii="Times New Roman" w:hAnsi="Times New Roman" w:cs="Times New Roman"/>
          <w:i/>
          <w:sz w:val="24"/>
          <w:szCs w:val="24"/>
        </w:rPr>
        <w:t>Stb</w:t>
      </w:r>
      <w:r w:rsidRPr="00D147A7">
        <w:rPr>
          <w:rFonts w:ascii="Times New Roman" w:hAnsi="Times New Roman" w:cs="Times New Roman"/>
          <w:sz w:val="24"/>
          <w:szCs w:val="24"/>
        </w:rPr>
        <w:t>. 96, tot regeling van het Staatstoezicht op krankzinnigen (</w:t>
      </w:r>
      <w:r w:rsidRPr="00D147A7">
        <w:rPr>
          <w:rFonts w:ascii="Times New Roman" w:hAnsi="Times New Roman" w:cs="Times New Roman"/>
          <w:i/>
          <w:sz w:val="24"/>
          <w:szCs w:val="24"/>
        </w:rPr>
        <w:t>Stb</w:t>
      </w:r>
      <w:r w:rsidRPr="00D147A7">
        <w:rPr>
          <w:rFonts w:ascii="Times New Roman" w:hAnsi="Times New Roman" w:cs="Times New Roman"/>
          <w:sz w:val="24"/>
          <w:szCs w:val="24"/>
        </w:rPr>
        <w:t>. 669, 30 december 1992)</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Wbp </w:t>
      </w:r>
      <w:r w:rsidRPr="00D147A7">
        <w:rPr>
          <w:rFonts w:ascii="Times New Roman" w:hAnsi="Times New Roman" w:cs="Times New Roman"/>
          <w:sz w:val="24"/>
          <w:szCs w:val="24"/>
        </w:rPr>
        <w:tab/>
        <w:t>Wet van 6 juli 2000 houdende regels inzake de bescher</w:t>
      </w:r>
      <w:r w:rsidR="00D55544">
        <w:rPr>
          <w:rFonts w:ascii="Times New Roman" w:hAnsi="Times New Roman" w:cs="Times New Roman"/>
          <w:sz w:val="24"/>
          <w:szCs w:val="24"/>
        </w:rPr>
        <w:t>-</w:t>
      </w:r>
      <w:r w:rsidRPr="00D147A7">
        <w:rPr>
          <w:rFonts w:ascii="Times New Roman" w:hAnsi="Times New Roman" w:cs="Times New Roman"/>
          <w:sz w:val="24"/>
          <w:szCs w:val="24"/>
        </w:rPr>
        <w:t>ming van persoonsgegevens (</w:t>
      </w:r>
      <w:r w:rsidRPr="00D147A7">
        <w:rPr>
          <w:rFonts w:ascii="Times New Roman" w:hAnsi="Times New Roman" w:cs="Times New Roman"/>
          <w:i/>
          <w:sz w:val="24"/>
          <w:szCs w:val="24"/>
        </w:rPr>
        <w:t>Stb</w:t>
      </w:r>
      <w:r w:rsidRPr="00D147A7">
        <w:rPr>
          <w:rFonts w:ascii="Times New Roman" w:hAnsi="Times New Roman" w:cs="Times New Roman"/>
          <w:sz w:val="24"/>
          <w:szCs w:val="24"/>
        </w:rPr>
        <w:t>. 302, 20 juli 2000)</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Wcz </w:t>
      </w:r>
      <w:r w:rsidRPr="00D147A7">
        <w:rPr>
          <w:rFonts w:ascii="Times New Roman" w:hAnsi="Times New Roman" w:cs="Times New Roman"/>
          <w:sz w:val="24"/>
          <w:szCs w:val="24"/>
        </w:rPr>
        <w:tab/>
        <w:t>Wetsvoorstel cliënte</w:t>
      </w:r>
      <w:r w:rsidR="00D55544">
        <w:rPr>
          <w:rFonts w:ascii="Times New Roman" w:hAnsi="Times New Roman" w:cs="Times New Roman"/>
          <w:sz w:val="24"/>
          <w:szCs w:val="24"/>
        </w:rPr>
        <w:t xml:space="preserve">nrechten zorg [Kamerstukken II, </w:t>
      </w:r>
      <w:r w:rsidRPr="00D147A7">
        <w:rPr>
          <w:rFonts w:ascii="Times New Roman" w:hAnsi="Times New Roman" w:cs="Times New Roman"/>
          <w:sz w:val="24"/>
          <w:szCs w:val="24"/>
        </w:rPr>
        <w:t>vergaderjaar 2009-2010, 32 402, nr. 2]</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Wet BIG</w:t>
      </w:r>
      <w:r w:rsidRPr="00D147A7">
        <w:rPr>
          <w:rFonts w:ascii="Times New Roman" w:hAnsi="Times New Roman" w:cs="Times New Roman"/>
          <w:sz w:val="24"/>
          <w:szCs w:val="24"/>
        </w:rPr>
        <w:tab/>
        <w:t>Wet op de beroepen in de individuele gezondheidszorg</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lastRenderedPageBreak/>
        <w:t>Wet donorgegevens</w:t>
      </w:r>
      <w:r w:rsidRPr="00D147A7">
        <w:rPr>
          <w:rFonts w:ascii="Times New Roman" w:hAnsi="Times New Roman" w:cs="Times New Roman"/>
          <w:sz w:val="24"/>
          <w:szCs w:val="24"/>
        </w:rPr>
        <w:tab/>
        <w:t>Wet van 25 april 2002, houdende regels voor de bewa</w:t>
      </w:r>
      <w:r w:rsidR="00D55544">
        <w:rPr>
          <w:rFonts w:ascii="Times New Roman" w:hAnsi="Times New Roman" w:cs="Times New Roman"/>
          <w:sz w:val="24"/>
          <w:szCs w:val="24"/>
        </w:rPr>
        <w:t>-</w:t>
      </w:r>
      <w:r w:rsidRPr="00D147A7">
        <w:rPr>
          <w:rFonts w:ascii="Times New Roman" w:hAnsi="Times New Roman" w:cs="Times New Roman"/>
          <w:sz w:val="24"/>
          <w:szCs w:val="24"/>
        </w:rPr>
        <w:t>ring, het beheer en de verstrekking van gegevens van do</w:t>
      </w:r>
      <w:r w:rsidR="00D55544">
        <w:rPr>
          <w:rFonts w:ascii="Times New Roman" w:hAnsi="Times New Roman" w:cs="Times New Roman"/>
          <w:sz w:val="24"/>
          <w:szCs w:val="24"/>
        </w:rPr>
        <w:t>-</w:t>
      </w:r>
      <w:r w:rsidRPr="00D147A7">
        <w:rPr>
          <w:rFonts w:ascii="Times New Roman" w:hAnsi="Times New Roman" w:cs="Times New Roman"/>
          <w:sz w:val="24"/>
          <w:szCs w:val="24"/>
        </w:rPr>
        <w:t>noren bij kunstmatige donorbevruchting (</w:t>
      </w:r>
      <w:r w:rsidRPr="00D147A7">
        <w:rPr>
          <w:rFonts w:ascii="Times New Roman" w:hAnsi="Times New Roman" w:cs="Times New Roman"/>
          <w:i/>
          <w:sz w:val="24"/>
          <w:szCs w:val="24"/>
        </w:rPr>
        <w:t>Stb</w:t>
      </w:r>
      <w:r w:rsidRPr="00D147A7">
        <w:rPr>
          <w:rFonts w:ascii="Times New Roman" w:hAnsi="Times New Roman" w:cs="Times New Roman"/>
          <w:sz w:val="24"/>
          <w:szCs w:val="24"/>
        </w:rPr>
        <w:t>. 240, 28 mei 2002)</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Wet op de jeugdzorg </w:t>
      </w:r>
      <w:r w:rsidRPr="00D147A7">
        <w:rPr>
          <w:rFonts w:ascii="Times New Roman" w:hAnsi="Times New Roman" w:cs="Times New Roman"/>
          <w:sz w:val="24"/>
          <w:szCs w:val="24"/>
        </w:rPr>
        <w:tab/>
        <w:t>Wet van 22 april 2004 houdende regeling van de aan</w:t>
      </w:r>
      <w:r w:rsidR="00D55544">
        <w:rPr>
          <w:rFonts w:ascii="Times New Roman" w:hAnsi="Times New Roman" w:cs="Times New Roman"/>
          <w:sz w:val="24"/>
          <w:szCs w:val="24"/>
        </w:rPr>
        <w:t>-</w:t>
      </w:r>
      <w:r w:rsidRPr="00D147A7">
        <w:rPr>
          <w:rFonts w:ascii="Times New Roman" w:hAnsi="Times New Roman" w:cs="Times New Roman"/>
          <w:sz w:val="24"/>
          <w:szCs w:val="24"/>
        </w:rPr>
        <w:t>spraak op, de toegang tot en de bekostiging van jeugd</w:t>
      </w:r>
      <w:r w:rsidR="00D55544">
        <w:rPr>
          <w:rFonts w:ascii="Times New Roman" w:hAnsi="Times New Roman" w:cs="Times New Roman"/>
          <w:sz w:val="24"/>
          <w:szCs w:val="24"/>
        </w:rPr>
        <w:t>-</w:t>
      </w:r>
      <w:r w:rsidRPr="00D147A7">
        <w:rPr>
          <w:rFonts w:ascii="Times New Roman" w:hAnsi="Times New Roman" w:cs="Times New Roman"/>
          <w:sz w:val="24"/>
          <w:szCs w:val="24"/>
        </w:rPr>
        <w:t>zorg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306, 6 juli 2004) </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Wet op de Medische keuringen </w:t>
      </w:r>
      <w:r w:rsidRPr="00D147A7">
        <w:rPr>
          <w:rFonts w:ascii="Times New Roman" w:hAnsi="Times New Roman" w:cs="Times New Roman"/>
          <w:sz w:val="24"/>
          <w:szCs w:val="24"/>
        </w:rPr>
        <w:tab/>
        <w:t>Wet van 5 juli 1997, houdende regels tot versterking van de rechtspositie van hen die een medische keuring onder</w:t>
      </w:r>
      <w:r w:rsidR="00D55544">
        <w:rPr>
          <w:rFonts w:ascii="Times New Roman" w:hAnsi="Times New Roman" w:cs="Times New Roman"/>
          <w:sz w:val="24"/>
          <w:szCs w:val="24"/>
        </w:rPr>
        <w:t>-</w:t>
      </w:r>
      <w:r w:rsidRPr="00D147A7">
        <w:rPr>
          <w:rFonts w:ascii="Times New Roman" w:hAnsi="Times New Roman" w:cs="Times New Roman"/>
          <w:sz w:val="24"/>
          <w:szCs w:val="24"/>
        </w:rPr>
        <w:t>gaan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365 (Verbeterblad), 21 augustus 1997) </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 xml:space="preserve">WGBO </w:t>
      </w:r>
      <w:r w:rsidRPr="00D147A7">
        <w:rPr>
          <w:rFonts w:ascii="Times New Roman" w:hAnsi="Times New Roman" w:cs="Times New Roman"/>
          <w:sz w:val="24"/>
          <w:szCs w:val="24"/>
        </w:rPr>
        <w:tab/>
        <w:t>Wet van 17 november 1994 tot wijziging van het Burger</w:t>
      </w:r>
      <w:r w:rsidR="00D55544">
        <w:rPr>
          <w:rFonts w:ascii="Times New Roman" w:hAnsi="Times New Roman" w:cs="Times New Roman"/>
          <w:sz w:val="24"/>
          <w:szCs w:val="24"/>
        </w:rPr>
        <w:t>-</w:t>
      </w:r>
      <w:r w:rsidRPr="00D147A7">
        <w:rPr>
          <w:rFonts w:ascii="Times New Roman" w:hAnsi="Times New Roman" w:cs="Times New Roman"/>
          <w:sz w:val="24"/>
          <w:szCs w:val="24"/>
        </w:rPr>
        <w:t>lijk Wetboek en enige andere wetten in verband met de opneming van bepalingen omtrent de overeenkomst tot het verrichten van handelingen op het gebied van de ge</w:t>
      </w:r>
      <w:r w:rsidR="00D55544">
        <w:rPr>
          <w:rFonts w:ascii="Times New Roman" w:hAnsi="Times New Roman" w:cs="Times New Roman"/>
          <w:sz w:val="24"/>
          <w:szCs w:val="24"/>
        </w:rPr>
        <w:t>-</w:t>
      </w:r>
      <w:r w:rsidRPr="00D147A7">
        <w:rPr>
          <w:rFonts w:ascii="Times New Roman" w:hAnsi="Times New Roman" w:cs="Times New Roman"/>
          <w:sz w:val="24"/>
          <w:szCs w:val="24"/>
        </w:rPr>
        <w:t>neeskunst (</w:t>
      </w:r>
      <w:r w:rsidRPr="00D147A7">
        <w:rPr>
          <w:rFonts w:ascii="Times New Roman" w:hAnsi="Times New Roman" w:cs="Times New Roman"/>
          <w:i/>
          <w:sz w:val="24"/>
          <w:szCs w:val="24"/>
        </w:rPr>
        <w:t>Stb</w:t>
      </w:r>
      <w:r w:rsidRPr="00D147A7">
        <w:rPr>
          <w:rFonts w:ascii="Times New Roman" w:hAnsi="Times New Roman" w:cs="Times New Roman"/>
          <w:sz w:val="24"/>
          <w:szCs w:val="24"/>
        </w:rPr>
        <w:t>. 837, 21 december 1994)</w:t>
      </w:r>
    </w:p>
    <w:p w:rsidR="003E1E00" w:rsidRPr="00D147A7" w:rsidRDefault="003E1E00" w:rsidP="003E1E00">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WGB-Z</w:t>
      </w:r>
      <w:r w:rsidRPr="00D147A7">
        <w:rPr>
          <w:rFonts w:ascii="Times New Roman" w:hAnsi="Times New Roman" w:cs="Times New Roman"/>
          <w:sz w:val="24"/>
          <w:szCs w:val="24"/>
        </w:rPr>
        <w:tab/>
      </w:r>
      <w:r w:rsidRPr="00D147A7">
        <w:rPr>
          <w:rFonts w:ascii="Times New Roman" w:hAnsi="Times New Roman" w:cs="Times New Roman"/>
        </w:rPr>
        <w:t>Wet van 10 april 2008 houdende regels inzake het gebruik van het burgerservicenummer in de zorg (</w:t>
      </w:r>
      <w:r w:rsidRPr="00D147A7">
        <w:rPr>
          <w:rFonts w:ascii="Times New Roman" w:hAnsi="Times New Roman" w:cs="Times New Roman"/>
          <w:i/>
        </w:rPr>
        <w:t xml:space="preserve">Stb. </w:t>
      </w:r>
      <w:r w:rsidRPr="00D147A7">
        <w:rPr>
          <w:rFonts w:ascii="Times New Roman" w:hAnsi="Times New Roman" w:cs="Times New Roman"/>
        </w:rPr>
        <w:t>164, 20 mei 2008)</w:t>
      </w:r>
    </w:p>
    <w:p w:rsidR="003E1E00" w:rsidRPr="00D147A7" w:rsidRDefault="003E1E00" w:rsidP="00E45AF3">
      <w:pPr>
        <w:pStyle w:val="Geenafstand"/>
        <w:ind w:left="3540" w:hanging="3540"/>
        <w:jc w:val="both"/>
        <w:rPr>
          <w:rFonts w:ascii="Times New Roman" w:hAnsi="Times New Roman" w:cs="Times New Roman"/>
          <w:sz w:val="24"/>
          <w:szCs w:val="24"/>
        </w:rPr>
      </w:pPr>
      <w:r w:rsidRPr="00D147A7">
        <w:rPr>
          <w:rFonts w:ascii="Times New Roman" w:hAnsi="Times New Roman" w:cs="Times New Roman"/>
          <w:sz w:val="24"/>
          <w:szCs w:val="24"/>
        </w:rPr>
        <w:t>Zorgverzekeringswet</w:t>
      </w:r>
      <w:r w:rsidRPr="00D147A7">
        <w:rPr>
          <w:rFonts w:ascii="Times New Roman" w:hAnsi="Times New Roman" w:cs="Times New Roman"/>
          <w:sz w:val="24"/>
          <w:szCs w:val="24"/>
        </w:rPr>
        <w:tab/>
        <w:t>Wet van 16 juni 2005 houdende regeling van een sociale verzekering voor geneeskundige zorg ten behoeve van de gehele bevolking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358, 14 juli 2005).</w:t>
      </w:r>
    </w:p>
    <w:p w:rsidR="003E1E00" w:rsidRPr="00D147A7" w:rsidRDefault="003E1E00" w:rsidP="003E1E00">
      <w:pPr>
        <w:pStyle w:val="Geenafstand"/>
        <w:jc w:val="center"/>
        <w:rPr>
          <w:rFonts w:ascii="Times New Roman" w:hAnsi="Times New Roman" w:cs="Times New Roman"/>
          <w:b/>
          <w:smallCaps/>
          <w:sz w:val="32"/>
          <w:szCs w:val="32"/>
          <w:lang w:val="en-US"/>
        </w:rPr>
      </w:pPr>
      <w:r w:rsidRPr="002E7E12">
        <w:rPr>
          <w:rFonts w:ascii="Times New Roman" w:hAnsi="Times New Roman" w:cs="Times New Roman"/>
          <w:b/>
          <w:smallCaps/>
          <w:sz w:val="32"/>
          <w:szCs w:val="32"/>
          <w:lang w:val="en-US"/>
        </w:rPr>
        <w:br w:type="page"/>
      </w:r>
      <w:r w:rsidRPr="00D147A7">
        <w:rPr>
          <w:rFonts w:ascii="Times New Roman" w:hAnsi="Times New Roman" w:cs="Times New Roman"/>
          <w:b/>
          <w:smallCaps/>
          <w:sz w:val="32"/>
          <w:szCs w:val="32"/>
          <w:lang w:val="en-US"/>
        </w:rPr>
        <w:lastRenderedPageBreak/>
        <w:t>Inleiding</w:t>
      </w:r>
    </w:p>
    <w:p w:rsidR="003E1E00" w:rsidRPr="00D147A7" w:rsidRDefault="003E1E00" w:rsidP="003E1E00">
      <w:pPr>
        <w:pStyle w:val="Geenafstand"/>
        <w:jc w:val="both"/>
        <w:rPr>
          <w:rFonts w:ascii="Times New Roman" w:hAnsi="Times New Roman" w:cs="Times New Roman"/>
          <w:sz w:val="24"/>
          <w:szCs w:val="24"/>
          <w:lang w:val="en-US"/>
        </w:rPr>
      </w:pPr>
    </w:p>
    <w:p w:rsidR="003E1E00" w:rsidRPr="00D147A7" w:rsidRDefault="003E1E00" w:rsidP="005E39F6">
      <w:pPr>
        <w:pStyle w:val="Geenafstand"/>
        <w:jc w:val="both"/>
        <w:rPr>
          <w:rFonts w:ascii="Times New Roman" w:hAnsi="Times New Roman" w:cs="Times New Roman"/>
          <w:sz w:val="24"/>
          <w:szCs w:val="24"/>
          <w:lang w:val="en-US"/>
        </w:rPr>
      </w:pPr>
      <w:r w:rsidRPr="00D147A7">
        <w:rPr>
          <w:rFonts w:ascii="Times New Roman" w:hAnsi="Times New Roman" w:cs="Times New Roman"/>
          <w:i/>
          <w:sz w:val="24"/>
          <w:szCs w:val="24"/>
          <w:lang w:val="en-US"/>
        </w:rPr>
        <w:t>The enjoyment of history and the archives which support its investigation provides us with a sense of our place in the world. Archives help us understand the past; they place the present in context and enrich the future. They require vigilance to protect, both from blind fate and malevolent intent because destruction erases the past</w:t>
      </w:r>
      <w:r w:rsidRPr="00D147A7">
        <w:rPr>
          <w:rFonts w:ascii="Times New Roman" w:hAnsi="Times New Roman" w:cs="Times New Roman"/>
          <w:sz w:val="24"/>
          <w:szCs w:val="24"/>
          <w:lang w:val="en-US"/>
        </w:rPr>
        <w:t>.</w:t>
      </w:r>
      <w:r w:rsidRPr="00D147A7">
        <w:rPr>
          <w:rStyle w:val="Voetnootmarkering"/>
          <w:rFonts w:ascii="Times New Roman" w:hAnsi="Times New Roman" w:cs="Times New Roman"/>
          <w:sz w:val="24"/>
          <w:szCs w:val="24"/>
          <w:lang w:val="en-US"/>
        </w:rPr>
        <w:footnoteReference w:id="17"/>
      </w:r>
    </w:p>
    <w:p w:rsidR="003E1E00" w:rsidRPr="00D147A7" w:rsidRDefault="003E1E00" w:rsidP="003E1E00">
      <w:pPr>
        <w:pStyle w:val="Geenafstand"/>
        <w:jc w:val="both"/>
        <w:rPr>
          <w:rFonts w:ascii="Times New Roman" w:hAnsi="Times New Roman" w:cs="Times New Roman"/>
          <w:sz w:val="24"/>
          <w:szCs w:val="24"/>
          <w:lang w:val="en-US"/>
        </w:rPr>
      </w:pP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1. De geschiedenis van het patiëntendossier</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Sommige auteurs, waaronder Huffman, situeren de eerste (primitieve) patiëntendossiers in het laat-Paleolithicum of Solutréen (circa 22.000 tot 16.500 jaar geleden).</w:t>
      </w:r>
      <w:r w:rsidRPr="00D147A7">
        <w:rPr>
          <w:rStyle w:val="Voetnootmarkering"/>
          <w:rFonts w:ascii="Times New Roman" w:hAnsi="Times New Roman" w:cs="Times New Roman"/>
          <w:sz w:val="24"/>
          <w:szCs w:val="24"/>
        </w:rPr>
        <w:footnoteReference w:id="18"/>
      </w:r>
      <w:r w:rsidRPr="00D147A7">
        <w:rPr>
          <w:rFonts w:ascii="Times New Roman" w:hAnsi="Times New Roman" w:cs="Times New Roman"/>
          <w:sz w:val="24"/>
          <w:szCs w:val="24"/>
        </w:rPr>
        <w:t xml:space="preserve"> De eerste patiënten</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dossiers </w:t>
      </w:r>
      <w:r w:rsidRPr="00D147A7">
        <w:rPr>
          <w:rFonts w:ascii="Times New Roman" w:hAnsi="Times New Roman" w:cs="Times New Roman"/>
          <w:i/>
          <w:sz w:val="24"/>
          <w:szCs w:val="24"/>
        </w:rPr>
        <w:t>avant la lettre</w:t>
      </w:r>
      <w:r w:rsidRPr="00D147A7">
        <w:rPr>
          <w:rFonts w:ascii="Times New Roman" w:hAnsi="Times New Roman" w:cs="Times New Roman"/>
          <w:sz w:val="24"/>
          <w:szCs w:val="24"/>
        </w:rPr>
        <w:t xml:space="preserve"> zijn volgens hen stencils in rode en zwarte verf van verminkte handen op rotswanden. Deze rotsschilderingen – waar over heel de wereld meer dan 200 exemplaren van bewaard zijn gebleven – tonen aan dat reeds in de oude steentijd amputaties werden uit</w:t>
      </w:r>
      <w:r w:rsidR="00013CF2">
        <w:rPr>
          <w:rFonts w:ascii="Times New Roman" w:hAnsi="Times New Roman" w:cs="Times New Roman"/>
          <w:sz w:val="24"/>
          <w:szCs w:val="24"/>
        </w:rPr>
        <w:t>-</w:t>
      </w:r>
      <w:r w:rsidRPr="00D147A7">
        <w:rPr>
          <w:rFonts w:ascii="Times New Roman" w:hAnsi="Times New Roman" w:cs="Times New Roman"/>
          <w:sz w:val="24"/>
          <w:szCs w:val="24"/>
        </w:rPr>
        <w:t>gevoerd.</w:t>
      </w:r>
      <w:r w:rsidRPr="00D147A7">
        <w:rPr>
          <w:rStyle w:val="Voetnootmarkering"/>
          <w:rFonts w:ascii="Times New Roman" w:hAnsi="Times New Roman" w:cs="Times New Roman"/>
          <w:sz w:val="24"/>
          <w:szCs w:val="24"/>
        </w:rPr>
        <w:footnoteReference w:id="19"/>
      </w:r>
      <w:r w:rsidRPr="00D147A7">
        <w:rPr>
          <w:rFonts w:ascii="Times New Roman" w:hAnsi="Times New Roman" w:cs="Times New Roman"/>
          <w:sz w:val="24"/>
          <w:szCs w:val="24"/>
        </w:rPr>
        <w:t xml:space="preserve"> Maar dat deze rotsschilderingen aangebracht werden als geheugensteun voor de toenmalige ‘chirurgen’ of als middel om medische kennis voor het nageslacht te bewaren</w:t>
      </w:r>
      <w:r w:rsidRPr="00D147A7">
        <w:rPr>
          <w:rStyle w:val="Voetnootmarkering"/>
          <w:rFonts w:ascii="Times New Roman" w:hAnsi="Times New Roman" w:cs="Times New Roman"/>
          <w:sz w:val="24"/>
          <w:szCs w:val="24"/>
        </w:rPr>
        <w:footnoteReference w:id="20"/>
      </w:r>
      <w:r w:rsidRPr="00D147A7">
        <w:rPr>
          <w:rFonts w:ascii="Times New Roman" w:hAnsi="Times New Roman" w:cs="Times New Roman"/>
          <w:sz w:val="24"/>
          <w:szCs w:val="24"/>
        </w:rPr>
        <w:t>, is m.i. een antagonisme. De redenen om een vinger te amputeren verschilde van regio tot regio – als offergave voor een god, als onderscheidingsteken van een bepaalde kaste, als onderdeel in het rijpingsproces, etc.</w:t>
      </w:r>
      <w:r w:rsidRPr="00D147A7">
        <w:rPr>
          <w:rStyle w:val="Voetnootmarkering"/>
          <w:rFonts w:ascii="Times New Roman" w:hAnsi="Times New Roman" w:cs="Times New Roman"/>
          <w:sz w:val="24"/>
          <w:szCs w:val="24"/>
        </w:rPr>
        <w:footnoteReference w:id="21"/>
      </w:r>
      <w:r w:rsidRPr="00D147A7">
        <w:rPr>
          <w:rFonts w:ascii="Times New Roman" w:hAnsi="Times New Roman" w:cs="Times New Roman"/>
          <w:sz w:val="24"/>
          <w:szCs w:val="24"/>
        </w:rPr>
        <w:t xml:space="preserve"> (en dus nimmer om medische redenen) –, waar ook de motieven van deze rotsschilderingen in verband mee moeten worden gebracht. Bovendien laten deze hand</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afdrukken niet zien hoe de amputaties uitgevoerd </w:t>
      </w:r>
      <w:r w:rsidR="00E45AF3" w:rsidRPr="00D147A7">
        <w:rPr>
          <w:rFonts w:ascii="Times New Roman" w:hAnsi="Times New Roman" w:cs="Times New Roman"/>
          <w:sz w:val="24"/>
          <w:szCs w:val="24"/>
        </w:rPr>
        <w:t>werden (of moesten worden).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center"/>
        <w:rPr>
          <w:rFonts w:ascii="Times New Roman" w:hAnsi="Times New Roman" w:cs="Times New Roman"/>
          <w:noProof/>
          <w:lang w:eastAsia="nl-BE"/>
        </w:rPr>
      </w:pPr>
      <w:r w:rsidRPr="00D147A7">
        <w:rPr>
          <w:rFonts w:ascii="Times New Roman" w:hAnsi="Times New Roman" w:cs="Times New Roman"/>
          <w:noProof/>
          <w:lang w:eastAsia="nl-BE"/>
        </w:rPr>
        <w:drawing>
          <wp:inline distT="0" distB="0" distL="0" distR="0" wp14:anchorId="09707998" wp14:editId="3AF560E6">
            <wp:extent cx="3228975" cy="20097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a:ln>
                      <a:noFill/>
                    </a:ln>
                  </pic:spPr>
                </pic:pic>
              </a:graphicData>
            </a:graphic>
          </wp:inline>
        </w:drawing>
      </w:r>
    </w:p>
    <w:p w:rsidR="003E1E00" w:rsidRPr="00D147A7" w:rsidRDefault="003E1E00" w:rsidP="003E1E00">
      <w:pPr>
        <w:pStyle w:val="Geenafstand"/>
        <w:jc w:val="center"/>
        <w:rPr>
          <w:rFonts w:ascii="Times New Roman" w:hAnsi="Times New Roman" w:cs="Times New Roman"/>
          <w:noProof/>
          <w:sz w:val="24"/>
          <w:szCs w:val="24"/>
          <w:lang w:eastAsia="nl-BE"/>
        </w:rPr>
      </w:pPr>
      <w:r w:rsidRPr="00D147A7">
        <w:rPr>
          <w:rFonts w:ascii="Times New Roman" w:hAnsi="Times New Roman" w:cs="Times New Roman"/>
          <w:noProof/>
          <w:sz w:val="24"/>
          <w:szCs w:val="24"/>
          <w:lang w:eastAsia="nl-BE"/>
        </w:rPr>
        <w:t>Figuur 1: Handafdrukken uit het laat-Paleolithicum op de wanden van een rots te Gargas (arrondissement en kanton Apt, departement Vaucluse, regio Provence-Alpes-Côte d’Azur)</w:t>
      </w:r>
      <w:r w:rsidRPr="00D147A7">
        <w:rPr>
          <w:rStyle w:val="Voetnootmarkering"/>
          <w:rFonts w:ascii="Times New Roman" w:hAnsi="Times New Roman" w:cs="Times New Roman"/>
          <w:noProof/>
          <w:sz w:val="24"/>
          <w:szCs w:val="24"/>
          <w:lang w:eastAsia="nl-BE"/>
        </w:rPr>
        <w:footnoteReference w:id="22"/>
      </w:r>
    </w:p>
    <w:p w:rsidR="003E1E00" w:rsidRPr="00D147A7" w:rsidRDefault="003E1E00" w:rsidP="003E1E00">
      <w:pPr>
        <w:pStyle w:val="Geenafstand"/>
        <w:jc w:val="center"/>
        <w:rPr>
          <w:rFonts w:ascii="Times New Roman" w:hAnsi="Times New Roman" w:cs="Times New Roman"/>
          <w:noProof/>
          <w:lang w:eastAsia="nl-BE"/>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Om diezelfde reden kunnen ook afbeeldingen van medische handelingen op muren (fresco’s), potten,… uit de Egyptische, Griekse en Romeinse oudheid niet als voorlopers van de huidige patiëntendossiers worden beschouwd. Medische handelingen werden net als alle andere on</w:t>
      </w:r>
      <w:r w:rsidR="00D55544">
        <w:rPr>
          <w:rFonts w:ascii="Times New Roman" w:hAnsi="Times New Roman" w:cs="Times New Roman"/>
          <w:sz w:val="24"/>
          <w:szCs w:val="24"/>
        </w:rPr>
        <w:t>-</w:t>
      </w:r>
      <w:r w:rsidRPr="00D147A7">
        <w:rPr>
          <w:rFonts w:ascii="Times New Roman" w:hAnsi="Times New Roman" w:cs="Times New Roman"/>
          <w:sz w:val="24"/>
          <w:szCs w:val="24"/>
        </w:rPr>
        <w:t>derwerpen uit het dagelijkse leven afgebeeld. Dat de eerste medische traktaten uit de Egyp</w:t>
      </w:r>
      <w:r w:rsidR="00013CF2">
        <w:rPr>
          <w:rFonts w:ascii="Times New Roman" w:hAnsi="Times New Roman" w:cs="Times New Roman"/>
          <w:sz w:val="24"/>
          <w:szCs w:val="24"/>
        </w:rPr>
        <w:t>-</w:t>
      </w:r>
      <w:r w:rsidRPr="00D147A7">
        <w:rPr>
          <w:rFonts w:ascii="Times New Roman" w:hAnsi="Times New Roman" w:cs="Times New Roman"/>
          <w:sz w:val="24"/>
          <w:szCs w:val="24"/>
        </w:rPr>
        <w:lastRenderedPageBreak/>
        <w:t>tische periode dateren</w:t>
      </w:r>
      <w:r w:rsidRPr="00D147A7">
        <w:rPr>
          <w:rStyle w:val="Voetnootmarkering"/>
          <w:rFonts w:ascii="Times New Roman" w:hAnsi="Times New Roman" w:cs="Times New Roman"/>
          <w:sz w:val="24"/>
          <w:szCs w:val="24"/>
        </w:rPr>
        <w:footnoteReference w:id="23"/>
      </w:r>
      <w:r w:rsidRPr="00D147A7">
        <w:rPr>
          <w:rFonts w:ascii="Times New Roman" w:hAnsi="Times New Roman" w:cs="Times New Roman"/>
          <w:sz w:val="24"/>
          <w:szCs w:val="24"/>
        </w:rPr>
        <w:t>, vormt evenmin afdoend bewijs dat er in de oudhe</w:t>
      </w:r>
      <w:r w:rsidR="00E45AF3" w:rsidRPr="00D147A7">
        <w:rPr>
          <w:rFonts w:ascii="Times New Roman" w:hAnsi="Times New Roman" w:cs="Times New Roman"/>
          <w:sz w:val="24"/>
          <w:szCs w:val="24"/>
        </w:rPr>
        <w:t>id patiëntendossiers bestonden.</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Pas in het midden van de 18de eeuw maakten Europese ziekenhuizen – in navolging van zie</w:t>
      </w:r>
      <w:r w:rsidR="00D55544">
        <w:rPr>
          <w:rFonts w:ascii="Times New Roman" w:hAnsi="Times New Roman" w:cs="Times New Roman"/>
          <w:sz w:val="24"/>
          <w:szCs w:val="24"/>
        </w:rPr>
        <w:t>-</w:t>
      </w:r>
      <w:r w:rsidRPr="00D147A7">
        <w:rPr>
          <w:rFonts w:ascii="Times New Roman" w:hAnsi="Times New Roman" w:cs="Times New Roman"/>
          <w:sz w:val="24"/>
          <w:szCs w:val="24"/>
        </w:rPr>
        <w:t>kenhuizen op de Oostkust van Amerika – almaar meer gebruik van opnameregisters.</w:t>
      </w:r>
      <w:r w:rsidRPr="00D147A7">
        <w:rPr>
          <w:rStyle w:val="Voetnootmarkering"/>
          <w:rFonts w:ascii="Times New Roman" w:hAnsi="Times New Roman" w:cs="Times New Roman"/>
          <w:sz w:val="24"/>
          <w:szCs w:val="24"/>
        </w:rPr>
        <w:footnoteReference w:id="24"/>
      </w:r>
      <w:r w:rsidRPr="00D147A7">
        <w:rPr>
          <w:rFonts w:ascii="Times New Roman" w:hAnsi="Times New Roman" w:cs="Times New Roman"/>
          <w:sz w:val="24"/>
          <w:szCs w:val="24"/>
        </w:rPr>
        <w:t xml:space="preserve"> In deze registers werd op systematische wijze gegevens over de gehospitaliseerde patiënten (zoals naam, voornaam, burgerlijke staat, leeftijd en domicilie) genoteerd. Naast deze veeleer admi</w:t>
      </w:r>
      <w:r w:rsidR="00D55544">
        <w:rPr>
          <w:rFonts w:ascii="Times New Roman" w:hAnsi="Times New Roman" w:cs="Times New Roman"/>
          <w:sz w:val="24"/>
          <w:szCs w:val="24"/>
        </w:rPr>
        <w:t>-</w:t>
      </w:r>
      <w:r w:rsidRPr="00D147A7">
        <w:rPr>
          <w:rFonts w:ascii="Times New Roman" w:hAnsi="Times New Roman" w:cs="Times New Roman"/>
          <w:sz w:val="24"/>
          <w:szCs w:val="24"/>
        </w:rPr>
        <w:t>nistratieve informatie werd ook opgetekend wanneer en naar aanleiding van welke aandoe</w:t>
      </w:r>
      <w:r w:rsidR="00D55544">
        <w:rPr>
          <w:rFonts w:ascii="Times New Roman" w:hAnsi="Times New Roman" w:cs="Times New Roman"/>
          <w:sz w:val="24"/>
          <w:szCs w:val="24"/>
        </w:rPr>
        <w:t>-</w:t>
      </w:r>
      <w:r w:rsidRPr="00D147A7">
        <w:rPr>
          <w:rFonts w:ascii="Times New Roman" w:hAnsi="Times New Roman" w:cs="Times New Roman"/>
          <w:sz w:val="24"/>
          <w:szCs w:val="24"/>
        </w:rPr>
        <w:t xml:space="preserve">ning de patiënt werd opgenomen en wanneer hij of </w:t>
      </w:r>
      <w:r w:rsidR="00E45AF3" w:rsidRPr="00D147A7">
        <w:rPr>
          <w:rFonts w:ascii="Times New Roman" w:hAnsi="Times New Roman" w:cs="Times New Roman"/>
          <w:sz w:val="24"/>
          <w:szCs w:val="24"/>
        </w:rPr>
        <w:t>zij ontslagen werd of overleed.</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Naast deze opnameregisters werden in de loop van de 19</w:t>
      </w:r>
      <w:r w:rsidRPr="00D147A7">
        <w:rPr>
          <w:rFonts w:ascii="Times New Roman" w:hAnsi="Times New Roman" w:cs="Times New Roman"/>
          <w:sz w:val="24"/>
          <w:szCs w:val="24"/>
          <w:vertAlign w:val="superscript"/>
        </w:rPr>
        <w:t>de</w:t>
      </w:r>
      <w:r w:rsidRPr="00D147A7">
        <w:rPr>
          <w:rFonts w:ascii="Times New Roman" w:hAnsi="Times New Roman" w:cs="Times New Roman"/>
          <w:sz w:val="24"/>
          <w:szCs w:val="24"/>
        </w:rPr>
        <w:t xml:space="preserve"> eeuw ook individuele dossiers per patiënt aangelegd. Net zoals bij de opnameregisters werden deze dossiers – de voorlopers van patiëntendossiers zoals we ze de dag van va</w:t>
      </w:r>
      <w:r w:rsidR="00013CF2">
        <w:rPr>
          <w:rFonts w:ascii="Times New Roman" w:hAnsi="Times New Roman" w:cs="Times New Roman"/>
          <w:sz w:val="24"/>
          <w:szCs w:val="24"/>
        </w:rPr>
        <w:t>ndaag kennen – voornamelijk, zo</w:t>
      </w:r>
      <w:r w:rsidRPr="00D147A7">
        <w:rPr>
          <w:rFonts w:ascii="Times New Roman" w:hAnsi="Times New Roman" w:cs="Times New Roman"/>
          <w:sz w:val="24"/>
          <w:szCs w:val="24"/>
        </w:rPr>
        <w:t>niet uitsluitend</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 in ziekenhuizen gevormd en bewaard. Individuele zorgverleners (zoals huisartsen) bleven zich tot </w:t>
      </w:r>
      <w:r w:rsidR="00013CF2">
        <w:rPr>
          <w:rFonts w:ascii="Times New Roman" w:hAnsi="Times New Roman" w:cs="Times New Roman"/>
          <w:sz w:val="24"/>
          <w:szCs w:val="24"/>
        </w:rPr>
        <w:t xml:space="preserve">diep </w:t>
      </w:r>
      <w:r w:rsidRPr="00D147A7">
        <w:rPr>
          <w:rFonts w:ascii="Times New Roman" w:hAnsi="Times New Roman" w:cs="Times New Roman"/>
          <w:sz w:val="24"/>
          <w:szCs w:val="24"/>
        </w:rPr>
        <w:t>in de 20</w:t>
      </w:r>
      <w:r w:rsidRPr="00D147A7">
        <w:rPr>
          <w:rFonts w:ascii="Times New Roman" w:hAnsi="Times New Roman" w:cs="Times New Roman"/>
          <w:sz w:val="24"/>
          <w:szCs w:val="24"/>
          <w:vertAlign w:val="superscript"/>
        </w:rPr>
        <w:t>ste</w:t>
      </w:r>
      <w:r w:rsidRPr="00D147A7">
        <w:rPr>
          <w:rFonts w:ascii="Times New Roman" w:hAnsi="Times New Roman" w:cs="Times New Roman"/>
          <w:sz w:val="24"/>
          <w:szCs w:val="24"/>
        </w:rPr>
        <w:t xml:space="preserve"> eeuw in hoofdzaak op hun geheugen beroepen bij de uitoefening van hun beroep. De eerste patiëntendossiers in ziekenhuisverband bestonden uit twee grote folio-papieren, waarop patiënten geïdentificeerd werden en hun ziektegeschiedenis, behandeling en opvolging beschreven werd. Op de eerste bladzijde noteerde een zorgverlener </w:t>
      </w:r>
      <w:r w:rsidR="00013CF2">
        <w:rPr>
          <w:rFonts w:ascii="Times New Roman" w:hAnsi="Times New Roman" w:cs="Times New Roman"/>
          <w:sz w:val="24"/>
          <w:szCs w:val="24"/>
        </w:rPr>
        <w:t xml:space="preserve">wanneer </w:t>
      </w:r>
      <w:r w:rsidRPr="00D147A7">
        <w:rPr>
          <w:rFonts w:ascii="Times New Roman" w:hAnsi="Times New Roman" w:cs="Times New Roman"/>
          <w:sz w:val="24"/>
          <w:szCs w:val="24"/>
        </w:rPr>
        <w:t xml:space="preserve">de klachten begonnen, wanneer de patiënt opgenomen en ontslagen werd, het </w:t>
      </w:r>
      <w:r w:rsidR="00013CF2">
        <w:rPr>
          <w:rFonts w:ascii="Times New Roman" w:hAnsi="Times New Roman" w:cs="Times New Roman"/>
          <w:sz w:val="24"/>
          <w:szCs w:val="24"/>
        </w:rPr>
        <w:t>tijdstip</w:t>
      </w:r>
      <w:r w:rsidRPr="00D147A7">
        <w:rPr>
          <w:rFonts w:ascii="Times New Roman" w:hAnsi="Times New Roman" w:cs="Times New Roman"/>
          <w:sz w:val="24"/>
          <w:szCs w:val="24"/>
        </w:rPr>
        <w:t xml:space="preserve"> </w:t>
      </w:r>
      <w:r w:rsidR="00013CF2">
        <w:rPr>
          <w:rFonts w:ascii="Times New Roman" w:hAnsi="Times New Roman" w:cs="Times New Roman"/>
          <w:sz w:val="24"/>
          <w:szCs w:val="24"/>
        </w:rPr>
        <w:t>van</w:t>
      </w:r>
      <w:r w:rsidRPr="00D147A7">
        <w:rPr>
          <w:rFonts w:ascii="Times New Roman" w:hAnsi="Times New Roman" w:cs="Times New Roman"/>
          <w:sz w:val="24"/>
          <w:szCs w:val="24"/>
        </w:rPr>
        <w:t xml:space="preserve"> de dia</w:t>
      </w:r>
      <w:r w:rsidR="00013CF2">
        <w:rPr>
          <w:rFonts w:ascii="Times New Roman" w:hAnsi="Times New Roman" w:cs="Times New Roman"/>
          <w:sz w:val="24"/>
          <w:szCs w:val="24"/>
        </w:rPr>
        <w:t>-</w:t>
      </w:r>
      <w:r w:rsidRPr="00D147A7">
        <w:rPr>
          <w:rFonts w:ascii="Times New Roman" w:hAnsi="Times New Roman" w:cs="Times New Roman"/>
          <w:sz w:val="24"/>
          <w:szCs w:val="24"/>
        </w:rPr>
        <w:t>gnose, evenals de naam van de behandelende geneesheer, de nummer van het in beslag geno</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men bed, de naam, voornaam, leeftijd, burgerlijke staat, beroep, geboorteplaats en domicilie van de patiënt. De resterende ruimte op de eerste bladzijde en de overige drie pagina’s werden in drie kolommen onderverdeeld, </w:t>
      </w:r>
      <w:r w:rsidR="00013CF2">
        <w:rPr>
          <w:rFonts w:ascii="Times New Roman" w:hAnsi="Times New Roman" w:cs="Times New Roman"/>
          <w:sz w:val="24"/>
          <w:szCs w:val="24"/>
        </w:rPr>
        <w:t>waaraan de titels</w:t>
      </w:r>
      <w:r w:rsidRPr="00D147A7">
        <w:rPr>
          <w:rFonts w:ascii="Times New Roman" w:hAnsi="Times New Roman" w:cs="Times New Roman"/>
          <w:sz w:val="24"/>
          <w:szCs w:val="24"/>
        </w:rPr>
        <w:t xml:space="preserve"> ‘datum’, ‘ziektegeschiedenis’ en ‘behan</w:t>
      </w:r>
      <w:r w:rsidR="00C04265">
        <w:rPr>
          <w:rFonts w:ascii="Times New Roman" w:hAnsi="Times New Roman" w:cs="Times New Roman"/>
          <w:sz w:val="24"/>
          <w:szCs w:val="24"/>
        </w:rPr>
        <w:t>-</w:t>
      </w:r>
      <w:r w:rsidRPr="00D147A7">
        <w:rPr>
          <w:rFonts w:ascii="Times New Roman" w:hAnsi="Times New Roman" w:cs="Times New Roman"/>
          <w:sz w:val="24"/>
          <w:szCs w:val="24"/>
        </w:rPr>
        <w:t>deling’</w:t>
      </w:r>
      <w:r w:rsidR="00013CF2">
        <w:rPr>
          <w:rFonts w:ascii="Times New Roman" w:hAnsi="Times New Roman" w:cs="Times New Roman"/>
          <w:sz w:val="24"/>
          <w:szCs w:val="24"/>
        </w:rPr>
        <w:t xml:space="preserve"> werden toegekend</w:t>
      </w:r>
      <w:r w:rsidRPr="00D147A7">
        <w:rPr>
          <w:rFonts w:ascii="Times New Roman" w:hAnsi="Times New Roman" w:cs="Times New Roman"/>
          <w:sz w:val="24"/>
          <w:szCs w:val="24"/>
        </w:rPr>
        <w:t xml:space="preserve">. Enkel de tweede kolom – niet toevallig de meest interessante – werd systematisch ingevuld. Aan de hand van ondervragingen van de patiënt werd </w:t>
      </w:r>
      <w:r w:rsidR="00E45AF3" w:rsidRPr="00D147A7">
        <w:rPr>
          <w:rFonts w:ascii="Times New Roman" w:hAnsi="Times New Roman" w:cs="Times New Roman"/>
          <w:sz w:val="24"/>
          <w:szCs w:val="24"/>
        </w:rPr>
        <w:t>diens</w:t>
      </w:r>
      <w:r w:rsidRPr="00D147A7">
        <w:rPr>
          <w:rFonts w:ascii="Times New Roman" w:hAnsi="Times New Roman" w:cs="Times New Roman"/>
          <w:sz w:val="24"/>
          <w:szCs w:val="24"/>
        </w:rPr>
        <w:t xml:space="preserve"> ziek</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tegeschiedenis en die van zijn </w:t>
      </w:r>
      <w:r w:rsidR="00013CF2">
        <w:rPr>
          <w:rFonts w:ascii="Times New Roman" w:hAnsi="Times New Roman" w:cs="Times New Roman"/>
          <w:sz w:val="24"/>
          <w:szCs w:val="24"/>
        </w:rPr>
        <w:t xml:space="preserve">of haar </w:t>
      </w:r>
      <w:r w:rsidRPr="00D147A7">
        <w:rPr>
          <w:rFonts w:ascii="Times New Roman" w:hAnsi="Times New Roman" w:cs="Times New Roman"/>
          <w:sz w:val="24"/>
          <w:szCs w:val="24"/>
        </w:rPr>
        <w:t xml:space="preserve">familie opgesteld. </w:t>
      </w:r>
      <w:r w:rsidR="00013CF2">
        <w:rPr>
          <w:rFonts w:ascii="Times New Roman" w:hAnsi="Times New Roman" w:cs="Times New Roman"/>
          <w:sz w:val="24"/>
          <w:szCs w:val="24"/>
        </w:rPr>
        <w:t>De precieze</w:t>
      </w:r>
      <w:r w:rsidRPr="00D147A7">
        <w:rPr>
          <w:rFonts w:ascii="Times New Roman" w:hAnsi="Times New Roman" w:cs="Times New Roman"/>
          <w:sz w:val="24"/>
          <w:szCs w:val="24"/>
        </w:rPr>
        <w:t xml:space="preserve"> behandel</w:t>
      </w:r>
      <w:r w:rsidR="00013CF2">
        <w:rPr>
          <w:rFonts w:ascii="Times New Roman" w:hAnsi="Times New Roman" w:cs="Times New Roman"/>
          <w:sz w:val="24"/>
          <w:szCs w:val="24"/>
        </w:rPr>
        <w:t>ing</w:t>
      </w:r>
      <w:r w:rsidRPr="00D147A7">
        <w:rPr>
          <w:rFonts w:ascii="Times New Roman" w:hAnsi="Times New Roman" w:cs="Times New Roman"/>
          <w:sz w:val="24"/>
          <w:szCs w:val="24"/>
        </w:rPr>
        <w:t xml:space="preserve"> werd aan</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vankelijk slechts </w:t>
      </w:r>
      <w:r w:rsidR="00E45AF3" w:rsidRPr="00D147A7">
        <w:rPr>
          <w:rFonts w:ascii="Times New Roman" w:hAnsi="Times New Roman" w:cs="Times New Roman"/>
          <w:sz w:val="24"/>
          <w:szCs w:val="24"/>
        </w:rPr>
        <w:t>uitzonderlijk</w:t>
      </w:r>
      <w:r w:rsidRPr="00D147A7">
        <w:rPr>
          <w:rFonts w:ascii="Times New Roman" w:hAnsi="Times New Roman" w:cs="Times New Roman"/>
          <w:sz w:val="24"/>
          <w:szCs w:val="24"/>
        </w:rPr>
        <w:t xml:space="preserve"> opgetekend.</w:t>
      </w:r>
      <w:r w:rsidRPr="00D147A7">
        <w:rPr>
          <w:rStyle w:val="Voetnootmarkering"/>
          <w:rFonts w:ascii="Times New Roman" w:hAnsi="Times New Roman" w:cs="Times New Roman"/>
          <w:sz w:val="24"/>
          <w:szCs w:val="24"/>
        </w:rPr>
        <w:footnoteReference w:id="25"/>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Patiëntendossiers uit de eerste helft van de 20</w:t>
      </w:r>
      <w:r w:rsidRPr="00D147A7">
        <w:rPr>
          <w:rFonts w:ascii="Times New Roman" w:hAnsi="Times New Roman" w:cs="Times New Roman"/>
          <w:sz w:val="24"/>
          <w:szCs w:val="24"/>
          <w:vertAlign w:val="superscript"/>
        </w:rPr>
        <w:t>ste</w:t>
      </w:r>
      <w:r w:rsidRPr="00D147A7">
        <w:rPr>
          <w:rFonts w:ascii="Times New Roman" w:hAnsi="Times New Roman" w:cs="Times New Roman"/>
          <w:sz w:val="24"/>
          <w:szCs w:val="24"/>
        </w:rPr>
        <w:t xml:space="preserve"> eeuw zijn nog niet de uiterst privacygevoelige bronnen zoals vandaag de dag. Naast de ‘gewone’ persoonsgegevens (zoals naam, voornaam, etc.) bestonden patiëntendossier voornamelijk uit standaardformulieren, waarop relatief onbe</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duidende aantekeningen werden gemaakt. Het zijn </w:t>
      </w:r>
      <w:r w:rsidR="00013CF2">
        <w:rPr>
          <w:rFonts w:ascii="Times New Roman" w:hAnsi="Times New Roman" w:cs="Times New Roman"/>
          <w:sz w:val="24"/>
          <w:szCs w:val="24"/>
        </w:rPr>
        <w:t>oppervlakkige</w:t>
      </w:r>
      <w:r w:rsidRPr="00D147A7">
        <w:rPr>
          <w:rFonts w:ascii="Times New Roman" w:hAnsi="Times New Roman" w:cs="Times New Roman"/>
          <w:sz w:val="24"/>
          <w:szCs w:val="24"/>
        </w:rPr>
        <w:t xml:space="preserve"> gezondheidsgegevens die de betrokken patiënt geenszins stigmatiseren. Dit blijkt uit onderstaand voorbeeld, dat even</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wel geen echt patiëntendossier is, maar </w:t>
      </w:r>
      <w:r w:rsidR="00013CF2">
        <w:rPr>
          <w:rFonts w:ascii="Times New Roman" w:hAnsi="Times New Roman" w:cs="Times New Roman"/>
          <w:sz w:val="24"/>
          <w:szCs w:val="24"/>
        </w:rPr>
        <w:t>de</w:t>
      </w:r>
      <w:r w:rsidRPr="00D147A7">
        <w:rPr>
          <w:rFonts w:ascii="Times New Roman" w:hAnsi="Times New Roman" w:cs="Times New Roman"/>
          <w:sz w:val="24"/>
          <w:szCs w:val="24"/>
        </w:rPr>
        <w:t xml:space="preserve"> postume lijkschouwing van Jean Adam, een krijgs</w:t>
      </w:r>
      <w:r w:rsidR="00013CF2">
        <w:rPr>
          <w:rFonts w:ascii="Times New Roman" w:hAnsi="Times New Roman" w:cs="Times New Roman"/>
          <w:sz w:val="24"/>
          <w:szCs w:val="24"/>
        </w:rPr>
        <w:t>-</w:t>
      </w:r>
      <w:r w:rsidRPr="00D147A7">
        <w:rPr>
          <w:rFonts w:ascii="Times New Roman" w:hAnsi="Times New Roman" w:cs="Times New Roman"/>
          <w:sz w:val="24"/>
          <w:szCs w:val="24"/>
        </w:rPr>
        <w:t>gevangene uit Luik die enkele weken voor de bevrijding (</w:t>
      </w:r>
      <w:r w:rsidRPr="00D147A7">
        <w:rPr>
          <w:rFonts w:ascii="Times New Roman" w:hAnsi="Times New Roman" w:cs="Times New Roman"/>
          <w:i/>
          <w:sz w:val="24"/>
          <w:szCs w:val="24"/>
        </w:rPr>
        <w:t>medio</w:t>
      </w:r>
      <w:r w:rsidRPr="00D147A7">
        <w:rPr>
          <w:rFonts w:ascii="Times New Roman" w:hAnsi="Times New Roman" w:cs="Times New Roman"/>
          <w:sz w:val="24"/>
          <w:szCs w:val="24"/>
        </w:rPr>
        <w:t xml:space="preserve"> april 1945) te Lübeck over</w:t>
      </w:r>
      <w:r w:rsidR="00013CF2">
        <w:rPr>
          <w:rFonts w:ascii="Times New Roman" w:hAnsi="Times New Roman" w:cs="Times New Roman"/>
          <w:sz w:val="24"/>
          <w:szCs w:val="24"/>
        </w:rPr>
        <w:t>-</w:t>
      </w:r>
      <w:r w:rsidRPr="00D147A7">
        <w:rPr>
          <w:rFonts w:ascii="Times New Roman" w:hAnsi="Times New Roman" w:cs="Times New Roman"/>
          <w:sz w:val="24"/>
          <w:szCs w:val="24"/>
        </w:rPr>
        <w:t>leed. Jean Adam kreeg in 1945 een rustplaats toegewezen op het kerkhof van Sandbostel, maar in 1951 besloot het Bestuur der Militie voor de Identificatie en Teraardebestelling der Slachtoffers van den Oorlog, een onderdeel van het Ministerie van Binnenlandse Zaken, om de stoffelijke overschotten van de slachtoffers van de tweede oorlog te repatriëren.</w:t>
      </w:r>
      <w:r w:rsidRPr="00D147A7">
        <w:rPr>
          <w:rStyle w:val="Voetnootmarkering"/>
          <w:rFonts w:ascii="Times New Roman" w:hAnsi="Times New Roman" w:cs="Times New Roman"/>
          <w:sz w:val="24"/>
          <w:szCs w:val="24"/>
        </w:rPr>
        <w:footnoteReference w:id="26"/>
      </w:r>
      <w:r w:rsidRPr="00D147A7">
        <w:rPr>
          <w:rFonts w:ascii="Times New Roman" w:hAnsi="Times New Roman" w:cs="Times New Roman"/>
          <w:sz w:val="24"/>
          <w:szCs w:val="24"/>
        </w:rPr>
        <w:t xml:space="preserve"> Dat was </w:t>
      </w:r>
      <w:r w:rsidRPr="00D147A7">
        <w:rPr>
          <w:rFonts w:ascii="Times New Roman" w:hAnsi="Times New Roman" w:cs="Times New Roman"/>
          <w:sz w:val="24"/>
          <w:szCs w:val="24"/>
        </w:rPr>
        <w:lastRenderedPageBreak/>
        <w:t xml:space="preserve">geen sinecure. In de chaos van de bevrijding en de tijd die daarop volgde – Stalag XB werd door de Britten immers omgedoopt tot een gevangenkamp voor gewezen nazi’s –, </w:t>
      </w:r>
      <w:r w:rsidR="00E45AF3" w:rsidRPr="00D147A7">
        <w:rPr>
          <w:rFonts w:ascii="Times New Roman" w:hAnsi="Times New Roman" w:cs="Times New Roman"/>
          <w:sz w:val="24"/>
          <w:szCs w:val="24"/>
        </w:rPr>
        <w:t>zijn</w:t>
      </w:r>
      <w:r w:rsidRPr="00D147A7">
        <w:rPr>
          <w:rFonts w:ascii="Times New Roman" w:hAnsi="Times New Roman" w:cs="Times New Roman"/>
          <w:sz w:val="24"/>
          <w:szCs w:val="24"/>
        </w:rPr>
        <w:t xml:space="preserve"> zeer veel documenten (met inbegrip van overlijdensaktes) verloren gegaan. Met de hulp van Fran</w:t>
      </w:r>
      <w:r w:rsidR="00013CF2">
        <w:rPr>
          <w:rFonts w:ascii="Times New Roman" w:hAnsi="Times New Roman" w:cs="Times New Roman"/>
          <w:sz w:val="24"/>
          <w:szCs w:val="24"/>
        </w:rPr>
        <w:t>-</w:t>
      </w:r>
      <w:r w:rsidRPr="00D147A7">
        <w:rPr>
          <w:rFonts w:ascii="Times New Roman" w:hAnsi="Times New Roman" w:cs="Times New Roman"/>
          <w:sz w:val="24"/>
          <w:szCs w:val="24"/>
        </w:rPr>
        <w:t xml:space="preserve">se lijkschouwers werden de restanten van Jean Adam pas op 21 april 1960 door Paul Bero en Roger Voet opgegraven, (op basis van het gebit) </w:t>
      </w:r>
      <w:r w:rsidR="00013CF2" w:rsidRPr="00D147A7">
        <w:rPr>
          <w:rFonts w:ascii="Times New Roman" w:hAnsi="Times New Roman" w:cs="Times New Roman"/>
          <w:sz w:val="24"/>
          <w:szCs w:val="24"/>
        </w:rPr>
        <w:t xml:space="preserve">geïdentificeerd </w:t>
      </w:r>
      <w:r w:rsidRPr="00D147A7">
        <w:rPr>
          <w:rFonts w:ascii="Times New Roman" w:hAnsi="Times New Roman" w:cs="Times New Roman"/>
          <w:sz w:val="24"/>
          <w:szCs w:val="24"/>
        </w:rPr>
        <w:t xml:space="preserve">en naar België overgebracht. Momenteel </w:t>
      </w:r>
      <w:r w:rsidR="00E45AF3" w:rsidRPr="00D147A7">
        <w:rPr>
          <w:rFonts w:ascii="Times New Roman" w:hAnsi="Times New Roman" w:cs="Times New Roman"/>
          <w:sz w:val="24"/>
          <w:szCs w:val="24"/>
        </w:rPr>
        <w:t>berusten Adams</w:t>
      </w:r>
      <w:r w:rsidRPr="00D147A7">
        <w:rPr>
          <w:rFonts w:ascii="Times New Roman" w:hAnsi="Times New Roman" w:cs="Times New Roman"/>
          <w:sz w:val="24"/>
          <w:szCs w:val="24"/>
        </w:rPr>
        <w:t xml:space="preserve"> stoffelijke overschotten zich op de militaire begraafplaats van Rhées te Herstal, het geboortedorp van de overledene.</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72931AE0" wp14:editId="107AF844">
            <wp:extent cx="3962400" cy="5562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562600"/>
                    </a:xfrm>
                    <a:prstGeom prst="rect">
                      <a:avLst/>
                    </a:prstGeom>
                    <a:noFill/>
                    <a:ln>
                      <a:noFill/>
                    </a:ln>
                  </pic:spPr>
                </pic:pic>
              </a:graphicData>
            </a:graphic>
          </wp:inline>
        </w:drawing>
      </w:r>
    </w:p>
    <w:p w:rsidR="003E1E00" w:rsidRPr="00D147A7" w:rsidRDefault="003E1E00" w:rsidP="003E1E00">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2: Standaardformulier om slachtoffers uit de tweede wereldoorlog die in het buitenland begraven waren aan de hand van hun gebit te identificeren</w:t>
      </w:r>
      <w:r w:rsidRPr="00D147A7">
        <w:rPr>
          <w:rStyle w:val="Voetnootmarkering"/>
          <w:rFonts w:ascii="Times New Roman" w:hAnsi="Times New Roman" w:cs="Times New Roman"/>
          <w:sz w:val="24"/>
          <w:szCs w:val="24"/>
        </w:rPr>
        <w:footnoteReference w:id="27"/>
      </w:r>
    </w:p>
    <w:p w:rsidR="00766694" w:rsidRDefault="00766694"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Na de tweede wereldoorlog </w:t>
      </w:r>
      <w:r w:rsidR="00E45AF3" w:rsidRPr="00D147A7">
        <w:rPr>
          <w:rFonts w:ascii="Times New Roman" w:hAnsi="Times New Roman" w:cs="Times New Roman"/>
          <w:sz w:val="24"/>
          <w:szCs w:val="24"/>
        </w:rPr>
        <w:t xml:space="preserve">nam </w:t>
      </w:r>
      <w:r w:rsidRPr="00D147A7">
        <w:rPr>
          <w:rFonts w:ascii="Times New Roman" w:hAnsi="Times New Roman" w:cs="Times New Roman"/>
          <w:sz w:val="24"/>
          <w:szCs w:val="24"/>
        </w:rPr>
        <w:t xml:space="preserve">de ontwikkeling van patiëntendossiers een hoge vlucht. De ontwikkeling van patiëntendossiers ligt in het verlengde van de evolutie van de geneeskunde. </w:t>
      </w:r>
      <w:r w:rsidRPr="00D147A7">
        <w:rPr>
          <w:rFonts w:ascii="Times New Roman" w:hAnsi="Times New Roman" w:cs="Times New Roman"/>
          <w:sz w:val="24"/>
          <w:szCs w:val="24"/>
        </w:rPr>
        <w:lastRenderedPageBreak/>
        <w:t xml:space="preserve">Steeds meer gegevens (van velerlei aard) worden aan de dossiers van patiënten toegevoegd, ten gevolge van de ontplooiing van de verschillende medische disciplines enerzijds en door de technologische </w:t>
      </w:r>
      <w:r w:rsidR="00E45AF3" w:rsidRPr="00D147A7">
        <w:rPr>
          <w:rFonts w:ascii="Times New Roman" w:hAnsi="Times New Roman" w:cs="Times New Roman"/>
          <w:sz w:val="24"/>
          <w:szCs w:val="24"/>
        </w:rPr>
        <w:t>ontwikkelingen</w:t>
      </w:r>
      <w:r w:rsidRPr="00D147A7">
        <w:rPr>
          <w:rFonts w:ascii="Times New Roman" w:hAnsi="Times New Roman" w:cs="Times New Roman"/>
          <w:sz w:val="24"/>
          <w:szCs w:val="24"/>
        </w:rPr>
        <w:t xml:space="preserve"> anderzijds. Het </w:t>
      </w:r>
      <w:r w:rsidR="001304CF" w:rsidRPr="00D147A7">
        <w:rPr>
          <w:rFonts w:ascii="Times New Roman" w:hAnsi="Times New Roman" w:cs="Times New Roman"/>
          <w:sz w:val="24"/>
          <w:szCs w:val="24"/>
        </w:rPr>
        <w:t>werd</w:t>
      </w:r>
      <w:r w:rsidRPr="00D147A7">
        <w:rPr>
          <w:rFonts w:ascii="Times New Roman" w:hAnsi="Times New Roman" w:cs="Times New Roman"/>
          <w:sz w:val="24"/>
          <w:szCs w:val="24"/>
        </w:rPr>
        <w:t xml:space="preserve"> niet alleen steeds eenvoudiger om docu</w:t>
      </w:r>
      <w:r w:rsidR="00766694">
        <w:rPr>
          <w:rFonts w:ascii="Times New Roman" w:hAnsi="Times New Roman" w:cs="Times New Roman"/>
          <w:sz w:val="24"/>
          <w:szCs w:val="24"/>
        </w:rPr>
        <w:t>-</w:t>
      </w:r>
      <w:r w:rsidRPr="00D147A7">
        <w:rPr>
          <w:rFonts w:ascii="Times New Roman" w:hAnsi="Times New Roman" w:cs="Times New Roman"/>
          <w:sz w:val="24"/>
          <w:szCs w:val="24"/>
        </w:rPr>
        <w:t>menten te (re)produceren, maar ook het aantal medische onderzoeken n</w:t>
      </w:r>
      <w:r w:rsidR="001304CF" w:rsidRPr="00D147A7">
        <w:rPr>
          <w:rFonts w:ascii="Times New Roman" w:hAnsi="Times New Roman" w:cs="Times New Roman"/>
          <w:sz w:val="24"/>
          <w:szCs w:val="24"/>
        </w:rPr>
        <w:t>am</w:t>
      </w:r>
      <w:r w:rsidRPr="00D147A7">
        <w:rPr>
          <w:rFonts w:ascii="Times New Roman" w:hAnsi="Times New Roman" w:cs="Times New Roman"/>
          <w:sz w:val="24"/>
          <w:szCs w:val="24"/>
        </w:rPr>
        <w:t xml:space="preserve"> almaar toe. </w:t>
      </w:r>
      <w:r w:rsidR="001304CF" w:rsidRPr="00D147A7">
        <w:rPr>
          <w:rFonts w:ascii="Times New Roman" w:hAnsi="Times New Roman" w:cs="Times New Roman"/>
          <w:sz w:val="24"/>
          <w:szCs w:val="24"/>
        </w:rPr>
        <w:t>S</w:t>
      </w:r>
      <w:r w:rsidRPr="00D147A7">
        <w:rPr>
          <w:rFonts w:ascii="Times New Roman" w:hAnsi="Times New Roman" w:cs="Times New Roman"/>
          <w:sz w:val="24"/>
          <w:szCs w:val="24"/>
        </w:rPr>
        <w:t xml:space="preserve">inds de jaren 1950 </w:t>
      </w:r>
      <w:r w:rsidR="001304CF" w:rsidRPr="00D147A7">
        <w:rPr>
          <w:rFonts w:ascii="Times New Roman" w:hAnsi="Times New Roman" w:cs="Times New Roman"/>
          <w:sz w:val="24"/>
          <w:szCs w:val="24"/>
        </w:rPr>
        <w:t xml:space="preserve">werden ook onderzoeksresultaten </w:t>
      </w:r>
      <w:r w:rsidRPr="00D147A7">
        <w:rPr>
          <w:rFonts w:ascii="Times New Roman" w:hAnsi="Times New Roman" w:cs="Times New Roman"/>
          <w:sz w:val="24"/>
          <w:szCs w:val="24"/>
        </w:rPr>
        <w:t>aan het patiëntendossier toegevoegd.</w:t>
      </w:r>
      <w:r w:rsidRPr="00D147A7">
        <w:rPr>
          <w:rStyle w:val="Voetnootmarkering"/>
          <w:rFonts w:ascii="Times New Roman" w:hAnsi="Times New Roman" w:cs="Times New Roman"/>
          <w:sz w:val="24"/>
          <w:szCs w:val="24"/>
        </w:rPr>
        <w:footnoteReference w:id="28"/>
      </w:r>
      <w:r w:rsidRPr="00D147A7">
        <w:rPr>
          <w:rFonts w:ascii="Times New Roman" w:hAnsi="Times New Roman" w:cs="Times New Roman"/>
          <w:sz w:val="24"/>
          <w:szCs w:val="24"/>
        </w:rPr>
        <w:t xml:space="preserve"> Een andere stimulans is de opkomst van het sociale zekerheidsstelsel. Op 28 december 1944 werd immers de eerste besluitwet goedgekeurd, die de grondslag vormde voor de sociale zekerheid van werknemers.</w:t>
      </w:r>
      <w:r w:rsidRPr="00D147A7">
        <w:rPr>
          <w:rStyle w:val="Voetnootmarkering"/>
          <w:rFonts w:ascii="Times New Roman" w:hAnsi="Times New Roman" w:cs="Times New Roman"/>
          <w:sz w:val="24"/>
          <w:szCs w:val="24"/>
        </w:rPr>
        <w:footnoteReference w:id="29"/>
      </w:r>
      <w:r w:rsidRPr="00D147A7">
        <w:rPr>
          <w:rFonts w:ascii="Times New Roman" w:hAnsi="Times New Roman" w:cs="Times New Roman"/>
          <w:sz w:val="24"/>
          <w:szCs w:val="24"/>
        </w:rPr>
        <w:t xml:space="preserve"> Een laatste impuls betreft het ontstaan van gespecialiseerde archiefdienst</w:t>
      </w:r>
      <w:r w:rsidR="00766694">
        <w:rPr>
          <w:rFonts w:ascii="Times New Roman" w:hAnsi="Times New Roman" w:cs="Times New Roman"/>
          <w:sz w:val="24"/>
          <w:szCs w:val="24"/>
        </w:rPr>
        <w:t>-</w:t>
      </w:r>
      <w:r w:rsidRPr="00D147A7">
        <w:rPr>
          <w:rFonts w:ascii="Times New Roman" w:hAnsi="Times New Roman" w:cs="Times New Roman"/>
          <w:sz w:val="24"/>
          <w:szCs w:val="24"/>
        </w:rPr>
        <w:t>en voor het beheer van patiëntendossiers, in navolging van de Angelsaksische landen. Zorg</w:t>
      </w:r>
      <w:r w:rsidR="00766694">
        <w:rPr>
          <w:rFonts w:ascii="Times New Roman" w:hAnsi="Times New Roman" w:cs="Times New Roman"/>
          <w:sz w:val="24"/>
          <w:szCs w:val="24"/>
        </w:rPr>
        <w:t>-</w:t>
      </w:r>
      <w:r w:rsidRPr="00D147A7">
        <w:rPr>
          <w:rFonts w:ascii="Times New Roman" w:hAnsi="Times New Roman" w:cs="Times New Roman"/>
          <w:sz w:val="24"/>
          <w:szCs w:val="24"/>
        </w:rPr>
        <w:t>verleners w</w:t>
      </w:r>
      <w:r w:rsidR="001304CF" w:rsidRPr="00D147A7">
        <w:rPr>
          <w:rFonts w:ascii="Times New Roman" w:hAnsi="Times New Roman" w:cs="Times New Roman"/>
          <w:sz w:val="24"/>
          <w:szCs w:val="24"/>
        </w:rPr>
        <w:t>e</w:t>
      </w:r>
      <w:r w:rsidRPr="00D147A7">
        <w:rPr>
          <w:rFonts w:ascii="Times New Roman" w:hAnsi="Times New Roman" w:cs="Times New Roman"/>
          <w:sz w:val="24"/>
          <w:szCs w:val="24"/>
        </w:rPr>
        <w:t>rden op hun verantwoordelijkheden gewezen, waardoor er meer aandacht geves</w:t>
      </w:r>
      <w:r w:rsidR="00766694">
        <w:rPr>
          <w:rFonts w:ascii="Times New Roman" w:hAnsi="Times New Roman" w:cs="Times New Roman"/>
          <w:sz w:val="24"/>
          <w:szCs w:val="24"/>
        </w:rPr>
        <w:t>-</w:t>
      </w:r>
      <w:r w:rsidRPr="00D147A7">
        <w:rPr>
          <w:rFonts w:ascii="Times New Roman" w:hAnsi="Times New Roman" w:cs="Times New Roman"/>
          <w:sz w:val="24"/>
          <w:szCs w:val="24"/>
        </w:rPr>
        <w:t>tigd w</w:t>
      </w:r>
      <w:r w:rsidR="001304CF" w:rsidRPr="00D147A7">
        <w:rPr>
          <w:rFonts w:ascii="Times New Roman" w:hAnsi="Times New Roman" w:cs="Times New Roman"/>
          <w:sz w:val="24"/>
          <w:szCs w:val="24"/>
        </w:rPr>
        <w:t>e</w:t>
      </w:r>
      <w:r w:rsidRPr="00D147A7">
        <w:rPr>
          <w:rFonts w:ascii="Times New Roman" w:hAnsi="Times New Roman" w:cs="Times New Roman"/>
          <w:sz w:val="24"/>
          <w:szCs w:val="24"/>
        </w:rPr>
        <w:t xml:space="preserve">rd op de patiëntendossiers. Ook andere </w:t>
      </w:r>
      <w:r w:rsidRPr="00D147A7">
        <w:rPr>
          <w:rFonts w:ascii="Times New Roman" w:hAnsi="Times New Roman" w:cs="Times New Roman"/>
          <w:i/>
          <w:sz w:val="24"/>
          <w:szCs w:val="24"/>
        </w:rPr>
        <w:t xml:space="preserve">information </w:t>
      </w:r>
      <w:r w:rsidRPr="00D147A7">
        <w:rPr>
          <w:rFonts w:ascii="Times New Roman" w:hAnsi="Times New Roman" w:cs="Times New Roman"/>
          <w:sz w:val="24"/>
          <w:szCs w:val="24"/>
        </w:rPr>
        <w:t xml:space="preserve">en </w:t>
      </w:r>
      <w:r w:rsidRPr="00D147A7">
        <w:rPr>
          <w:rFonts w:ascii="Times New Roman" w:hAnsi="Times New Roman" w:cs="Times New Roman"/>
          <w:i/>
          <w:sz w:val="24"/>
          <w:szCs w:val="24"/>
        </w:rPr>
        <w:t>knowledge managers</w:t>
      </w:r>
      <w:r w:rsidRPr="00D147A7">
        <w:rPr>
          <w:rFonts w:ascii="Times New Roman" w:hAnsi="Times New Roman" w:cs="Times New Roman"/>
          <w:sz w:val="24"/>
          <w:szCs w:val="24"/>
        </w:rPr>
        <w:t>, zieken</w:t>
      </w:r>
      <w:r w:rsidR="00766694">
        <w:rPr>
          <w:rFonts w:ascii="Times New Roman" w:hAnsi="Times New Roman" w:cs="Times New Roman"/>
          <w:sz w:val="24"/>
          <w:szCs w:val="24"/>
        </w:rPr>
        <w:t>-</w:t>
      </w:r>
      <w:r w:rsidRPr="00D147A7">
        <w:rPr>
          <w:rFonts w:ascii="Times New Roman" w:hAnsi="Times New Roman" w:cs="Times New Roman"/>
          <w:sz w:val="24"/>
          <w:szCs w:val="24"/>
        </w:rPr>
        <w:t xml:space="preserve">huisbeheerders en de overheid </w:t>
      </w:r>
      <w:r w:rsidR="00766694">
        <w:rPr>
          <w:rFonts w:ascii="Times New Roman" w:hAnsi="Times New Roman" w:cs="Times New Roman"/>
          <w:sz w:val="24"/>
          <w:szCs w:val="24"/>
        </w:rPr>
        <w:t>leggen</w:t>
      </w:r>
      <w:r w:rsidRPr="00D147A7">
        <w:rPr>
          <w:rFonts w:ascii="Times New Roman" w:hAnsi="Times New Roman" w:cs="Times New Roman"/>
          <w:sz w:val="24"/>
          <w:szCs w:val="24"/>
        </w:rPr>
        <w:t xml:space="preserve"> – </w:t>
      </w:r>
      <w:r w:rsidR="001304CF" w:rsidRPr="00D147A7">
        <w:rPr>
          <w:rFonts w:ascii="Times New Roman" w:hAnsi="Times New Roman" w:cs="Times New Roman"/>
          <w:sz w:val="24"/>
          <w:szCs w:val="24"/>
        </w:rPr>
        <w:t>om</w:t>
      </w:r>
      <w:r w:rsidRPr="00D147A7">
        <w:rPr>
          <w:rFonts w:ascii="Times New Roman" w:hAnsi="Times New Roman" w:cs="Times New Roman"/>
          <w:sz w:val="24"/>
          <w:szCs w:val="24"/>
        </w:rPr>
        <w:t xml:space="preserve"> </w:t>
      </w:r>
      <w:r w:rsidR="001304CF" w:rsidRPr="00D147A7">
        <w:rPr>
          <w:rFonts w:ascii="Times New Roman" w:hAnsi="Times New Roman" w:cs="Times New Roman"/>
          <w:sz w:val="24"/>
          <w:szCs w:val="24"/>
        </w:rPr>
        <w:t xml:space="preserve">uiteenlopende redenen – </w:t>
      </w:r>
      <w:r w:rsidR="00766694">
        <w:rPr>
          <w:rFonts w:ascii="Times New Roman" w:hAnsi="Times New Roman" w:cs="Times New Roman"/>
          <w:sz w:val="24"/>
          <w:szCs w:val="24"/>
        </w:rPr>
        <w:t>steeds meer</w:t>
      </w:r>
      <w:r w:rsidR="001304CF" w:rsidRPr="00D147A7">
        <w:rPr>
          <w:rFonts w:ascii="Times New Roman" w:hAnsi="Times New Roman" w:cs="Times New Roman"/>
          <w:sz w:val="24"/>
          <w:szCs w:val="24"/>
        </w:rPr>
        <w:t xml:space="preserve"> </w:t>
      </w:r>
      <w:r w:rsidRPr="00D147A7">
        <w:rPr>
          <w:rFonts w:ascii="Times New Roman" w:hAnsi="Times New Roman" w:cs="Times New Roman"/>
          <w:sz w:val="24"/>
          <w:szCs w:val="24"/>
        </w:rPr>
        <w:t>belang</w:t>
      </w:r>
      <w:r w:rsidR="00766694">
        <w:rPr>
          <w:rFonts w:ascii="Times New Roman" w:hAnsi="Times New Roman" w:cs="Times New Roman"/>
          <w:sz w:val="24"/>
          <w:szCs w:val="24"/>
        </w:rPr>
        <w:t>-</w:t>
      </w:r>
      <w:r w:rsidRPr="00D147A7">
        <w:rPr>
          <w:rFonts w:ascii="Times New Roman" w:hAnsi="Times New Roman" w:cs="Times New Roman"/>
          <w:sz w:val="24"/>
          <w:szCs w:val="24"/>
        </w:rPr>
        <w:t>s</w:t>
      </w:r>
      <w:r w:rsidR="001304CF" w:rsidRPr="00D147A7">
        <w:rPr>
          <w:rFonts w:ascii="Times New Roman" w:hAnsi="Times New Roman" w:cs="Times New Roman"/>
          <w:sz w:val="24"/>
          <w:szCs w:val="24"/>
        </w:rPr>
        <w:t>telling voor patiëntendossiers</w:t>
      </w:r>
      <w:r w:rsidR="00766694">
        <w:rPr>
          <w:rFonts w:ascii="Times New Roman" w:hAnsi="Times New Roman" w:cs="Times New Roman"/>
          <w:sz w:val="24"/>
          <w:szCs w:val="24"/>
        </w:rPr>
        <w:t xml:space="preserve"> aan de dag</w:t>
      </w:r>
      <w:r w:rsidR="001304CF" w:rsidRPr="00D147A7">
        <w:rPr>
          <w:rFonts w:ascii="Times New Roman" w:hAnsi="Times New Roman" w:cs="Times New Roman"/>
          <w:sz w:val="24"/>
          <w:szCs w:val="24"/>
        </w:rPr>
        <w:t>.</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Enkele jaren geleden werden </w:t>
      </w:r>
      <w:r w:rsidR="00CA1E7B">
        <w:rPr>
          <w:rFonts w:ascii="Times New Roman" w:hAnsi="Times New Roman" w:cs="Times New Roman"/>
          <w:sz w:val="24"/>
          <w:szCs w:val="24"/>
        </w:rPr>
        <w:t xml:space="preserve">zorgverleners </w:t>
      </w:r>
      <w:r w:rsidRPr="00D147A7">
        <w:rPr>
          <w:rFonts w:ascii="Times New Roman" w:hAnsi="Times New Roman" w:cs="Times New Roman"/>
          <w:sz w:val="24"/>
          <w:szCs w:val="24"/>
        </w:rPr>
        <w:t xml:space="preserve">er wettelijk toe verplicht om voor iedere patiënt een </w:t>
      </w:r>
      <w:r w:rsidR="00CA1E7B">
        <w:rPr>
          <w:rFonts w:ascii="Times New Roman" w:hAnsi="Times New Roman" w:cs="Times New Roman"/>
          <w:sz w:val="24"/>
          <w:szCs w:val="24"/>
        </w:rPr>
        <w:t>patiënten</w:t>
      </w:r>
      <w:r w:rsidRPr="00D147A7">
        <w:rPr>
          <w:rFonts w:ascii="Times New Roman" w:hAnsi="Times New Roman" w:cs="Times New Roman"/>
          <w:sz w:val="24"/>
          <w:szCs w:val="24"/>
        </w:rPr>
        <w:t>dossier aan te leggen. Doorheen hun geschiedenis evolueerden patiëntendossiers van geheugensteun voor zorgverleners tot communicatiemiddel voor zorgverleners onderling en bronnenmateriaal voor verschillende soorten onderz</w:t>
      </w:r>
      <w:r w:rsidR="00CA1E7B">
        <w:rPr>
          <w:rFonts w:ascii="Times New Roman" w:hAnsi="Times New Roman" w:cs="Times New Roman"/>
          <w:sz w:val="24"/>
          <w:szCs w:val="24"/>
        </w:rPr>
        <w:t>oek, het beheer van verzorgings</w:t>
      </w:r>
      <w:r w:rsidRPr="00D147A7">
        <w:rPr>
          <w:rFonts w:ascii="Times New Roman" w:hAnsi="Times New Roman" w:cs="Times New Roman"/>
          <w:sz w:val="24"/>
          <w:szCs w:val="24"/>
        </w:rPr>
        <w:t>instel</w:t>
      </w:r>
      <w:r w:rsidR="00CA1E7B">
        <w:rPr>
          <w:rFonts w:ascii="Times New Roman" w:hAnsi="Times New Roman" w:cs="Times New Roman"/>
          <w:sz w:val="24"/>
          <w:szCs w:val="24"/>
        </w:rPr>
        <w:t>-</w:t>
      </w:r>
      <w:r w:rsidRPr="00D147A7">
        <w:rPr>
          <w:rFonts w:ascii="Times New Roman" w:hAnsi="Times New Roman" w:cs="Times New Roman"/>
          <w:sz w:val="24"/>
          <w:szCs w:val="24"/>
        </w:rPr>
        <w:t>lingen, het beleid en de financiering van de gezon</w:t>
      </w:r>
      <w:r w:rsidR="001304CF" w:rsidRPr="00D147A7">
        <w:rPr>
          <w:rFonts w:ascii="Times New Roman" w:hAnsi="Times New Roman" w:cs="Times New Roman"/>
          <w:sz w:val="24"/>
          <w:szCs w:val="24"/>
        </w:rPr>
        <w:t>dheidszorg (van overheidswege).</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jc w:val="center"/>
      </w:pPr>
      <w:r w:rsidRPr="00D147A7">
        <w:rPr>
          <w:noProof/>
          <w:lang w:eastAsia="nl-BE" w:bidi="ar-SA"/>
        </w:rPr>
        <w:drawing>
          <wp:inline distT="0" distB="0" distL="0" distR="0" wp14:anchorId="589309F7" wp14:editId="1BF22A97">
            <wp:extent cx="3143250" cy="3181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3181350"/>
                    </a:xfrm>
                    <a:prstGeom prst="rect">
                      <a:avLst/>
                    </a:prstGeom>
                    <a:noFill/>
                    <a:ln>
                      <a:noFill/>
                    </a:ln>
                  </pic:spPr>
                </pic:pic>
              </a:graphicData>
            </a:graphic>
          </wp:inline>
        </w:drawing>
      </w:r>
    </w:p>
    <w:p w:rsidR="003E1E00" w:rsidRPr="00D147A7" w:rsidRDefault="003E1E00" w:rsidP="003E1E00">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3: Verschillende onderdelen van het patiëntendossier</w:t>
      </w:r>
      <w:r w:rsidRPr="00D147A7">
        <w:rPr>
          <w:rStyle w:val="Voetnootmarkering"/>
          <w:rFonts w:ascii="Times New Roman" w:hAnsi="Times New Roman" w:cs="Times New Roman"/>
          <w:sz w:val="24"/>
          <w:szCs w:val="24"/>
        </w:rPr>
        <w:footnoteReference w:id="30"/>
      </w: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br w:type="page"/>
      </w:r>
      <w:r w:rsidRPr="00D147A7">
        <w:rPr>
          <w:rFonts w:ascii="Times New Roman" w:hAnsi="Times New Roman" w:cs="Times New Roman"/>
          <w:smallCaps/>
          <w:sz w:val="24"/>
          <w:szCs w:val="24"/>
        </w:rPr>
        <w:lastRenderedPageBreak/>
        <w:t>2. Het belang van patiëntendossiers</w:t>
      </w:r>
    </w:p>
    <w:p w:rsidR="003E1E00" w:rsidRPr="00D147A7" w:rsidRDefault="003E1E00" w:rsidP="003E1E00">
      <w:pPr>
        <w:pStyle w:val="Geenafstand"/>
        <w:jc w:val="both"/>
        <w:rPr>
          <w:rFonts w:ascii="Times New Roman" w:hAnsi="Times New Roman" w:cs="Times New Roman"/>
          <w:sz w:val="24"/>
          <w:szCs w:val="24"/>
          <w:highlight w:val="yellow"/>
        </w:rPr>
      </w:pPr>
    </w:p>
    <w:p w:rsidR="003E1E00" w:rsidRPr="00D147A7" w:rsidRDefault="003E1E00" w:rsidP="003E1E00">
      <w:pPr>
        <w:pStyle w:val="Geenafstand"/>
        <w:jc w:val="both"/>
        <w:rPr>
          <w:rFonts w:ascii="Times New Roman" w:eastAsia="Times New Roman" w:hAnsi="Times New Roman" w:cs="Times New Roman"/>
          <w:color w:val="000000"/>
          <w:sz w:val="24"/>
          <w:szCs w:val="24"/>
          <w:lang w:eastAsia="nl-BE"/>
        </w:rPr>
      </w:pPr>
      <w:r w:rsidRPr="00D147A7">
        <w:rPr>
          <w:rFonts w:ascii="Times New Roman" w:eastAsia="Times New Roman" w:hAnsi="Times New Roman" w:cs="Times New Roman"/>
          <w:color w:val="000000"/>
          <w:sz w:val="24"/>
          <w:szCs w:val="24"/>
          <w:lang w:eastAsia="nl-BE"/>
        </w:rPr>
        <w:t>Het pati</w:t>
      </w:r>
      <w:r w:rsidRPr="00D147A7">
        <w:rPr>
          <w:rFonts w:ascii="Times New Roman" w:eastAsia="PMingLiU" w:hAnsi="Times New Roman" w:cs="Times New Roman"/>
          <w:color w:val="000000"/>
          <w:sz w:val="24"/>
          <w:szCs w:val="24"/>
          <w:lang w:eastAsia="nl-BE"/>
        </w:rPr>
        <w:t>ën</w:t>
      </w:r>
      <w:r w:rsidRPr="00D147A7">
        <w:rPr>
          <w:rFonts w:ascii="Times New Roman" w:eastAsia="Times New Roman" w:hAnsi="Times New Roman" w:cs="Times New Roman"/>
          <w:color w:val="000000"/>
          <w:sz w:val="24"/>
          <w:szCs w:val="24"/>
          <w:lang w:eastAsia="nl-BE"/>
        </w:rPr>
        <w:t>tendossier van vandaag de dag is een bundeling van individuele entiteiten, die elk met één behandeling overeenkomen. In ziekenhuizen is het mogelijk dat voor één patiënt ver</w:t>
      </w:r>
      <w:r w:rsidR="00CA68B5">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schillende dossiers bestaan, één per afdeling (of pathologie), al is het veel logischer en han</w:t>
      </w:r>
      <w:r w:rsidR="00CA68B5">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diger om met unieke patiëntendossiers te werken die in een centrale archiefdienst bewaard worden. Net als andere archiefbescheiden moeten patiëntendossiers, ongeacht hun vorm, aan vier criteria getoetst worden. Terwijl de authenticiteit en de betrouwbaarheid van archief</w:t>
      </w:r>
      <w:r w:rsidR="00CA68B5">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 xml:space="preserve">stukken tijdens de creatie vastgelegd worden, moeten archivarissen en </w:t>
      </w:r>
      <w:r w:rsidRPr="00D147A7">
        <w:rPr>
          <w:rFonts w:ascii="Times New Roman" w:eastAsia="Times New Roman" w:hAnsi="Times New Roman" w:cs="Times New Roman"/>
          <w:i/>
          <w:color w:val="000000"/>
          <w:sz w:val="24"/>
          <w:szCs w:val="24"/>
          <w:lang w:eastAsia="nl-BE"/>
        </w:rPr>
        <w:t>records managers</w:t>
      </w:r>
      <w:r w:rsidRPr="00D147A7">
        <w:rPr>
          <w:rFonts w:ascii="Times New Roman" w:eastAsia="Times New Roman" w:hAnsi="Times New Roman" w:cs="Times New Roman"/>
          <w:color w:val="000000"/>
          <w:sz w:val="24"/>
          <w:szCs w:val="24"/>
          <w:lang w:eastAsia="nl-BE"/>
        </w:rPr>
        <w:t xml:space="preserve"> doorheen het </w:t>
      </w:r>
      <w:r w:rsidR="001304CF" w:rsidRPr="00D147A7">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leven</w:t>
      </w:r>
      <w:r w:rsidR="001304CF" w:rsidRPr="00D147A7">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 xml:space="preserve"> van archiefbescheiden over </w:t>
      </w:r>
      <w:r w:rsidR="001304CF" w:rsidRPr="00D147A7">
        <w:rPr>
          <w:rFonts w:ascii="Times New Roman" w:eastAsia="Times New Roman" w:hAnsi="Times New Roman" w:cs="Times New Roman"/>
          <w:color w:val="000000"/>
          <w:sz w:val="24"/>
          <w:szCs w:val="24"/>
          <w:lang w:eastAsia="nl-BE"/>
        </w:rPr>
        <w:t>hun</w:t>
      </w:r>
      <w:r w:rsidRPr="00D147A7">
        <w:rPr>
          <w:rFonts w:ascii="Times New Roman" w:eastAsia="Times New Roman" w:hAnsi="Times New Roman" w:cs="Times New Roman"/>
          <w:color w:val="000000"/>
          <w:sz w:val="24"/>
          <w:szCs w:val="24"/>
          <w:lang w:eastAsia="nl-BE"/>
        </w:rPr>
        <w:t xml:space="preserve"> integriteit en bruikbaarheid </w:t>
      </w:r>
      <w:r w:rsidR="001304CF" w:rsidRPr="00D147A7">
        <w:rPr>
          <w:rFonts w:ascii="Times New Roman" w:eastAsia="Times New Roman" w:hAnsi="Times New Roman" w:cs="Times New Roman"/>
          <w:color w:val="000000"/>
          <w:sz w:val="24"/>
          <w:szCs w:val="24"/>
          <w:lang w:eastAsia="nl-BE"/>
        </w:rPr>
        <w:t>waken</w:t>
      </w:r>
      <w:r w:rsidRPr="00D147A7">
        <w:rPr>
          <w:rFonts w:ascii="Times New Roman" w:eastAsia="Times New Roman" w:hAnsi="Times New Roman" w:cs="Times New Roman"/>
          <w:color w:val="000000"/>
          <w:sz w:val="24"/>
          <w:szCs w:val="24"/>
          <w:lang w:eastAsia="nl-BE"/>
        </w:rPr>
        <w:t>. Een integer archiefstuk is een volledig document waarvan de inhoud ongewijzigd is of gecontro</w:t>
      </w:r>
      <w:r w:rsidR="00CA68B5">
        <w:rPr>
          <w:rFonts w:ascii="Times New Roman" w:eastAsia="Times New Roman" w:hAnsi="Times New Roman" w:cs="Times New Roman"/>
          <w:color w:val="000000"/>
          <w:sz w:val="24"/>
          <w:szCs w:val="24"/>
          <w:lang w:eastAsia="nl-BE"/>
        </w:rPr>
        <w:t>-</w:t>
      </w:r>
      <w:r w:rsidRPr="00D147A7">
        <w:rPr>
          <w:rFonts w:ascii="Times New Roman" w:eastAsia="Times New Roman" w:hAnsi="Times New Roman" w:cs="Times New Roman"/>
          <w:color w:val="000000"/>
          <w:sz w:val="24"/>
          <w:szCs w:val="24"/>
          <w:lang w:eastAsia="nl-BE"/>
        </w:rPr>
        <w:t xml:space="preserve">leerde veranderingen ondergaan heeft (zoals conversie of migratie), zolang deze wijzigingen duidelijk aangegeven </w:t>
      </w:r>
      <w:r w:rsidR="00CA68B5">
        <w:rPr>
          <w:rFonts w:ascii="Times New Roman" w:eastAsia="Times New Roman" w:hAnsi="Times New Roman" w:cs="Times New Roman"/>
          <w:color w:val="000000"/>
          <w:sz w:val="24"/>
          <w:szCs w:val="24"/>
          <w:lang w:eastAsia="nl-BE"/>
        </w:rPr>
        <w:t xml:space="preserve">en verantwoord </w:t>
      </w:r>
      <w:r w:rsidRPr="00D147A7">
        <w:rPr>
          <w:rFonts w:ascii="Times New Roman" w:eastAsia="Times New Roman" w:hAnsi="Times New Roman" w:cs="Times New Roman"/>
          <w:color w:val="000000"/>
          <w:sz w:val="24"/>
          <w:szCs w:val="24"/>
          <w:lang w:eastAsia="nl-BE"/>
        </w:rPr>
        <w:t xml:space="preserve">worden, de procedures beschreven </w:t>
      </w:r>
      <w:r w:rsidR="001304CF" w:rsidRPr="00D147A7">
        <w:rPr>
          <w:rFonts w:ascii="Times New Roman" w:eastAsia="Times New Roman" w:hAnsi="Times New Roman" w:cs="Times New Roman"/>
          <w:color w:val="000000"/>
          <w:sz w:val="24"/>
          <w:szCs w:val="24"/>
          <w:lang w:eastAsia="nl-BE"/>
        </w:rPr>
        <w:t>zijn</w:t>
      </w:r>
      <w:r w:rsidRPr="00D147A7">
        <w:rPr>
          <w:rFonts w:ascii="Times New Roman" w:eastAsia="Times New Roman" w:hAnsi="Times New Roman" w:cs="Times New Roman"/>
          <w:color w:val="000000"/>
          <w:sz w:val="24"/>
          <w:szCs w:val="24"/>
          <w:lang w:eastAsia="nl-BE"/>
        </w:rPr>
        <w:t xml:space="preserve"> en de nodige test</w:t>
      </w:r>
      <w:r w:rsidR="001304CF" w:rsidRPr="00D147A7">
        <w:rPr>
          <w:rFonts w:ascii="Times New Roman" w:eastAsia="Times New Roman" w:hAnsi="Times New Roman" w:cs="Times New Roman"/>
          <w:color w:val="000000"/>
          <w:sz w:val="24"/>
          <w:szCs w:val="24"/>
          <w:lang w:eastAsia="nl-BE"/>
        </w:rPr>
        <w:t>en</w:t>
      </w:r>
      <w:r w:rsidRPr="00D147A7">
        <w:rPr>
          <w:rFonts w:ascii="Times New Roman" w:eastAsia="Times New Roman" w:hAnsi="Times New Roman" w:cs="Times New Roman"/>
          <w:color w:val="000000"/>
          <w:sz w:val="24"/>
          <w:szCs w:val="24"/>
          <w:lang w:eastAsia="nl-BE"/>
        </w:rPr>
        <w:t xml:space="preserve"> werden </w:t>
      </w:r>
      <w:r w:rsidR="001304CF" w:rsidRPr="00D147A7">
        <w:rPr>
          <w:rFonts w:ascii="Times New Roman" w:eastAsia="Times New Roman" w:hAnsi="Times New Roman" w:cs="Times New Roman"/>
          <w:color w:val="000000"/>
          <w:sz w:val="24"/>
          <w:szCs w:val="24"/>
          <w:lang w:eastAsia="nl-BE"/>
        </w:rPr>
        <w:t>uitgevoerd om te bewijzen</w:t>
      </w:r>
      <w:r w:rsidRPr="00D147A7">
        <w:rPr>
          <w:rFonts w:ascii="Times New Roman" w:eastAsia="Times New Roman" w:hAnsi="Times New Roman" w:cs="Times New Roman"/>
          <w:color w:val="000000"/>
          <w:sz w:val="24"/>
          <w:szCs w:val="24"/>
          <w:lang w:eastAsia="nl-BE"/>
        </w:rPr>
        <w:t xml:space="preserve"> </w:t>
      </w:r>
      <w:r w:rsidR="001304CF" w:rsidRPr="00D147A7">
        <w:rPr>
          <w:rFonts w:ascii="Times New Roman" w:eastAsia="Times New Roman" w:hAnsi="Times New Roman" w:cs="Times New Roman"/>
          <w:color w:val="000000"/>
          <w:sz w:val="24"/>
          <w:szCs w:val="24"/>
          <w:lang w:eastAsia="nl-BE"/>
        </w:rPr>
        <w:t xml:space="preserve">dat </w:t>
      </w:r>
      <w:r w:rsidRPr="00D147A7">
        <w:rPr>
          <w:rFonts w:ascii="Times New Roman" w:eastAsia="Times New Roman" w:hAnsi="Times New Roman" w:cs="Times New Roman"/>
          <w:color w:val="000000"/>
          <w:sz w:val="24"/>
          <w:szCs w:val="24"/>
          <w:lang w:eastAsia="nl-BE"/>
        </w:rPr>
        <w:t xml:space="preserve">er </w:t>
      </w:r>
      <w:r w:rsidR="001304CF" w:rsidRPr="00D147A7">
        <w:rPr>
          <w:rFonts w:ascii="Times New Roman" w:eastAsia="Times New Roman" w:hAnsi="Times New Roman" w:cs="Times New Roman"/>
          <w:color w:val="000000"/>
          <w:sz w:val="24"/>
          <w:szCs w:val="24"/>
          <w:lang w:eastAsia="nl-BE"/>
        </w:rPr>
        <w:t xml:space="preserve">geen </w:t>
      </w:r>
      <w:r w:rsidRPr="00D147A7">
        <w:rPr>
          <w:rFonts w:ascii="Times New Roman" w:eastAsia="Times New Roman" w:hAnsi="Times New Roman" w:cs="Times New Roman"/>
          <w:color w:val="000000"/>
          <w:sz w:val="24"/>
          <w:szCs w:val="24"/>
          <w:lang w:eastAsia="nl-BE"/>
        </w:rPr>
        <w:t xml:space="preserve">informatie verloren </w:t>
      </w:r>
      <w:r w:rsidR="001304CF" w:rsidRPr="00D147A7">
        <w:rPr>
          <w:rFonts w:ascii="Times New Roman" w:eastAsia="Times New Roman" w:hAnsi="Times New Roman" w:cs="Times New Roman"/>
          <w:color w:val="000000"/>
          <w:sz w:val="24"/>
          <w:szCs w:val="24"/>
          <w:lang w:eastAsia="nl-BE"/>
        </w:rPr>
        <w:t xml:space="preserve">is </w:t>
      </w:r>
      <w:r w:rsidRPr="00D147A7">
        <w:rPr>
          <w:rFonts w:ascii="Times New Roman" w:eastAsia="Times New Roman" w:hAnsi="Times New Roman" w:cs="Times New Roman"/>
          <w:color w:val="000000"/>
          <w:sz w:val="24"/>
          <w:szCs w:val="24"/>
          <w:lang w:eastAsia="nl-BE"/>
        </w:rPr>
        <w:t>gegaan. Daarnaast moeten archivarissen ook de bruikbaarheid van archieven bevorderen door deze te ordenen, te beschrijven en selecties uit te voeren. Dit zijn meteen de drie voornaamste werkzaamheden van archivarissen.</w:t>
      </w:r>
    </w:p>
    <w:p w:rsidR="003E1E00" w:rsidRPr="00D147A7" w:rsidRDefault="003E1E00" w:rsidP="003E1E00">
      <w:pPr>
        <w:pStyle w:val="Geenafstand"/>
        <w:rPr>
          <w:rFonts w:ascii="Times New Roman" w:eastAsia="Times New Roman" w:hAnsi="Times New Roman" w:cs="Times New Roman"/>
          <w:color w:val="000000"/>
          <w:highlight w:val="red"/>
          <w:lang w:eastAsia="nl-BE"/>
        </w:rPr>
      </w:pPr>
    </w:p>
    <w:p w:rsidR="003E1E00" w:rsidRPr="00D147A7" w:rsidRDefault="003E1E00" w:rsidP="003E1E00">
      <w:pPr>
        <w:pStyle w:val="Geenafstand"/>
        <w:jc w:val="both"/>
        <w:rPr>
          <w:rFonts w:ascii="Times New Roman" w:hAnsi="Times New Roman" w:cs="Times New Roman"/>
          <w:sz w:val="24"/>
          <w:szCs w:val="24"/>
          <w:highlight w:val="yellow"/>
        </w:rPr>
      </w:pPr>
      <w:r w:rsidRPr="00D147A7">
        <w:rPr>
          <w:rFonts w:ascii="Times New Roman" w:hAnsi="Times New Roman" w:cs="Times New Roman"/>
          <w:noProof/>
          <w:lang w:eastAsia="nl-BE"/>
        </w:rPr>
        <w:drawing>
          <wp:inline distT="0" distB="0" distL="0" distR="0" wp14:anchorId="34589EE0" wp14:editId="46D3BDCF">
            <wp:extent cx="5400675" cy="3286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286125"/>
                    </a:xfrm>
                    <a:prstGeom prst="rect">
                      <a:avLst/>
                    </a:prstGeom>
                    <a:noFill/>
                    <a:ln>
                      <a:noFill/>
                    </a:ln>
                  </pic:spPr>
                </pic:pic>
              </a:graphicData>
            </a:graphic>
          </wp:inline>
        </w:drawing>
      </w:r>
    </w:p>
    <w:p w:rsidR="003E1E00" w:rsidRPr="00D147A7" w:rsidRDefault="003E1E00" w:rsidP="003E1E00">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4: Bescherming gezondheidsgegevens van patiëntendossiers doorheen de levenscyclus</w:t>
      </w:r>
      <w:r w:rsidRPr="00D147A7">
        <w:rPr>
          <w:rStyle w:val="Voetnootmarkering"/>
          <w:rFonts w:ascii="Times New Roman" w:hAnsi="Times New Roman" w:cs="Times New Roman"/>
          <w:sz w:val="24"/>
          <w:szCs w:val="24"/>
        </w:rPr>
        <w:footnoteReference w:id="31"/>
      </w:r>
    </w:p>
    <w:p w:rsidR="003E1E00" w:rsidRPr="00D147A7" w:rsidRDefault="003E1E00" w:rsidP="003E1E00">
      <w:pPr>
        <w:pStyle w:val="Geenafstand"/>
        <w:jc w:val="both"/>
        <w:rPr>
          <w:rFonts w:ascii="Times New Roman" w:hAnsi="Times New Roman" w:cs="Times New Roman"/>
          <w:sz w:val="24"/>
          <w:szCs w:val="24"/>
          <w:highlight w:val="yellow"/>
        </w:rPr>
      </w:pPr>
    </w:p>
    <w:p w:rsidR="003E1E00" w:rsidRPr="00D147A7" w:rsidRDefault="003E1E00" w:rsidP="003E1E00">
      <w:pPr>
        <w:pStyle w:val="Geenafstand"/>
        <w:jc w:val="both"/>
        <w:rPr>
          <w:rFonts w:ascii="Times New Roman" w:hAnsi="Times New Roman" w:cs="Times New Roman"/>
          <w:bCs/>
          <w:sz w:val="24"/>
          <w:szCs w:val="24"/>
        </w:rPr>
      </w:pPr>
      <w:r w:rsidRPr="00D147A7">
        <w:rPr>
          <w:rFonts w:ascii="Times New Roman" w:hAnsi="Times New Roman" w:cs="Times New Roman"/>
          <w:bCs/>
          <w:sz w:val="24"/>
          <w:szCs w:val="24"/>
        </w:rPr>
        <w:t>Eén van de wijsheden die Schellenberg ons bijgebracht heeft, is dat archiefstukken meer dan één waarde hebben.</w:t>
      </w:r>
      <w:r w:rsidRPr="00D147A7">
        <w:rPr>
          <w:rStyle w:val="Voetnootmarkering"/>
          <w:rFonts w:ascii="Times New Roman" w:hAnsi="Times New Roman" w:cs="Times New Roman"/>
          <w:bCs/>
          <w:sz w:val="24"/>
          <w:szCs w:val="24"/>
        </w:rPr>
        <w:footnoteReference w:id="32"/>
      </w:r>
      <w:r w:rsidRPr="00D147A7">
        <w:rPr>
          <w:rFonts w:ascii="Times New Roman" w:hAnsi="Times New Roman" w:cs="Times New Roman"/>
          <w:bCs/>
          <w:sz w:val="24"/>
          <w:szCs w:val="24"/>
        </w:rPr>
        <w:t xml:space="preserve"> Ook patiëntendossiers – die administ</w:t>
      </w:r>
      <w:r w:rsidR="00C04265">
        <w:rPr>
          <w:rFonts w:ascii="Times New Roman" w:hAnsi="Times New Roman" w:cs="Times New Roman"/>
          <w:bCs/>
          <w:sz w:val="24"/>
          <w:szCs w:val="24"/>
        </w:rPr>
        <w:t>ratieve, sociale en gezondheids</w:t>
      </w:r>
      <w:r w:rsidRPr="00D147A7">
        <w:rPr>
          <w:rFonts w:ascii="Times New Roman" w:hAnsi="Times New Roman" w:cs="Times New Roman"/>
          <w:bCs/>
          <w:sz w:val="24"/>
          <w:szCs w:val="24"/>
        </w:rPr>
        <w:t>ge</w:t>
      </w:r>
      <w:r w:rsidR="00C04265">
        <w:rPr>
          <w:rFonts w:ascii="Times New Roman" w:hAnsi="Times New Roman" w:cs="Times New Roman"/>
          <w:bCs/>
          <w:sz w:val="24"/>
          <w:szCs w:val="24"/>
        </w:rPr>
        <w:t>-</w:t>
      </w:r>
      <w:r w:rsidRPr="00D147A7">
        <w:rPr>
          <w:rFonts w:ascii="Times New Roman" w:hAnsi="Times New Roman" w:cs="Times New Roman"/>
          <w:bCs/>
          <w:sz w:val="24"/>
          <w:szCs w:val="24"/>
        </w:rPr>
        <w:t xml:space="preserve">gevens bevatten – moeten om </w:t>
      </w:r>
      <w:r w:rsidR="00CB4956">
        <w:rPr>
          <w:rFonts w:ascii="Times New Roman" w:hAnsi="Times New Roman" w:cs="Times New Roman"/>
          <w:bCs/>
          <w:sz w:val="24"/>
          <w:szCs w:val="24"/>
        </w:rPr>
        <w:t>tal van</w:t>
      </w:r>
      <w:r w:rsidRPr="00D147A7">
        <w:rPr>
          <w:rFonts w:ascii="Times New Roman" w:hAnsi="Times New Roman" w:cs="Times New Roman"/>
          <w:bCs/>
          <w:sz w:val="24"/>
          <w:szCs w:val="24"/>
        </w:rPr>
        <w:t xml:space="preserve"> redenen bewaard worden.</w:t>
      </w:r>
      <w:r w:rsidRPr="00D147A7">
        <w:rPr>
          <w:rStyle w:val="Voetnootmarkering"/>
          <w:rFonts w:ascii="Times New Roman" w:hAnsi="Times New Roman" w:cs="Times New Roman"/>
          <w:bCs/>
          <w:sz w:val="24"/>
          <w:szCs w:val="24"/>
        </w:rPr>
        <w:footnoteReference w:id="33"/>
      </w:r>
      <w:r w:rsidRPr="00D147A7">
        <w:rPr>
          <w:rFonts w:ascii="Times New Roman" w:hAnsi="Times New Roman" w:cs="Times New Roman"/>
          <w:bCs/>
          <w:sz w:val="24"/>
          <w:szCs w:val="24"/>
        </w:rPr>
        <w:t xml:space="preserve"> Eerst en vooral zijn patiënt</w:t>
      </w:r>
      <w:r w:rsidR="00C04265">
        <w:rPr>
          <w:rFonts w:ascii="Times New Roman" w:hAnsi="Times New Roman" w:cs="Times New Roman"/>
          <w:bCs/>
          <w:sz w:val="24"/>
          <w:szCs w:val="24"/>
        </w:rPr>
        <w:t>-</w:t>
      </w:r>
      <w:r w:rsidRPr="00D147A7">
        <w:rPr>
          <w:rFonts w:ascii="Times New Roman" w:hAnsi="Times New Roman" w:cs="Times New Roman"/>
          <w:bCs/>
          <w:sz w:val="24"/>
          <w:szCs w:val="24"/>
        </w:rPr>
        <w:lastRenderedPageBreak/>
        <w:t>endossiers natuurlijk een hulpmiddel voor de zorgverl</w:t>
      </w:r>
      <w:r w:rsidR="00C04265">
        <w:rPr>
          <w:rFonts w:ascii="Times New Roman" w:hAnsi="Times New Roman" w:cs="Times New Roman"/>
          <w:bCs/>
          <w:sz w:val="24"/>
          <w:szCs w:val="24"/>
        </w:rPr>
        <w:t>ening. Ze fungeren als geheugen</w:t>
      </w:r>
      <w:r w:rsidRPr="00D147A7">
        <w:rPr>
          <w:rFonts w:ascii="Times New Roman" w:hAnsi="Times New Roman" w:cs="Times New Roman"/>
          <w:bCs/>
          <w:sz w:val="24"/>
          <w:szCs w:val="24"/>
        </w:rPr>
        <w:t>steun voor de (archiefvormende) zorgverlener, maar zijn t</w:t>
      </w:r>
      <w:r w:rsidR="00C04265">
        <w:rPr>
          <w:rFonts w:ascii="Times New Roman" w:hAnsi="Times New Roman" w:cs="Times New Roman"/>
          <w:bCs/>
          <w:sz w:val="24"/>
          <w:szCs w:val="24"/>
        </w:rPr>
        <w:t>evens een bind- en communicatie</w:t>
      </w:r>
      <w:r w:rsidRPr="00D147A7">
        <w:rPr>
          <w:rFonts w:ascii="Times New Roman" w:hAnsi="Times New Roman" w:cs="Times New Roman"/>
          <w:bCs/>
          <w:sz w:val="24"/>
          <w:szCs w:val="24"/>
        </w:rPr>
        <w:t>middel tussen zorgverleners onderling of t.a.v. patiënten en diens aanverwanten.</w:t>
      </w:r>
      <w:r w:rsidRPr="00D147A7">
        <w:rPr>
          <w:rStyle w:val="Voetnootmarkering"/>
          <w:rFonts w:ascii="Times New Roman" w:hAnsi="Times New Roman" w:cs="Times New Roman"/>
          <w:bCs/>
          <w:sz w:val="24"/>
          <w:szCs w:val="24"/>
        </w:rPr>
        <w:footnoteReference w:id="34"/>
      </w:r>
      <w:r w:rsidRPr="00D147A7">
        <w:rPr>
          <w:rFonts w:ascii="Times New Roman" w:hAnsi="Times New Roman" w:cs="Times New Roman"/>
          <w:bCs/>
          <w:sz w:val="24"/>
          <w:szCs w:val="24"/>
        </w:rPr>
        <w:t xml:space="preserve"> Omdat alle infor</w:t>
      </w:r>
      <w:r w:rsidR="00C04265">
        <w:rPr>
          <w:rFonts w:ascii="Times New Roman" w:hAnsi="Times New Roman" w:cs="Times New Roman"/>
          <w:bCs/>
          <w:sz w:val="24"/>
          <w:szCs w:val="24"/>
        </w:rPr>
        <w:t>-</w:t>
      </w:r>
      <w:r w:rsidRPr="00D147A7">
        <w:rPr>
          <w:rFonts w:ascii="Times New Roman" w:hAnsi="Times New Roman" w:cs="Times New Roman"/>
          <w:bCs/>
          <w:sz w:val="24"/>
          <w:szCs w:val="24"/>
        </w:rPr>
        <w:t>matie over de patiënt gebundeld wordt, kunnen zorgverleners aan de hand van het patiënten</w:t>
      </w:r>
      <w:r w:rsidR="00C04265">
        <w:rPr>
          <w:rFonts w:ascii="Times New Roman" w:hAnsi="Times New Roman" w:cs="Times New Roman"/>
          <w:bCs/>
          <w:sz w:val="24"/>
          <w:szCs w:val="24"/>
        </w:rPr>
        <w:t>-</w:t>
      </w:r>
      <w:r w:rsidRPr="00D147A7">
        <w:rPr>
          <w:rFonts w:ascii="Times New Roman" w:hAnsi="Times New Roman" w:cs="Times New Roman"/>
          <w:bCs/>
          <w:sz w:val="24"/>
          <w:szCs w:val="24"/>
        </w:rPr>
        <w:t>dossier een volledig beeld over de gezondheidstoestand van de patiënt vormen. In functie hiervan kunnen verantwoorde therapeutisch</w:t>
      </w:r>
      <w:r w:rsidR="001304CF" w:rsidRPr="00D147A7">
        <w:rPr>
          <w:rFonts w:ascii="Times New Roman" w:hAnsi="Times New Roman" w:cs="Times New Roman"/>
          <w:bCs/>
          <w:sz w:val="24"/>
          <w:szCs w:val="24"/>
        </w:rPr>
        <w:t>e beslissingen genomen worden.</w:t>
      </w:r>
    </w:p>
    <w:p w:rsidR="003E1E00" w:rsidRPr="00D147A7" w:rsidRDefault="003E1E00" w:rsidP="003E1E00">
      <w:pPr>
        <w:pStyle w:val="Geenafstand"/>
        <w:jc w:val="both"/>
        <w:rPr>
          <w:rFonts w:ascii="Times New Roman" w:hAnsi="Times New Roman" w:cs="Times New Roman"/>
          <w:bCs/>
          <w:sz w:val="24"/>
          <w:szCs w:val="24"/>
        </w:rPr>
      </w:pPr>
      <w:r w:rsidRPr="00D147A7">
        <w:rPr>
          <w:rFonts w:ascii="Times New Roman" w:hAnsi="Times New Roman" w:cs="Times New Roman"/>
          <w:bCs/>
          <w:sz w:val="24"/>
          <w:szCs w:val="24"/>
        </w:rPr>
        <w:t>Ten tweede kan de kwaliteit van de zorgverlening op basis van het patiëntendossier geëvalu</w:t>
      </w:r>
      <w:r w:rsidR="00CB4956">
        <w:rPr>
          <w:rFonts w:ascii="Times New Roman" w:hAnsi="Times New Roman" w:cs="Times New Roman"/>
          <w:bCs/>
          <w:sz w:val="24"/>
          <w:szCs w:val="24"/>
        </w:rPr>
        <w:t>-</w:t>
      </w:r>
      <w:r w:rsidRPr="00D147A7">
        <w:rPr>
          <w:rFonts w:ascii="Times New Roman" w:hAnsi="Times New Roman" w:cs="Times New Roman"/>
          <w:bCs/>
          <w:sz w:val="24"/>
          <w:szCs w:val="24"/>
        </w:rPr>
        <w:t>eerd worden – door de zorgverlener zelf, door collega’s (</w:t>
      </w:r>
      <w:r w:rsidRPr="00D147A7">
        <w:rPr>
          <w:rFonts w:ascii="Times New Roman" w:hAnsi="Times New Roman" w:cs="Times New Roman"/>
          <w:bCs/>
          <w:i/>
          <w:sz w:val="24"/>
          <w:szCs w:val="24"/>
        </w:rPr>
        <w:t>peer review</w:t>
      </w:r>
      <w:r w:rsidRPr="00D147A7">
        <w:rPr>
          <w:rFonts w:ascii="Times New Roman" w:hAnsi="Times New Roman" w:cs="Times New Roman"/>
          <w:bCs/>
          <w:sz w:val="24"/>
          <w:szCs w:val="24"/>
        </w:rPr>
        <w:t xml:space="preserve"> of lokale kwaliteits</w:t>
      </w:r>
      <w:r w:rsidR="00CB4956">
        <w:rPr>
          <w:rFonts w:ascii="Times New Roman" w:hAnsi="Times New Roman" w:cs="Times New Roman"/>
          <w:bCs/>
          <w:sz w:val="24"/>
          <w:szCs w:val="24"/>
        </w:rPr>
        <w:t>-</w:t>
      </w:r>
      <w:r w:rsidRPr="00D147A7">
        <w:rPr>
          <w:rFonts w:ascii="Times New Roman" w:hAnsi="Times New Roman" w:cs="Times New Roman"/>
          <w:bCs/>
          <w:sz w:val="24"/>
          <w:szCs w:val="24"/>
        </w:rPr>
        <w:t>groep) of door het ziekenhuis (</w:t>
      </w:r>
      <w:r w:rsidRPr="00D147A7">
        <w:rPr>
          <w:rFonts w:ascii="Times New Roman" w:hAnsi="Times New Roman" w:cs="Times New Roman"/>
          <w:bCs/>
          <w:i/>
          <w:sz w:val="24"/>
          <w:szCs w:val="24"/>
        </w:rPr>
        <w:t>medical audit</w:t>
      </w:r>
      <w:r w:rsidRPr="00D147A7">
        <w:rPr>
          <w:rStyle w:val="Voetnootmarkering"/>
          <w:rFonts w:ascii="Times New Roman" w:hAnsi="Times New Roman" w:cs="Times New Roman"/>
          <w:bCs/>
          <w:sz w:val="24"/>
          <w:szCs w:val="24"/>
        </w:rPr>
        <w:footnoteReference w:id="35"/>
      </w:r>
      <w:r w:rsidRPr="00D147A7">
        <w:rPr>
          <w:rFonts w:ascii="Times New Roman" w:hAnsi="Times New Roman" w:cs="Times New Roman"/>
          <w:bCs/>
          <w:sz w:val="24"/>
          <w:szCs w:val="24"/>
        </w:rPr>
        <w:t>). D</w:t>
      </w:r>
      <w:r w:rsidR="001304CF" w:rsidRPr="00D147A7">
        <w:rPr>
          <w:rFonts w:ascii="Times New Roman" w:hAnsi="Times New Roman" w:cs="Times New Roman"/>
          <w:bCs/>
          <w:sz w:val="24"/>
          <w:szCs w:val="24"/>
        </w:rPr>
        <w:t>a</w:t>
      </w:r>
      <w:r w:rsidRPr="00D147A7">
        <w:rPr>
          <w:rFonts w:ascii="Times New Roman" w:hAnsi="Times New Roman" w:cs="Times New Roman"/>
          <w:bCs/>
          <w:sz w:val="24"/>
          <w:szCs w:val="24"/>
        </w:rPr>
        <w:t>t kan alleen als al</w:t>
      </w:r>
      <w:r w:rsidR="001304CF" w:rsidRPr="00D147A7">
        <w:rPr>
          <w:rFonts w:ascii="Times New Roman" w:hAnsi="Times New Roman" w:cs="Times New Roman"/>
          <w:bCs/>
          <w:sz w:val="24"/>
          <w:szCs w:val="24"/>
        </w:rPr>
        <w:t>le informatie nauwkeurig genoteerd wordt.</w:t>
      </w:r>
    </w:p>
    <w:p w:rsidR="003E1E00" w:rsidRPr="00CB4956" w:rsidRDefault="003E1E00" w:rsidP="003E1E00">
      <w:pPr>
        <w:pStyle w:val="Geenafstand"/>
        <w:jc w:val="both"/>
        <w:rPr>
          <w:rFonts w:ascii="Times New Roman" w:hAnsi="Times New Roman" w:cs="Times New Roman"/>
          <w:bCs/>
          <w:sz w:val="24"/>
          <w:szCs w:val="24"/>
        </w:rPr>
      </w:pPr>
      <w:r w:rsidRPr="00D147A7">
        <w:rPr>
          <w:rFonts w:ascii="Times New Roman" w:hAnsi="Times New Roman" w:cs="Times New Roman"/>
          <w:bCs/>
          <w:sz w:val="24"/>
          <w:szCs w:val="24"/>
        </w:rPr>
        <w:t>Verder hebben patiëntendossiers een juridische en deontologische bewijswaarde. Wanneer er juridische geschillen ontstaan (bijvoorbeeld over het verloop van een behandeling, een dia</w:t>
      </w:r>
      <w:r w:rsidR="00CB4956">
        <w:rPr>
          <w:rFonts w:ascii="Times New Roman" w:hAnsi="Times New Roman" w:cs="Times New Roman"/>
          <w:bCs/>
          <w:sz w:val="24"/>
          <w:szCs w:val="24"/>
        </w:rPr>
        <w:t>-</w:t>
      </w:r>
      <w:r w:rsidRPr="00D147A7">
        <w:rPr>
          <w:rFonts w:ascii="Times New Roman" w:hAnsi="Times New Roman" w:cs="Times New Roman"/>
          <w:bCs/>
          <w:sz w:val="24"/>
          <w:szCs w:val="24"/>
        </w:rPr>
        <w:t xml:space="preserve">gnose, de </w:t>
      </w:r>
      <w:r w:rsidRPr="00D147A7">
        <w:rPr>
          <w:rFonts w:ascii="Times New Roman" w:hAnsi="Times New Roman" w:cs="Times New Roman"/>
          <w:bCs/>
          <w:i/>
          <w:sz w:val="24"/>
          <w:szCs w:val="24"/>
        </w:rPr>
        <w:t xml:space="preserve">informed consent </w:t>
      </w:r>
      <w:r w:rsidRPr="00D147A7">
        <w:rPr>
          <w:rFonts w:ascii="Times New Roman" w:hAnsi="Times New Roman" w:cs="Times New Roman"/>
          <w:bCs/>
          <w:sz w:val="24"/>
          <w:szCs w:val="24"/>
        </w:rPr>
        <w:t>van een patiënt, de gezondheidstoestand of de wilsbekwaamheid van de patiënt), is het patiëntendossier een zeer bewijskrachtig archiefstuk. Alle informatie die erin opgenomen werd, wordt – behoudens het bewijs van het tegendeel – als gebeurd beschouwd. Hetzelfde geldt in de omgekeerde richting: alle</w:t>
      </w:r>
      <w:r w:rsidR="001304CF" w:rsidRPr="00D147A7">
        <w:rPr>
          <w:rFonts w:ascii="Times New Roman" w:hAnsi="Times New Roman" w:cs="Times New Roman"/>
          <w:bCs/>
          <w:sz w:val="24"/>
          <w:szCs w:val="24"/>
        </w:rPr>
        <w:t xml:space="preserve"> gegevens</w:t>
      </w:r>
      <w:r w:rsidRPr="00D147A7">
        <w:rPr>
          <w:rFonts w:ascii="Times New Roman" w:hAnsi="Times New Roman" w:cs="Times New Roman"/>
          <w:bCs/>
          <w:sz w:val="24"/>
          <w:szCs w:val="24"/>
        </w:rPr>
        <w:t xml:space="preserve"> d</w:t>
      </w:r>
      <w:r w:rsidR="001304CF" w:rsidRPr="00D147A7">
        <w:rPr>
          <w:rFonts w:ascii="Times New Roman" w:hAnsi="Times New Roman" w:cs="Times New Roman"/>
          <w:bCs/>
          <w:sz w:val="24"/>
          <w:szCs w:val="24"/>
        </w:rPr>
        <w:t>ie</w:t>
      </w:r>
      <w:r w:rsidRPr="00D147A7">
        <w:rPr>
          <w:rFonts w:ascii="Times New Roman" w:hAnsi="Times New Roman" w:cs="Times New Roman"/>
          <w:bCs/>
          <w:sz w:val="24"/>
          <w:szCs w:val="24"/>
        </w:rPr>
        <w:t xml:space="preserve"> niet in een patiënt</w:t>
      </w:r>
      <w:r w:rsidR="00CB4956">
        <w:rPr>
          <w:rFonts w:ascii="Times New Roman" w:hAnsi="Times New Roman" w:cs="Times New Roman"/>
          <w:bCs/>
          <w:sz w:val="24"/>
          <w:szCs w:val="24"/>
        </w:rPr>
        <w:t>-</w:t>
      </w:r>
      <w:r w:rsidRPr="00D147A7">
        <w:rPr>
          <w:rFonts w:ascii="Times New Roman" w:hAnsi="Times New Roman" w:cs="Times New Roman"/>
          <w:bCs/>
          <w:sz w:val="24"/>
          <w:szCs w:val="24"/>
        </w:rPr>
        <w:t xml:space="preserve">endossier </w:t>
      </w:r>
      <w:r w:rsidR="001304CF" w:rsidRPr="00D147A7">
        <w:rPr>
          <w:rFonts w:ascii="Times New Roman" w:hAnsi="Times New Roman" w:cs="Times New Roman"/>
          <w:bCs/>
          <w:sz w:val="24"/>
          <w:szCs w:val="24"/>
        </w:rPr>
        <w:t xml:space="preserve">werden </w:t>
      </w:r>
      <w:r w:rsidRPr="00D147A7">
        <w:rPr>
          <w:rFonts w:ascii="Times New Roman" w:hAnsi="Times New Roman" w:cs="Times New Roman"/>
          <w:bCs/>
          <w:sz w:val="24"/>
          <w:szCs w:val="24"/>
        </w:rPr>
        <w:t>opgenomen (</w:t>
      </w:r>
      <w:r w:rsidR="001304CF" w:rsidRPr="00D147A7">
        <w:rPr>
          <w:rFonts w:ascii="Times New Roman" w:hAnsi="Times New Roman" w:cs="Times New Roman"/>
          <w:bCs/>
          <w:sz w:val="24"/>
          <w:szCs w:val="24"/>
        </w:rPr>
        <w:t>maar</w:t>
      </w:r>
      <w:r w:rsidRPr="00D147A7">
        <w:rPr>
          <w:rFonts w:ascii="Times New Roman" w:hAnsi="Times New Roman" w:cs="Times New Roman"/>
          <w:bCs/>
          <w:sz w:val="24"/>
          <w:szCs w:val="24"/>
        </w:rPr>
        <w:t xml:space="preserve"> daar wel in </w:t>
      </w:r>
      <w:r w:rsidR="001304CF" w:rsidRPr="00D147A7">
        <w:rPr>
          <w:rFonts w:ascii="Times New Roman" w:hAnsi="Times New Roman" w:cs="Times New Roman"/>
          <w:bCs/>
          <w:sz w:val="24"/>
          <w:szCs w:val="24"/>
        </w:rPr>
        <w:t xml:space="preserve">hadden </w:t>
      </w:r>
      <w:r w:rsidRPr="00D147A7">
        <w:rPr>
          <w:rFonts w:ascii="Times New Roman" w:hAnsi="Times New Roman" w:cs="Times New Roman"/>
          <w:bCs/>
          <w:sz w:val="24"/>
          <w:szCs w:val="24"/>
        </w:rPr>
        <w:t>moeten staan), word</w:t>
      </w:r>
      <w:r w:rsidR="001304CF" w:rsidRPr="00D147A7">
        <w:rPr>
          <w:rFonts w:ascii="Times New Roman" w:hAnsi="Times New Roman" w:cs="Times New Roman"/>
          <w:bCs/>
          <w:sz w:val="24"/>
          <w:szCs w:val="24"/>
        </w:rPr>
        <w:t>en</w:t>
      </w:r>
      <w:r w:rsidR="00CB4956">
        <w:rPr>
          <w:rFonts w:ascii="Times New Roman" w:hAnsi="Times New Roman" w:cs="Times New Roman"/>
          <w:bCs/>
          <w:sz w:val="24"/>
          <w:szCs w:val="24"/>
        </w:rPr>
        <w:t xml:space="preserve"> als niet ge</w:t>
      </w:r>
      <w:r w:rsidR="00FD55D4">
        <w:rPr>
          <w:rFonts w:ascii="Times New Roman" w:hAnsi="Times New Roman" w:cs="Times New Roman"/>
          <w:bCs/>
          <w:sz w:val="24"/>
          <w:szCs w:val="24"/>
        </w:rPr>
        <w:t>-</w:t>
      </w:r>
      <w:r w:rsidR="00CB4956">
        <w:rPr>
          <w:rFonts w:ascii="Times New Roman" w:hAnsi="Times New Roman" w:cs="Times New Roman"/>
          <w:bCs/>
          <w:sz w:val="24"/>
          <w:szCs w:val="24"/>
        </w:rPr>
        <w:t>beurd beschouwd.</w:t>
      </w:r>
    </w:p>
    <w:p w:rsidR="003E1E00" w:rsidRPr="00D147A7" w:rsidRDefault="003E1E00" w:rsidP="003E1E00">
      <w:pPr>
        <w:pStyle w:val="Geenafstand"/>
        <w:jc w:val="both"/>
        <w:rPr>
          <w:rFonts w:ascii="Times New Roman" w:hAnsi="Times New Roman" w:cs="Times New Roman"/>
          <w:bCs/>
          <w:sz w:val="24"/>
          <w:szCs w:val="24"/>
        </w:rPr>
      </w:pPr>
      <w:r w:rsidRPr="00D147A7">
        <w:rPr>
          <w:rFonts w:ascii="Times New Roman" w:hAnsi="Times New Roman" w:cs="Times New Roman"/>
          <w:sz w:val="24"/>
          <w:szCs w:val="24"/>
        </w:rPr>
        <w:t>Tot slot zijn patiëntendossiers een schat aan informatie, die de basis kunnen vormen van ver</w:t>
      </w:r>
      <w:r w:rsidR="00FD55D4">
        <w:rPr>
          <w:rFonts w:ascii="Times New Roman" w:hAnsi="Times New Roman" w:cs="Times New Roman"/>
          <w:sz w:val="24"/>
          <w:szCs w:val="24"/>
        </w:rPr>
        <w:t>-</w:t>
      </w:r>
      <w:r w:rsidRPr="00D147A7">
        <w:rPr>
          <w:rFonts w:ascii="Times New Roman" w:hAnsi="Times New Roman" w:cs="Times New Roman"/>
          <w:sz w:val="24"/>
          <w:szCs w:val="24"/>
        </w:rPr>
        <w:t>schillende soorten onderzoek. Zo kunnen patiëntend</w:t>
      </w:r>
      <w:r w:rsidR="00FD55D4">
        <w:rPr>
          <w:rFonts w:ascii="Times New Roman" w:hAnsi="Times New Roman" w:cs="Times New Roman"/>
          <w:sz w:val="24"/>
          <w:szCs w:val="24"/>
        </w:rPr>
        <w:t>ossiers voor medisch-wetenschap</w:t>
      </w:r>
      <w:r w:rsidRPr="00D147A7">
        <w:rPr>
          <w:rFonts w:ascii="Times New Roman" w:hAnsi="Times New Roman" w:cs="Times New Roman"/>
          <w:sz w:val="24"/>
          <w:szCs w:val="24"/>
        </w:rPr>
        <w:t>pelijk, statistisch en</w:t>
      </w:r>
      <w:r w:rsidR="001304CF" w:rsidRPr="00D147A7">
        <w:rPr>
          <w:rFonts w:ascii="Times New Roman" w:hAnsi="Times New Roman" w:cs="Times New Roman"/>
          <w:sz w:val="24"/>
          <w:szCs w:val="24"/>
        </w:rPr>
        <w:t>/of</w:t>
      </w:r>
      <w:r w:rsidRPr="00D147A7">
        <w:rPr>
          <w:rFonts w:ascii="Times New Roman" w:hAnsi="Times New Roman" w:cs="Times New Roman"/>
          <w:sz w:val="24"/>
          <w:szCs w:val="24"/>
        </w:rPr>
        <w:t xml:space="preserve"> epidemiologisch onderzoek worden aangewend, waarvan de resultaten </w:t>
      </w:r>
      <w:r w:rsidRPr="00D147A7">
        <w:rPr>
          <w:rFonts w:ascii="Times New Roman" w:hAnsi="Times New Roman" w:cs="Times New Roman"/>
          <w:bCs/>
          <w:sz w:val="24"/>
          <w:szCs w:val="24"/>
        </w:rPr>
        <w:t xml:space="preserve">de medische kennis kunnen bevorderen, de opleiding van zorgverleners kunnen beïnvloeden en het beleid van verzorgingsinstellingen en de wetgever </w:t>
      </w:r>
      <w:r w:rsidR="001304CF" w:rsidRPr="00D147A7">
        <w:rPr>
          <w:rFonts w:ascii="Times New Roman" w:hAnsi="Times New Roman" w:cs="Times New Roman"/>
          <w:bCs/>
          <w:sz w:val="24"/>
          <w:szCs w:val="24"/>
        </w:rPr>
        <w:t>kunnen (bij)</w:t>
      </w:r>
      <w:r w:rsidRPr="00D147A7">
        <w:rPr>
          <w:rFonts w:ascii="Times New Roman" w:hAnsi="Times New Roman" w:cs="Times New Roman"/>
          <w:bCs/>
          <w:sz w:val="24"/>
          <w:szCs w:val="24"/>
        </w:rPr>
        <w:t xml:space="preserve">sturen. Daarnaast </w:t>
      </w:r>
      <w:r w:rsidR="00C36939">
        <w:rPr>
          <w:rFonts w:ascii="Times New Roman" w:hAnsi="Times New Roman" w:cs="Times New Roman"/>
          <w:bCs/>
          <w:sz w:val="24"/>
          <w:szCs w:val="24"/>
        </w:rPr>
        <w:t>facilite-ren</w:t>
      </w:r>
      <w:r w:rsidR="00FD55D4">
        <w:rPr>
          <w:rFonts w:ascii="Times New Roman" w:hAnsi="Times New Roman" w:cs="Times New Roman"/>
          <w:bCs/>
          <w:sz w:val="24"/>
          <w:szCs w:val="24"/>
        </w:rPr>
        <w:t xml:space="preserve"> </w:t>
      </w:r>
      <w:r w:rsidRPr="00D147A7">
        <w:rPr>
          <w:rFonts w:ascii="Times New Roman" w:hAnsi="Times New Roman" w:cs="Times New Roman"/>
          <w:bCs/>
          <w:sz w:val="24"/>
          <w:szCs w:val="24"/>
        </w:rPr>
        <w:t xml:space="preserve">patiëntendossiers </w:t>
      </w:r>
      <w:r w:rsidR="00C36939">
        <w:rPr>
          <w:rFonts w:ascii="Times New Roman" w:hAnsi="Times New Roman" w:cs="Times New Roman"/>
          <w:bCs/>
          <w:sz w:val="24"/>
          <w:szCs w:val="24"/>
        </w:rPr>
        <w:t xml:space="preserve">het </w:t>
      </w:r>
      <w:r w:rsidR="00FD55D4">
        <w:rPr>
          <w:rFonts w:ascii="Times New Roman" w:hAnsi="Times New Roman" w:cs="Times New Roman"/>
          <w:bCs/>
          <w:sz w:val="24"/>
          <w:szCs w:val="24"/>
        </w:rPr>
        <w:t>medisch-</w:t>
      </w:r>
      <w:r w:rsidRPr="00D147A7">
        <w:rPr>
          <w:rFonts w:ascii="Times New Roman" w:hAnsi="Times New Roman" w:cs="Times New Roman"/>
          <w:bCs/>
          <w:sz w:val="24"/>
          <w:szCs w:val="24"/>
        </w:rPr>
        <w:t xml:space="preserve">historisch onderzoek. </w:t>
      </w:r>
      <w:r w:rsidR="0054045F">
        <w:rPr>
          <w:rFonts w:ascii="Times New Roman" w:hAnsi="Times New Roman" w:cs="Times New Roman"/>
          <w:bCs/>
          <w:sz w:val="24"/>
          <w:szCs w:val="24"/>
        </w:rPr>
        <w:t>Medische archieven van</w:t>
      </w:r>
      <w:r w:rsidR="00FD55D4">
        <w:rPr>
          <w:rFonts w:ascii="Times New Roman" w:hAnsi="Times New Roman" w:cs="Times New Roman"/>
          <w:bCs/>
          <w:sz w:val="24"/>
          <w:szCs w:val="24"/>
        </w:rPr>
        <w:t xml:space="preserve"> publiek</w:t>
      </w:r>
      <w:r w:rsidR="00C36939">
        <w:rPr>
          <w:rFonts w:ascii="Times New Roman" w:hAnsi="Times New Roman" w:cs="Times New Roman"/>
          <w:bCs/>
          <w:sz w:val="24"/>
          <w:szCs w:val="24"/>
        </w:rPr>
        <w:t>-</w:t>
      </w:r>
      <w:r w:rsidR="00FD55D4">
        <w:rPr>
          <w:rFonts w:ascii="Times New Roman" w:hAnsi="Times New Roman" w:cs="Times New Roman"/>
          <w:bCs/>
          <w:sz w:val="24"/>
          <w:szCs w:val="24"/>
        </w:rPr>
        <w:t xml:space="preserve">rechtelijke verzorgingsinstellingen </w:t>
      </w:r>
      <w:r w:rsidR="0054045F">
        <w:rPr>
          <w:rFonts w:ascii="Times New Roman" w:hAnsi="Times New Roman" w:cs="Times New Roman"/>
          <w:bCs/>
          <w:sz w:val="24"/>
          <w:szCs w:val="24"/>
        </w:rPr>
        <w:t xml:space="preserve">zijn een deel van ons cultureel erfgoed, die </w:t>
      </w:r>
      <w:r w:rsidRPr="00D147A7">
        <w:rPr>
          <w:rFonts w:ascii="Times New Roman" w:hAnsi="Times New Roman" w:cs="Times New Roman"/>
          <w:bCs/>
          <w:sz w:val="24"/>
          <w:szCs w:val="24"/>
        </w:rPr>
        <w:t>aan de beeld</w:t>
      </w:r>
      <w:r w:rsidR="00C36939">
        <w:rPr>
          <w:rFonts w:ascii="Times New Roman" w:hAnsi="Times New Roman" w:cs="Times New Roman"/>
          <w:bCs/>
          <w:sz w:val="24"/>
          <w:szCs w:val="24"/>
        </w:rPr>
        <w:t>-</w:t>
      </w:r>
      <w:r w:rsidRPr="00D147A7">
        <w:rPr>
          <w:rFonts w:ascii="Times New Roman" w:hAnsi="Times New Roman" w:cs="Times New Roman"/>
          <w:bCs/>
          <w:sz w:val="24"/>
          <w:szCs w:val="24"/>
        </w:rPr>
        <w:t xml:space="preserve">vorming van onze samenleving (en meer bepaald van de volksgezondheid) </w:t>
      </w:r>
      <w:r w:rsidR="0054045F">
        <w:rPr>
          <w:rFonts w:ascii="Times New Roman" w:hAnsi="Times New Roman" w:cs="Times New Roman"/>
          <w:bCs/>
          <w:sz w:val="24"/>
          <w:szCs w:val="24"/>
        </w:rPr>
        <w:t>bijdragen</w:t>
      </w:r>
      <w:r w:rsidRPr="00D147A7">
        <w:rPr>
          <w:rFonts w:ascii="Times New Roman" w:hAnsi="Times New Roman" w:cs="Times New Roman"/>
          <w:bCs/>
          <w:sz w:val="24"/>
          <w:szCs w:val="24"/>
        </w:rPr>
        <w:t>.</w:t>
      </w:r>
    </w:p>
    <w:p w:rsidR="001304CF" w:rsidRPr="00D147A7" w:rsidRDefault="001304CF" w:rsidP="003E1E00">
      <w:pPr>
        <w:pStyle w:val="Geenafstand"/>
        <w:jc w:val="both"/>
        <w:rPr>
          <w:rFonts w:ascii="Times New Roman" w:hAnsi="Times New Roman" w:cs="Times New Roman"/>
          <w:sz w:val="24"/>
          <w:szCs w:val="24"/>
        </w:rPr>
      </w:pPr>
    </w:p>
    <w:p w:rsidR="00D939AB" w:rsidRDefault="00D939AB" w:rsidP="00D939AB">
      <w:pPr>
        <w:pStyle w:val="Geenafstand"/>
        <w:jc w:val="both"/>
        <w:rPr>
          <w:rFonts w:ascii="Times New Roman" w:hAnsi="Times New Roman" w:cs="Times New Roman"/>
          <w:sz w:val="24"/>
          <w:szCs w:val="24"/>
        </w:rPr>
      </w:pPr>
      <w:r w:rsidRPr="00415F01">
        <w:rPr>
          <w:rFonts w:ascii="Times New Roman" w:hAnsi="Times New Roman" w:cs="Times New Roman"/>
          <w:sz w:val="24"/>
          <w:szCs w:val="24"/>
        </w:rPr>
        <w:t xml:space="preserve">Na de tweede wereldoorlog hebben wetenschapsgeschiedenis en -filosofie almaar meer aan-hang gekregen. Een belangrijke wegbereider in dit opzicht was de Amerikaanse filosoof Tho-mas Kuhn. Mede in navolging van Kuhns belangrijkste werk – </w:t>
      </w:r>
      <w:r w:rsidRPr="00415F01">
        <w:rPr>
          <w:rFonts w:ascii="Times New Roman" w:hAnsi="Times New Roman" w:cs="Times New Roman"/>
          <w:i/>
          <w:sz w:val="24"/>
          <w:szCs w:val="24"/>
        </w:rPr>
        <w:t>The structure of scientific re-volutions</w:t>
      </w:r>
      <w:r w:rsidRPr="00415F01">
        <w:rPr>
          <w:rStyle w:val="Voetnootmarkering"/>
          <w:rFonts w:ascii="Times New Roman" w:hAnsi="Times New Roman" w:cs="Times New Roman"/>
          <w:sz w:val="24"/>
          <w:szCs w:val="24"/>
        </w:rPr>
        <w:footnoteReference w:id="36"/>
      </w:r>
      <w:r w:rsidRPr="00415F01">
        <w:rPr>
          <w:rFonts w:ascii="Times New Roman" w:hAnsi="Times New Roman" w:cs="Times New Roman"/>
          <w:i/>
          <w:sz w:val="24"/>
          <w:szCs w:val="24"/>
        </w:rPr>
        <w:t xml:space="preserve"> </w:t>
      </w:r>
      <w:r w:rsidRPr="00415F01">
        <w:rPr>
          <w:rFonts w:ascii="Times New Roman" w:hAnsi="Times New Roman" w:cs="Times New Roman"/>
          <w:sz w:val="24"/>
          <w:szCs w:val="24"/>
        </w:rPr>
        <w:t xml:space="preserve">– legden filosofen steeds meer interesse voor historisch onderzoek aan de dag, ter-wijl historici zich op hun beurt steeds meer met filosofische en sociologische vragen bezig hielden. </w:t>
      </w:r>
      <w:r w:rsidRPr="00415F01">
        <w:rPr>
          <w:rFonts w:ascii="Times New Roman" w:eastAsiaTheme="minorEastAsia" w:hAnsi="Times New Roman" w:cs="Times New Roman"/>
          <w:sz w:val="24"/>
          <w:szCs w:val="24"/>
        </w:rPr>
        <w:t>Op het vlak van de West-Europese (academische) geschiedschrijving was de tweede helft van de 19</w:t>
      </w:r>
      <w:r w:rsidRPr="00415F01">
        <w:rPr>
          <w:rFonts w:ascii="Times New Roman" w:eastAsiaTheme="minorEastAsia" w:hAnsi="Times New Roman" w:cs="Times New Roman"/>
          <w:sz w:val="24"/>
          <w:szCs w:val="24"/>
          <w:vertAlign w:val="superscript"/>
        </w:rPr>
        <w:t>de</w:t>
      </w:r>
      <w:r w:rsidRPr="00415F01">
        <w:rPr>
          <w:rFonts w:ascii="Times New Roman" w:eastAsiaTheme="minorEastAsia" w:hAnsi="Times New Roman" w:cs="Times New Roman"/>
          <w:sz w:val="24"/>
          <w:szCs w:val="24"/>
        </w:rPr>
        <w:t xml:space="preserve"> eeuw en de eerste helft van de 20</w:t>
      </w:r>
      <w:r w:rsidRPr="00415F01">
        <w:rPr>
          <w:rFonts w:ascii="Times New Roman" w:eastAsiaTheme="minorEastAsia" w:hAnsi="Times New Roman" w:cs="Times New Roman"/>
          <w:sz w:val="24"/>
          <w:szCs w:val="24"/>
          <w:vertAlign w:val="superscript"/>
        </w:rPr>
        <w:t>ste</w:t>
      </w:r>
      <w:r w:rsidRPr="00415F01">
        <w:rPr>
          <w:rFonts w:ascii="Times New Roman" w:eastAsiaTheme="minorEastAsia" w:hAnsi="Times New Roman" w:cs="Times New Roman"/>
          <w:sz w:val="24"/>
          <w:szCs w:val="24"/>
        </w:rPr>
        <w:t xml:space="preserve"> eeuw het tijdperk der positivisten, waar</w:t>
      </w:r>
      <w:r>
        <w:rPr>
          <w:rFonts w:ascii="Times New Roman" w:eastAsiaTheme="minorEastAsia" w:hAnsi="Times New Roman" w:cs="Times New Roman"/>
          <w:sz w:val="24"/>
          <w:szCs w:val="24"/>
        </w:rPr>
        <w:t>-</w:t>
      </w:r>
      <w:r w:rsidRPr="00415F01">
        <w:rPr>
          <w:rFonts w:ascii="Times New Roman" w:eastAsiaTheme="minorEastAsia" w:hAnsi="Times New Roman" w:cs="Times New Roman"/>
          <w:sz w:val="24"/>
          <w:szCs w:val="24"/>
        </w:rPr>
        <w:t xml:space="preserve">van Leopold von Ranke algemeen als stamvader erkend wordt. </w:t>
      </w:r>
      <w:r w:rsidRPr="00415F01">
        <w:rPr>
          <w:rFonts w:ascii="Times New Roman" w:hAnsi="Times New Roman" w:cs="Times New Roman"/>
          <w:sz w:val="24"/>
          <w:szCs w:val="24"/>
          <w:shd w:val="clear" w:color="auto" w:fill="FFFFFF"/>
        </w:rPr>
        <w:t>Hoewel Ranke een belangrijk aandeel in de verwetenschappelijking van de geschiedwetenschap heeft, luwde de populariteit van zijn gedachtegoed vanaf de eeuwwende langzaam maar zeker. Pas na de tweede wereld</w:t>
      </w:r>
      <w:r>
        <w:rPr>
          <w:rFonts w:ascii="Times New Roman" w:hAnsi="Times New Roman" w:cs="Times New Roman"/>
          <w:sz w:val="24"/>
          <w:szCs w:val="24"/>
          <w:shd w:val="clear" w:color="auto" w:fill="FFFFFF"/>
        </w:rPr>
        <w:t>-</w:t>
      </w:r>
      <w:r w:rsidRPr="00415F01">
        <w:rPr>
          <w:rFonts w:ascii="Times New Roman" w:hAnsi="Times New Roman" w:cs="Times New Roman"/>
          <w:sz w:val="24"/>
          <w:szCs w:val="24"/>
          <w:shd w:val="clear" w:color="auto" w:fill="FFFFFF"/>
        </w:rPr>
        <w:t xml:space="preserve">oorlog werd het verzet tegen het Rankeaans paradigma echt algemeen gedragen. Steeds meer historici wensten zich van de evenementiële geschiedschrijving te distantiëren en een nieuw pad, nl. van de totale of integrale geschiedenis, te bewandelen. Als reactie op het dominante, </w:t>
      </w:r>
      <w:r w:rsidRPr="00415F01">
        <w:rPr>
          <w:rFonts w:ascii="Times New Roman" w:hAnsi="Times New Roman" w:cs="Times New Roman"/>
          <w:sz w:val="24"/>
          <w:szCs w:val="24"/>
          <w:shd w:val="clear" w:color="auto" w:fill="FFFFFF"/>
        </w:rPr>
        <w:lastRenderedPageBreak/>
        <w:t xml:space="preserve">traditionele positivisme vond na de tweede wereldoorlog een </w:t>
      </w:r>
      <w:r w:rsidRPr="00415F01">
        <w:rPr>
          <w:rFonts w:ascii="Times New Roman" w:hAnsi="Times New Roman" w:cs="Times New Roman"/>
          <w:i/>
          <w:sz w:val="24"/>
          <w:szCs w:val="24"/>
          <w:shd w:val="clear" w:color="auto" w:fill="FFFFFF"/>
        </w:rPr>
        <w:t>cultural turn</w:t>
      </w:r>
      <w:r w:rsidRPr="00415F01">
        <w:rPr>
          <w:rFonts w:ascii="Times New Roman" w:hAnsi="Times New Roman" w:cs="Times New Roman"/>
          <w:sz w:val="24"/>
          <w:szCs w:val="24"/>
          <w:shd w:val="clear" w:color="auto" w:fill="FFFFFF"/>
        </w:rPr>
        <w:t xml:space="preserve"> plaats: enerzijds ontstond de nieuwe cultuurgeschiedenis (</w:t>
      </w:r>
      <w:r w:rsidRPr="00415F01">
        <w:rPr>
          <w:rFonts w:ascii="Times New Roman" w:hAnsi="Times New Roman" w:cs="Times New Roman"/>
          <w:i/>
          <w:sz w:val="24"/>
          <w:szCs w:val="24"/>
          <w:shd w:val="clear" w:color="auto" w:fill="FFFFFF"/>
        </w:rPr>
        <w:t>New Cultural History</w:t>
      </w:r>
      <w:r w:rsidRPr="00415F01">
        <w:rPr>
          <w:rFonts w:ascii="Times New Roman" w:hAnsi="Times New Roman" w:cs="Times New Roman"/>
          <w:sz w:val="24"/>
          <w:szCs w:val="24"/>
          <w:shd w:val="clear" w:color="auto" w:fill="FFFFFF"/>
        </w:rPr>
        <w:t>)</w:t>
      </w:r>
      <w:r w:rsidRPr="00415F01">
        <w:rPr>
          <w:rStyle w:val="Voetnootmarkering"/>
          <w:rFonts w:ascii="Times New Roman" w:eastAsiaTheme="minorEastAsia" w:hAnsi="Times New Roman" w:cs="Times New Roman"/>
          <w:sz w:val="24"/>
          <w:szCs w:val="24"/>
        </w:rPr>
        <w:footnoteReference w:id="37"/>
      </w:r>
      <w:r w:rsidRPr="00415F01">
        <w:rPr>
          <w:rFonts w:ascii="Times New Roman" w:hAnsi="Times New Roman" w:cs="Times New Roman"/>
          <w:sz w:val="24"/>
          <w:szCs w:val="24"/>
          <w:shd w:val="clear" w:color="auto" w:fill="FFFFFF"/>
        </w:rPr>
        <w:t>, terwijl anderzijds ook an</w:t>
      </w:r>
      <w:r w:rsidR="00912968">
        <w:rPr>
          <w:rFonts w:ascii="Times New Roman" w:hAnsi="Times New Roman" w:cs="Times New Roman"/>
          <w:sz w:val="24"/>
          <w:szCs w:val="24"/>
          <w:shd w:val="clear" w:color="auto" w:fill="FFFFFF"/>
        </w:rPr>
        <w:t>-</w:t>
      </w:r>
      <w:r w:rsidRPr="00415F01">
        <w:rPr>
          <w:rFonts w:ascii="Times New Roman" w:hAnsi="Times New Roman" w:cs="Times New Roman"/>
          <w:sz w:val="24"/>
          <w:szCs w:val="24"/>
          <w:shd w:val="clear" w:color="auto" w:fill="FFFFFF"/>
        </w:rPr>
        <w:t>dere genres van de geschiedschrijving zich met in toenemende mate met cultuur inlieten. Dit is in de woorden van Thomas Kuhn een paradigmaverschuiving, waarbij op verschillende vlakken van het Rankeaanse paradigma afgeweken werd.</w:t>
      </w:r>
      <w:r>
        <w:rPr>
          <w:rStyle w:val="Voetnootmarkering"/>
          <w:rFonts w:ascii="Times New Roman" w:hAnsi="Times New Roman" w:cs="Times New Roman"/>
          <w:sz w:val="24"/>
          <w:szCs w:val="24"/>
          <w:shd w:val="clear" w:color="auto" w:fill="FFFFFF"/>
        </w:rPr>
        <w:footnoteReference w:id="38"/>
      </w:r>
      <w:r w:rsidRPr="00415F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 nadruk op s</w:t>
      </w:r>
      <w:r w:rsidRPr="00415F01">
        <w:rPr>
          <w:rFonts w:ascii="Times New Roman" w:hAnsi="Times New Roman" w:cs="Times New Roman"/>
          <w:sz w:val="24"/>
          <w:szCs w:val="24"/>
          <w:shd w:val="clear" w:color="auto" w:fill="FFFFFF"/>
        </w:rPr>
        <w:t>taats</w:t>
      </w:r>
      <w:r>
        <w:rPr>
          <w:rFonts w:ascii="Times New Roman" w:hAnsi="Times New Roman" w:cs="Times New Roman"/>
          <w:sz w:val="24"/>
          <w:szCs w:val="24"/>
          <w:shd w:val="clear" w:color="auto" w:fill="FFFFFF"/>
        </w:rPr>
        <w:t>kund</w:t>
      </w:r>
      <w:r w:rsidR="00912968">
        <w:rPr>
          <w:rFonts w:ascii="Times New Roman" w:hAnsi="Times New Roman" w:cs="Times New Roman"/>
          <w:sz w:val="24"/>
          <w:szCs w:val="24"/>
          <w:shd w:val="clear" w:color="auto" w:fill="FFFFFF"/>
        </w:rPr>
        <w:t>ige</w:t>
      </w:r>
      <w:r>
        <w:rPr>
          <w:rFonts w:ascii="Times New Roman" w:hAnsi="Times New Roman" w:cs="Times New Roman"/>
          <w:sz w:val="24"/>
          <w:szCs w:val="24"/>
          <w:shd w:val="clear" w:color="auto" w:fill="FFFFFF"/>
        </w:rPr>
        <w:t xml:space="preserve"> (poli</w:t>
      </w:r>
      <w:r w:rsidR="0091296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tiek</w:t>
      </w:r>
      <w:r w:rsidR="00912968">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diplomatie</w:t>
      </w:r>
      <w:r w:rsidR="00912968">
        <w:rPr>
          <w:rFonts w:ascii="Times New Roman" w:hAnsi="Times New Roman" w:cs="Times New Roman"/>
          <w:sz w:val="24"/>
          <w:szCs w:val="24"/>
          <w:shd w:val="clear" w:color="auto" w:fill="FFFFFF"/>
        </w:rPr>
        <w:t>ke, institutionele</w:t>
      </w:r>
      <w:r>
        <w:rPr>
          <w:rFonts w:ascii="Times New Roman" w:hAnsi="Times New Roman" w:cs="Times New Roman"/>
          <w:sz w:val="24"/>
          <w:szCs w:val="24"/>
          <w:shd w:val="clear" w:color="auto" w:fill="FFFFFF"/>
        </w:rPr>
        <w:t xml:space="preserve"> en militair</w:t>
      </w:r>
      <w:r w:rsidR="00912968">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w:t>
      </w:r>
      <w:r w:rsidR="00912968">
        <w:rPr>
          <w:rFonts w:ascii="Times New Roman" w:hAnsi="Times New Roman" w:cs="Times New Roman"/>
          <w:sz w:val="24"/>
          <w:szCs w:val="24"/>
          <w:shd w:val="clear" w:color="auto" w:fill="FFFFFF"/>
        </w:rPr>
        <w:t xml:space="preserve">geschiedenis </w:t>
      </w:r>
      <w:r>
        <w:rPr>
          <w:rFonts w:ascii="Times New Roman" w:hAnsi="Times New Roman" w:cs="Times New Roman"/>
          <w:sz w:val="24"/>
          <w:szCs w:val="24"/>
          <w:shd w:val="clear" w:color="auto" w:fill="FFFFFF"/>
        </w:rPr>
        <w:t>verdween en maakte plaats voor alle mogelijke menselijke handelingen. Men kan het zo gek niet bedenken of er is wel histo</w:t>
      </w:r>
      <w:r w:rsidR="0091296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risch onderzoek naar verricht. Verder werd h</w:t>
      </w:r>
      <w:r w:rsidRPr="00415F01">
        <w:rPr>
          <w:rFonts w:ascii="Times New Roman" w:hAnsi="Times New Roman" w:cs="Times New Roman"/>
          <w:sz w:val="24"/>
          <w:szCs w:val="24"/>
          <w:shd w:val="clear" w:color="auto" w:fill="FFFFFF"/>
        </w:rPr>
        <w:t>et Rankeaans paradigma karikaturaal afgeschil</w:t>
      </w:r>
      <w:r w:rsidR="00912968">
        <w:rPr>
          <w:rFonts w:ascii="Times New Roman" w:hAnsi="Times New Roman" w:cs="Times New Roman"/>
          <w:sz w:val="24"/>
          <w:szCs w:val="24"/>
          <w:shd w:val="clear" w:color="auto" w:fill="FFFFFF"/>
        </w:rPr>
        <w:t>-</w:t>
      </w:r>
      <w:r w:rsidRPr="00415F01">
        <w:rPr>
          <w:rFonts w:ascii="Times New Roman" w:hAnsi="Times New Roman" w:cs="Times New Roman"/>
          <w:sz w:val="24"/>
          <w:szCs w:val="24"/>
          <w:shd w:val="clear" w:color="auto" w:fill="FFFFFF"/>
        </w:rPr>
        <w:t xml:space="preserve">derd als een droge weergave van feiten en gebeurtenissen. </w:t>
      </w:r>
      <w:r>
        <w:rPr>
          <w:rFonts w:ascii="Times New Roman" w:hAnsi="Times New Roman" w:cs="Times New Roman"/>
          <w:sz w:val="24"/>
          <w:szCs w:val="24"/>
          <w:shd w:val="clear" w:color="auto" w:fill="FFFFFF"/>
        </w:rPr>
        <w:t>Ook d</w:t>
      </w:r>
      <w:r w:rsidRPr="00415F01">
        <w:rPr>
          <w:rFonts w:ascii="Times New Roman" w:hAnsi="Times New Roman" w:cs="Times New Roman"/>
          <w:sz w:val="24"/>
          <w:szCs w:val="24"/>
          <w:shd w:val="clear" w:color="auto" w:fill="FFFFFF"/>
        </w:rPr>
        <w:t xml:space="preserve">e illusie van objectiviteit werd doorprikt en moest plaats maken voor veronderstellingen die bij het bestuderen van het verleden gepaard gaan, met – in navolging van Braudels </w:t>
      </w:r>
      <w:r w:rsidRPr="00415F01">
        <w:rPr>
          <w:rFonts w:ascii="Times New Roman" w:hAnsi="Times New Roman" w:cs="Times New Roman"/>
          <w:i/>
          <w:sz w:val="24"/>
          <w:szCs w:val="24"/>
          <w:shd w:val="clear" w:color="auto" w:fill="FFFFFF"/>
        </w:rPr>
        <w:t>longue durée</w:t>
      </w:r>
      <w:r w:rsidRPr="00415F01">
        <w:rPr>
          <w:rStyle w:val="Voetnootmarkering"/>
          <w:rFonts w:ascii="Times New Roman" w:hAnsi="Times New Roman" w:cs="Times New Roman"/>
          <w:sz w:val="24"/>
          <w:szCs w:val="24"/>
          <w:shd w:val="clear" w:color="auto" w:fill="FFFFFF"/>
        </w:rPr>
        <w:footnoteReference w:id="39"/>
      </w:r>
      <w:r w:rsidRPr="00415F01">
        <w:rPr>
          <w:rFonts w:ascii="Times New Roman" w:hAnsi="Times New Roman" w:cs="Times New Roman"/>
          <w:i/>
          <w:sz w:val="24"/>
          <w:szCs w:val="24"/>
          <w:shd w:val="clear" w:color="auto" w:fill="FFFFFF"/>
        </w:rPr>
        <w:t xml:space="preserve"> </w:t>
      </w:r>
      <w:r w:rsidRPr="00415F01">
        <w:rPr>
          <w:rFonts w:ascii="Times New Roman" w:hAnsi="Times New Roman" w:cs="Times New Roman"/>
          <w:sz w:val="24"/>
          <w:szCs w:val="24"/>
          <w:shd w:val="clear" w:color="auto" w:fill="FFFFFF"/>
        </w:rPr>
        <w:t>– meer aandacht voor structuuranalyse.</w:t>
      </w:r>
      <w:r w:rsidR="00912968">
        <w:rPr>
          <w:rStyle w:val="Voetnootmarkering"/>
          <w:rFonts w:ascii="Times New Roman" w:hAnsi="Times New Roman" w:cs="Times New Roman"/>
          <w:sz w:val="24"/>
          <w:szCs w:val="24"/>
          <w:shd w:val="clear" w:color="auto" w:fill="FFFFFF"/>
        </w:rPr>
        <w:footnoteReference w:id="40"/>
      </w:r>
    </w:p>
    <w:p w:rsidR="00D939AB" w:rsidRDefault="00D939AB" w:rsidP="00D939AB">
      <w:pPr>
        <w:pStyle w:val="Geenafstand"/>
        <w:jc w:val="both"/>
        <w:rPr>
          <w:rFonts w:ascii="Times New Roman" w:hAnsi="Times New Roman" w:cs="Times New Roman"/>
          <w:sz w:val="24"/>
          <w:szCs w:val="24"/>
        </w:rPr>
      </w:pPr>
    </w:p>
    <w:p w:rsidR="00D939AB" w:rsidRPr="009D3BF0" w:rsidRDefault="00D939AB" w:rsidP="00D939AB">
      <w:pPr>
        <w:pStyle w:val="Geenafstand"/>
        <w:jc w:val="both"/>
        <w:rPr>
          <w:rFonts w:ascii="Times New Roman" w:hAnsi="Times New Roman" w:cs="Times New Roman"/>
          <w:sz w:val="24"/>
          <w:szCs w:val="24"/>
        </w:rPr>
      </w:pPr>
      <w:r w:rsidRPr="009D3BF0">
        <w:rPr>
          <w:rFonts w:ascii="Times New Roman" w:hAnsi="Times New Roman" w:cs="Times New Roman"/>
          <w:sz w:val="24"/>
          <w:szCs w:val="24"/>
        </w:rPr>
        <w:t>Wat de medische geschiedschrijving betreft, moet de aandacht op het pleidooi van Erwin Ackerknecht uit 1967 gevestigd worden</w:t>
      </w:r>
      <w:r w:rsidRPr="009D3BF0">
        <w:rPr>
          <w:rStyle w:val="Voetnootmarkering"/>
          <w:rFonts w:ascii="Times New Roman" w:hAnsi="Times New Roman" w:cs="Times New Roman"/>
          <w:sz w:val="24"/>
          <w:szCs w:val="24"/>
        </w:rPr>
        <w:footnoteReference w:id="41"/>
      </w:r>
      <w:r>
        <w:rPr>
          <w:rFonts w:ascii="Times New Roman" w:hAnsi="Times New Roman" w:cs="Times New Roman"/>
          <w:sz w:val="24"/>
          <w:szCs w:val="24"/>
        </w:rPr>
        <w:t>,</w:t>
      </w:r>
      <w:r w:rsidRPr="009D3BF0">
        <w:rPr>
          <w:rFonts w:ascii="Times New Roman" w:hAnsi="Times New Roman" w:cs="Times New Roman"/>
          <w:sz w:val="24"/>
          <w:szCs w:val="24"/>
        </w:rPr>
        <w:t xml:space="preserve"> </w:t>
      </w:r>
      <w:r>
        <w:rPr>
          <w:rFonts w:ascii="Times New Roman" w:hAnsi="Times New Roman" w:cs="Times New Roman"/>
          <w:sz w:val="24"/>
          <w:szCs w:val="24"/>
        </w:rPr>
        <w:t>die onder meer op bijval van</w:t>
      </w:r>
      <w:r w:rsidRPr="009D3BF0">
        <w:rPr>
          <w:rFonts w:ascii="Times New Roman" w:hAnsi="Times New Roman" w:cs="Times New Roman"/>
          <w:sz w:val="24"/>
          <w:szCs w:val="24"/>
        </w:rPr>
        <w:t xml:space="preserve"> Michel Foucault</w:t>
      </w:r>
      <w:r>
        <w:rPr>
          <w:rFonts w:ascii="Times New Roman" w:hAnsi="Times New Roman" w:cs="Times New Roman"/>
          <w:sz w:val="24"/>
          <w:szCs w:val="24"/>
        </w:rPr>
        <w:t xml:space="preserve"> kon rekenen</w:t>
      </w:r>
      <w:r w:rsidRPr="009D3BF0">
        <w:rPr>
          <w:rFonts w:ascii="Times New Roman" w:hAnsi="Times New Roman" w:cs="Times New Roman"/>
          <w:sz w:val="24"/>
          <w:szCs w:val="24"/>
        </w:rPr>
        <w:t>.</w:t>
      </w:r>
      <w:r w:rsidRPr="009D3BF0">
        <w:rPr>
          <w:rStyle w:val="Voetnootmarkering"/>
          <w:rFonts w:ascii="Times New Roman" w:hAnsi="Times New Roman" w:cs="Times New Roman"/>
          <w:sz w:val="24"/>
          <w:szCs w:val="24"/>
        </w:rPr>
        <w:footnoteReference w:id="42"/>
      </w:r>
      <w:r w:rsidRPr="009D3BF0">
        <w:rPr>
          <w:rFonts w:ascii="Times New Roman" w:hAnsi="Times New Roman" w:cs="Times New Roman"/>
          <w:sz w:val="24"/>
          <w:szCs w:val="24"/>
        </w:rPr>
        <w:t xml:space="preserve"> </w:t>
      </w:r>
      <w:r w:rsidRPr="00415F01">
        <w:rPr>
          <w:rFonts w:ascii="Times New Roman" w:eastAsiaTheme="minorEastAsia" w:hAnsi="Times New Roman" w:cs="Times New Roman"/>
          <w:sz w:val="24"/>
          <w:szCs w:val="24"/>
        </w:rPr>
        <w:t xml:space="preserve">Ackerknecht maande zijn collegae aan om het genre van de medische historiografie herop te waarderen. Tot dan toe was deze tak van de geschiedschrijving </w:t>
      </w:r>
      <w:r w:rsidRPr="00415F01">
        <w:rPr>
          <w:rFonts w:ascii="Times New Roman" w:eastAsiaTheme="minorEastAsia" w:hAnsi="Times New Roman" w:cs="Times New Roman"/>
          <w:i/>
          <w:sz w:val="24"/>
          <w:szCs w:val="24"/>
        </w:rPr>
        <w:t xml:space="preserve">de facto </w:t>
      </w:r>
      <w:r w:rsidRPr="00415F01">
        <w:rPr>
          <w:rFonts w:ascii="Times New Roman" w:eastAsiaTheme="minorEastAsia" w:hAnsi="Times New Roman" w:cs="Times New Roman"/>
          <w:sz w:val="24"/>
          <w:szCs w:val="24"/>
        </w:rPr>
        <w:t xml:space="preserve">veelal aan artsen met een historisch bewustzijn voorbehouden, </w:t>
      </w:r>
      <w:r>
        <w:rPr>
          <w:rFonts w:ascii="Times New Roman" w:eastAsiaTheme="minorEastAsia" w:hAnsi="Times New Roman" w:cs="Times New Roman"/>
          <w:sz w:val="24"/>
          <w:szCs w:val="24"/>
        </w:rPr>
        <w:t>die zich er</w:t>
      </w:r>
      <w:r w:rsidRPr="00415F01">
        <w:rPr>
          <w:rFonts w:ascii="Times New Roman" w:eastAsiaTheme="minorEastAsia" w:hAnsi="Times New Roman" w:cs="Times New Roman"/>
          <w:sz w:val="24"/>
          <w:szCs w:val="24"/>
        </w:rPr>
        <w:t xml:space="preserve"> niet zelden </w:t>
      </w:r>
      <w:r>
        <w:rPr>
          <w:rFonts w:ascii="Times New Roman" w:eastAsiaTheme="minorEastAsia" w:hAnsi="Times New Roman" w:cs="Times New Roman"/>
          <w:sz w:val="24"/>
          <w:szCs w:val="24"/>
        </w:rPr>
        <w:t>aan vergrepen om een apologetisch verhaal te schrijven waarin</w:t>
      </w:r>
      <w:r w:rsidRPr="00415F01">
        <w:rPr>
          <w:rFonts w:ascii="Times New Roman" w:eastAsiaTheme="minorEastAsia" w:hAnsi="Times New Roman" w:cs="Times New Roman"/>
          <w:sz w:val="24"/>
          <w:szCs w:val="24"/>
        </w:rPr>
        <w:t xml:space="preserve"> de </w:t>
      </w:r>
      <w:r>
        <w:rPr>
          <w:rFonts w:ascii="Times New Roman" w:eastAsiaTheme="minorEastAsia" w:hAnsi="Times New Roman" w:cs="Times New Roman"/>
          <w:sz w:val="24"/>
          <w:szCs w:val="24"/>
        </w:rPr>
        <w:t>evolutie</w:t>
      </w:r>
      <w:r w:rsidRPr="00415F01">
        <w:rPr>
          <w:rFonts w:ascii="Times New Roman" w:eastAsiaTheme="minorEastAsia" w:hAnsi="Times New Roman" w:cs="Times New Roman"/>
          <w:sz w:val="24"/>
          <w:szCs w:val="24"/>
        </w:rPr>
        <w:t xml:space="preserve"> van de geneeskunde als stijgende rechte </w:t>
      </w:r>
      <w:r>
        <w:rPr>
          <w:rFonts w:ascii="Times New Roman" w:eastAsiaTheme="minorEastAsia" w:hAnsi="Times New Roman" w:cs="Times New Roman"/>
          <w:sz w:val="24"/>
          <w:szCs w:val="24"/>
        </w:rPr>
        <w:t xml:space="preserve">werd </w:t>
      </w:r>
      <w:r w:rsidRPr="00415F01">
        <w:rPr>
          <w:rFonts w:ascii="Times New Roman" w:eastAsiaTheme="minorEastAsia" w:hAnsi="Times New Roman" w:cs="Times New Roman"/>
          <w:sz w:val="24"/>
          <w:szCs w:val="24"/>
        </w:rPr>
        <w:t>voor</w:t>
      </w:r>
      <w:r>
        <w:rPr>
          <w:rFonts w:ascii="Times New Roman" w:eastAsiaTheme="minorEastAsia" w:hAnsi="Times New Roman" w:cs="Times New Roman"/>
          <w:sz w:val="24"/>
          <w:szCs w:val="24"/>
        </w:rPr>
        <w:t>ge</w:t>
      </w:r>
      <w:r w:rsidRPr="00415F01">
        <w:rPr>
          <w:rFonts w:ascii="Times New Roman" w:eastAsiaTheme="minorEastAsia" w:hAnsi="Times New Roman" w:cs="Times New Roman"/>
          <w:sz w:val="24"/>
          <w:szCs w:val="24"/>
        </w:rPr>
        <w:t>stel</w:t>
      </w:r>
      <w:r>
        <w:rPr>
          <w:rFonts w:ascii="Times New Roman" w:eastAsiaTheme="minorEastAsia" w:hAnsi="Times New Roman" w:cs="Times New Roman"/>
          <w:sz w:val="24"/>
          <w:szCs w:val="24"/>
        </w:rPr>
        <w:t>d</w:t>
      </w:r>
      <w:r w:rsidRPr="00415F01">
        <w:rPr>
          <w:rFonts w:ascii="Times New Roman" w:eastAsiaTheme="minorEastAsia" w:hAnsi="Times New Roman" w:cs="Times New Roman"/>
          <w:sz w:val="24"/>
          <w:szCs w:val="24"/>
        </w:rPr>
        <w:t xml:space="preserve">. De producten van deze </w:t>
      </w:r>
      <w:r w:rsidRPr="00415F01">
        <w:rPr>
          <w:rFonts w:ascii="Times New Roman" w:eastAsiaTheme="minorEastAsia" w:hAnsi="Times New Roman" w:cs="Times New Roman"/>
          <w:i/>
          <w:sz w:val="24"/>
          <w:szCs w:val="24"/>
        </w:rPr>
        <w:t>top-down</w:t>
      </w:r>
      <w:r w:rsidRPr="00415F01">
        <w:rPr>
          <w:rFonts w:ascii="Times New Roman" w:eastAsiaTheme="minorEastAsia" w:hAnsi="Times New Roman" w:cs="Times New Roman"/>
          <w:sz w:val="24"/>
          <w:szCs w:val="24"/>
        </w:rPr>
        <w:t xml:space="preserve"> benadering bleven beperkt tot </w:t>
      </w:r>
      <w:r>
        <w:rPr>
          <w:rFonts w:ascii="Times New Roman" w:eastAsiaTheme="minorEastAsia" w:hAnsi="Times New Roman" w:cs="Times New Roman"/>
          <w:sz w:val="24"/>
          <w:szCs w:val="24"/>
        </w:rPr>
        <w:t xml:space="preserve">re-constructies of </w:t>
      </w:r>
      <w:r w:rsidRPr="00415F01">
        <w:rPr>
          <w:rFonts w:ascii="Times New Roman" w:eastAsiaTheme="minorEastAsia" w:hAnsi="Times New Roman" w:cs="Times New Roman"/>
          <w:sz w:val="24"/>
          <w:szCs w:val="24"/>
        </w:rPr>
        <w:t>beschrijvingen van de institutionele geschiedenis van verzorgingsinstellingen</w:t>
      </w:r>
      <w:r>
        <w:rPr>
          <w:rFonts w:ascii="Times New Roman" w:eastAsiaTheme="minorEastAsia" w:hAnsi="Times New Roman" w:cs="Times New Roman"/>
          <w:sz w:val="24"/>
          <w:szCs w:val="24"/>
        </w:rPr>
        <w:t>,</w:t>
      </w:r>
      <w:r w:rsidRPr="00415F0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belangrijke wetenschappelijke ontdekkingen </w:t>
      </w:r>
      <w:r w:rsidRPr="00415F01">
        <w:rPr>
          <w:rFonts w:ascii="Times New Roman" w:eastAsiaTheme="minorEastAsia" w:hAnsi="Times New Roman" w:cs="Times New Roman"/>
          <w:sz w:val="24"/>
          <w:szCs w:val="24"/>
        </w:rPr>
        <w:t>en biografi</w:t>
      </w:r>
      <w:r>
        <w:rPr>
          <w:rFonts w:ascii="Times New Roman" w:eastAsiaTheme="minorEastAsia" w:hAnsi="Times New Roman" w:cs="Times New Roman"/>
          <w:sz w:val="24"/>
          <w:szCs w:val="24"/>
        </w:rPr>
        <w:t>e</w:t>
      </w:r>
      <w:r w:rsidRPr="00415F01">
        <w:rPr>
          <w:rFonts w:ascii="Times New Roman" w:eastAsiaTheme="minorEastAsia" w:hAnsi="Times New Roman" w:cs="Times New Roman"/>
          <w:sz w:val="24"/>
          <w:szCs w:val="24"/>
        </w:rPr>
        <w:t xml:space="preserve">ën van prominente </w:t>
      </w:r>
      <w:r>
        <w:rPr>
          <w:rFonts w:ascii="Times New Roman" w:eastAsiaTheme="minorEastAsia" w:hAnsi="Times New Roman" w:cs="Times New Roman"/>
          <w:sz w:val="24"/>
          <w:szCs w:val="24"/>
        </w:rPr>
        <w:t>medici</w:t>
      </w:r>
      <w:r w:rsidRPr="00415F01">
        <w:rPr>
          <w:rFonts w:ascii="Times New Roman" w:eastAsiaTheme="minorEastAsia" w:hAnsi="Times New Roman" w:cs="Times New Roman"/>
          <w:sz w:val="24"/>
          <w:szCs w:val="24"/>
        </w:rPr>
        <w:t>. Hoewel de medische geschiedschrijving geen monopolie van artsen was, baseerden (academische) his</w:t>
      </w:r>
      <w:r>
        <w:rPr>
          <w:rFonts w:ascii="Times New Roman" w:eastAsiaTheme="minorEastAsia" w:hAnsi="Times New Roman" w:cs="Times New Roman"/>
          <w:sz w:val="24"/>
          <w:szCs w:val="24"/>
        </w:rPr>
        <w:t>-</w:t>
      </w:r>
      <w:r w:rsidRPr="00415F01">
        <w:rPr>
          <w:rFonts w:ascii="Times New Roman" w:eastAsiaTheme="minorEastAsia" w:hAnsi="Times New Roman" w:cs="Times New Roman"/>
          <w:sz w:val="24"/>
          <w:szCs w:val="24"/>
        </w:rPr>
        <w:t xml:space="preserve">torici hun onderzoek </w:t>
      </w:r>
      <w:r>
        <w:rPr>
          <w:rFonts w:ascii="Times New Roman" w:eastAsiaTheme="minorEastAsia" w:hAnsi="Times New Roman" w:cs="Times New Roman"/>
          <w:sz w:val="24"/>
          <w:szCs w:val="24"/>
        </w:rPr>
        <w:t xml:space="preserve">wel grotendeels </w:t>
      </w:r>
      <w:r w:rsidRPr="00415F01">
        <w:rPr>
          <w:rFonts w:ascii="Times New Roman" w:eastAsiaTheme="minorEastAsia" w:hAnsi="Times New Roman" w:cs="Times New Roman"/>
          <w:sz w:val="24"/>
          <w:szCs w:val="24"/>
        </w:rPr>
        <w:t xml:space="preserve">op de inzichten en publicaties van </w:t>
      </w:r>
      <w:r>
        <w:rPr>
          <w:rFonts w:ascii="Times New Roman" w:eastAsiaTheme="minorEastAsia" w:hAnsi="Times New Roman" w:cs="Times New Roman"/>
          <w:sz w:val="24"/>
          <w:szCs w:val="24"/>
        </w:rPr>
        <w:t>deze medici/amateur-historici</w:t>
      </w:r>
      <w:r w:rsidRPr="00415F0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In plaats van de theoretische geschiedenis van de geneeskunde te bestuderen, moe-ten historici volgens </w:t>
      </w:r>
      <w:r w:rsidRPr="009D3BF0">
        <w:rPr>
          <w:rFonts w:ascii="Times New Roman" w:hAnsi="Times New Roman" w:cs="Times New Roman"/>
          <w:sz w:val="24"/>
          <w:szCs w:val="24"/>
        </w:rPr>
        <w:t>Ackerknecht</w:t>
      </w:r>
      <w:r>
        <w:rPr>
          <w:rFonts w:ascii="Times New Roman" w:hAnsi="Times New Roman" w:cs="Times New Roman"/>
          <w:sz w:val="24"/>
          <w:szCs w:val="24"/>
        </w:rPr>
        <w:t xml:space="preserve"> hun aandacht</w:t>
      </w:r>
      <w:r w:rsidRPr="009D3BF0">
        <w:rPr>
          <w:rFonts w:ascii="Times New Roman" w:hAnsi="Times New Roman" w:cs="Times New Roman"/>
          <w:sz w:val="24"/>
          <w:szCs w:val="24"/>
        </w:rPr>
        <w:t xml:space="preserve"> op de handelingen van zorgverleners</w:t>
      </w:r>
      <w:r w:rsidRPr="00415F01">
        <w:rPr>
          <w:rFonts w:ascii="Times New Roman" w:hAnsi="Times New Roman" w:cs="Times New Roman"/>
          <w:sz w:val="24"/>
          <w:szCs w:val="24"/>
        </w:rPr>
        <w:t xml:space="preserve"> </w:t>
      </w:r>
      <w:r>
        <w:rPr>
          <w:rFonts w:ascii="Times New Roman" w:hAnsi="Times New Roman" w:cs="Times New Roman"/>
          <w:sz w:val="24"/>
          <w:szCs w:val="24"/>
        </w:rPr>
        <w:t>in de praktijk vestigen, waarvan d</w:t>
      </w:r>
      <w:r w:rsidRPr="009D3BF0">
        <w:rPr>
          <w:rFonts w:ascii="Times New Roman" w:hAnsi="Times New Roman" w:cs="Times New Roman"/>
          <w:sz w:val="24"/>
          <w:szCs w:val="24"/>
        </w:rPr>
        <w:t xml:space="preserve">e neerslag </w:t>
      </w:r>
      <w:r>
        <w:rPr>
          <w:rFonts w:ascii="Times New Roman" w:hAnsi="Times New Roman" w:cs="Times New Roman"/>
          <w:sz w:val="24"/>
          <w:szCs w:val="24"/>
        </w:rPr>
        <w:t xml:space="preserve">bovenal in patiëntendossiers </w:t>
      </w:r>
      <w:r w:rsidRPr="009D3BF0">
        <w:rPr>
          <w:rFonts w:ascii="Times New Roman" w:hAnsi="Times New Roman" w:cs="Times New Roman"/>
          <w:sz w:val="24"/>
          <w:szCs w:val="24"/>
        </w:rPr>
        <w:t xml:space="preserve">kan </w:t>
      </w:r>
      <w:r>
        <w:rPr>
          <w:rFonts w:ascii="Times New Roman" w:hAnsi="Times New Roman" w:cs="Times New Roman"/>
          <w:sz w:val="24"/>
          <w:szCs w:val="24"/>
        </w:rPr>
        <w:t xml:space="preserve">worden </w:t>
      </w:r>
      <w:r w:rsidRPr="009D3BF0">
        <w:rPr>
          <w:rFonts w:ascii="Times New Roman" w:hAnsi="Times New Roman" w:cs="Times New Roman"/>
          <w:sz w:val="24"/>
          <w:szCs w:val="24"/>
        </w:rPr>
        <w:t>teruggevon</w:t>
      </w:r>
      <w:r>
        <w:rPr>
          <w:rFonts w:ascii="Times New Roman" w:hAnsi="Times New Roman" w:cs="Times New Roman"/>
          <w:sz w:val="24"/>
          <w:szCs w:val="24"/>
        </w:rPr>
        <w:t>-</w:t>
      </w:r>
      <w:r w:rsidRPr="009D3BF0">
        <w:rPr>
          <w:rFonts w:ascii="Times New Roman" w:hAnsi="Times New Roman" w:cs="Times New Roman"/>
          <w:sz w:val="24"/>
          <w:szCs w:val="24"/>
        </w:rPr>
        <w:t xml:space="preserve">den. </w:t>
      </w:r>
    </w:p>
    <w:p w:rsidR="00D939AB" w:rsidRPr="00E71926" w:rsidRDefault="00D939AB" w:rsidP="00D939AB">
      <w:pPr>
        <w:pStyle w:val="Geenafstand"/>
        <w:jc w:val="both"/>
        <w:rPr>
          <w:rFonts w:ascii="Times New Roman" w:hAnsi="Times New Roman" w:cs="Times New Roman"/>
          <w:sz w:val="24"/>
          <w:szCs w:val="24"/>
        </w:rPr>
      </w:pPr>
    </w:p>
    <w:p w:rsidR="00D939AB" w:rsidRDefault="00D939AB" w:rsidP="00D939AB">
      <w:pPr>
        <w:widowControl/>
        <w:suppressAutoHyphens w:val="0"/>
        <w:jc w:val="both"/>
        <w:rPr>
          <w:rFonts w:eastAsiaTheme="minorEastAsia"/>
          <w:kern w:val="0"/>
          <w:lang w:eastAsia="en-US" w:bidi="ar-SA"/>
        </w:rPr>
      </w:pPr>
      <w:r>
        <w:rPr>
          <w:rFonts w:eastAsiaTheme="minorEastAsia"/>
          <w:kern w:val="0"/>
          <w:lang w:eastAsia="en-US" w:bidi="ar-SA"/>
        </w:rPr>
        <w:t>De laatste decennia is het patiëntendossier internationaal (in Angelsaksische landen in het bij-zonder) als belangrijke bron voor historisch onderzoek</w:t>
      </w:r>
      <w:r w:rsidRPr="00DC4EC6">
        <w:rPr>
          <w:rFonts w:eastAsiaTheme="minorEastAsia"/>
          <w:kern w:val="0"/>
          <w:lang w:eastAsia="en-US" w:bidi="ar-SA"/>
        </w:rPr>
        <w:t xml:space="preserve"> </w:t>
      </w:r>
      <w:r>
        <w:rPr>
          <w:rFonts w:eastAsiaTheme="minorEastAsia"/>
          <w:kern w:val="0"/>
          <w:lang w:eastAsia="en-US" w:bidi="ar-SA"/>
        </w:rPr>
        <w:t>ontdekt.</w:t>
      </w:r>
      <w:r w:rsidR="00921F71">
        <w:rPr>
          <w:rStyle w:val="Voetnootmarkering"/>
          <w:rFonts w:eastAsiaTheme="minorEastAsia"/>
          <w:kern w:val="0"/>
          <w:lang w:eastAsia="en-US" w:bidi="ar-SA"/>
        </w:rPr>
        <w:footnoteReference w:id="43"/>
      </w:r>
      <w:r>
        <w:rPr>
          <w:rFonts w:eastAsiaTheme="minorEastAsia"/>
          <w:kern w:val="0"/>
          <w:lang w:eastAsia="en-US" w:bidi="ar-SA"/>
        </w:rPr>
        <w:t xml:space="preserve"> Ook Roy Porter pleitte voor een accentverschuiving in de medische geschiedschrijving, die volgens hem vanuit het per-</w:t>
      </w:r>
      <w:r>
        <w:rPr>
          <w:rFonts w:eastAsiaTheme="minorEastAsia"/>
          <w:kern w:val="0"/>
          <w:lang w:eastAsia="en-US" w:bidi="ar-SA"/>
        </w:rPr>
        <w:lastRenderedPageBreak/>
        <w:t>spectief van de patiënt onderzocht en beschreven moest worden</w:t>
      </w:r>
      <w:r>
        <w:rPr>
          <w:rStyle w:val="Voetnootmarkering"/>
          <w:rFonts w:eastAsiaTheme="minorEastAsia"/>
          <w:kern w:val="0"/>
          <w:lang w:eastAsia="en-US" w:bidi="ar-SA"/>
        </w:rPr>
        <w:footnoteReference w:id="44"/>
      </w:r>
      <w:r>
        <w:rPr>
          <w:rFonts w:eastAsiaTheme="minorEastAsia"/>
          <w:kern w:val="0"/>
          <w:lang w:eastAsia="en-US" w:bidi="ar-SA"/>
        </w:rPr>
        <w:t xml:space="preserve"> en in Angelsaksische landen als </w:t>
      </w:r>
      <w:r>
        <w:rPr>
          <w:rFonts w:eastAsiaTheme="minorEastAsia"/>
          <w:i/>
          <w:kern w:val="0"/>
          <w:lang w:eastAsia="en-US" w:bidi="ar-SA"/>
        </w:rPr>
        <w:t>the social history of medicine</w:t>
      </w:r>
      <w:r w:rsidRPr="006E0E70">
        <w:rPr>
          <w:rFonts w:eastAsiaTheme="minorEastAsia"/>
          <w:kern w:val="0"/>
          <w:lang w:eastAsia="en-US" w:bidi="ar-SA"/>
        </w:rPr>
        <w:t xml:space="preserve"> </w:t>
      </w:r>
      <w:r>
        <w:rPr>
          <w:rFonts w:eastAsiaTheme="minorEastAsia"/>
          <w:kern w:val="0"/>
          <w:lang w:eastAsia="en-US" w:bidi="ar-SA"/>
        </w:rPr>
        <w:t>wordt aangeduid.</w:t>
      </w:r>
      <w:r>
        <w:rPr>
          <w:rStyle w:val="Voetnootmarkering"/>
          <w:rFonts w:eastAsiaTheme="minorEastAsia"/>
          <w:kern w:val="0"/>
          <w:lang w:eastAsia="en-US" w:bidi="ar-SA"/>
        </w:rPr>
        <w:footnoteReference w:id="45"/>
      </w:r>
      <w:r>
        <w:rPr>
          <w:rFonts w:eastAsiaTheme="minorEastAsia"/>
          <w:kern w:val="0"/>
          <w:lang w:eastAsia="en-US" w:bidi="ar-SA"/>
        </w:rPr>
        <w:t xml:space="preserve"> Waar de nadruk voorheen op de weten-schappelijke kennis en belangrijke doorbraken en ontdekkers lag, verschoof de interesse in de loop van de jaren 1970 en 1980 naar de sociale en culturele processen rond ziekte, zorg en be-handeling, teneinde de geneeskunde en de zorg in de ruimere maatschappelijke en culturele context in te bedden.</w:t>
      </w:r>
      <w:r w:rsidR="00921F71">
        <w:rPr>
          <w:rStyle w:val="Voetnootmarkering"/>
          <w:rFonts w:eastAsiaTheme="minorEastAsia"/>
          <w:kern w:val="0"/>
          <w:lang w:eastAsia="en-US" w:bidi="ar-SA"/>
        </w:rPr>
        <w:footnoteReference w:id="46"/>
      </w:r>
      <w:r>
        <w:rPr>
          <w:rFonts w:eastAsiaTheme="minorEastAsia"/>
          <w:kern w:val="0"/>
          <w:lang w:eastAsia="en-US" w:bidi="ar-SA"/>
        </w:rPr>
        <w:t xml:space="preserve"> Daarbij gaat de aandacht naar concrete </w:t>
      </w:r>
      <w:r w:rsidR="00921F71">
        <w:rPr>
          <w:rFonts w:eastAsiaTheme="minorEastAsia"/>
          <w:kern w:val="0"/>
          <w:lang w:eastAsia="en-US" w:bidi="ar-SA"/>
        </w:rPr>
        <w:t>praktijken uit en worden de spe</w:t>
      </w:r>
      <w:r>
        <w:rPr>
          <w:rFonts w:eastAsiaTheme="minorEastAsia"/>
          <w:kern w:val="0"/>
          <w:lang w:eastAsia="en-US" w:bidi="ar-SA"/>
        </w:rPr>
        <w:t>cifieke rollen, belevingen en ervaringen van alle betrokken par</w:t>
      </w:r>
      <w:r w:rsidR="00921F71">
        <w:rPr>
          <w:rFonts w:eastAsiaTheme="minorEastAsia"/>
          <w:kern w:val="0"/>
          <w:lang w:eastAsia="en-US" w:bidi="ar-SA"/>
        </w:rPr>
        <w:t>tijen onderzocht. Historici kun</w:t>
      </w:r>
      <w:r>
        <w:rPr>
          <w:rFonts w:eastAsiaTheme="minorEastAsia"/>
          <w:kern w:val="0"/>
          <w:lang w:eastAsia="en-US" w:bidi="ar-SA"/>
        </w:rPr>
        <w:t xml:space="preserve">nen dit enkel uit bronnen putten die informatie over de wereld van de patiënt prijsgeven, zoals egodocumenten (brieven, dagboeken,…) maar boven alles in aantekeningen van zorgverleners over individuele patiënten in patiëntendossiers en medische registers. </w:t>
      </w:r>
      <w:r w:rsidRPr="009D3BF0">
        <w:rPr>
          <w:rFonts w:eastAsiaTheme="minorEastAsia"/>
          <w:kern w:val="0"/>
          <w:lang w:eastAsia="en-US" w:bidi="ar-SA"/>
        </w:rPr>
        <w:t>Patiënten</w:t>
      </w:r>
      <w:r w:rsidR="00921F71">
        <w:rPr>
          <w:rFonts w:eastAsiaTheme="minorEastAsia"/>
          <w:kern w:val="0"/>
          <w:lang w:eastAsia="en-US" w:bidi="ar-SA"/>
        </w:rPr>
        <w:t>-</w:t>
      </w:r>
      <w:r w:rsidRPr="009D3BF0">
        <w:rPr>
          <w:rFonts w:eastAsiaTheme="minorEastAsia"/>
          <w:kern w:val="0"/>
          <w:lang w:eastAsia="en-US" w:bidi="ar-SA"/>
        </w:rPr>
        <w:t>d</w:t>
      </w:r>
      <w:r>
        <w:rPr>
          <w:rFonts w:eastAsiaTheme="minorEastAsia"/>
          <w:kern w:val="0"/>
          <w:lang w:eastAsia="en-US" w:bidi="ar-SA"/>
        </w:rPr>
        <w:t>ossiers zijn de bron</w:t>
      </w:r>
      <w:r w:rsidRPr="009D3BF0">
        <w:rPr>
          <w:rFonts w:eastAsiaTheme="minorEastAsia"/>
          <w:kern w:val="0"/>
          <w:lang w:eastAsia="en-US" w:bidi="ar-SA"/>
        </w:rPr>
        <w:t xml:space="preserve"> bij uitstek om </w:t>
      </w:r>
      <w:r>
        <w:rPr>
          <w:rFonts w:eastAsiaTheme="minorEastAsia"/>
          <w:kern w:val="0"/>
          <w:lang w:eastAsia="en-US" w:bidi="ar-SA"/>
        </w:rPr>
        <w:t>een</w:t>
      </w:r>
      <w:r w:rsidRPr="009D3BF0">
        <w:rPr>
          <w:rFonts w:eastAsiaTheme="minorEastAsia"/>
          <w:kern w:val="0"/>
          <w:lang w:eastAsia="en-US" w:bidi="ar-SA"/>
        </w:rPr>
        <w:t xml:space="preserve"> onderzoek boven </w:t>
      </w:r>
      <w:r>
        <w:rPr>
          <w:rFonts w:eastAsiaTheme="minorEastAsia"/>
          <w:kern w:val="0"/>
          <w:lang w:eastAsia="en-US" w:bidi="ar-SA"/>
        </w:rPr>
        <w:t>de louter</w:t>
      </w:r>
      <w:r w:rsidRPr="009D3BF0">
        <w:rPr>
          <w:rFonts w:eastAsiaTheme="minorEastAsia"/>
          <w:kern w:val="0"/>
          <w:lang w:eastAsia="en-US" w:bidi="ar-SA"/>
        </w:rPr>
        <w:t xml:space="preserve"> institutionele geschiedenis uit te laten stijgen.</w:t>
      </w:r>
      <w:r w:rsidR="00921F71">
        <w:rPr>
          <w:rStyle w:val="Voetnootmarkering"/>
          <w:rFonts w:eastAsiaTheme="minorEastAsia"/>
          <w:kern w:val="0"/>
          <w:lang w:eastAsia="en-US" w:bidi="ar-SA"/>
        </w:rPr>
        <w:footnoteReference w:id="47"/>
      </w:r>
      <w:r w:rsidRPr="009D3BF0">
        <w:rPr>
          <w:rFonts w:eastAsiaTheme="minorEastAsia"/>
          <w:kern w:val="0"/>
          <w:lang w:eastAsia="en-US" w:bidi="ar-SA"/>
        </w:rPr>
        <w:t xml:space="preserve"> </w:t>
      </w:r>
      <w:r>
        <w:rPr>
          <w:rFonts w:eastAsiaTheme="minorEastAsia"/>
          <w:kern w:val="0"/>
          <w:lang w:eastAsia="en-US" w:bidi="ar-SA"/>
        </w:rPr>
        <w:t>Patiëntend</w:t>
      </w:r>
      <w:r w:rsidRPr="009D3BF0">
        <w:rPr>
          <w:rFonts w:eastAsiaTheme="minorEastAsia"/>
          <w:kern w:val="0"/>
          <w:lang w:eastAsia="en-US" w:bidi="ar-SA"/>
        </w:rPr>
        <w:t>ossiers kunnen informatie verschaffen over veranderende ziek</w:t>
      </w:r>
      <w:r w:rsidR="00921F71">
        <w:rPr>
          <w:rFonts w:eastAsiaTheme="minorEastAsia"/>
          <w:kern w:val="0"/>
          <w:lang w:eastAsia="en-US" w:bidi="ar-SA"/>
        </w:rPr>
        <w:t>-</w:t>
      </w:r>
      <w:r w:rsidRPr="009D3BF0">
        <w:rPr>
          <w:rFonts w:eastAsiaTheme="minorEastAsia"/>
          <w:kern w:val="0"/>
          <w:lang w:eastAsia="en-US" w:bidi="ar-SA"/>
        </w:rPr>
        <w:t>tebeelden en behandelingswijzen, veranderende opnamepatronen, wijzigingen in de etiologie (of ontstaansgeschiedenis) van ziek(t)en, in diagnosticeren, in sociale achtergronde</w:t>
      </w:r>
      <w:r w:rsidR="00921F71">
        <w:rPr>
          <w:rFonts w:eastAsiaTheme="minorEastAsia"/>
          <w:kern w:val="0"/>
          <w:lang w:eastAsia="en-US" w:bidi="ar-SA"/>
        </w:rPr>
        <w:t>n en, meer al</w:t>
      </w:r>
      <w:r w:rsidRPr="009D3BF0">
        <w:rPr>
          <w:rFonts w:eastAsiaTheme="minorEastAsia"/>
          <w:kern w:val="0"/>
          <w:lang w:eastAsia="en-US" w:bidi="ar-SA"/>
        </w:rPr>
        <w:t xml:space="preserve">gemeen, in de houding van de samenleving tegenover patiënten. </w:t>
      </w:r>
      <w:r>
        <w:rPr>
          <w:rFonts w:eastAsiaTheme="minorEastAsia"/>
          <w:kern w:val="0"/>
          <w:lang w:eastAsia="en-US" w:bidi="ar-SA"/>
        </w:rPr>
        <w:t>Aan de hand van patiënten</w:t>
      </w:r>
      <w:r w:rsidR="00921F71">
        <w:rPr>
          <w:rFonts w:eastAsiaTheme="minorEastAsia"/>
          <w:kern w:val="0"/>
          <w:lang w:eastAsia="en-US" w:bidi="ar-SA"/>
        </w:rPr>
        <w:t>-</w:t>
      </w:r>
      <w:r>
        <w:rPr>
          <w:rFonts w:eastAsiaTheme="minorEastAsia"/>
          <w:kern w:val="0"/>
          <w:lang w:eastAsia="en-US" w:bidi="ar-SA"/>
        </w:rPr>
        <w:t>dossiers kunnen verschillende ziekten geanalyseerd worden en kunnen met kwantitatieve in</w:t>
      </w:r>
      <w:r w:rsidR="00921F71">
        <w:rPr>
          <w:rFonts w:eastAsiaTheme="minorEastAsia"/>
          <w:kern w:val="0"/>
          <w:lang w:eastAsia="en-US" w:bidi="ar-SA"/>
        </w:rPr>
        <w:t>-</w:t>
      </w:r>
      <w:r>
        <w:rPr>
          <w:rFonts w:eastAsiaTheme="minorEastAsia"/>
          <w:kern w:val="0"/>
          <w:lang w:eastAsia="en-US" w:bidi="ar-SA"/>
        </w:rPr>
        <w:t>formatie gecombineerd worden om de onderzoeksresultaten te valideren en kracht bij te zet</w:t>
      </w:r>
      <w:r w:rsidR="00921F71">
        <w:rPr>
          <w:rFonts w:eastAsiaTheme="minorEastAsia"/>
          <w:kern w:val="0"/>
          <w:lang w:eastAsia="en-US" w:bidi="ar-SA"/>
        </w:rPr>
        <w:t>-</w:t>
      </w:r>
      <w:r>
        <w:rPr>
          <w:rFonts w:eastAsiaTheme="minorEastAsia"/>
          <w:kern w:val="0"/>
          <w:lang w:eastAsia="en-US" w:bidi="ar-SA"/>
        </w:rPr>
        <w:t>ten. Verder zitten tal van waarden, percepties en machtsverhoudingen in patiëntendossiers be</w:t>
      </w:r>
      <w:r w:rsidR="00921F71">
        <w:rPr>
          <w:rFonts w:eastAsiaTheme="minorEastAsia"/>
          <w:kern w:val="0"/>
          <w:lang w:eastAsia="en-US" w:bidi="ar-SA"/>
        </w:rPr>
        <w:t>-</w:t>
      </w:r>
      <w:r>
        <w:rPr>
          <w:rFonts w:eastAsiaTheme="minorEastAsia"/>
          <w:kern w:val="0"/>
          <w:lang w:eastAsia="en-US" w:bidi="ar-SA"/>
        </w:rPr>
        <w:t>sloten. Gegevens over een langere periode laten ook toe om na te gaan hoe de introductie van nieuwe therapieën verliepen. Naast kwalitatieve perspectieven bieden patiëntendossiers ook kwantitatieve mogelijkheden. Op basis van opnamedata, geboortedata, geslacht, sociale en/of geografische afkomst, burgerlijke staat, aandoening,… kunnen patiëntenprofielen samenge</w:t>
      </w:r>
      <w:r w:rsidR="00921F71">
        <w:rPr>
          <w:rFonts w:eastAsiaTheme="minorEastAsia"/>
          <w:kern w:val="0"/>
          <w:lang w:eastAsia="en-US" w:bidi="ar-SA"/>
        </w:rPr>
        <w:t>-</w:t>
      </w:r>
      <w:r>
        <w:rPr>
          <w:rFonts w:eastAsiaTheme="minorEastAsia"/>
          <w:kern w:val="0"/>
          <w:lang w:eastAsia="en-US" w:bidi="ar-SA"/>
        </w:rPr>
        <w:t xml:space="preserve">steld, patronen gezocht en opname- en ontslagbeslissingen doorgrond worden. </w:t>
      </w:r>
    </w:p>
    <w:p w:rsidR="00D939AB" w:rsidRDefault="00D939AB" w:rsidP="00D939AB">
      <w:pPr>
        <w:widowControl/>
        <w:suppressAutoHyphens w:val="0"/>
        <w:jc w:val="both"/>
      </w:pPr>
      <w:r>
        <w:rPr>
          <w:rFonts w:eastAsiaTheme="minorEastAsia"/>
          <w:kern w:val="0"/>
          <w:lang w:eastAsia="en-US" w:bidi="ar-SA"/>
        </w:rPr>
        <w:t>A</w:t>
      </w:r>
      <w:r w:rsidRPr="009D3BF0">
        <w:rPr>
          <w:rFonts w:eastAsiaTheme="minorEastAsia"/>
          <w:kern w:val="0"/>
          <w:lang w:eastAsia="en-US" w:bidi="ar-SA"/>
        </w:rPr>
        <w:t>ls basis voor de wetenschap, administratie of overheidsrapporten zijn deze bronnen de sleu</w:t>
      </w:r>
      <w:r>
        <w:rPr>
          <w:rFonts w:eastAsiaTheme="minorEastAsia"/>
          <w:kern w:val="0"/>
          <w:lang w:eastAsia="en-US" w:bidi="ar-SA"/>
        </w:rPr>
        <w:t>-</w:t>
      </w:r>
      <w:r w:rsidRPr="009D3BF0">
        <w:rPr>
          <w:rFonts w:eastAsiaTheme="minorEastAsia"/>
          <w:kern w:val="0"/>
          <w:lang w:eastAsia="en-US" w:bidi="ar-SA"/>
        </w:rPr>
        <w:t>tel voor een goed begrip van de geneeskundige praktijken, ervaringen en mentaliteiten op een gegeven tijdstip in de geschiedenis.</w:t>
      </w:r>
      <w:r>
        <w:rPr>
          <w:rFonts w:eastAsiaTheme="minorEastAsia"/>
          <w:kern w:val="0"/>
          <w:lang w:eastAsia="en-US" w:bidi="ar-SA"/>
        </w:rPr>
        <w:t xml:space="preserve"> </w:t>
      </w:r>
      <w:r w:rsidRPr="009D3BF0">
        <w:rPr>
          <w:rFonts w:eastAsiaTheme="minorEastAsia"/>
          <w:kern w:val="0"/>
          <w:lang w:eastAsia="en-US" w:bidi="ar-SA"/>
        </w:rPr>
        <w:t>Anders dan bijvoorbeeld jaarverslagen</w:t>
      </w:r>
      <w:r>
        <w:rPr>
          <w:rFonts w:eastAsiaTheme="minorEastAsia"/>
          <w:kern w:val="0"/>
          <w:lang w:eastAsia="en-US" w:bidi="ar-SA"/>
        </w:rPr>
        <w:t xml:space="preserve"> van verzorgings-instellingen</w:t>
      </w:r>
      <w:r w:rsidRPr="009D3BF0">
        <w:rPr>
          <w:rFonts w:eastAsiaTheme="minorEastAsia"/>
          <w:kern w:val="0"/>
          <w:lang w:eastAsia="en-US" w:bidi="ar-SA"/>
        </w:rPr>
        <w:t xml:space="preserve">, kunnen dossiers een licht werpen op </w:t>
      </w:r>
      <w:r>
        <w:rPr>
          <w:rFonts w:eastAsiaTheme="minorEastAsia"/>
          <w:kern w:val="0"/>
          <w:lang w:eastAsia="en-US" w:bidi="ar-SA"/>
        </w:rPr>
        <w:t>de</w:t>
      </w:r>
      <w:r w:rsidRPr="009D3BF0">
        <w:rPr>
          <w:rFonts w:eastAsiaTheme="minorEastAsia"/>
          <w:kern w:val="0"/>
          <w:lang w:eastAsia="en-US" w:bidi="ar-SA"/>
        </w:rPr>
        <w:t xml:space="preserve"> handel</w:t>
      </w:r>
      <w:r>
        <w:rPr>
          <w:rFonts w:eastAsiaTheme="minorEastAsia"/>
          <w:kern w:val="0"/>
          <w:lang w:eastAsia="en-US" w:bidi="ar-SA"/>
        </w:rPr>
        <w:t>ingen</w:t>
      </w:r>
      <w:r w:rsidRPr="009D3BF0">
        <w:rPr>
          <w:rFonts w:eastAsiaTheme="minorEastAsia"/>
          <w:kern w:val="0"/>
          <w:lang w:eastAsia="en-US" w:bidi="ar-SA"/>
        </w:rPr>
        <w:t xml:space="preserve"> van zorgverleners, de wis</w:t>
      </w:r>
      <w:r>
        <w:rPr>
          <w:rFonts w:eastAsiaTheme="minorEastAsia"/>
          <w:kern w:val="0"/>
          <w:lang w:eastAsia="en-US" w:bidi="ar-SA"/>
        </w:rPr>
        <w:t>-</w:t>
      </w:r>
      <w:r w:rsidRPr="009D3BF0">
        <w:rPr>
          <w:rFonts w:eastAsiaTheme="minorEastAsia"/>
          <w:kern w:val="0"/>
          <w:lang w:eastAsia="en-US" w:bidi="ar-SA"/>
        </w:rPr>
        <w:t>selwerking tussen theorie en praktijk en tussen patiënt en zorgverlener.</w:t>
      </w:r>
      <w:r>
        <w:rPr>
          <w:rFonts w:eastAsiaTheme="minorEastAsia"/>
          <w:kern w:val="0"/>
          <w:lang w:eastAsia="en-US" w:bidi="ar-SA"/>
        </w:rPr>
        <w:t xml:space="preserve"> </w:t>
      </w:r>
      <w:r w:rsidRPr="009D3BF0">
        <w:t>Patiëntendossiers voe</w:t>
      </w:r>
      <w:r>
        <w:t>-</w:t>
      </w:r>
      <w:r w:rsidRPr="009D3BF0">
        <w:t>gen niet alleen informatie toe, maar corrigeren zelfs de jaarverslagen en bestuurlijke stukken van ziekenhuizen.</w:t>
      </w:r>
    </w:p>
    <w:p w:rsidR="00D939AB" w:rsidRPr="00176D45" w:rsidRDefault="00D939AB" w:rsidP="00D939AB">
      <w:pPr>
        <w:widowControl/>
        <w:suppressAutoHyphens w:val="0"/>
        <w:jc w:val="both"/>
      </w:pPr>
      <w:r>
        <w:rPr>
          <w:rFonts w:eastAsiaTheme="minorEastAsia"/>
          <w:kern w:val="0"/>
          <w:lang w:eastAsia="en-US" w:bidi="ar-SA"/>
        </w:rPr>
        <w:t xml:space="preserve">Toch zijn er ook beperkingen aan patiëntendossiers als bron voor het historisch onderzoek. </w:t>
      </w:r>
      <w:r w:rsidRPr="009D3BF0">
        <w:rPr>
          <w:rFonts w:eastAsiaTheme="minorEastAsia"/>
          <w:kern w:val="0"/>
          <w:lang w:eastAsia="en-US" w:bidi="ar-SA"/>
        </w:rPr>
        <w:t>Zo is het vrijwel onmogelijk om de medische geschiedenis van één bekende persoon te schrijven. Over één persoon kunnen immers x aantal patiëntendossiers bestaan, die bij y aantal zorg</w:t>
      </w:r>
      <w:r>
        <w:rPr>
          <w:rFonts w:eastAsiaTheme="minorEastAsia"/>
          <w:kern w:val="0"/>
          <w:lang w:eastAsia="en-US" w:bidi="ar-SA"/>
        </w:rPr>
        <w:t>-</w:t>
      </w:r>
      <w:r w:rsidRPr="009D3BF0">
        <w:rPr>
          <w:rFonts w:eastAsiaTheme="minorEastAsia"/>
          <w:kern w:val="0"/>
          <w:lang w:eastAsia="en-US" w:bidi="ar-SA"/>
        </w:rPr>
        <w:t>verleners en/of verzorgingsinstellingen berusten. In diezelfde optiek is ook genealogisch on</w:t>
      </w:r>
      <w:r>
        <w:rPr>
          <w:rFonts w:eastAsiaTheme="minorEastAsia"/>
          <w:kern w:val="0"/>
          <w:lang w:eastAsia="en-US" w:bidi="ar-SA"/>
        </w:rPr>
        <w:t>-</w:t>
      </w:r>
      <w:r w:rsidRPr="009D3BF0">
        <w:rPr>
          <w:rFonts w:eastAsiaTheme="minorEastAsia"/>
          <w:kern w:val="0"/>
          <w:lang w:eastAsia="en-US" w:bidi="ar-SA"/>
        </w:rPr>
        <w:t>derzoek op basis van patiëntendossiers uitgesloten. Het is even moeilijk om de geschiedenis van één welbepaalde ziekte te schrijven, aangezien op de buitenkant van patiëntendossiers en</w:t>
      </w:r>
      <w:r>
        <w:rPr>
          <w:rFonts w:eastAsiaTheme="minorEastAsia"/>
          <w:kern w:val="0"/>
          <w:lang w:eastAsia="en-US" w:bidi="ar-SA"/>
        </w:rPr>
        <w:t>-</w:t>
      </w:r>
      <w:r w:rsidRPr="009D3BF0">
        <w:rPr>
          <w:rFonts w:eastAsiaTheme="minorEastAsia"/>
          <w:kern w:val="0"/>
          <w:lang w:eastAsia="en-US" w:bidi="ar-SA"/>
        </w:rPr>
        <w:t>kel vermeld staat bij welke afdelingen de patiënt is langsgegaan (bijv. voor hoofdpijn werd een neuroloog bezocht,…).</w:t>
      </w:r>
    </w:p>
    <w:p w:rsidR="00D939AB" w:rsidRPr="009D3BF0" w:rsidRDefault="00D939AB" w:rsidP="00D939AB">
      <w:pPr>
        <w:widowControl/>
        <w:suppressAutoHyphens w:val="0"/>
        <w:jc w:val="both"/>
        <w:rPr>
          <w:rFonts w:eastAsiaTheme="minorEastAsia"/>
          <w:kern w:val="0"/>
          <w:lang w:eastAsia="en-US" w:bidi="ar-SA"/>
        </w:rPr>
      </w:pPr>
    </w:p>
    <w:p w:rsidR="00D939AB" w:rsidRDefault="00D939AB" w:rsidP="00D939AB">
      <w:pPr>
        <w:widowControl/>
        <w:suppressAutoHyphens w:val="0"/>
        <w:jc w:val="both"/>
        <w:rPr>
          <w:rFonts w:eastAsiaTheme="minorEastAsia"/>
          <w:kern w:val="0"/>
          <w:lang w:eastAsia="en-US" w:bidi="ar-SA"/>
        </w:rPr>
      </w:pPr>
      <w:r>
        <w:rPr>
          <w:rFonts w:eastAsiaTheme="minorEastAsia"/>
          <w:kern w:val="0"/>
          <w:lang w:eastAsia="en-US" w:bidi="ar-SA"/>
        </w:rPr>
        <w:t>Tijdens de bestudering van patiëntendossiers worden onderzoekers met meerdere problemen geconfronteerd.</w:t>
      </w:r>
      <w:r w:rsidR="00921F71">
        <w:rPr>
          <w:rStyle w:val="Voetnootmarkering"/>
          <w:rFonts w:eastAsiaTheme="minorEastAsia"/>
          <w:kern w:val="0"/>
          <w:lang w:eastAsia="en-US" w:bidi="ar-SA"/>
        </w:rPr>
        <w:footnoteReference w:id="48"/>
      </w:r>
      <w:r>
        <w:rPr>
          <w:rFonts w:eastAsiaTheme="minorEastAsia"/>
          <w:kern w:val="0"/>
          <w:lang w:eastAsia="en-US" w:bidi="ar-SA"/>
        </w:rPr>
        <w:t xml:space="preserve"> Eerst en vooral hebben weinig verzorgingsinst</w:t>
      </w:r>
      <w:r w:rsidR="00040B8D">
        <w:rPr>
          <w:rFonts w:eastAsiaTheme="minorEastAsia"/>
          <w:kern w:val="0"/>
          <w:lang w:eastAsia="en-US" w:bidi="ar-SA"/>
        </w:rPr>
        <w:t>ellingen in het verleden het be</w:t>
      </w:r>
      <w:r>
        <w:rPr>
          <w:rFonts w:eastAsiaTheme="minorEastAsia"/>
          <w:kern w:val="0"/>
          <w:lang w:eastAsia="en-US" w:bidi="ar-SA"/>
        </w:rPr>
        <w:t xml:space="preserve">lang van patiëntendossiers naar historische waarde weten te schatten. Zelfs als </w:t>
      </w:r>
      <w:r w:rsidR="00040B8D">
        <w:rPr>
          <w:rFonts w:eastAsiaTheme="minorEastAsia"/>
          <w:kern w:val="0"/>
          <w:lang w:eastAsia="en-US" w:bidi="ar-SA"/>
        </w:rPr>
        <w:t>patiënten-</w:t>
      </w:r>
      <w:r w:rsidR="00040B8D">
        <w:rPr>
          <w:rFonts w:eastAsiaTheme="minorEastAsia"/>
          <w:kern w:val="0"/>
          <w:lang w:eastAsia="en-US" w:bidi="ar-SA"/>
        </w:rPr>
        <w:lastRenderedPageBreak/>
        <w:t>dos</w:t>
      </w:r>
      <w:r>
        <w:rPr>
          <w:rFonts w:eastAsiaTheme="minorEastAsia"/>
          <w:kern w:val="0"/>
          <w:lang w:eastAsia="en-US" w:bidi="ar-SA"/>
        </w:rPr>
        <w:t>siers overgeleverd zijn, is hun informatieve waarde en eloquentie van verschillende para</w:t>
      </w:r>
      <w:r w:rsidR="00040B8D">
        <w:rPr>
          <w:rFonts w:eastAsiaTheme="minorEastAsia"/>
          <w:kern w:val="0"/>
          <w:lang w:eastAsia="en-US" w:bidi="ar-SA"/>
        </w:rPr>
        <w:t>-</w:t>
      </w:r>
      <w:r>
        <w:rPr>
          <w:rFonts w:eastAsiaTheme="minorEastAsia"/>
          <w:kern w:val="0"/>
          <w:lang w:eastAsia="en-US" w:bidi="ar-SA"/>
        </w:rPr>
        <w:t>meters (zoals instelling, auteur, tijd en thema)</w:t>
      </w:r>
      <w:r w:rsidRPr="00992FBF">
        <w:rPr>
          <w:rFonts w:eastAsiaTheme="minorEastAsia"/>
          <w:kern w:val="0"/>
          <w:lang w:eastAsia="en-US" w:bidi="ar-SA"/>
        </w:rPr>
        <w:t xml:space="preserve"> </w:t>
      </w:r>
      <w:r>
        <w:rPr>
          <w:rFonts w:eastAsiaTheme="minorEastAsia"/>
          <w:kern w:val="0"/>
          <w:lang w:eastAsia="en-US" w:bidi="ar-SA"/>
        </w:rPr>
        <w:t>afhankelijk. Gelukkig hebben patiëntendossiers door hun aard en functie een vaste basisstructuur en formele opbouw, die een zeke</w:t>
      </w:r>
      <w:r w:rsidR="00040B8D">
        <w:rPr>
          <w:rFonts w:eastAsiaTheme="minorEastAsia"/>
          <w:kern w:val="0"/>
          <w:lang w:eastAsia="en-US" w:bidi="ar-SA"/>
        </w:rPr>
        <w:t>re unifor-</w:t>
      </w:r>
      <w:r>
        <w:rPr>
          <w:rFonts w:eastAsiaTheme="minorEastAsia"/>
          <w:kern w:val="0"/>
          <w:lang w:eastAsia="en-US" w:bidi="ar-SA"/>
        </w:rPr>
        <w:t>miteit van de informatie garandeert hetgeen onderlinge vergelijkingen en statistische manipu</w:t>
      </w:r>
      <w:r w:rsidR="00040B8D">
        <w:rPr>
          <w:rFonts w:eastAsiaTheme="minorEastAsia"/>
          <w:kern w:val="0"/>
          <w:lang w:eastAsia="en-US" w:bidi="ar-SA"/>
        </w:rPr>
        <w:t>-</w:t>
      </w:r>
      <w:r>
        <w:rPr>
          <w:rFonts w:eastAsiaTheme="minorEastAsia"/>
          <w:kern w:val="0"/>
          <w:lang w:eastAsia="en-US" w:bidi="ar-SA"/>
        </w:rPr>
        <w:t>laties bevordert. Ook terminologie, auteurschap en publiek berokkenen vaak problemen. Pa</w:t>
      </w:r>
      <w:r w:rsidR="00040B8D">
        <w:rPr>
          <w:rFonts w:eastAsiaTheme="minorEastAsia"/>
          <w:kern w:val="0"/>
          <w:lang w:eastAsia="en-US" w:bidi="ar-SA"/>
        </w:rPr>
        <w:t>-</w:t>
      </w:r>
      <w:r>
        <w:rPr>
          <w:rFonts w:eastAsiaTheme="minorEastAsia"/>
          <w:kern w:val="0"/>
          <w:lang w:eastAsia="en-US" w:bidi="ar-SA"/>
        </w:rPr>
        <w:t>tiëntendossiers ze immers niet voor historici geschreven. Tussen de praktijk en de neerslag daarvan speelt het proces van interpretatie en selectie een zekere rol. Afgevraagd moet wor</w:t>
      </w:r>
      <w:r w:rsidR="00040B8D">
        <w:rPr>
          <w:rFonts w:eastAsiaTheme="minorEastAsia"/>
          <w:kern w:val="0"/>
          <w:lang w:eastAsia="en-US" w:bidi="ar-SA"/>
        </w:rPr>
        <w:t>-</w:t>
      </w:r>
      <w:r>
        <w:rPr>
          <w:rFonts w:eastAsiaTheme="minorEastAsia"/>
          <w:kern w:val="0"/>
          <w:lang w:eastAsia="en-US" w:bidi="ar-SA"/>
        </w:rPr>
        <w:t>den in welke mate de vooronderstellingen, waardesystemen, (voor)oordelen en taakopvat</w:t>
      </w:r>
      <w:r w:rsidR="00040B8D">
        <w:rPr>
          <w:rFonts w:eastAsiaTheme="minorEastAsia"/>
          <w:kern w:val="0"/>
          <w:lang w:eastAsia="en-US" w:bidi="ar-SA"/>
        </w:rPr>
        <w:t>-ting</w:t>
      </w:r>
      <w:r>
        <w:rPr>
          <w:rFonts w:eastAsiaTheme="minorEastAsia"/>
          <w:kern w:val="0"/>
          <w:lang w:eastAsia="en-US" w:bidi="ar-SA"/>
        </w:rPr>
        <w:t>en van de betrokken zorgverleners hun blik en percepties (evenals hun berichtgeving) be</w:t>
      </w:r>
      <w:r w:rsidR="00040B8D">
        <w:rPr>
          <w:rFonts w:eastAsiaTheme="minorEastAsia"/>
          <w:kern w:val="0"/>
          <w:lang w:eastAsia="en-US" w:bidi="ar-SA"/>
        </w:rPr>
        <w:t>-</w:t>
      </w:r>
      <w:r>
        <w:rPr>
          <w:rFonts w:eastAsiaTheme="minorEastAsia"/>
          <w:kern w:val="0"/>
          <w:lang w:eastAsia="en-US" w:bidi="ar-SA"/>
        </w:rPr>
        <w:t>ïnvloedden. In patiëntendossiers zijn immers de zorgverleners (en niet de patiënten) aan het woord. En het is nog maar de vraag of de in patiëntendossier</w:t>
      </w:r>
      <w:r w:rsidR="00040B8D">
        <w:rPr>
          <w:rFonts w:eastAsiaTheme="minorEastAsia"/>
          <w:kern w:val="0"/>
          <w:lang w:eastAsia="en-US" w:bidi="ar-SA"/>
        </w:rPr>
        <w:t>s vastgelegde informatie een ge-</w:t>
      </w:r>
      <w:r>
        <w:rPr>
          <w:rFonts w:eastAsiaTheme="minorEastAsia"/>
          <w:kern w:val="0"/>
          <w:lang w:eastAsia="en-US" w:bidi="ar-SA"/>
        </w:rPr>
        <w:t>trouwe, volledige weergave van de werkelijkheid is. Zo is het bijvoorbeeld niet ondenkbaar dat bepaalde zaken omwille van culturele conventies niet in patiëntendossiers opgenomen werden of zorgverleners zelfcensuur oplegden met het oog o</w:t>
      </w:r>
      <w:r w:rsidR="00040B8D">
        <w:rPr>
          <w:rFonts w:eastAsiaTheme="minorEastAsia"/>
          <w:kern w:val="0"/>
          <w:lang w:eastAsia="en-US" w:bidi="ar-SA"/>
        </w:rPr>
        <w:t>p eventuele inspecties door der-</w:t>
      </w:r>
      <w:r>
        <w:rPr>
          <w:rFonts w:eastAsiaTheme="minorEastAsia"/>
          <w:kern w:val="0"/>
          <w:lang w:eastAsia="en-US" w:bidi="ar-SA"/>
        </w:rPr>
        <w:t>den of wegens een soort preutsheid (te denken valt bijvoorb</w:t>
      </w:r>
      <w:r w:rsidR="00040B8D">
        <w:rPr>
          <w:rFonts w:eastAsiaTheme="minorEastAsia"/>
          <w:kern w:val="0"/>
          <w:lang w:eastAsia="en-US" w:bidi="ar-SA"/>
        </w:rPr>
        <w:t>eeld aan incidenten rond onzede-</w:t>
      </w:r>
      <w:r>
        <w:rPr>
          <w:rFonts w:eastAsiaTheme="minorEastAsia"/>
          <w:kern w:val="0"/>
          <w:lang w:eastAsia="en-US" w:bidi="ar-SA"/>
        </w:rPr>
        <w:t>lijke handelingen). Bovendien moeten historici zich realise</w:t>
      </w:r>
      <w:r w:rsidR="00040B8D">
        <w:rPr>
          <w:rFonts w:eastAsiaTheme="minorEastAsia"/>
          <w:kern w:val="0"/>
          <w:lang w:eastAsia="en-US" w:bidi="ar-SA"/>
        </w:rPr>
        <w:t>ren dat enkel datgene in het pa-</w:t>
      </w:r>
      <w:r>
        <w:rPr>
          <w:rFonts w:eastAsiaTheme="minorEastAsia"/>
          <w:kern w:val="0"/>
          <w:lang w:eastAsia="en-US" w:bidi="ar-SA"/>
        </w:rPr>
        <w:t>tiëntendossier werd opgenomen wat vanuit het standpunt van de archiefvormer het noteren waard bevonden werd. Sommige gebruiken en praktijken kunnen zo vanzelfsprekend en routi</w:t>
      </w:r>
      <w:r w:rsidR="00040B8D">
        <w:rPr>
          <w:rFonts w:eastAsiaTheme="minorEastAsia"/>
          <w:kern w:val="0"/>
          <w:lang w:eastAsia="en-US" w:bidi="ar-SA"/>
        </w:rPr>
        <w:t>-</w:t>
      </w:r>
      <w:r>
        <w:rPr>
          <w:rFonts w:eastAsiaTheme="minorEastAsia"/>
          <w:kern w:val="0"/>
          <w:lang w:eastAsia="en-US" w:bidi="ar-SA"/>
        </w:rPr>
        <w:t>nematig geweest zijn, dat hun vermelding overbodig werd</w:t>
      </w:r>
      <w:r w:rsidRPr="00BD68EE">
        <w:rPr>
          <w:rFonts w:eastAsiaTheme="minorEastAsia"/>
          <w:kern w:val="0"/>
          <w:lang w:eastAsia="en-US" w:bidi="ar-SA"/>
        </w:rPr>
        <w:t xml:space="preserve"> </w:t>
      </w:r>
      <w:r>
        <w:rPr>
          <w:rFonts w:eastAsiaTheme="minorEastAsia"/>
          <w:kern w:val="0"/>
          <w:lang w:eastAsia="en-US" w:bidi="ar-SA"/>
        </w:rPr>
        <w:t>geacht. Ook informatie die door derde partijen verschaft werden, moeten kritisch benaderd worden. Het kan niet wor</w:t>
      </w:r>
      <w:r w:rsidR="00040B8D">
        <w:rPr>
          <w:rFonts w:eastAsiaTheme="minorEastAsia"/>
          <w:kern w:val="0"/>
          <w:lang w:eastAsia="en-US" w:bidi="ar-SA"/>
        </w:rPr>
        <w:t>den uit</w:t>
      </w:r>
      <w:r>
        <w:rPr>
          <w:rFonts w:eastAsiaTheme="minorEastAsia"/>
          <w:kern w:val="0"/>
          <w:lang w:eastAsia="en-US" w:bidi="ar-SA"/>
        </w:rPr>
        <w:t>ge</w:t>
      </w:r>
      <w:r w:rsidR="00040B8D">
        <w:rPr>
          <w:rFonts w:eastAsiaTheme="minorEastAsia"/>
          <w:kern w:val="0"/>
          <w:lang w:eastAsia="en-US" w:bidi="ar-SA"/>
        </w:rPr>
        <w:t>-</w:t>
      </w:r>
      <w:r>
        <w:rPr>
          <w:rFonts w:eastAsiaTheme="minorEastAsia"/>
          <w:kern w:val="0"/>
          <w:lang w:eastAsia="en-US" w:bidi="ar-SA"/>
        </w:rPr>
        <w:t>sloten dat familieleden van een patiënt, bevreesd voor hun goede naam, slechts de gedeelte</w:t>
      </w:r>
      <w:r w:rsidR="00040B8D">
        <w:rPr>
          <w:rFonts w:eastAsiaTheme="minorEastAsia"/>
          <w:kern w:val="0"/>
          <w:lang w:eastAsia="en-US" w:bidi="ar-SA"/>
        </w:rPr>
        <w:t>-</w:t>
      </w:r>
      <w:r>
        <w:rPr>
          <w:rFonts w:eastAsiaTheme="minorEastAsia"/>
          <w:kern w:val="0"/>
          <w:lang w:eastAsia="en-US" w:bidi="ar-SA"/>
        </w:rPr>
        <w:t>lijke waarheid aan zorgverleners meedeelden.</w:t>
      </w:r>
      <w:r w:rsidRPr="00992FBF">
        <w:rPr>
          <w:rFonts w:eastAsiaTheme="minorEastAsia"/>
          <w:kern w:val="0"/>
          <w:lang w:eastAsia="en-US" w:bidi="ar-SA"/>
        </w:rPr>
        <w:t xml:space="preserve"> </w:t>
      </w:r>
      <w:r>
        <w:rPr>
          <w:rFonts w:eastAsiaTheme="minorEastAsia"/>
          <w:kern w:val="0"/>
          <w:lang w:eastAsia="en-US" w:bidi="ar-SA"/>
        </w:rPr>
        <w:t>Alle gegevens in patiëntendossiers (met uitzon</w:t>
      </w:r>
      <w:r w:rsidR="00040B8D">
        <w:rPr>
          <w:rFonts w:eastAsiaTheme="minorEastAsia"/>
          <w:kern w:val="0"/>
          <w:lang w:eastAsia="en-US" w:bidi="ar-SA"/>
        </w:rPr>
        <w:t>-</w:t>
      </w:r>
      <w:r>
        <w:rPr>
          <w:rFonts w:eastAsiaTheme="minorEastAsia"/>
          <w:kern w:val="0"/>
          <w:lang w:eastAsia="en-US" w:bidi="ar-SA"/>
        </w:rPr>
        <w:t>dering van onderzoeksresultaten) zijn geïnterpreteerd en moeten in hun context geplaatst wor</w:t>
      </w:r>
      <w:r w:rsidR="00040B8D">
        <w:rPr>
          <w:rFonts w:eastAsiaTheme="minorEastAsia"/>
          <w:kern w:val="0"/>
          <w:lang w:eastAsia="en-US" w:bidi="ar-SA"/>
        </w:rPr>
        <w:t>-</w:t>
      </w:r>
      <w:r>
        <w:rPr>
          <w:rFonts w:eastAsiaTheme="minorEastAsia"/>
          <w:kern w:val="0"/>
          <w:lang w:eastAsia="en-US" w:bidi="ar-SA"/>
        </w:rPr>
        <w:t xml:space="preserve">den. </w:t>
      </w:r>
    </w:p>
    <w:p w:rsidR="00D939AB" w:rsidRDefault="00D939AB" w:rsidP="00D939AB">
      <w:pPr>
        <w:widowControl/>
        <w:suppressAutoHyphens w:val="0"/>
        <w:jc w:val="both"/>
        <w:rPr>
          <w:rFonts w:eastAsiaTheme="minorEastAsia"/>
          <w:kern w:val="0"/>
          <w:lang w:eastAsia="en-US" w:bidi="ar-SA"/>
        </w:rPr>
      </w:pPr>
      <w:r>
        <w:rPr>
          <w:rFonts w:eastAsiaTheme="minorEastAsia"/>
          <w:kern w:val="0"/>
          <w:lang w:eastAsia="en-US" w:bidi="ar-SA"/>
        </w:rPr>
        <w:t>Verder is er ook een hindernis op m</w:t>
      </w:r>
      <w:r w:rsidRPr="009D3BF0">
        <w:rPr>
          <w:rFonts w:eastAsiaTheme="minorEastAsia"/>
          <w:kern w:val="0"/>
          <w:lang w:eastAsia="en-US" w:bidi="ar-SA"/>
        </w:rPr>
        <w:t xml:space="preserve">ethodologische </w:t>
      </w:r>
      <w:r>
        <w:rPr>
          <w:rFonts w:eastAsiaTheme="minorEastAsia"/>
          <w:kern w:val="0"/>
          <w:lang w:eastAsia="en-US" w:bidi="ar-SA"/>
        </w:rPr>
        <w:t xml:space="preserve">gebied. Het is immers onmogelijk om alle patiëntendossiers uit één bepaalde instelling te onderzoeken. Het is de vraag </w:t>
      </w:r>
      <w:r w:rsidRPr="009D3BF0">
        <w:rPr>
          <w:rFonts w:eastAsiaTheme="minorEastAsia"/>
          <w:kern w:val="0"/>
          <w:lang w:eastAsia="en-US" w:bidi="ar-SA"/>
        </w:rPr>
        <w:t xml:space="preserve">hoe een </w:t>
      </w:r>
      <w:r w:rsidR="00040B8D">
        <w:rPr>
          <w:rFonts w:eastAsiaTheme="minorEastAsia"/>
          <w:kern w:val="0"/>
          <w:lang w:eastAsia="en-US" w:bidi="ar-SA"/>
        </w:rPr>
        <w:t>statis</w:t>
      </w:r>
      <w:r>
        <w:rPr>
          <w:rFonts w:eastAsiaTheme="minorEastAsia"/>
          <w:kern w:val="0"/>
          <w:lang w:eastAsia="en-US" w:bidi="ar-SA"/>
        </w:rPr>
        <w:t xml:space="preserve">tisch én historisch </w:t>
      </w:r>
      <w:r w:rsidRPr="009D3BF0">
        <w:rPr>
          <w:rFonts w:eastAsiaTheme="minorEastAsia"/>
          <w:kern w:val="0"/>
          <w:lang w:eastAsia="en-US" w:bidi="ar-SA"/>
        </w:rPr>
        <w:t xml:space="preserve">verantwoorde streekproef uit duizenden </w:t>
      </w:r>
      <w:r>
        <w:rPr>
          <w:rFonts w:eastAsiaTheme="minorEastAsia"/>
          <w:kern w:val="0"/>
          <w:lang w:eastAsia="en-US" w:bidi="ar-SA"/>
        </w:rPr>
        <w:t>patiënten</w:t>
      </w:r>
      <w:r w:rsidRPr="009D3BF0">
        <w:rPr>
          <w:rFonts w:eastAsiaTheme="minorEastAsia"/>
          <w:kern w:val="0"/>
          <w:lang w:eastAsia="en-US" w:bidi="ar-SA"/>
        </w:rPr>
        <w:t xml:space="preserve">dossiers </w:t>
      </w:r>
      <w:r>
        <w:rPr>
          <w:rFonts w:eastAsiaTheme="minorEastAsia"/>
          <w:kern w:val="0"/>
          <w:lang w:eastAsia="en-US" w:bidi="ar-SA"/>
        </w:rPr>
        <w:t>getrokken kan worden</w:t>
      </w:r>
      <w:r w:rsidRPr="009D3BF0">
        <w:rPr>
          <w:rFonts w:eastAsiaTheme="minorEastAsia"/>
          <w:kern w:val="0"/>
          <w:lang w:eastAsia="en-US" w:bidi="ar-SA"/>
        </w:rPr>
        <w:t xml:space="preserve"> </w:t>
      </w:r>
      <w:r>
        <w:rPr>
          <w:rFonts w:eastAsiaTheme="minorEastAsia"/>
          <w:kern w:val="0"/>
          <w:lang w:eastAsia="en-US" w:bidi="ar-SA"/>
        </w:rPr>
        <w:t>die</w:t>
      </w:r>
      <w:r w:rsidRPr="009D3BF0">
        <w:rPr>
          <w:rFonts w:eastAsiaTheme="minorEastAsia"/>
          <w:kern w:val="0"/>
          <w:lang w:eastAsia="en-US" w:bidi="ar-SA"/>
        </w:rPr>
        <w:t xml:space="preserve"> een representatief beeld </w:t>
      </w:r>
      <w:r>
        <w:rPr>
          <w:rFonts w:eastAsiaTheme="minorEastAsia"/>
          <w:kern w:val="0"/>
          <w:lang w:eastAsia="en-US" w:bidi="ar-SA"/>
        </w:rPr>
        <w:t>van de werkelijkheid schetst.</w:t>
      </w:r>
      <w:r w:rsidRPr="009D3BF0">
        <w:rPr>
          <w:rFonts w:eastAsiaTheme="minorEastAsia"/>
          <w:kern w:val="0"/>
          <w:lang w:eastAsia="en-US" w:bidi="ar-SA"/>
        </w:rPr>
        <w:t xml:space="preserve"> Zelfs </w:t>
      </w:r>
      <w:r>
        <w:rPr>
          <w:rFonts w:eastAsiaTheme="minorEastAsia"/>
          <w:kern w:val="0"/>
          <w:lang w:eastAsia="en-US" w:bidi="ar-SA"/>
        </w:rPr>
        <w:t>aan de hand van</w:t>
      </w:r>
      <w:r w:rsidRPr="009D3BF0">
        <w:rPr>
          <w:rFonts w:eastAsiaTheme="minorEastAsia"/>
          <w:kern w:val="0"/>
          <w:lang w:eastAsia="en-US" w:bidi="ar-SA"/>
        </w:rPr>
        <w:t xml:space="preserve"> </w:t>
      </w:r>
      <w:r>
        <w:rPr>
          <w:rFonts w:eastAsiaTheme="minorEastAsia"/>
          <w:kern w:val="0"/>
          <w:lang w:eastAsia="en-US" w:bidi="ar-SA"/>
        </w:rPr>
        <w:t xml:space="preserve">het onderzoek van </w:t>
      </w:r>
      <w:r w:rsidRPr="009D3BF0">
        <w:rPr>
          <w:rFonts w:eastAsiaTheme="minorEastAsia"/>
          <w:kern w:val="0"/>
          <w:lang w:eastAsia="en-US" w:bidi="ar-SA"/>
        </w:rPr>
        <w:t xml:space="preserve">patiëntendossiers is het niet eenvoudig om </w:t>
      </w:r>
      <w:r>
        <w:rPr>
          <w:rFonts w:eastAsiaTheme="minorEastAsia"/>
          <w:kern w:val="0"/>
          <w:lang w:eastAsia="en-US" w:bidi="ar-SA"/>
        </w:rPr>
        <w:t>het verhaal</w:t>
      </w:r>
      <w:r w:rsidRPr="009D3BF0">
        <w:rPr>
          <w:rFonts w:eastAsiaTheme="minorEastAsia"/>
          <w:kern w:val="0"/>
          <w:lang w:eastAsia="en-US" w:bidi="ar-SA"/>
        </w:rPr>
        <w:t xml:space="preserve"> van de patiënt </w:t>
      </w:r>
      <w:r w:rsidR="00040B8D">
        <w:rPr>
          <w:rFonts w:eastAsiaTheme="minorEastAsia"/>
          <w:kern w:val="0"/>
          <w:lang w:eastAsia="en-US" w:bidi="ar-SA"/>
        </w:rPr>
        <w:t>te be</w:t>
      </w:r>
      <w:r>
        <w:rPr>
          <w:rFonts w:eastAsiaTheme="minorEastAsia"/>
          <w:kern w:val="0"/>
          <w:lang w:eastAsia="en-US" w:bidi="ar-SA"/>
        </w:rPr>
        <w:t xml:space="preserve">schrijven. Omdat de aantekeningen door zorgverleners aangebracht werden (en worden), </w:t>
      </w:r>
      <w:r w:rsidRPr="009D3BF0">
        <w:rPr>
          <w:rFonts w:eastAsiaTheme="minorEastAsia"/>
          <w:kern w:val="0"/>
          <w:lang w:eastAsia="en-US" w:bidi="ar-SA"/>
        </w:rPr>
        <w:t>is de medische blik alomtegenwoordig</w:t>
      </w:r>
      <w:r>
        <w:rPr>
          <w:rFonts w:eastAsiaTheme="minorEastAsia"/>
          <w:kern w:val="0"/>
          <w:lang w:eastAsia="en-US" w:bidi="ar-SA"/>
        </w:rPr>
        <w:t>.</w:t>
      </w:r>
      <w:r w:rsidRPr="009D3BF0">
        <w:rPr>
          <w:rFonts w:eastAsiaTheme="minorEastAsia"/>
          <w:kern w:val="0"/>
          <w:lang w:eastAsia="en-US" w:bidi="ar-SA"/>
        </w:rPr>
        <w:t xml:space="preserve"> Niettemin blijven patiëntendossiers de enige toegang tot de belevingswereld van patiënten.</w:t>
      </w:r>
    </w:p>
    <w:p w:rsidR="00295721" w:rsidRPr="00295721" w:rsidRDefault="00295721" w:rsidP="003E1E00">
      <w:pPr>
        <w:pStyle w:val="Geenafstand"/>
        <w:jc w:val="both"/>
        <w:rPr>
          <w:rFonts w:ascii="Times New Roman" w:hAnsi="Times New Roman" w:cs="Times New Roman"/>
          <w:color w:val="FF0000"/>
          <w:sz w:val="24"/>
          <w:szCs w:val="24"/>
        </w:rPr>
      </w:pPr>
    </w:p>
    <w:p w:rsidR="00E47520" w:rsidRDefault="00AD584C" w:rsidP="003E1E00">
      <w:pPr>
        <w:pStyle w:val="Geenafstand"/>
        <w:jc w:val="both"/>
        <w:rPr>
          <w:rFonts w:ascii="Times New Roman" w:hAnsi="Times New Roman" w:cs="Times New Roman"/>
          <w:sz w:val="24"/>
          <w:szCs w:val="24"/>
        </w:rPr>
      </w:pPr>
      <w:r>
        <w:rPr>
          <w:rFonts w:ascii="Times New Roman" w:hAnsi="Times New Roman" w:cs="Times New Roman"/>
          <w:sz w:val="24"/>
          <w:szCs w:val="24"/>
        </w:rPr>
        <w:t>Voortaan mogen h</w:t>
      </w:r>
      <w:r w:rsidR="003E1E00" w:rsidRPr="00D147A7">
        <w:rPr>
          <w:rFonts w:ascii="Times New Roman" w:hAnsi="Times New Roman" w:cs="Times New Roman"/>
          <w:sz w:val="24"/>
          <w:szCs w:val="24"/>
        </w:rPr>
        <w:t xml:space="preserve">istorici zich niet langer tevreden stellen met </w:t>
      </w:r>
      <w:r>
        <w:rPr>
          <w:rFonts w:ascii="Times New Roman" w:hAnsi="Times New Roman" w:cs="Times New Roman"/>
          <w:sz w:val="24"/>
          <w:szCs w:val="24"/>
        </w:rPr>
        <w:t>het reconstrueren</w:t>
      </w:r>
      <w:r w:rsidR="003E1E00" w:rsidRPr="00D147A7">
        <w:rPr>
          <w:rFonts w:ascii="Times New Roman" w:hAnsi="Times New Roman" w:cs="Times New Roman"/>
          <w:sz w:val="24"/>
          <w:szCs w:val="24"/>
        </w:rPr>
        <w:t xml:space="preserve"> van grote wetenschappelijke ontdekkingen, het beschrijven van medische ontwikkelingen aan de hand van veralgemenende begrippen of de opkomst van de moderne geneeskunde. De these van Kuhn luidt immers dat wetenschappen niet lineair evolueren, maar </w:t>
      </w:r>
      <w:r w:rsidR="00B77DC7" w:rsidRPr="00D147A7">
        <w:rPr>
          <w:rFonts w:ascii="Times New Roman" w:hAnsi="Times New Roman" w:cs="Times New Roman"/>
          <w:sz w:val="24"/>
          <w:szCs w:val="24"/>
        </w:rPr>
        <w:t xml:space="preserve">veeleer </w:t>
      </w:r>
      <w:r w:rsidR="00B77DC7">
        <w:rPr>
          <w:rFonts w:ascii="Times New Roman" w:hAnsi="Times New Roman" w:cs="Times New Roman"/>
          <w:sz w:val="24"/>
          <w:szCs w:val="24"/>
        </w:rPr>
        <w:t>als</w:t>
      </w:r>
      <w:r w:rsidR="003E1E00" w:rsidRPr="00D147A7">
        <w:rPr>
          <w:rFonts w:ascii="Times New Roman" w:hAnsi="Times New Roman" w:cs="Times New Roman"/>
          <w:sz w:val="24"/>
          <w:szCs w:val="24"/>
        </w:rPr>
        <w:t xml:space="preserve"> product van </w:t>
      </w:r>
      <w:r w:rsidR="001304CF" w:rsidRPr="00D147A7">
        <w:rPr>
          <w:rFonts w:ascii="Times New Roman" w:hAnsi="Times New Roman" w:cs="Times New Roman"/>
          <w:sz w:val="24"/>
          <w:szCs w:val="24"/>
        </w:rPr>
        <w:t>de</w:t>
      </w:r>
      <w:r w:rsidR="003E1E00" w:rsidRPr="00D147A7">
        <w:rPr>
          <w:rFonts w:ascii="Times New Roman" w:hAnsi="Times New Roman" w:cs="Times New Roman"/>
          <w:sz w:val="24"/>
          <w:szCs w:val="24"/>
        </w:rPr>
        <w:t xml:space="preserve"> historisch bepaalde sociale omgeving</w:t>
      </w:r>
      <w:r w:rsidR="00B77DC7" w:rsidRPr="00B77DC7">
        <w:rPr>
          <w:rFonts w:ascii="Times New Roman" w:hAnsi="Times New Roman" w:cs="Times New Roman"/>
          <w:sz w:val="24"/>
          <w:szCs w:val="24"/>
        </w:rPr>
        <w:t xml:space="preserve"> </w:t>
      </w:r>
      <w:r w:rsidR="00B77DC7" w:rsidRPr="00D147A7">
        <w:rPr>
          <w:rFonts w:ascii="Times New Roman" w:hAnsi="Times New Roman" w:cs="Times New Roman"/>
          <w:sz w:val="24"/>
          <w:szCs w:val="24"/>
        </w:rPr>
        <w:t>ontwikkel</w:t>
      </w:r>
      <w:r w:rsidR="00B77DC7">
        <w:rPr>
          <w:rFonts w:ascii="Times New Roman" w:hAnsi="Times New Roman" w:cs="Times New Roman"/>
          <w:sz w:val="24"/>
          <w:szCs w:val="24"/>
        </w:rPr>
        <w:t>en</w:t>
      </w:r>
      <w:r w:rsidR="003E1E00" w:rsidRPr="00D147A7">
        <w:rPr>
          <w:rFonts w:ascii="Times New Roman" w:hAnsi="Times New Roman" w:cs="Times New Roman"/>
          <w:sz w:val="24"/>
          <w:szCs w:val="24"/>
        </w:rPr>
        <w:t xml:space="preserve">.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is veel uitdagender en interessanter om aan de hand van patiëntendossiers de therapie te bestuderen, die een goede indicatie biedt om de echte van de veronderstelde invloed van wetenschappelijke kennis in de gezondheidszorg te onderscheiden. Het is de vraag in hoeverre sociale verhoudingen, ideologie, organisatorische en financiële structuren van zorgverleners en verzorgingsinstellingen de doorwerking van wetenschap en techniek bepalen.</w:t>
      </w:r>
      <w:r w:rsidRPr="00D147A7">
        <w:rPr>
          <w:rStyle w:val="Voetnootmarkering"/>
          <w:rFonts w:ascii="Times New Roman" w:hAnsi="Times New Roman" w:cs="Times New Roman"/>
          <w:sz w:val="24"/>
          <w:szCs w:val="24"/>
        </w:rPr>
        <w:footnoteReference w:id="49"/>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Bronnen waarin gegevens m.b.t. de gezondheid van een persoon opgenomen zijn, </w:t>
      </w:r>
      <w:r w:rsidR="001304CF" w:rsidRPr="00D147A7">
        <w:rPr>
          <w:rFonts w:ascii="Times New Roman" w:hAnsi="Times New Roman" w:cs="Times New Roman"/>
          <w:sz w:val="24"/>
          <w:szCs w:val="24"/>
        </w:rPr>
        <w:t xml:space="preserve">hebben </w:t>
      </w:r>
      <w:r w:rsidRPr="00D147A7">
        <w:rPr>
          <w:rFonts w:ascii="Times New Roman" w:hAnsi="Times New Roman" w:cs="Times New Roman"/>
          <w:sz w:val="24"/>
          <w:szCs w:val="24"/>
        </w:rPr>
        <w:t xml:space="preserve">ook </w:t>
      </w:r>
      <w:r w:rsidR="006C7CDF" w:rsidRPr="00D147A7">
        <w:rPr>
          <w:rFonts w:ascii="Times New Roman" w:hAnsi="Times New Roman" w:cs="Times New Roman"/>
          <w:sz w:val="24"/>
          <w:szCs w:val="24"/>
        </w:rPr>
        <w:t xml:space="preserve">een </w:t>
      </w:r>
      <w:r w:rsidRPr="00D939AB">
        <w:rPr>
          <w:rFonts w:ascii="Times New Roman" w:hAnsi="Times New Roman" w:cs="Times New Roman"/>
          <w:sz w:val="24"/>
          <w:szCs w:val="24"/>
        </w:rPr>
        <w:t>genealogische waarde</w:t>
      </w:r>
      <w:r w:rsidRPr="00D147A7">
        <w:rPr>
          <w:rFonts w:ascii="Times New Roman" w:hAnsi="Times New Roman" w:cs="Times New Roman"/>
          <w:sz w:val="24"/>
          <w:szCs w:val="24"/>
        </w:rPr>
        <w:t>. Opdat het duidelijk zou zijn op wie de gezondheidsgegevens betrekking hebben, moeten de persoon in kwestie eenduidig geïdentificeerd kunnen worden. Toch kunnen patiëntendossiers niet routinematig voor genealogisch onderzoek worden aange</w:t>
      </w:r>
      <w:r w:rsidR="006C7CDF" w:rsidRPr="00D147A7">
        <w:rPr>
          <w:rFonts w:ascii="Times New Roman" w:hAnsi="Times New Roman" w:cs="Times New Roman"/>
          <w:sz w:val="24"/>
          <w:szCs w:val="24"/>
        </w:rPr>
        <w:t>-</w:t>
      </w:r>
      <w:r w:rsidRPr="00D147A7">
        <w:rPr>
          <w:rFonts w:ascii="Times New Roman" w:hAnsi="Times New Roman" w:cs="Times New Roman"/>
          <w:sz w:val="24"/>
          <w:szCs w:val="24"/>
        </w:rPr>
        <w:lastRenderedPageBreak/>
        <w:t xml:space="preserve">wend. Omdat deze specifieke bronnen veel te veel opslagruimte in beslag nemen, kunnen ze </w:t>
      </w:r>
      <w:r w:rsidR="006C7CDF" w:rsidRPr="00D147A7">
        <w:rPr>
          <w:rFonts w:ascii="Times New Roman" w:hAnsi="Times New Roman" w:cs="Times New Roman"/>
          <w:sz w:val="24"/>
          <w:szCs w:val="24"/>
        </w:rPr>
        <w:t xml:space="preserve">immers </w:t>
      </w:r>
      <w:r w:rsidRPr="00D147A7">
        <w:rPr>
          <w:rFonts w:ascii="Times New Roman" w:hAnsi="Times New Roman" w:cs="Times New Roman"/>
          <w:sz w:val="24"/>
          <w:szCs w:val="24"/>
        </w:rPr>
        <w:t>niet integraal bewaard wor</w:t>
      </w:r>
      <w:r w:rsidR="001304CF" w:rsidRPr="00D147A7">
        <w:rPr>
          <w:rFonts w:ascii="Times New Roman" w:hAnsi="Times New Roman" w:cs="Times New Roman"/>
          <w:sz w:val="24"/>
          <w:szCs w:val="24"/>
        </w:rPr>
        <w:t>den. Dat is ook niet wenselijk.</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3. Structuur van deze verhandeling</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Dat de structuur van deze verhandeling gebaseerd is op de verschillende stadia van het </w:t>
      </w:r>
      <w:r w:rsidRPr="00D147A7">
        <w:rPr>
          <w:rFonts w:ascii="Times New Roman" w:hAnsi="Times New Roman" w:cs="Times New Roman"/>
          <w:i/>
          <w:sz w:val="24"/>
          <w:szCs w:val="24"/>
        </w:rPr>
        <w:t>records lifecycle</w:t>
      </w:r>
      <w:r w:rsidRPr="00D147A7">
        <w:rPr>
          <w:rFonts w:ascii="Times New Roman" w:hAnsi="Times New Roman" w:cs="Times New Roman"/>
          <w:sz w:val="24"/>
          <w:szCs w:val="24"/>
        </w:rPr>
        <w:t>-model, is een louter functionele keuze. Het is geenszins mijn bedoeling om aan de hand van deze structuur te suggereren dat het ‘leven’ van patiëntendossiers uit de strik</w:t>
      </w:r>
      <w:r w:rsidR="000523F5">
        <w:rPr>
          <w:rFonts w:ascii="Times New Roman" w:hAnsi="Times New Roman" w:cs="Times New Roman"/>
          <w:sz w:val="24"/>
          <w:szCs w:val="24"/>
        </w:rPr>
        <w:t>-</w:t>
      </w:r>
      <w:r w:rsidRPr="00D147A7">
        <w:rPr>
          <w:rFonts w:ascii="Times New Roman" w:hAnsi="Times New Roman" w:cs="Times New Roman"/>
          <w:sz w:val="24"/>
          <w:szCs w:val="24"/>
        </w:rPr>
        <w:t>te, lineaire opeenvolging van de verschillende stadia van het traditionele levensloopmodel van Theodore Schellenberg bestaan.</w:t>
      </w:r>
      <w:r w:rsidRPr="00D147A7">
        <w:rPr>
          <w:rStyle w:val="Voetnootmarkering"/>
          <w:rFonts w:ascii="Times New Roman" w:hAnsi="Times New Roman" w:cs="Times New Roman"/>
          <w:sz w:val="24"/>
          <w:szCs w:val="24"/>
        </w:rPr>
        <w:footnoteReference w:id="50"/>
      </w:r>
      <w:r w:rsidRPr="00D147A7">
        <w:rPr>
          <w:rFonts w:ascii="Times New Roman" w:hAnsi="Times New Roman" w:cs="Times New Roman"/>
          <w:sz w:val="24"/>
          <w:szCs w:val="24"/>
        </w:rPr>
        <w:t xml:space="preserve"> Patiëntendossiers moeten immers een bepaalde periode bewaard worden. Het aanvangspunt van die (wettelijke) bewaartermijn is het laatste contact met de patiënt. Telkens een patiënt zich dus opnieuw aanbiedt, komt zijn of haar dossier weer in de dynamische fase</w:t>
      </w:r>
      <w:r w:rsidR="00E57C39" w:rsidRPr="00D147A7">
        <w:rPr>
          <w:rFonts w:ascii="Times New Roman" w:hAnsi="Times New Roman" w:cs="Times New Roman"/>
          <w:sz w:val="24"/>
          <w:szCs w:val="24"/>
        </w:rPr>
        <w:t xml:space="preserve"> terecht</w:t>
      </w:r>
      <w:r w:rsidRPr="00D147A7">
        <w:rPr>
          <w:rFonts w:ascii="Times New Roman" w:hAnsi="Times New Roman" w:cs="Times New Roman"/>
          <w:sz w:val="24"/>
          <w:szCs w:val="24"/>
        </w:rPr>
        <w:t xml:space="preserve">. De verschillende stadia van het levensloopmodel lopen dus naadloos in elkaar over, i.o.m. het </w:t>
      </w:r>
      <w:r w:rsidRPr="00D147A7">
        <w:rPr>
          <w:rFonts w:ascii="Times New Roman" w:hAnsi="Times New Roman" w:cs="Times New Roman"/>
          <w:i/>
          <w:sz w:val="24"/>
          <w:szCs w:val="24"/>
        </w:rPr>
        <w:t>records continuum</w:t>
      </w:r>
      <w:r w:rsidRPr="00D147A7">
        <w:rPr>
          <w:rFonts w:ascii="Times New Roman" w:hAnsi="Times New Roman" w:cs="Times New Roman"/>
          <w:sz w:val="24"/>
          <w:szCs w:val="24"/>
        </w:rPr>
        <w:t xml:space="preserve">-model van </w:t>
      </w:r>
      <w:r w:rsidR="00E57C39" w:rsidRPr="00D147A7">
        <w:rPr>
          <w:rFonts w:ascii="Times New Roman" w:hAnsi="Times New Roman" w:cs="Times New Roman"/>
          <w:sz w:val="24"/>
          <w:szCs w:val="24"/>
        </w:rPr>
        <w:t xml:space="preserve">de Australische school van </w:t>
      </w:r>
      <w:r w:rsidRPr="00D147A7">
        <w:rPr>
          <w:rFonts w:ascii="Times New Roman" w:hAnsi="Times New Roman" w:cs="Times New Roman"/>
          <w:sz w:val="24"/>
          <w:szCs w:val="24"/>
        </w:rPr>
        <w:t>Frank Upward.</w:t>
      </w:r>
      <w:r w:rsidRPr="00D147A7">
        <w:rPr>
          <w:rStyle w:val="Voetnootmarkering"/>
          <w:rFonts w:ascii="Times New Roman" w:hAnsi="Times New Roman" w:cs="Times New Roman"/>
          <w:sz w:val="24"/>
          <w:szCs w:val="24"/>
        </w:rPr>
        <w:footnoteReference w:id="51"/>
      </w:r>
      <w:r w:rsidRPr="00D147A7">
        <w:rPr>
          <w:rFonts w:ascii="Times New Roman" w:hAnsi="Times New Roman" w:cs="Times New Roman"/>
          <w:sz w:val="24"/>
          <w:szCs w:val="24"/>
        </w:rPr>
        <w:t xml:space="preserve"> Het ‘klassieke’ onderscheid tussen archivistiek en </w:t>
      </w:r>
      <w:r w:rsidRPr="00D147A7">
        <w:rPr>
          <w:rFonts w:ascii="Times New Roman" w:hAnsi="Times New Roman" w:cs="Times New Roman"/>
          <w:i/>
          <w:sz w:val="24"/>
          <w:szCs w:val="24"/>
        </w:rPr>
        <w:t>records management</w:t>
      </w:r>
      <w:r w:rsidRPr="00D147A7">
        <w:rPr>
          <w:rFonts w:ascii="Times New Roman" w:hAnsi="Times New Roman" w:cs="Times New Roman"/>
          <w:sz w:val="24"/>
          <w:szCs w:val="24"/>
        </w:rPr>
        <w:t xml:space="preserve"> ver</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vaagt, waardoor </w:t>
      </w:r>
      <w:r w:rsidR="00E57C39" w:rsidRPr="00D147A7">
        <w:rPr>
          <w:rFonts w:ascii="Times New Roman" w:hAnsi="Times New Roman" w:cs="Times New Roman"/>
          <w:sz w:val="24"/>
          <w:szCs w:val="24"/>
        </w:rPr>
        <w:t>a</w:t>
      </w:r>
      <w:r w:rsidRPr="00D147A7">
        <w:rPr>
          <w:rFonts w:ascii="Times New Roman" w:hAnsi="Times New Roman" w:cs="Times New Roman"/>
          <w:sz w:val="24"/>
          <w:szCs w:val="24"/>
        </w:rPr>
        <w:t xml:space="preserve">an </w:t>
      </w:r>
      <w:r w:rsidR="00E57C39" w:rsidRPr="00D147A7">
        <w:rPr>
          <w:rFonts w:ascii="Times New Roman" w:hAnsi="Times New Roman" w:cs="Times New Roman"/>
          <w:sz w:val="24"/>
          <w:szCs w:val="24"/>
        </w:rPr>
        <w:t xml:space="preserve">iedere stadium – van </w:t>
      </w:r>
      <w:r w:rsidRPr="00D147A7">
        <w:rPr>
          <w:rFonts w:ascii="Times New Roman" w:hAnsi="Times New Roman" w:cs="Times New Roman"/>
          <w:sz w:val="24"/>
          <w:szCs w:val="24"/>
        </w:rPr>
        <w:t xml:space="preserve">creatie tot vernietiging </w:t>
      </w:r>
      <w:r w:rsidR="00E57C39"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even veel aandacht </w:t>
      </w:r>
      <w:r w:rsidR="00E57C39" w:rsidRPr="00D147A7">
        <w:rPr>
          <w:rFonts w:ascii="Times New Roman" w:hAnsi="Times New Roman" w:cs="Times New Roman"/>
          <w:sz w:val="24"/>
          <w:szCs w:val="24"/>
        </w:rPr>
        <w:t xml:space="preserve">moet </w:t>
      </w:r>
      <w:r w:rsidRPr="00D147A7">
        <w:rPr>
          <w:rFonts w:ascii="Times New Roman" w:hAnsi="Times New Roman" w:cs="Times New Roman"/>
          <w:sz w:val="24"/>
          <w:szCs w:val="24"/>
        </w:rPr>
        <w:t>word</w:t>
      </w:r>
      <w:r w:rsidR="00E57C39" w:rsidRPr="00D147A7">
        <w:rPr>
          <w:rFonts w:ascii="Times New Roman" w:hAnsi="Times New Roman" w:cs="Times New Roman"/>
          <w:sz w:val="24"/>
          <w:szCs w:val="24"/>
        </w:rPr>
        <w:t>en</w:t>
      </w:r>
      <w:r w:rsidRPr="00D147A7">
        <w:rPr>
          <w:rFonts w:ascii="Times New Roman" w:hAnsi="Times New Roman" w:cs="Times New Roman"/>
          <w:sz w:val="24"/>
          <w:szCs w:val="24"/>
        </w:rPr>
        <w:t xml:space="preserve"> </w:t>
      </w:r>
      <w:r w:rsidR="00E57C39" w:rsidRPr="00D147A7">
        <w:rPr>
          <w:rFonts w:ascii="Times New Roman" w:hAnsi="Times New Roman" w:cs="Times New Roman"/>
          <w:sz w:val="24"/>
          <w:szCs w:val="24"/>
        </w:rPr>
        <w:t>besteed</w:t>
      </w:r>
      <w:r w:rsidRPr="00D147A7">
        <w:rPr>
          <w:rFonts w:ascii="Times New Roman" w:hAnsi="Times New Roman" w:cs="Times New Roman"/>
          <w:sz w:val="24"/>
          <w:szCs w:val="24"/>
        </w:rPr>
        <w:t>.</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laatste decennia zijn medische archieven aan ingrijpende veranderingen blootgesteld. Ten eerste nemen patiëntendossiers zowel in aantal als in omvang toe. Daarnaast legt de wetgever steeds meer eisen op waaraan zorgverleners en verzorgingsinstellingen bij de archivering van patiëntendossiers moeten voldoen. Verder genieten patiënten – als zwakke partij in de behan</w:t>
      </w:r>
      <w:r w:rsidR="00AD11F8" w:rsidRPr="00D147A7">
        <w:rPr>
          <w:rFonts w:ascii="Times New Roman" w:hAnsi="Times New Roman" w:cs="Times New Roman"/>
          <w:sz w:val="24"/>
          <w:szCs w:val="24"/>
        </w:rPr>
        <w:t>-</w:t>
      </w:r>
      <w:r w:rsidRPr="00D147A7">
        <w:rPr>
          <w:rFonts w:ascii="Times New Roman" w:hAnsi="Times New Roman" w:cs="Times New Roman"/>
          <w:sz w:val="24"/>
          <w:szCs w:val="24"/>
        </w:rPr>
        <w:t>delingsovereenkomst – een steeds betere wettelijke bescherming en beschikken over steeds meer rechten. Dit heeft ook invloed op de archivering van patiëntendossiers. Te denken valt bijvoorbeeld aan de elektronische dienstverlening in het kader van eGovernment, eHealth ge</w:t>
      </w:r>
      <w:r w:rsidR="000523F5">
        <w:rPr>
          <w:rFonts w:ascii="Times New Roman" w:hAnsi="Times New Roman" w:cs="Times New Roman"/>
          <w:sz w:val="24"/>
          <w:szCs w:val="24"/>
        </w:rPr>
        <w:t>-</w:t>
      </w:r>
      <w:r w:rsidRPr="00D147A7">
        <w:rPr>
          <w:rFonts w:ascii="Times New Roman" w:hAnsi="Times New Roman" w:cs="Times New Roman"/>
          <w:sz w:val="24"/>
          <w:szCs w:val="24"/>
        </w:rPr>
        <w:t>naamd. Deze evolutie is niet beperkt tot België, Nederland en Frankrijk, maar is een univer</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seel verschijnsel dat tegemoet komt aan de </w:t>
      </w:r>
      <w:r w:rsidR="00E57C39" w:rsidRPr="00D147A7">
        <w:rPr>
          <w:rFonts w:ascii="Times New Roman" w:hAnsi="Times New Roman" w:cs="Times New Roman"/>
          <w:sz w:val="24"/>
          <w:szCs w:val="24"/>
        </w:rPr>
        <w:t>gewijzigde</w:t>
      </w:r>
      <w:r w:rsidRPr="00D147A7">
        <w:rPr>
          <w:rFonts w:ascii="Times New Roman" w:hAnsi="Times New Roman" w:cs="Times New Roman"/>
          <w:sz w:val="24"/>
          <w:szCs w:val="24"/>
        </w:rPr>
        <w:t xml:space="preserve"> noden van de digitale samen</w:t>
      </w:r>
      <w:r w:rsidR="00E57C39" w:rsidRPr="00D147A7">
        <w:rPr>
          <w:rFonts w:ascii="Times New Roman" w:hAnsi="Times New Roman" w:cs="Times New Roman"/>
          <w:sz w:val="24"/>
          <w:szCs w:val="24"/>
        </w:rPr>
        <w:t>leving.</w:t>
      </w:r>
    </w:p>
    <w:p w:rsidR="00E57C39" w:rsidRPr="00D147A7" w:rsidRDefault="00E57C39"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heeft lang geduurd alvorens ziekenhuisarchieven de aandacht van archivarissen getrokken hebben.</w:t>
      </w:r>
      <w:r w:rsidRPr="00D147A7">
        <w:rPr>
          <w:rStyle w:val="Voetnootmarkering"/>
          <w:rFonts w:ascii="Times New Roman" w:hAnsi="Times New Roman" w:cs="Times New Roman"/>
          <w:sz w:val="24"/>
          <w:szCs w:val="24"/>
        </w:rPr>
        <w:footnoteReference w:id="52"/>
      </w:r>
      <w:r w:rsidRPr="00D147A7">
        <w:rPr>
          <w:rFonts w:ascii="Times New Roman" w:hAnsi="Times New Roman" w:cs="Times New Roman"/>
          <w:sz w:val="24"/>
          <w:szCs w:val="24"/>
        </w:rPr>
        <w:t xml:space="preserve"> Nog steeds hebben archivarissen en </w:t>
      </w:r>
      <w:r w:rsidRPr="00D147A7">
        <w:rPr>
          <w:rFonts w:ascii="Times New Roman" w:hAnsi="Times New Roman" w:cs="Times New Roman"/>
          <w:i/>
          <w:sz w:val="24"/>
          <w:szCs w:val="24"/>
        </w:rPr>
        <w:t>records managers</w:t>
      </w:r>
      <w:r w:rsidRPr="00D147A7">
        <w:rPr>
          <w:rFonts w:ascii="Times New Roman" w:hAnsi="Times New Roman" w:cs="Times New Roman"/>
          <w:sz w:val="24"/>
          <w:szCs w:val="24"/>
        </w:rPr>
        <w:t xml:space="preserve"> zich onvoldoende geprofi</w:t>
      </w:r>
      <w:r w:rsidR="00AD11F8" w:rsidRPr="00D147A7">
        <w:rPr>
          <w:rFonts w:ascii="Times New Roman" w:hAnsi="Times New Roman" w:cs="Times New Roman"/>
          <w:sz w:val="24"/>
          <w:szCs w:val="24"/>
        </w:rPr>
        <w:t>-</w:t>
      </w:r>
      <w:r w:rsidRPr="00D147A7">
        <w:rPr>
          <w:rFonts w:ascii="Times New Roman" w:hAnsi="Times New Roman" w:cs="Times New Roman"/>
          <w:sz w:val="24"/>
          <w:szCs w:val="24"/>
        </w:rPr>
        <w:t>leerd in de medische wereld. Vandaag de dag werken dan ook slechts een handvol geschoolde archivarissen in Belgische ziekenhuizen, waaronder Annie Meiresonne in het Brugmann ziek</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enhuis te Brussel en Anne Chevalier, voormalig Rijksarchivaresse, in het </w:t>
      </w:r>
      <w:r w:rsidRPr="00D147A7">
        <w:rPr>
          <w:rFonts w:ascii="Times New Roman" w:hAnsi="Times New Roman" w:cs="Times New Roman"/>
          <w:i/>
          <w:sz w:val="24"/>
          <w:szCs w:val="24"/>
        </w:rPr>
        <w:t>Centre hospitalier interrégional</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Edith Cavel</w:t>
      </w:r>
      <w:r w:rsidRPr="00D147A7">
        <w:rPr>
          <w:rFonts w:ascii="Times New Roman" w:hAnsi="Times New Roman" w:cs="Times New Roman"/>
          <w:sz w:val="24"/>
          <w:szCs w:val="24"/>
        </w:rPr>
        <w:t>. In de meeste gevallen archiveren ‘gewone’ secretariaatsmedewerk</w:t>
      </w:r>
      <w:r w:rsidR="000523F5">
        <w:rPr>
          <w:rFonts w:ascii="Times New Roman" w:hAnsi="Times New Roman" w:cs="Times New Roman"/>
          <w:sz w:val="24"/>
          <w:szCs w:val="24"/>
        </w:rPr>
        <w:t>-</w:t>
      </w:r>
      <w:r w:rsidRPr="00D147A7">
        <w:rPr>
          <w:rFonts w:ascii="Times New Roman" w:hAnsi="Times New Roman" w:cs="Times New Roman"/>
          <w:sz w:val="24"/>
          <w:szCs w:val="24"/>
        </w:rPr>
        <w:t>ers papieren patiëntendossiers en informatici de elektronische patiëntendossiers. Het is dus de hoogste tijd dat de aandacht op patiëntendossiers gevestigd wordt, waar ik met deze verhande</w:t>
      </w:r>
      <w:r w:rsidR="000523F5">
        <w:rPr>
          <w:rFonts w:ascii="Times New Roman" w:hAnsi="Times New Roman" w:cs="Times New Roman"/>
          <w:sz w:val="24"/>
          <w:szCs w:val="24"/>
        </w:rPr>
        <w:t>-</w:t>
      </w:r>
      <w:r w:rsidRPr="00D147A7">
        <w:rPr>
          <w:rFonts w:ascii="Times New Roman" w:hAnsi="Times New Roman" w:cs="Times New Roman"/>
          <w:sz w:val="24"/>
          <w:szCs w:val="24"/>
        </w:rPr>
        <w:t>ling alvast een aanzet mee hoop te geven. Omdat archivarissen in de Belgische medische wereld vooralsnog een taboe vormen, is immers een niet te verwaarlozen en betreurenswaar</w:t>
      </w:r>
      <w:r w:rsidR="000523F5">
        <w:rPr>
          <w:rFonts w:ascii="Times New Roman" w:hAnsi="Times New Roman" w:cs="Times New Roman"/>
          <w:sz w:val="24"/>
          <w:szCs w:val="24"/>
        </w:rPr>
        <w:t>-</w:t>
      </w:r>
      <w:r w:rsidRPr="00D147A7">
        <w:rPr>
          <w:rFonts w:ascii="Times New Roman" w:hAnsi="Times New Roman" w:cs="Times New Roman"/>
          <w:sz w:val="24"/>
          <w:szCs w:val="24"/>
        </w:rPr>
        <w:t>dige achterstand in vergelijking met het buitenland opgelopen. Daarom lijkt het niet alleen een nuttige maar zelfs onontbeerlijke oefening om de Belgische stand van zaken aan die in het buitenland te toetsen. Ik verkoos de vergelijking te maken met Nederland en Frankrijk. Door te bestuderen hoe archivarissen in onze buurlanden deze problematiek benaderen en er oplos</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singen voor zoeken, zal ik aanbevelingen voor België formuleren. </w:t>
      </w:r>
      <w:r w:rsidRPr="00D147A7">
        <w:rPr>
          <w:rFonts w:ascii="Times New Roman" w:hAnsi="Times New Roman" w:cs="Times New Roman"/>
          <w:i/>
          <w:sz w:val="24"/>
          <w:szCs w:val="24"/>
        </w:rPr>
        <w:t>Benchmarking</w:t>
      </w:r>
      <w:r w:rsidRPr="00D147A7">
        <w:rPr>
          <w:rFonts w:ascii="Times New Roman" w:hAnsi="Times New Roman" w:cs="Times New Roman"/>
          <w:sz w:val="24"/>
          <w:szCs w:val="24"/>
        </w:rPr>
        <w:t xml:space="preserve"> is immers </w:t>
      </w:r>
      <w:r w:rsidRPr="00D147A7">
        <w:rPr>
          <w:rFonts w:ascii="Times New Roman" w:hAnsi="Times New Roman" w:cs="Times New Roman"/>
          <w:sz w:val="24"/>
          <w:szCs w:val="24"/>
        </w:rPr>
        <w:lastRenderedPageBreak/>
        <w:t xml:space="preserve">de voornaamste doelstelling van deze comparatieve studie. De </w:t>
      </w:r>
      <w:r w:rsidRPr="00D147A7">
        <w:rPr>
          <w:rFonts w:ascii="Times New Roman" w:hAnsi="Times New Roman" w:cs="Times New Roman"/>
          <w:i/>
          <w:iCs/>
          <w:sz w:val="24"/>
          <w:szCs w:val="24"/>
        </w:rPr>
        <w:t>best practices</w:t>
      </w:r>
      <w:r w:rsidRPr="00D147A7">
        <w:rPr>
          <w:rFonts w:ascii="Times New Roman" w:hAnsi="Times New Roman" w:cs="Times New Roman"/>
          <w:sz w:val="24"/>
          <w:szCs w:val="24"/>
        </w:rPr>
        <w:t xml:space="preserve"> uit Nederland en Frankrijk worden in suggesties </w:t>
      </w:r>
      <w:r w:rsidR="00AD11F8" w:rsidRPr="00D147A7">
        <w:rPr>
          <w:rFonts w:ascii="Times New Roman" w:hAnsi="Times New Roman" w:cs="Times New Roman"/>
          <w:sz w:val="24"/>
          <w:szCs w:val="24"/>
        </w:rPr>
        <w:t>(</w:t>
      </w:r>
      <w:r w:rsidR="00AD11F8" w:rsidRPr="00D147A7">
        <w:rPr>
          <w:rFonts w:ascii="Times New Roman" w:hAnsi="Times New Roman" w:cs="Times New Roman"/>
          <w:i/>
          <w:iCs/>
          <w:sz w:val="24"/>
          <w:szCs w:val="24"/>
        </w:rPr>
        <w:t>de lege lata</w:t>
      </w:r>
      <w:r w:rsidR="00AD11F8" w:rsidRPr="00D147A7">
        <w:rPr>
          <w:rFonts w:ascii="Times New Roman" w:hAnsi="Times New Roman" w:cs="Times New Roman"/>
          <w:sz w:val="24"/>
          <w:szCs w:val="24"/>
        </w:rPr>
        <w:t xml:space="preserve">) </w:t>
      </w:r>
      <w:r w:rsidRPr="00D147A7">
        <w:rPr>
          <w:rFonts w:ascii="Times New Roman" w:hAnsi="Times New Roman" w:cs="Times New Roman"/>
          <w:sz w:val="24"/>
          <w:szCs w:val="24"/>
        </w:rPr>
        <w:t>v</w:t>
      </w:r>
      <w:r w:rsidR="00AD11F8" w:rsidRPr="00D147A7">
        <w:rPr>
          <w:rFonts w:ascii="Times New Roman" w:hAnsi="Times New Roman" w:cs="Times New Roman"/>
          <w:sz w:val="24"/>
          <w:szCs w:val="24"/>
        </w:rPr>
        <w:t>oor het Belgisch positief recht</w:t>
      </w:r>
      <w:r w:rsidRPr="00D147A7">
        <w:rPr>
          <w:rFonts w:ascii="Times New Roman" w:hAnsi="Times New Roman" w:cs="Times New Roman"/>
          <w:sz w:val="24"/>
          <w:szCs w:val="24"/>
        </w:rPr>
        <w:t xml:space="preserve"> verwoord. Ook worden de positieve elementen van het vigerend recht in België in de verf gezet. Om de lezer te sturen wordt in de inleiding van ieder deel, waar mogelijk, de relevante wetgeving voor iedere materie en voor ieder land in een kadertje weergegeven. Voor de volledige verwijzing naar deze wetten verwijs ik naar het corpus.</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Deze verhandeling is dus een comparatieve studie van de archivistische vraagstukken rond patiëntendossiers in België, Nederland en Frankrijk. Aanvankelijk was het de bedoeling om ook Engeland bij deze analyse te betrekken. Omdat Angelsaksische landen een rijke traditie op het vlak van medische archieven hebben (waarvan de </w:t>
      </w:r>
      <w:r w:rsidR="00AD11F8" w:rsidRPr="00D147A7">
        <w:rPr>
          <w:rFonts w:ascii="Times New Roman" w:hAnsi="Times New Roman" w:cs="Times New Roman"/>
          <w:sz w:val="24"/>
          <w:szCs w:val="24"/>
        </w:rPr>
        <w:t xml:space="preserve">Engelse </w:t>
      </w:r>
      <w:r w:rsidRPr="00D147A7">
        <w:rPr>
          <w:rFonts w:ascii="Times New Roman" w:hAnsi="Times New Roman" w:cs="Times New Roman"/>
          <w:i/>
          <w:sz w:val="24"/>
          <w:szCs w:val="24"/>
        </w:rPr>
        <w:t xml:space="preserve">National Health Service </w:t>
      </w:r>
      <w:r w:rsidRPr="00D147A7">
        <w:rPr>
          <w:rFonts w:ascii="Times New Roman" w:hAnsi="Times New Roman" w:cs="Times New Roman"/>
          <w:sz w:val="24"/>
          <w:szCs w:val="24"/>
        </w:rPr>
        <w:t>(NHS)</w:t>
      </w:r>
      <w:r w:rsidRPr="00D147A7">
        <w:rPr>
          <w:rStyle w:val="Voetnootmarkering"/>
          <w:rFonts w:ascii="Times New Roman" w:hAnsi="Times New Roman" w:cs="Times New Roman"/>
          <w:sz w:val="24"/>
          <w:szCs w:val="24"/>
        </w:rPr>
        <w:footnoteReference w:id="53"/>
      </w:r>
      <w:r w:rsidRPr="00D147A7">
        <w:rPr>
          <w:rFonts w:ascii="Times New Roman" w:hAnsi="Times New Roman" w:cs="Times New Roman"/>
          <w:sz w:val="24"/>
          <w:szCs w:val="24"/>
        </w:rPr>
        <w:t xml:space="preserve"> en het </w:t>
      </w:r>
      <w:r w:rsidRPr="00D147A7">
        <w:rPr>
          <w:rFonts w:ascii="Times New Roman" w:hAnsi="Times New Roman" w:cs="Times New Roman"/>
          <w:i/>
          <w:sz w:val="24"/>
          <w:szCs w:val="24"/>
        </w:rPr>
        <w:t xml:space="preserve">Wellcome Institute for the History of Medicine </w:t>
      </w:r>
      <w:r w:rsidRPr="00D147A7">
        <w:rPr>
          <w:rFonts w:ascii="Times New Roman" w:hAnsi="Times New Roman" w:cs="Times New Roman"/>
          <w:sz w:val="24"/>
          <w:szCs w:val="24"/>
        </w:rPr>
        <w:t>getuigen</w:t>
      </w:r>
      <w:r w:rsidRPr="00D147A7">
        <w:rPr>
          <w:rStyle w:val="Voetnootmarkering"/>
          <w:rFonts w:ascii="Times New Roman" w:hAnsi="Times New Roman" w:cs="Times New Roman"/>
          <w:sz w:val="24"/>
          <w:szCs w:val="24"/>
        </w:rPr>
        <w:footnoteReference w:id="54"/>
      </w:r>
      <w:r w:rsidRPr="00D147A7">
        <w:rPr>
          <w:rFonts w:ascii="Times New Roman" w:hAnsi="Times New Roman" w:cs="Times New Roman"/>
          <w:sz w:val="24"/>
          <w:szCs w:val="24"/>
        </w:rPr>
        <w:t xml:space="preserve">), zou dit zeker en vast een toegevoegde waarde geweest zijn voor </w:t>
      </w:r>
      <w:r w:rsidR="00E57C39" w:rsidRPr="00D147A7">
        <w:rPr>
          <w:rFonts w:ascii="Times New Roman" w:hAnsi="Times New Roman" w:cs="Times New Roman"/>
          <w:sz w:val="24"/>
          <w:szCs w:val="24"/>
        </w:rPr>
        <w:t>deze studie</w:t>
      </w:r>
      <w:r w:rsidRPr="00D147A7">
        <w:rPr>
          <w:rFonts w:ascii="Times New Roman" w:hAnsi="Times New Roman" w:cs="Times New Roman"/>
          <w:sz w:val="24"/>
          <w:szCs w:val="24"/>
        </w:rPr>
        <w:t>. Jammer genoeg bleek in de loop van mijn onderzoek dat de kloof tussen Common en Civil law – de twee grootste rechtstradi</w:t>
      </w:r>
      <w:r w:rsidR="000523F5">
        <w:rPr>
          <w:rFonts w:ascii="Times New Roman" w:hAnsi="Times New Roman" w:cs="Times New Roman"/>
          <w:sz w:val="24"/>
          <w:szCs w:val="24"/>
        </w:rPr>
        <w:t>-</w:t>
      </w:r>
      <w:r w:rsidRPr="00D147A7">
        <w:rPr>
          <w:rFonts w:ascii="Times New Roman" w:hAnsi="Times New Roman" w:cs="Times New Roman"/>
          <w:sz w:val="24"/>
          <w:szCs w:val="24"/>
        </w:rPr>
        <w:t>ties ter wereld – te groot was om door een niet-jurist te worden overbrugd. Door de ontstaans</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geschiedenis van beide rechtstradities bondig te schetsen, </w:t>
      </w:r>
      <w:r w:rsidR="00E57C39" w:rsidRPr="00D147A7">
        <w:rPr>
          <w:rFonts w:ascii="Times New Roman" w:hAnsi="Times New Roman" w:cs="Times New Roman"/>
          <w:sz w:val="24"/>
          <w:szCs w:val="24"/>
        </w:rPr>
        <w:t>tracht</w:t>
      </w:r>
      <w:r w:rsidRPr="00D147A7">
        <w:rPr>
          <w:rFonts w:ascii="Times New Roman" w:hAnsi="Times New Roman" w:cs="Times New Roman"/>
          <w:sz w:val="24"/>
          <w:szCs w:val="24"/>
        </w:rPr>
        <w:t xml:space="preserve"> ik de tegenstelling</w:t>
      </w:r>
      <w:r w:rsidR="00E57C39" w:rsidRPr="00D147A7">
        <w:rPr>
          <w:rFonts w:ascii="Times New Roman" w:hAnsi="Times New Roman" w:cs="Times New Roman"/>
          <w:sz w:val="24"/>
          <w:szCs w:val="24"/>
        </w:rPr>
        <w:t>en</w:t>
      </w:r>
      <w:r w:rsidRPr="00D147A7">
        <w:rPr>
          <w:rFonts w:ascii="Times New Roman" w:hAnsi="Times New Roman" w:cs="Times New Roman"/>
          <w:sz w:val="24"/>
          <w:szCs w:val="24"/>
        </w:rPr>
        <w:t xml:space="preserve"> te illu</w:t>
      </w:r>
      <w:r w:rsidR="000523F5">
        <w:rPr>
          <w:rFonts w:ascii="Times New Roman" w:hAnsi="Times New Roman" w:cs="Times New Roman"/>
          <w:sz w:val="24"/>
          <w:szCs w:val="24"/>
        </w:rPr>
        <w:t>-</w:t>
      </w:r>
      <w:r w:rsidRPr="00D147A7">
        <w:rPr>
          <w:rFonts w:ascii="Times New Roman" w:hAnsi="Times New Roman" w:cs="Times New Roman"/>
          <w:sz w:val="24"/>
          <w:szCs w:val="24"/>
        </w:rPr>
        <w:t>stre</w:t>
      </w:r>
      <w:r w:rsidR="000523F5">
        <w:rPr>
          <w:rFonts w:ascii="Times New Roman" w:hAnsi="Times New Roman" w:cs="Times New Roman"/>
          <w:sz w:val="24"/>
          <w:szCs w:val="24"/>
        </w:rPr>
        <w:t>ren.</w:t>
      </w:r>
    </w:p>
    <w:p w:rsidR="006B3547"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Toen Willem de Veroveraar in 1066 de slag bij Hastings won, kwam de Normandiër in het bezit van een land waarin de samenleving door ontelbare ongeschreven regels en gewoonten geregeld werd.</w:t>
      </w:r>
      <w:r w:rsidRPr="00D147A7">
        <w:rPr>
          <w:rStyle w:val="Voetnootmarkering"/>
          <w:rFonts w:ascii="Times New Roman" w:hAnsi="Times New Roman" w:cs="Times New Roman"/>
          <w:sz w:val="24"/>
          <w:szCs w:val="24"/>
        </w:rPr>
        <w:footnoteReference w:id="55"/>
      </w:r>
      <w:r w:rsidRPr="00D147A7">
        <w:rPr>
          <w:rFonts w:ascii="Times New Roman" w:hAnsi="Times New Roman" w:cs="Times New Roman"/>
          <w:sz w:val="24"/>
          <w:szCs w:val="24"/>
        </w:rPr>
        <w:t xml:space="preserve"> In plaats van alle lokale gewoonterechten te integreren, richtte Willem een centrale rechtbank – de </w:t>
      </w:r>
      <w:r w:rsidRPr="00D147A7">
        <w:rPr>
          <w:rFonts w:ascii="Times New Roman" w:hAnsi="Times New Roman" w:cs="Times New Roman"/>
          <w:i/>
          <w:sz w:val="24"/>
          <w:szCs w:val="24"/>
        </w:rPr>
        <w:t>King’s Court</w:t>
      </w:r>
      <w:r w:rsidRPr="00D147A7">
        <w:rPr>
          <w:rFonts w:ascii="Times New Roman" w:hAnsi="Times New Roman" w:cs="Times New Roman"/>
          <w:sz w:val="24"/>
          <w:szCs w:val="24"/>
        </w:rPr>
        <w:t xml:space="preserve"> – op.</w:t>
      </w:r>
      <w:r w:rsidRPr="00D147A7">
        <w:rPr>
          <w:rStyle w:val="Voetnootmarkering"/>
          <w:rFonts w:ascii="Times New Roman" w:hAnsi="Times New Roman" w:cs="Times New Roman"/>
          <w:sz w:val="24"/>
          <w:szCs w:val="24"/>
        </w:rPr>
        <w:footnoteReference w:id="56"/>
      </w:r>
      <w:r w:rsidRPr="00D147A7">
        <w:rPr>
          <w:rFonts w:ascii="Times New Roman" w:hAnsi="Times New Roman" w:cs="Times New Roman"/>
          <w:sz w:val="24"/>
          <w:szCs w:val="24"/>
        </w:rPr>
        <w:t xml:space="preserve"> Vanaf de 12</w:t>
      </w:r>
      <w:r w:rsidRPr="00D147A7">
        <w:rPr>
          <w:rFonts w:ascii="Times New Roman" w:hAnsi="Times New Roman" w:cs="Times New Roman"/>
          <w:sz w:val="24"/>
          <w:szCs w:val="24"/>
          <w:vertAlign w:val="superscript"/>
        </w:rPr>
        <w:t>de</w:t>
      </w:r>
      <w:r w:rsidRPr="00D147A7">
        <w:rPr>
          <w:rFonts w:ascii="Times New Roman" w:hAnsi="Times New Roman" w:cs="Times New Roman"/>
          <w:sz w:val="24"/>
          <w:szCs w:val="24"/>
        </w:rPr>
        <w:t xml:space="preserve"> eeuw zetelden de koninklijke rech</w:t>
      </w:r>
      <w:r w:rsidR="00C04265">
        <w:rPr>
          <w:rFonts w:ascii="Times New Roman" w:hAnsi="Times New Roman" w:cs="Times New Roman"/>
          <w:sz w:val="24"/>
          <w:szCs w:val="24"/>
        </w:rPr>
        <w:t>-</w:t>
      </w:r>
      <w:r w:rsidRPr="00D147A7">
        <w:rPr>
          <w:rFonts w:ascii="Times New Roman" w:hAnsi="Times New Roman" w:cs="Times New Roman"/>
          <w:sz w:val="24"/>
          <w:szCs w:val="24"/>
        </w:rPr>
        <w:t>ters ook in de verschillende lokale rechtbanken. Hoewel deze rechters aanvankelijk recht spraken op basis van het lokale gewoonterecht</w:t>
      </w:r>
      <w:r w:rsidRPr="00D147A7">
        <w:rPr>
          <w:rStyle w:val="Voetnootmarkering"/>
          <w:rFonts w:ascii="Times New Roman" w:hAnsi="Times New Roman" w:cs="Times New Roman"/>
          <w:sz w:val="24"/>
          <w:szCs w:val="24"/>
        </w:rPr>
        <w:footnoteReference w:id="57"/>
      </w:r>
      <w:r w:rsidRPr="00D147A7">
        <w:rPr>
          <w:rFonts w:ascii="Times New Roman" w:hAnsi="Times New Roman" w:cs="Times New Roman"/>
          <w:sz w:val="24"/>
          <w:szCs w:val="24"/>
        </w:rPr>
        <w:t>, was het onvermijdelijk dat gelijkaardige za</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ken mettertijd analoog behandeld werden. Alvorens een procedure voor de </w:t>
      </w:r>
      <w:r w:rsidRPr="00D147A7">
        <w:rPr>
          <w:rFonts w:ascii="Times New Roman" w:hAnsi="Times New Roman" w:cs="Times New Roman"/>
          <w:i/>
          <w:sz w:val="24"/>
          <w:szCs w:val="24"/>
        </w:rPr>
        <w:t>King’s Court</w:t>
      </w:r>
      <w:r w:rsidRPr="00D147A7">
        <w:rPr>
          <w:rFonts w:ascii="Times New Roman" w:hAnsi="Times New Roman" w:cs="Times New Roman"/>
          <w:sz w:val="24"/>
          <w:szCs w:val="24"/>
        </w:rPr>
        <w:t xml:space="preserve"> ge</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bracht kon worden, moest de eisende partij een </w:t>
      </w:r>
      <w:r w:rsidRPr="00D147A7">
        <w:rPr>
          <w:rFonts w:ascii="Times New Roman" w:hAnsi="Times New Roman" w:cs="Times New Roman"/>
          <w:i/>
          <w:sz w:val="24"/>
          <w:szCs w:val="24"/>
        </w:rPr>
        <w:t>writ</w:t>
      </w:r>
      <w:r w:rsidRPr="00D147A7">
        <w:rPr>
          <w:rFonts w:ascii="Times New Roman" w:hAnsi="Times New Roman" w:cs="Times New Roman"/>
          <w:sz w:val="24"/>
          <w:szCs w:val="24"/>
        </w:rPr>
        <w:t xml:space="preserve"> van de </w:t>
      </w:r>
      <w:r w:rsidRPr="00D147A7">
        <w:rPr>
          <w:rFonts w:ascii="Times New Roman" w:hAnsi="Times New Roman" w:cs="Times New Roman"/>
          <w:i/>
          <w:sz w:val="24"/>
          <w:szCs w:val="24"/>
        </w:rPr>
        <w:t>Lord Chancellor</w:t>
      </w:r>
      <w:r w:rsidRPr="00D147A7">
        <w:rPr>
          <w:rFonts w:ascii="Times New Roman" w:hAnsi="Times New Roman" w:cs="Times New Roman"/>
          <w:sz w:val="24"/>
          <w:szCs w:val="24"/>
        </w:rPr>
        <w:t xml:space="preserve">, de Konings rechterhand, verkregen hebben. Met deze </w:t>
      </w:r>
      <w:r w:rsidRPr="00D147A7">
        <w:rPr>
          <w:rFonts w:ascii="Times New Roman" w:hAnsi="Times New Roman" w:cs="Times New Roman"/>
          <w:i/>
          <w:sz w:val="24"/>
          <w:szCs w:val="24"/>
        </w:rPr>
        <w:t xml:space="preserve">writ </w:t>
      </w:r>
      <w:r w:rsidRPr="00D147A7">
        <w:rPr>
          <w:rFonts w:ascii="Times New Roman" w:hAnsi="Times New Roman" w:cs="Times New Roman"/>
          <w:sz w:val="24"/>
          <w:szCs w:val="24"/>
        </w:rPr>
        <w:t xml:space="preserve">werd de beschuldigde ertoe verplicht om aan de vordering van de eiser tegemoet te komen, tenzij hij of zij zich in rechte kon verweren. Omdat het voor de </w:t>
      </w:r>
      <w:r w:rsidRPr="00D147A7">
        <w:rPr>
          <w:rFonts w:ascii="Times New Roman" w:hAnsi="Times New Roman" w:cs="Times New Roman"/>
          <w:i/>
          <w:sz w:val="24"/>
          <w:szCs w:val="24"/>
        </w:rPr>
        <w:t xml:space="preserve">Lord Chancellor </w:t>
      </w:r>
      <w:r w:rsidRPr="00D147A7">
        <w:rPr>
          <w:rFonts w:ascii="Times New Roman" w:hAnsi="Times New Roman" w:cs="Times New Roman"/>
          <w:sz w:val="24"/>
          <w:szCs w:val="24"/>
        </w:rPr>
        <w:t xml:space="preserve">niet haalbaar was om geval per geval </w:t>
      </w:r>
      <w:r w:rsidRPr="00D147A7">
        <w:rPr>
          <w:rFonts w:ascii="Times New Roman" w:hAnsi="Times New Roman" w:cs="Times New Roman"/>
          <w:i/>
          <w:sz w:val="24"/>
          <w:szCs w:val="24"/>
        </w:rPr>
        <w:t>writs</w:t>
      </w:r>
      <w:r w:rsidRPr="00D147A7">
        <w:rPr>
          <w:rFonts w:ascii="Times New Roman" w:hAnsi="Times New Roman" w:cs="Times New Roman"/>
          <w:sz w:val="24"/>
          <w:szCs w:val="24"/>
        </w:rPr>
        <w:t xml:space="preserve"> uit te reiken, werden alle bestaande </w:t>
      </w:r>
      <w:r w:rsidRPr="00D147A7">
        <w:rPr>
          <w:rFonts w:ascii="Times New Roman" w:hAnsi="Times New Roman" w:cs="Times New Roman"/>
          <w:i/>
          <w:sz w:val="24"/>
          <w:szCs w:val="24"/>
        </w:rPr>
        <w:t>writs</w:t>
      </w:r>
      <w:r w:rsidRPr="00D147A7">
        <w:rPr>
          <w:rFonts w:ascii="Times New Roman" w:hAnsi="Times New Roman" w:cs="Times New Roman"/>
          <w:sz w:val="24"/>
          <w:szCs w:val="24"/>
        </w:rPr>
        <w:t xml:space="preserve">  in het </w:t>
      </w:r>
      <w:r w:rsidRPr="00D147A7">
        <w:rPr>
          <w:rFonts w:ascii="Times New Roman" w:hAnsi="Times New Roman" w:cs="Times New Roman"/>
          <w:i/>
          <w:sz w:val="24"/>
          <w:szCs w:val="24"/>
        </w:rPr>
        <w:t>register brevium</w:t>
      </w:r>
      <w:r w:rsidRPr="00D147A7">
        <w:rPr>
          <w:rFonts w:ascii="Times New Roman" w:hAnsi="Times New Roman" w:cs="Times New Roman"/>
          <w:sz w:val="24"/>
          <w:szCs w:val="24"/>
        </w:rPr>
        <w:t xml:space="preserve"> gebundeld.</w:t>
      </w:r>
      <w:r w:rsidRPr="00D147A7">
        <w:rPr>
          <w:rStyle w:val="Voetnootmarkering"/>
          <w:rFonts w:ascii="Times New Roman" w:hAnsi="Times New Roman" w:cs="Times New Roman"/>
          <w:sz w:val="24"/>
          <w:szCs w:val="24"/>
        </w:rPr>
        <w:footnoteReference w:id="58"/>
      </w:r>
      <w:r w:rsidRPr="00D147A7">
        <w:rPr>
          <w:rFonts w:ascii="Times New Roman" w:hAnsi="Times New Roman" w:cs="Times New Roman"/>
          <w:sz w:val="24"/>
          <w:szCs w:val="24"/>
        </w:rPr>
        <w:t xml:space="preserve"> Om de zaken toch enigszins te kun</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nen controleren, werd in de tweede </w:t>
      </w:r>
      <w:r w:rsidRPr="00D147A7">
        <w:rPr>
          <w:rFonts w:ascii="Times New Roman" w:hAnsi="Times New Roman" w:cs="Times New Roman"/>
          <w:i/>
          <w:sz w:val="24"/>
          <w:szCs w:val="24"/>
        </w:rPr>
        <w:t xml:space="preserve">Statutes of Westminster </w:t>
      </w:r>
      <w:r w:rsidRPr="00D147A7">
        <w:rPr>
          <w:rFonts w:ascii="Times New Roman" w:hAnsi="Times New Roman" w:cs="Times New Roman"/>
          <w:sz w:val="24"/>
          <w:szCs w:val="24"/>
        </w:rPr>
        <w:t xml:space="preserve">en de </w:t>
      </w:r>
      <w:r w:rsidRPr="00D147A7">
        <w:rPr>
          <w:rFonts w:ascii="Times New Roman" w:hAnsi="Times New Roman" w:cs="Times New Roman"/>
          <w:i/>
          <w:sz w:val="24"/>
          <w:szCs w:val="24"/>
        </w:rPr>
        <w:t xml:space="preserve">Provisions of Oxford </w:t>
      </w:r>
      <w:r w:rsidRPr="00D147A7">
        <w:rPr>
          <w:rFonts w:ascii="Times New Roman" w:hAnsi="Times New Roman" w:cs="Times New Roman"/>
          <w:sz w:val="24"/>
          <w:szCs w:val="24"/>
        </w:rPr>
        <w:t>(bei</w:t>
      </w:r>
      <w:r w:rsidR="000523F5">
        <w:rPr>
          <w:rFonts w:ascii="Times New Roman" w:hAnsi="Times New Roman" w:cs="Times New Roman"/>
          <w:sz w:val="24"/>
          <w:szCs w:val="24"/>
        </w:rPr>
        <w:t>-</w:t>
      </w:r>
      <w:r w:rsidRPr="00D147A7">
        <w:rPr>
          <w:rFonts w:ascii="Times New Roman" w:hAnsi="Times New Roman" w:cs="Times New Roman"/>
          <w:sz w:val="24"/>
          <w:szCs w:val="24"/>
        </w:rPr>
        <w:lastRenderedPageBreak/>
        <w:t xml:space="preserve">den uit 1258) besloten dat nieuwe </w:t>
      </w:r>
      <w:r w:rsidRPr="00D147A7">
        <w:rPr>
          <w:rFonts w:ascii="Times New Roman" w:hAnsi="Times New Roman" w:cs="Times New Roman"/>
          <w:i/>
          <w:sz w:val="24"/>
          <w:szCs w:val="24"/>
        </w:rPr>
        <w:t xml:space="preserve">writs </w:t>
      </w:r>
      <w:r w:rsidRPr="00D147A7">
        <w:rPr>
          <w:rFonts w:ascii="Times New Roman" w:hAnsi="Times New Roman" w:cs="Times New Roman"/>
          <w:sz w:val="24"/>
          <w:szCs w:val="24"/>
        </w:rPr>
        <w:t xml:space="preserve">voortaan alleen </w:t>
      </w:r>
      <w:r w:rsidRPr="00D147A7">
        <w:rPr>
          <w:rFonts w:ascii="Times New Roman" w:hAnsi="Times New Roman" w:cs="Times New Roman"/>
          <w:i/>
          <w:sz w:val="24"/>
          <w:szCs w:val="24"/>
        </w:rPr>
        <w:t xml:space="preserve">in consilimi casu </w:t>
      </w:r>
      <w:r w:rsidRPr="00D147A7">
        <w:rPr>
          <w:rFonts w:ascii="Times New Roman" w:hAnsi="Times New Roman" w:cs="Times New Roman"/>
          <w:sz w:val="24"/>
          <w:szCs w:val="24"/>
        </w:rPr>
        <w:t>mochten worden uit</w:t>
      </w:r>
      <w:r w:rsidR="000523F5">
        <w:rPr>
          <w:rFonts w:ascii="Times New Roman" w:hAnsi="Times New Roman" w:cs="Times New Roman"/>
          <w:sz w:val="24"/>
          <w:szCs w:val="24"/>
        </w:rPr>
        <w:t>-</w:t>
      </w:r>
      <w:r w:rsidRPr="00D147A7">
        <w:rPr>
          <w:rFonts w:ascii="Times New Roman" w:hAnsi="Times New Roman" w:cs="Times New Roman"/>
          <w:sz w:val="24"/>
          <w:szCs w:val="24"/>
        </w:rPr>
        <w:t>gevaardigd, i.e. als er in het verleden reeds voor een soortgelijke zaa</w:t>
      </w:r>
      <w:r w:rsidR="00E57C39" w:rsidRPr="00D147A7">
        <w:rPr>
          <w:rFonts w:ascii="Times New Roman" w:hAnsi="Times New Roman" w:cs="Times New Roman"/>
          <w:sz w:val="24"/>
          <w:szCs w:val="24"/>
        </w:rPr>
        <w:t>k</w:t>
      </w:r>
      <w:r w:rsidRPr="00D147A7">
        <w:rPr>
          <w:rFonts w:ascii="Times New Roman" w:hAnsi="Times New Roman" w:cs="Times New Roman"/>
          <w:sz w:val="24"/>
          <w:szCs w:val="24"/>
        </w:rPr>
        <w:t xml:space="preserve"> een </w:t>
      </w:r>
      <w:r w:rsidRPr="00D147A7">
        <w:rPr>
          <w:rFonts w:ascii="Times New Roman" w:hAnsi="Times New Roman" w:cs="Times New Roman"/>
          <w:i/>
          <w:sz w:val="24"/>
          <w:szCs w:val="24"/>
        </w:rPr>
        <w:t>writ</w:t>
      </w:r>
      <w:r w:rsidRPr="00D147A7">
        <w:rPr>
          <w:rFonts w:ascii="Times New Roman" w:hAnsi="Times New Roman" w:cs="Times New Roman"/>
          <w:sz w:val="24"/>
          <w:szCs w:val="24"/>
        </w:rPr>
        <w:t xml:space="preserve"> verleend was.</w:t>
      </w:r>
      <w:r w:rsidRPr="00D147A7">
        <w:rPr>
          <w:rStyle w:val="Voetnootmarkering"/>
          <w:rFonts w:ascii="Times New Roman" w:hAnsi="Times New Roman" w:cs="Times New Roman"/>
          <w:sz w:val="24"/>
          <w:szCs w:val="24"/>
        </w:rPr>
        <w:footnoteReference w:id="59"/>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Dit zijn de wortels van het huidige Engelse rechtsstelsel, waarin de rechterlijke op de wetge</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vende macht primeert en aan precedenten veel meer belang wordt gehecht als in de </w:t>
      </w:r>
      <w:r w:rsidRPr="00C04265">
        <w:rPr>
          <w:rFonts w:ascii="Times New Roman" w:hAnsi="Times New Roman" w:cs="Times New Roman"/>
          <w:i/>
          <w:sz w:val="24"/>
          <w:szCs w:val="24"/>
        </w:rPr>
        <w:t>Civil law</w:t>
      </w:r>
      <w:r w:rsidR="006B3547" w:rsidRPr="00D147A7">
        <w:rPr>
          <w:rFonts w:ascii="Times New Roman" w:hAnsi="Times New Roman" w:cs="Times New Roman"/>
          <w:sz w:val="24"/>
          <w:szCs w:val="24"/>
        </w:rPr>
        <w:t>-landen</w:t>
      </w:r>
      <w:r w:rsidRPr="00D147A7">
        <w:rPr>
          <w:rFonts w:ascii="Times New Roman" w:hAnsi="Times New Roman" w:cs="Times New Roman"/>
          <w:sz w:val="24"/>
          <w:szCs w:val="24"/>
        </w:rPr>
        <w:t xml:space="preserve">. Toch is het Engelse rechtsstelsel complexer dan dat. Omdat voor nieuwe problemen geen </w:t>
      </w:r>
      <w:r w:rsidRPr="00D147A7">
        <w:rPr>
          <w:rFonts w:ascii="Times New Roman" w:hAnsi="Times New Roman" w:cs="Times New Roman"/>
          <w:i/>
          <w:sz w:val="24"/>
          <w:szCs w:val="24"/>
        </w:rPr>
        <w:t>writs</w:t>
      </w:r>
      <w:r w:rsidRPr="00D147A7">
        <w:rPr>
          <w:rFonts w:ascii="Times New Roman" w:hAnsi="Times New Roman" w:cs="Times New Roman"/>
          <w:sz w:val="24"/>
          <w:szCs w:val="24"/>
        </w:rPr>
        <w:t xml:space="preserve"> verleend</w:t>
      </w:r>
      <w:r w:rsidR="006B3547" w:rsidRPr="00D147A7">
        <w:rPr>
          <w:rFonts w:ascii="Times New Roman" w:hAnsi="Times New Roman" w:cs="Times New Roman"/>
          <w:sz w:val="24"/>
          <w:szCs w:val="24"/>
        </w:rPr>
        <w:t xml:space="preserve"> werden</w:t>
      </w:r>
      <w:r w:rsidRPr="00D147A7">
        <w:rPr>
          <w:rFonts w:ascii="Times New Roman" w:hAnsi="Times New Roman" w:cs="Times New Roman"/>
          <w:sz w:val="24"/>
          <w:szCs w:val="24"/>
        </w:rPr>
        <w:t xml:space="preserve"> en het recht begon te verstarren, kregen almaar meer burgers geen gehoor bij de koninklijke rechtbanken. De </w:t>
      </w:r>
      <w:r w:rsidRPr="00D147A7">
        <w:rPr>
          <w:rFonts w:ascii="Times New Roman" w:hAnsi="Times New Roman" w:cs="Times New Roman"/>
          <w:i/>
          <w:sz w:val="24"/>
          <w:szCs w:val="24"/>
        </w:rPr>
        <w:t xml:space="preserve">Lord Chancellor </w:t>
      </w:r>
      <w:r w:rsidRPr="00D147A7">
        <w:rPr>
          <w:rFonts w:ascii="Times New Roman" w:hAnsi="Times New Roman" w:cs="Times New Roman"/>
          <w:sz w:val="24"/>
          <w:szCs w:val="24"/>
        </w:rPr>
        <w:t>kwam hieraan tegemoet door een</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 xml:space="preserve">nieuwe rechtbank, de </w:t>
      </w:r>
      <w:r w:rsidRPr="00D147A7">
        <w:rPr>
          <w:rFonts w:ascii="Times New Roman" w:hAnsi="Times New Roman" w:cs="Times New Roman"/>
          <w:i/>
          <w:sz w:val="24"/>
          <w:szCs w:val="24"/>
        </w:rPr>
        <w:t>Court of Chancery</w:t>
      </w:r>
      <w:r w:rsidRPr="00D147A7">
        <w:rPr>
          <w:rFonts w:ascii="Times New Roman" w:hAnsi="Times New Roman" w:cs="Times New Roman"/>
          <w:sz w:val="24"/>
          <w:szCs w:val="24"/>
        </w:rPr>
        <w:t>, op te richten.</w:t>
      </w:r>
      <w:r w:rsidRPr="00D147A7">
        <w:rPr>
          <w:rStyle w:val="Voetnootmarkering"/>
          <w:rFonts w:ascii="Times New Roman" w:hAnsi="Times New Roman" w:cs="Times New Roman"/>
          <w:sz w:val="24"/>
          <w:szCs w:val="24"/>
        </w:rPr>
        <w:footnoteReference w:id="60"/>
      </w:r>
      <w:r w:rsidRPr="00D147A7">
        <w:rPr>
          <w:rFonts w:ascii="Times New Roman" w:hAnsi="Times New Roman" w:cs="Times New Roman"/>
          <w:sz w:val="24"/>
          <w:szCs w:val="24"/>
        </w:rPr>
        <w:t xml:space="preserve"> Hieruit ontstonden de </w:t>
      </w:r>
      <w:r w:rsidRPr="00D147A7">
        <w:rPr>
          <w:rFonts w:ascii="Times New Roman" w:hAnsi="Times New Roman" w:cs="Times New Roman"/>
          <w:i/>
          <w:sz w:val="24"/>
          <w:szCs w:val="24"/>
        </w:rPr>
        <w:t>Equity Courts</w:t>
      </w:r>
      <w:r w:rsidRPr="00D147A7">
        <w:rPr>
          <w:rFonts w:ascii="Times New Roman" w:hAnsi="Times New Roman" w:cs="Times New Roman"/>
          <w:sz w:val="24"/>
          <w:szCs w:val="24"/>
        </w:rPr>
        <w:t>,</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 xml:space="preserve">waarin zaken waarvoor geen </w:t>
      </w:r>
      <w:r w:rsidRPr="00D147A7">
        <w:rPr>
          <w:rFonts w:ascii="Times New Roman" w:hAnsi="Times New Roman" w:cs="Times New Roman"/>
          <w:i/>
          <w:sz w:val="24"/>
          <w:szCs w:val="24"/>
        </w:rPr>
        <w:t>writs</w:t>
      </w:r>
      <w:r w:rsidRPr="00D147A7">
        <w:rPr>
          <w:rFonts w:ascii="Times New Roman" w:hAnsi="Times New Roman" w:cs="Times New Roman"/>
          <w:sz w:val="24"/>
          <w:szCs w:val="24"/>
        </w:rPr>
        <w:t xml:space="preserve"> voorhanden </w:t>
      </w:r>
      <w:r w:rsidR="006B3547" w:rsidRPr="00D147A7">
        <w:rPr>
          <w:rFonts w:ascii="Times New Roman" w:hAnsi="Times New Roman" w:cs="Times New Roman"/>
          <w:sz w:val="24"/>
          <w:szCs w:val="24"/>
        </w:rPr>
        <w:t>waren</w:t>
      </w:r>
      <w:r w:rsidRPr="00D147A7">
        <w:rPr>
          <w:rFonts w:ascii="Times New Roman" w:hAnsi="Times New Roman" w:cs="Times New Roman"/>
          <w:sz w:val="24"/>
          <w:szCs w:val="24"/>
        </w:rPr>
        <w:t xml:space="preserve"> aan de billijkheid van de </w:t>
      </w:r>
      <w:r w:rsidRPr="00D147A7">
        <w:rPr>
          <w:rFonts w:ascii="Times New Roman" w:hAnsi="Times New Roman" w:cs="Times New Roman"/>
          <w:i/>
          <w:sz w:val="24"/>
          <w:szCs w:val="24"/>
        </w:rPr>
        <w:t>Lord Chancel</w:t>
      </w:r>
      <w:r w:rsidR="00C04265">
        <w:rPr>
          <w:rFonts w:ascii="Times New Roman" w:hAnsi="Times New Roman" w:cs="Times New Roman"/>
          <w:i/>
          <w:sz w:val="24"/>
          <w:szCs w:val="24"/>
        </w:rPr>
        <w:t>-</w:t>
      </w:r>
      <w:r w:rsidRPr="00D147A7">
        <w:rPr>
          <w:rFonts w:ascii="Times New Roman" w:hAnsi="Times New Roman" w:cs="Times New Roman"/>
          <w:i/>
          <w:sz w:val="24"/>
          <w:szCs w:val="24"/>
        </w:rPr>
        <w:t>lor</w:t>
      </w:r>
      <w:r w:rsidRPr="00D147A7">
        <w:rPr>
          <w:rFonts w:ascii="Times New Roman" w:hAnsi="Times New Roman" w:cs="Times New Roman"/>
          <w:sz w:val="24"/>
          <w:szCs w:val="24"/>
        </w:rPr>
        <w:t xml:space="preserve"> getoetst w</w:t>
      </w:r>
      <w:r w:rsidR="006B3547" w:rsidRPr="00D147A7">
        <w:rPr>
          <w:rFonts w:ascii="Times New Roman" w:hAnsi="Times New Roman" w:cs="Times New Roman"/>
          <w:sz w:val="24"/>
          <w:szCs w:val="24"/>
        </w:rPr>
        <w:t>e</w:t>
      </w:r>
      <w:r w:rsidRPr="00D147A7">
        <w:rPr>
          <w:rFonts w:ascii="Times New Roman" w:hAnsi="Times New Roman" w:cs="Times New Roman"/>
          <w:sz w:val="24"/>
          <w:szCs w:val="24"/>
        </w:rPr>
        <w:t>rden. De stelregel luid</w:t>
      </w:r>
      <w:r w:rsidR="006B3547" w:rsidRPr="00D147A7">
        <w:rPr>
          <w:rFonts w:ascii="Times New Roman" w:hAnsi="Times New Roman" w:cs="Times New Roman"/>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equity follows the law</w:t>
      </w:r>
      <w:r w:rsidRPr="00D147A7">
        <w:rPr>
          <w:rFonts w:ascii="Times New Roman" w:hAnsi="Times New Roman" w:cs="Times New Roman"/>
          <w:sz w:val="24"/>
          <w:szCs w:val="24"/>
        </w:rPr>
        <w:t xml:space="preserve">, zodat het </w:t>
      </w:r>
      <w:r w:rsidRPr="00D147A7">
        <w:rPr>
          <w:rFonts w:ascii="Times New Roman" w:hAnsi="Times New Roman" w:cs="Times New Roman"/>
          <w:i/>
          <w:sz w:val="24"/>
          <w:szCs w:val="24"/>
        </w:rPr>
        <w:t>equity</w:t>
      </w:r>
      <w:r w:rsidRPr="00D147A7">
        <w:rPr>
          <w:rFonts w:ascii="Times New Roman" w:hAnsi="Times New Roman" w:cs="Times New Roman"/>
          <w:sz w:val="24"/>
          <w:szCs w:val="24"/>
        </w:rPr>
        <w:t xml:space="preserve">-systeem op geen enkel ogenblik een bedreiging vormde voor het </w:t>
      </w:r>
      <w:r w:rsidRPr="00D147A7">
        <w:rPr>
          <w:rFonts w:ascii="Times New Roman" w:hAnsi="Times New Roman" w:cs="Times New Roman"/>
          <w:i/>
          <w:sz w:val="24"/>
          <w:szCs w:val="24"/>
        </w:rPr>
        <w:t>Common law</w:t>
      </w:r>
      <w:r w:rsidR="006B3547" w:rsidRPr="00D147A7">
        <w:rPr>
          <w:rFonts w:ascii="Times New Roman" w:hAnsi="Times New Roman" w:cs="Times New Roman"/>
          <w:sz w:val="24"/>
          <w:szCs w:val="24"/>
        </w:rPr>
        <w:t>-stelsel.</w:t>
      </w:r>
    </w:p>
    <w:p w:rsidR="000523F5" w:rsidRDefault="000523F5" w:rsidP="000523F5">
      <w:pPr>
        <w:pStyle w:val="Geenafstand"/>
        <w:jc w:val="both"/>
        <w:rPr>
          <w:rFonts w:ascii="Times New Roman" w:hAnsi="Times New Roman" w:cs="Times New Roman"/>
          <w:sz w:val="24"/>
          <w:szCs w:val="24"/>
        </w:rPr>
      </w:pPr>
    </w:p>
    <w:p w:rsidR="003E1E00" w:rsidRPr="00D147A7" w:rsidRDefault="003E1E00" w:rsidP="000523F5">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Daartegenover staat de </w:t>
      </w:r>
      <w:r w:rsidRPr="00D147A7">
        <w:rPr>
          <w:rFonts w:ascii="Times New Roman" w:hAnsi="Times New Roman" w:cs="Times New Roman"/>
          <w:i/>
          <w:sz w:val="24"/>
          <w:szCs w:val="24"/>
        </w:rPr>
        <w:t>Civil law</w:t>
      </w:r>
      <w:r w:rsidRPr="00D147A7">
        <w:rPr>
          <w:rFonts w:ascii="Times New Roman" w:hAnsi="Times New Roman" w:cs="Times New Roman"/>
          <w:sz w:val="24"/>
          <w:szCs w:val="24"/>
        </w:rPr>
        <w:t>, een combinatie van het Romeinse recht, het Germaanse ge</w:t>
      </w:r>
      <w:r w:rsidR="000523F5">
        <w:rPr>
          <w:rFonts w:ascii="Times New Roman" w:hAnsi="Times New Roman" w:cs="Times New Roman"/>
          <w:sz w:val="24"/>
          <w:szCs w:val="24"/>
        </w:rPr>
        <w:t>-</w:t>
      </w:r>
      <w:r w:rsidRPr="00D147A7">
        <w:rPr>
          <w:rFonts w:ascii="Times New Roman" w:hAnsi="Times New Roman" w:cs="Times New Roman"/>
          <w:sz w:val="24"/>
          <w:szCs w:val="24"/>
        </w:rPr>
        <w:t>woonterecht en het canoniek recht.</w:t>
      </w:r>
      <w:r w:rsidRPr="00D147A7">
        <w:rPr>
          <w:rStyle w:val="Voetnootmarkering"/>
          <w:rFonts w:ascii="Times New Roman" w:hAnsi="Times New Roman" w:cs="Times New Roman"/>
          <w:sz w:val="24"/>
          <w:szCs w:val="24"/>
        </w:rPr>
        <w:footnoteReference w:id="61"/>
      </w:r>
      <w:r w:rsidRPr="00D147A7">
        <w:rPr>
          <w:rFonts w:ascii="Times New Roman" w:hAnsi="Times New Roman" w:cs="Times New Roman"/>
          <w:sz w:val="24"/>
          <w:szCs w:val="24"/>
        </w:rPr>
        <w:t xml:space="preserve"> Dé belangrijkste bron van het Romeinse recht bij uitstek is het </w:t>
      </w:r>
      <w:r w:rsidRPr="00D147A7">
        <w:rPr>
          <w:rFonts w:ascii="Times New Roman" w:hAnsi="Times New Roman" w:cs="Times New Roman"/>
          <w:i/>
          <w:sz w:val="24"/>
          <w:szCs w:val="24"/>
        </w:rPr>
        <w:t>Corpus Iuris Civilis</w:t>
      </w:r>
      <w:r w:rsidRPr="00D147A7">
        <w:rPr>
          <w:rFonts w:ascii="Times New Roman" w:hAnsi="Times New Roman" w:cs="Times New Roman"/>
          <w:sz w:val="24"/>
          <w:szCs w:val="24"/>
        </w:rPr>
        <w:t xml:space="preserve">, een naslagwerk waarin keizer Justinianus tussen 527 en 534 alle toenmalige Romeinse rechtsbronnen liet optekenen. Toch was de invloed van het </w:t>
      </w:r>
      <w:r w:rsidRPr="00D147A7">
        <w:rPr>
          <w:rFonts w:ascii="Times New Roman" w:hAnsi="Times New Roman" w:cs="Times New Roman"/>
          <w:i/>
          <w:sz w:val="24"/>
          <w:szCs w:val="24"/>
        </w:rPr>
        <w:t>Corpus</w:t>
      </w:r>
      <w:r w:rsidRPr="00D147A7">
        <w:rPr>
          <w:rFonts w:ascii="Times New Roman" w:hAnsi="Times New Roman" w:cs="Times New Roman"/>
          <w:sz w:val="24"/>
          <w:szCs w:val="24"/>
        </w:rPr>
        <w:t xml:space="preserve"> aan</w:t>
      </w:r>
      <w:r w:rsidR="000523F5">
        <w:rPr>
          <w:rFonts w:ascii="Times New Roman" w:hAnsi="Times New Roman" w:cs="Times New Roman"/>
          <w:sz w:val="24"/>
          <w:szCs w:val="24"/>
        </w:rPr>
        <w:t>-</w:t>
      </w:r>
      <w:r w:rsidRPr="00D147A7">
        <w:rPr>
          <w:rFonts w:ascii="Times New Roman" w:hAnsi="Times New Roman" w:cs="Times New Roman"/>
          <w:sz w:val="24"/>
          <w:szCs w:val="24"/>
        </w:rPr>
        <w:t>vankelijk eerder gering, aangezien het wetboek in de Latijnse taal opgesteld was en de voer</w:t>
      </w:r>
      <w:r w:rsidR="000523F5">
        <w:rPr>
          <w:rFonts w:ascii="Times New Roman" w:hAnsi="Times New Roman" w:cs="Times New Roman"/>
          <w:sz w:val="24"/>
          <w:szCs w:val="24"/>
        </w:rPr>
        <w:t>-</w:t>
      </w:r>
      <w:r w:rsidRPr="00D147A7">
        <w:rPr>
          <w:rFonts w:ascii="Times New Roman" w:hAnsi="Times New Roman" w:cs="Times New Roman"/>
          <w:sz w:val="24"/>
          <w:szCs w:val="24"/>
        </w:rPr>
        <w:t>taal in het Oost Romeinse Rijk tot nader order Grieks was.</w:t>
      </w:r>
      <w:r w:rsidRPr="00D147A7">
        <w:rPr>
          <w:rStyle w:val="Voetnootmarkering"/>
          <w:rFonts w:ascii="Times New Roman" w:hAnsi="Times New Roman" w:cs="Times New Roman"/>
          <w:sz w:val="24"/>
          <w:szCs w:val="24"/>
        </w:rPr>
        <w:footnoteReference w:id="62"/>
      </w:r>
      <w:r w:rsidRPr="00D147A7">
        <w:rPr>
          <w:rFonts w:ascii="Times New Roman" w:hAnsi="Times New Roman" w:cs="Times New Roman"/>
          <w:sz w:val="24"/>
          <w:szCs w:val="24"/>
        </w:rPr>
        <w:t xml:space="preserve"> Ook in het Westen kende het ju</w:t>
      </w:r>
      <w:r w:rsidR="00C04265">
        <w:rPr>
          <w:rFonts w:ascii="Times New Roman" w:hAnsi="Times New Roman" w:cs="Times New Roman"/>
          <w:sz w:val="24"/>
          <w:szCs w:val="24"/>
        </w:rPr>
        <w:t>-</w:t>
      </w:r>
      <w:r w:rsidRPr="00D147A7">
        <w:rPr>
          <w:rFonts w:ascii="Times New Roman" w:hAnsi="Times New Roman" w:cs="Times New Roman"/>
          <w:sz w:val="24"/>
          <w:szCs w:val="24"/>
        </w:rPr>
        <w:t>ridische compendium geen doorwerking.</w:t>
      </w:r>
      <w:r w:rsidRPr="00D147A7">
        <w:rPr>
          <w:rStyle w:val="Voetnootmarkering"/>
          <w:rFonts w:ascii="Times New Roman" w:hAnsi="Times New Roman" w:cs="Times New Roman"/>
          <w:sz w:val="24"/>
          <w:szCs w:val="24"/>
        </w:rPr>
        <w:footnoteReference w:id="63"/>
      </w:r>
      <w:r w:rsidRPr="00D147A7">
        <w:rPr>
          <w:rFonts w:ascii="Times New Roman" w:hAnsi="Times New Roman" w:cs="Times New Roman"/>
          <w:sz w:val="24"/>
          <w:szCs w:val="24"/>
        </w:rPr>
        <w:t xml:space="preserve"> In 476 hadden de Germanen immers definitief de machtsstrijd tegen de Romeinen gewonnen. Toch ging het Romeinse recht er niet geheel ver</w:t>
      </w:r>
      <w:r w:rsidR="000523F5">
        <w:rPr>
          <w:rFonts w:ascii="Times New Roman" w:hAnsi="Times New Roman" w:cs="Times New Roman"/>
          <w:sz w:val="24"/>
          <w:szCs w:val="24"/>
        </w:rPr>
        <w:t>-</w:t>
      </w:r>
      <w:r w:rsidRPr="00D147A7">
        <w:rPr>
          <w:rFonts w:ascii="Times New Roman" w:hAnsi="Times New Roman" w:cs="Times New Roman"/>
          <w:sz w:val="24"/>
          <w:szCs w:val="24"/>
        </w:rPr>
        <w:t xml:space="preserve">loren, daar de Germanen niet de ambitie </w:t>
      </w:r>
      <w:r w:rsidR="00701B52" w:rsidRPr="00D147A7">
        <w:rPr>
          <w:rFonts w:ascii="Times New Roman" w:hAnsi="Times New Roman" w:cs="Times New Roman"/>
          <w:sz w:val="24"/>
          <w:szCs w:val="24"/>
        </w:rPr>
        <w:t xml:space="preserve">hadden </w:t>
      </w:r>
      <w:r w:rsidRPr="00D147A7">
        <w:rPr>
          <w:rFonts w:ascii="Times New Roman" w:hAnsi="Times New Roman" w:cs="Times New Roman"/>
          <w:sz w:val="24"/>
          <w:szCs w:val="24"/>
        </w:rPr>
        <w:t>om de positie</w:t>
      </w:r>
      <w:r w:rsidR="00701B52" w:rsidRPr="00D147A7">
        <w:rPr>
          <w:rFonts w:ascii="Times New Roman" w:hAnsi="Times New Roman" w:cs="Times New Roman"/>
          <w:sz w:val="24"/>
          <w:szCs w:val="24"/>
        </w:rPr>
        <w:t xml:space="preserve"> van de Romeinen over te ne</w:t>
      </w:r>
      <w:r w:rsidR="00C04265">
        <w:rPr>
          <w:rFonts w:ascii="Times New Roman" w:hAnsi="Times New Roman" w:cs="Times New Roman"/>
          <w:sz w:val="24"/>
          <w:szCs w:val="24"/>
        </w:rPr>
        <w:t>-</w:t>
      </w:r>
      <w:r w:rsidR="00701B52" w:rsidRPr="00D147A7">
        <w:rPr>
          <w:rFonts w:ascii="Times New Roman" w:hAnsi="Times New Roman" w:cs="Times New Roman"/>
          <w:sz w:val="24"/>
          <w:szCs w:val="24"/>
        </w:rPr>
        <w:t xml:space="preserve">men </w:t>
      </w:r>
      <w:r w:rsidRPr="00D147A7">
        <w:rPr>
          <w:rFonts w:ascii="Times New Roman" w:hAnsi="Times New Roman" w:cs="Times New Roman"/>
          <w:sz w:val="24"/>
          <w:szCs w:val="24"/>
        </w:rPr>
        <w:t xml:space="preserve">en één groot imperium centraal te besturen. Germaanse volkeren die voor de val van het West Romeinse Rijk in </w:t>
      </w:r>
      <w:r w:rsidRPr="00D147A7">
        <w:rPr>
          <w:rFonts w:ascii="Times New Roman" w:hAnsi="Times New Roman" w:cs="Times New Roman"/>
          <w:i/>
          <w:sz w:val="24"/>
          <w:szCs w:val="24"/>
        </w:rPr>
        <w:t>foederati</w:t>
      </w:r>
      <w:r w:rsidRPr="00D147A7">
        <w:rPr>
          <w:rFonts w:ascii="Times New Roman" w:hAnsi="Times New Roman" w:cs="Times New Roman"/>
          <w:sz w:val="24"/>
          <w:szCs w:val="24"/>
        </w:rPr>
        <w:t xml:space="preserve"> op het Romeins grondgebied leefden, werden door de Ro</w:t>
      </w:r>
      <w:r w:rsidR="00C04265">
        <w:rPr>
          <w:rFonts w:ascii="Times New Roman" w:hAnsi="Times New Roman" w:cs="Times New Roman"/>
          <w:sz w:val="24"/>
          <w:szCs w:val="24"/>
        </w:rPr>
        <w:t>-</w:t>
      </w:r>
      <w:r w:rsidRPr="00D147A7">
        <w:rPr>
          <w:rFonts w:ascii="Times New Roman" w:hAnsi="Times New Roman" w:cs="Times New Roman"/>
          <w:sz w:val="24"/>
          <w:szCs w:val="24"/>
        </w:rPr>
        <w:t>meinen als gemeenschap binnen een gemeenschap beschouwd en mochten hun eigen rechts</w:t>
      </w:r>
      <w:r w:rsidR="00C04265">
        <w:rPr>
          <w:rFonts w:ascii="Times New Roman" w:hAnsi="Times New Roman" w:cs="Times New Roman"/>
          <w:sz w:val="24"/>
          <w:szCs w:val="24"/>
        </w:rPr>
        <w:t>-</w:t>
      </w:r>
      <w:r w:rsidRPr="00D147A7">
        <w:rPr>
          <w:rFonts w:ascii="Times New Roman" w:hAnsi="Times New Roman" w:cs="Times New Roman"/>
          <w:sz w:val="24"/>
          <w:szCs w:val="24"/>
        </w:rPr>
        <w:t>stelsel behouden. Op hun beurt tolereerden de Germanen dat de Romeinen na 476 aan het Ro</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meinse rechtssysteem vasthielden. Aanvankelijk leefde men en werd men beoordeeld volgens het recht van het volk waartoe men behoorde (personaliteitsprincipe), wat later bepaald werd door de plaats waar men woonde (territorialiteitsbeginsel). In het kader van de renaissance van de </w:t>
      </w:r>
      <w:r w:rsidR="00701B52" w:rsidRPr="00D147A7">
        <w:rPr>
          <w:rFonts w:ascii="Times New Roman" w:hAnsi="Times New Roman" w:cs="Times New Roman"/>
          <w:sz w:val="24"/>
          <w:szCs w:val="24"/>
        </w:rPr>
        <w:t>12</w:t>
      </w:r>
      <w:r w:rsidR="00701B52" w:rsidRPr="00D147A7">
        <w:rPr>
          <w:rFonts w:ascii="Times New Roman" w:hAnsi="Times New Roman" w:cs="Times New Roman"/>
          <w:sz w:val="24"/>
          <w:szCs w:val="24"/>
          <w:vertAlign w:val="superscript"/>
        </w:rPr>
        <w:t>de</w:t>
      </w:r>
      <w:r w:rsidR="00701B52" w:rsidRPr="00D147A7">
        <w:rPr>
          <w:rFonts w:ascii="Times New Roman" w:hAnsi="Times New Roman" w:cs="Times New Roman"/>
          <w:sz w:val="24"/>
          <w:szCs w:val="24"/>
        </w:rPr>
        <w:t xml:space="preserve"> </w:t>
      </w:r>
      <w:r w:rsidRPr="00D147A7">
        <w:rPr>
          <w:rFonts w:ascii="Times New Roman" w:hAnsi="Times New Roman" w:cs="Times New Roman"/>
          <w:sz w:val="24"/>
          <w:szCs w:val="24"/>
        </w:rPr>
        <w:t>eeuw kende het Romeinse recht een ware heropleving, onder meer door de ont</w:t>
      </w:r>
      <w:r w:rsidR="00C04265">
        <w:rPr>
          <w:rFonts w:ascii="Times New Roman" w:hAnsi="Times New Roman" w:cs="Times New Roman"/>
          <w:sz w:val="24"/>
          <w:szCs w:val="24"/>
        </w:rPr>
        <w:t>-</w:t>
      </w:r>
      <w:r w:rsidRPr="00D147A7">
        <w:rPr>
          <w:rFonts w:ascii="Times New Roman" w:hAnsi="Times New Roman" w:cs="Times New Roman"/>
          <w:sz w:val="24"/>
          <w:szCs w:val="24"/>
        </w:rPr>
        <w:t>wikkeling van de steden, de heropleving van de handel en de opkomst van de universiteiten.</w:t>
      </w:r>
      <w:r w:rsidRPr="00D147A7">
        <w:rPr>
          <w:rStyle w:val="Voetnootmarkering"/>
          <w:rFonts w:ascii="Times New Roman" w:hAnsi="Times New Roman" w:cs="Times New Roman"/>
          <w:sz w:val="24"/>
          <w:szCs w:val="24"/>
        </w:rPr>
        <w:footnoteReference w:id="64"/>
      </w:r>
      <w:r w:rsidRPr="00D147A7">
        <w:rPr>
          <w:rFonts w:ascii="Times New Roman" w:hAnsi="Times New Roman" w:cs="Times New Roman"/>
          <w:sz w:val="24"/>
          <w:szCs w:val="24"/>
        </w:rPr>
        <w:t xml:space="preserve"> Het Romeinse recht was ook in de vorm van het canoniek (of kerkelijk) recht voort</w:t>
      </w:r>
      <w:r w:rsidR="00C04265">
        <w:rPr>
          <w:rFonts w:ascii="Times New Roman" w:hAnsi="Times New Roman" w:cs="Times New Roman"/>
          <w:sz w:val="24"/>
          <w:szCs w:val="24"/>
        </w:rPr>
        <w:t xml:space="preserve"> </w:t>
      </w:r>
      <w:r w:rsidR="00C04265" w:rsidRPr="00D147A7">
        <w:rPr>
          <w:rFonts w:ascii="Times New Roman" w:hAnsi="Times New Roman" w:cs="Times New Roman"/>
          <w:sz w:val="24"/>
          <w:szCs w:val="24"/>
        </w:rPr>
        <w:t xml:space="preserve">blijven </w:t>
      </w:r>
      <w:r w:rsidRPr="00D147A7">
        <w:rPr>
          <w:rFonts w:ascii="Times New Roman" w:hAnsi="Times New Roman" w:cs="Times New Roman"/>
          <w:sz w:val="24"/>
          <w:szCs w:val="24"/>
        </w:rPr>
        <w:t>le</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ven. In die zin heeft het Romeinse recht ook een zekere invloed uitgeoefend op de </w:t>
      </w:r>
      <w:r w:rsidRPr="00D147A7">
        <w:rPr>
          <w:rFonts w:ascii="Times New Roman" w:hAnsi="Times New Roman" w:cs="Times New Roman"/>
          <w:i/>
          <w:sz w:val="24"/>
          <w:szCs w:val="24"/>
        </w:rPr>
        <w:t>Common law</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5"/>
      </w:r>
      <w:r w:rsidRPr="00D147A7">
        <w:rPr>
          <w:rFonts w:ascii="Times New Roman" w:hAnsi="Times New Roman" w:cs="Times New Roman"/>
          <w:sz w:val="24"/>
          <w:szCs w:val="24"/>
        </w:rPr>
        <w:t xml:space="preserve"> In het huidige Europa werd het </w:t>
      </w:r>
      <w:r w:rsidRPr="00D147A7">
        <w:rPr>
          <w:rFonts w:ascii="Times New Roman" w:hAnsi="Times New Roman" w:cs="Times New Roman"/>
          <w:i/>
          <w:sz w:val="24"/>
          <w:szCs w:val="24"/>
        </w:rPr>
        <w:t>ius commune</w:t>
      </w:r>
      <w:r w:rsidRPr="00D147A7">
        <w:rPr>
          <w:rFonts w:ascii="Times New Roman" w:hAnsi="Times New Roman" w:cs="Times New Roman"/>
          <w:sz w:val="24"/>
          <w:szCs w:val="24"/>
        </w:rPr>
        <w:t xml:space="preserve"> (waartoe het Romeins en het canoniek recht gerekend worden) naast het Germaanse gewoonterecht gehanteerd. Initieel </w:t>
      </w:r>
      <w:r w:rsidR="00701B52" w:rsidRPr="00D147A7">
        <w:rPr>
          <w:rFonts w:ascii="Times New Roman" w:hAnsi="Times New Roman" w:cs="Times New Roman"/>
          <w:sz w:val="24"/>
          <w:szCs w:val="24"/>
        </w:rPr>
        <w:t>h</w:t>
      </w:r>
      <w:r w:rsidRPr="00D147A7">
        <w:rPr>
          <w:rFonts w:ascii="Times New Roman" w:hAnsi="Times New Roman" w:cs="Times New Roman"/>
          <w:sz w:val="24"/>
          <w:szCs w:val="24"/>
        </w:rPr>
        <w:t>a</w:t>
      </w:r>
      <w:r w:rsidR="00701B52" w:rsidRPr="00D147A7">
        <w:rPr>
          <w:rFonts w:ascii="Times New Roman" w:hAnsi="Times New Roman" w:cs="Times New Roman"/>
          <w:sz w:val="24"/>
          <w:szCs w:val="24"/>
        </w:rPr>
        <w:t>d</w:t>
      </w:r>
      <w:r w:rsidRPr="00D147A7">
        <w:rPr>
          <w:rFonts w:ascii="Times New Roman" w:hAnsi="Times New Roman" w:cs="Times New Roman"/>
          <w:sz w:val="24"/>
          <w:szCs w:val="24"/>
        </w:rPr>
        <w:t xml:space="preserve"> het Ro</w:t>
      </w:r>
      <w:r w:rsidR="00C04265">
        <w:rPr>
          <w:rFonts w:ascii="Times New Roman" w:hAnsi="Times New Roman" w:cs="Times New Roman"/>
          <w:sz w:val="24"/>
          <w:szCs w:val="24"/>
        </w:rPr>
        <w:t>-</w:t>
      </w:r>
      <w:r w:rsidRPr="00D147A7">
        <w:rPr>
          <w:rFonts w:ascii="Times New Roman" w:hAnsi="Times New Roman" w:cs="Times New Roman"/>
          <w:sz w:val="24"/>
          <w:szCs w:val="24"/>
        </w:rPr>
        <w:t>meinse recht de bovenhand, maar groeide vanaf de 16</w:t>
      </w:r>
      <w:r w:rsidRPr="00D147A7">
        <w:rPr>
          <w:rFonts w:ascii="Times New Roman" w:hAnsi="Times New Roman" w:cs="Times New Roman"/>
          <w:sz w:val="24"/>
          <w:szCs w:val="24"/>
          <w:vertAlign w:val="superscript"/>
        </w:rPr>
        <w:t>de</w:t>
      </w:r>
      <w:r w:rsidRPr="00D147A7">
        <w:rPr>
          <w:rFonts w:ascii="Times New Roman" w:hAnsi="Times New Roman" w:cs="Times New Roman"/>
          <w:sz w:val="24"/>
          <w:szCs w:val="24"/>
        </w:rPr>
        <w:t xml:space="preserve"> eeuw naar het </w:t>
      </w:r>
      <w:r w:rsidRPr="00D147A7">
        <w:rPr>
          <w:rFonts w:ascii="Times New Roman" w:hAnsi="Times New Roman" w:cs="Times New Roman"/>
          <w:i/>
          <w:sz w:val="24"/>
          <w:szCs w:val="24"/>
        </w:rPr>
        <w:t>ius commune</w:t>
      </w:r>
      <w:r w:rsidRPr="00D147A7">
        <w:rPr>
          <w:rFonts w:ascii="Times New Roman" w:hAnsi="Times New Roman" w:cs="Times New Roman"/>
          <w:sz w:val="24"/>
          <w:szCs w:val="24"/>
        </w:rPr>
        <w:t xml:space="preserve"> toe. Men poogde m.a.w. de lokale gewoonterechten aan de hand van het Romeins recht te uni</w:t>
      </w:r>
      <w:r w:rsidR="000523F5">
        <w:rPr>
          <w:rFonts w:ascii="Times New Roman" w:hAnsi="Times New Roman" w:cs="Times New Roman"/>
          <w:sz w:val="24"/>
          <w:szCs w:val="24"/>
        </w:rPr>
        <w:t>-</w:t>
      </w:r>
      <w:r w:rsidRPr="00D147A7">
        <w:rPr>
          <w:rFonts w:ascii="Times New Roman" w:hAnsi="Times New Roman" w:cs="Times New Roman"/>
          <w:sz w:val="24"/>
          <w:szCs w:val="24"/>
        </w:rPr>
        <w:t>ficeren. Ieder gebied legde de nadruk op het (gewoonte)recht uit de eigen streek, waardoor nationale rechtssystemen vandaag de dag onderlinge verschillen vertonen.</w:t>
      </w:r>
      <w:r w:rsidRPr="00D147A7">
        <w:rPr>
          <w:rStyle w:val="Voetnootmarkering"/>
          <w:rFonts w:ascii="Times New Roman" w:hAnsi="Times New Roman" w:cs="Times New Roman"/>
          <w:sz w:val="24"/>
          <w:szCs w:val="24"/>
        </w:rPr>
        <w:footnoteReference w:id="66"/>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Het moet opgemerkt worden dat het verschil tussen beide rechtstradities niet meer is wat het geweest is. In </w:t>
      </w:r>
      <w:r w:rsidRPr="00D147A7">
        <w:rPr>
          <w:rFonts w:ascii="Times New Roman" w:hAnsi="Times New Roman" w:cs="Times New Roman"/>
          <w:i/>
          <w:sz w:val="24"/>
          <w:szCs w:val="24"/>
        </w:rPr>
        <w:t>Common law</w:t>
      </w:r>
      <w:r w:rsidRPr="00D147A7">
        <w:rPr>
          <w:rFonts w:ascii="Times New Roman" w:hAnsi="Times New Roman" w:cs="Times New Roman"/>
          <w:sz w:val="24"/>
          <w:szCs w:val="24"/>
        </w:rPr>
        <w:t xml:space="preserve">-landen wordt almaar meer belang aan wetgeving gehecht, terwijl </w:t>
      </w:r>
      <w:r w:rsidRPr="00D147A7">
        <w:rPr>
          <w:rFonts w:ascii="Times New Roman" w:hAnsi="Times New Roman" w:cs="Times New Roman"/>
          <w:sz w:val="24"/>
          <w:szCs w:val="24"/>
        </w:rPr>
        <w:lastRenderedPageBreak/>
        <w:t xml:space="preserve">het aandeel van rechtspraak in </w:t>
      </w:r>
      <w:r w:rsidRPr="00D147A7">
        <w:rPr>
          <w:rFonts w:ascii="Times New Roman" w:hAnsi="Times New Roman" w:cs="Times New Roman"/>
          <w:i/>
          <w:sz w:val="24"/>
          <w:szCs w:val="24"/>
        </w:rPr>
        <w:t>Civil law</w:t>
      </w:r>
      <w:r w:rsidRPr="00D147A7">
        <w:rPr>
          <w:rFonts w:ascii="Times New Roman" w:hAnsi="Times New Roman" w:cs="Times New Roman"/>
          <w:sz w:val="24"/>
          <w:szCs w:val="24"/>
        </w:rPr>
        <w:t xml:space="preserve">-landen toeneemt. Dat is niet onlogisch. </w:t>
      </w:r>
      <w:r w:rsidRPr="00D147A7">
        <w:rPr>
          <w:rFonts w:ascii="Times New Roman" w:hAnsi="Times New Roman" w:cs="Times New Roman"/>
          <w:i/>
          <w:sz w:val="24"/>
          <w:szCs w:val="24"/>
        </w:rPr>
        <w:t>Common</w:t>
      </w:r>
      <w:r w:rsidRPr="00D147A7">
        <w:rPr>
          <w:rFonts w:ascii="Times New Roman" w:hAnsi="Times New Roman" w:cs="Times New Roman"/>
          <w:sz w:val="24"/>
          <w:szCs w:val="24"/>
        </w:rPr>
        <w:t xml:space="preserve"> en </w:t>
      </w:r>
      <w:r w:rsidRPr="00D147A7">
        <w:rPr>
          <w:rFonts w:ascii="Times New Roman" w:hAnsi="Times New Roman" w:cs="Times New Roman"/>
          <w:i/>
          <w:sz w:val="24"/>
          <w:szCs w:val="24"/>
        </w:rPr>
        <w:t>Civil law</w:t>
      </w:r>
      <w:r w:rsidRPr="00D147A7">
        <w:rPr>
          <w:rFonts w:ascii="Times New Roman" w:hAnsi="Times New Roman" w:cs="Times New Roman"/>
          <w:sz w:val="24"/>
          <w:szCs w:val="24"/>
        </w:rPr>
        <w:t xml:space="preserve"> komen immers in analoge samenlevingen voor: democratische rechtsstaten, waar onaantastbare mensenrechten gelden en een vrije markteconomie heerst. Bovendien zijn </w:t>
      </w:r>
      <w:r w:rsidRPr="00D147A7">
        <w:rPr>
          <w:rFonts w:ascii="Times New Roman" w:hAnsi="Times New Roman" w:cs="Times New Roman"/>
          <w:i/>
          <w:sz w:val="24"/>
          <w:szCs w:val="24"/>
        </w:rPr>
        <w:t>Com</w:t>
      </w:r>
      <w:r w:rsidR="00C04265">
        <w:rPr>
          <w:rFonts w:ascii="Times New Roman" w:hAnsi="Times New Roman" w:cs="Times New Roman"/>
          <w:i/>
          <w:sz w:val="24"/>
          <w:szCs w:val="24"/>
        </w:rPr>
        <w:t>-</w:t>
      </w:r>
      <w:r w:rsidRPr="00D147A7">
        <w:rPr>
          <w:rFonts w:ascii="Times New Roman" w:hAnsi="Times New Roman" w:cs="Times New Roman"/>
          <w:i/>
          <w:sz w:val="24"/>
          <w:szCs w:val="24"/>
        </w:rPr>
        <w:t>mon</w:t>
      </w:r>
      <w:r w:rsidRPr="00D147A7">
        <w:rPr>
          <w:rFonts w:ascii="Times New Roman" w:hAnsi="Times New Roman" w:cs="Times New Roman"/>
          <w:sz w:val="24"/>
          <w:szCs w:val="24"/>
        </w:rPr>
        <w:t xml:space="preserve"> </w:t>
      </w:r>
      <w:r w:rsidR="008D269B">
        <w:rPr>
          <w:rFonts w:ascii="Times New Roman" w:hAnsi="Times New Roman" w:cs="Times New Roman"/>
          <w:sz w:val="24"/>
          <w:szCs w:val="24"/>
        </w:rPr>
        <w:t>en</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Civil law</w:t>
      </w:r>
      <w:r w:rsidRPr="00D147A7">
        <w:rPr>
          <w:rFonts w:ascii="Times New Roman" w:hAnsi="Times New Roman" w:cs="Times New Roman"/>
          <w:sz w:val="24"/>
          <w:szCs w:val="24"/>
        </w:rPr>
        <w:t xml:space="preserve">-landen </w:t>
      </w:r>
      <w:r w:rsidR="008D269B">
        <w:rPr>
          <w:rFonts w:ascii="Times New Roman" w:hAnsi="Times New Roman" w:cs="Times New Roman"/>
          <w:sz w:val="24"/>
          <w:szCs w:val="24"/>
        </w:rPr>
        <w:t>i</w:t>
      </w:r>
      <w:r w:rsidRPr="00D147A7">
        <w:rPr>
          <w:rFonts w:ascii="Times New Roman" w:hAnsi="Times New Roman" w:cs="Times New Roman"/>
          <w:sz w:val="24"/>
          <w:szCs w:val="24"/>
        </w:rPr>
        <w:t xml:space="preserve">n de Europese Unie </w:t>
      </w:r>
      <w:r w:rsidR="008D269B">
        <w:rPr>
          <w:rFonts w:ascii="Times New Roman" w:hAnsi="Times New Roman" w:cs="Times New Roman"/>
          <w:sz w:val="24"/>
          <w:szCs w:val="24"/>
        </w:rPr>
        <w:t>verenigd, waardoor</w:t>
      </w:r>
      <w:r w:rsidRPr="00D147A7">
        <w:rPr>
          <w:rFonts w:ascii="Times New Roman" w:hAnsi="Times New Roman" w:cs="Times New Roman"/>
          <w:sz w:val="24"/>
          <w:szCs w:val="24"/>
        </w:rPr>
        <w:t xml:space="preserve"> </w:t>
      </w:r>
      <w:r w:rsidR="008D269B">
        <w:rPr>
          <w:rFonts w:ascii="Times New Roman" w:hAnsi="Times New Roman" w:cs="Times New Roman"/>
          <w:sz w:val="24"/>
          <w:szCs w:val="24"/>
        </w:rPr>
        <w:t>hun</w:t>
      </w:r>
      <w:r w:rsidRPr="00D147A7">
        <w:rPr>
          <w:rFonts w:ascii="Times New Roman" w:hAnsi="Times New Roman" w:cs="Times New Roman"/>
          <w:sz w:val="24"/>
          <w:szCs w:val="24"/>
        </w:rPr>
        <w:t xml:space="preserve"> economische en wetge</w:t>
      </w:r>
      <w:r w:rsidR="00C04265">
        <w:rPr>
          <w:rFonts w:ascii="Times New Roman" w:hAnsi="Times New Roman" w:cs="Times New Roman"/>
          <w:sz w:val="24"/>
          <w:szCs w:val="24"/>
        </w:rPr>
        <w:t>-</w:t>
      </w:r>
      <w:r w:rsidRPr="00D147A7">
        <w:rPr>
          <w:rFonts w:ascii="Times New Roman" w:hAnsi="Times New Roman" w:cs="Times New Roman"/>
          <w:sz w:val="24"/>
          <w:szCs w:val="24"/>
        </w:rPr>
        <w:t>vende structuur</w:t>
      </w:r>
      <w:r w:rsidR="008D269B">
        <w:rPr>
          <w:rFonts w:ascii="Times New Roman" w:hAnsi="Times New Roman" w:cs="Times New Roman"/>
          <w:sz w:val="24"/>
          <w:szCs w:val="24"/>
        </w:rPr>
        <w:t xml:space="preserve"> op elkaar wordt afgestemd</w:t>
      </w:r>
      <w:r w:rsidRPr="00D147A7">
        <w:rPr>
          <w:rFonts w:ascii="Times New Roman" w:hAnsi="Times New Roman" w:cs="Times New Roman"/>
          <w:sz w:val="24"/>
          <w:szCs w:val="24"/>
        </w:rPr>
        <w:t xml:space="preserve">. Dat de tegenstelling toch te groot was om door mij te worden overbrugd, komt door de verschillende manier van denken en redeneren. In </w:t>
      </w:r>
      <w:r w:rsidRPr="00D147A7">
        <w:rPr>
          <w:rFonts w:ascii="Times New Roman" w:hAnsi="Times New Roman" w:cs="Times New Roman"/>
          <w:i/>
          <w:sz w:val="24"/>
          <w:szCs w:val="24"/>
        </w:rPr>
        <w:t>Common law</w:t>
      </w:r>
      <w:r w:rsidRPr="00D147A7">
        <w:rPr>
          <w:rFonts w:ascii="Times New Roman" w:hAnsi="Times New Roman" w:cs="Times New Roman"/>
          <w:sz w:val="24"/>
          <w:szCs w:val="24"/>
        </w:rPr>
        <w:t xml:space="preserve">-landen hebben precedenten nog steeds een zeer belangrijk aandeel, terwijl in </w:t>
      </w:r>
      <w:r w:rsidRPr="00D147A7">
        <w:rPr>
          <w:rFonts w:ascii="Times New Roman" w:hAnsi="Times New Roman" w:cs="Times New Roman"/>
          <w:i/>
          <w:sz w:val="24"/>
          <w:szCs w:val="24"/>
        </w:rPr>
        <w:t>C</w:t>
      </w:r>
      <w:r w:rsidR="00701B52" w:rsidRPr="00D147A7">
        <w:rPr>
          <w:rFonts w:ascii="Times New Roman" w:hAnsi="Times New Roman" w:cs="Times New Roman"/>
          <w:i/>
          <w:sz w:val="24"/>
          <w:szCs w:val="24"/>
        </w:rPr>
        <w:t>i</w:t>
      </w:r>
      <w:r w:rsidR="00C04265">
        <w:rPr>
          <w:rFonts w:ascii="Times New Roman" w:hAnsi="Times New Roman" w:cs="Times New Roman"/>
          <w:i/>
          <w:sz w:val="24"/>
          <w:szCs w:val="24"/>
        </w:rPr>
        <w:t>-</w:t>
      </w:r>
      <w:r w:rsidR="00701B52" w:rsidRPr="00D147A7">
        <w:rPr>
          <w:rFonts w:ascii="Times New Roman" w:hAnsi="Times New Roman" w:cs="Times New Roman"/>
          <w:i/>
          <w:sz w:val="24"/>
          <w:szCs w:val="24"/>
        </w:rPr>
        <w:t>vil</w:t>
      </w:r>
      <w:r w:rsidRPr="00D147A7">
        <w:rPr>
          <w:rFonts w:ascii="Times New Roman" w:hAnsi="Times New Roman" w:cs="Times New Roman"/>
          <w:i/>
          <w:sz w:val="24"/>
          <w:szCs w:val="24"/>
        </w:rPr>
        <w:t xml:space="preserve"> law</w:t>
      </w:r>
      <w:r w:rsidRPr="00D147A7">
        <w:rPr>
          <w:rFonts w:ascii="Times New Roman" w:hAnsi="Times New Roman" w:cs="Times New Roman"/>
          <w:sz w:val="24"/>
          <w:szCs w:val="24"/>
        </w:rPr>
        <w:t>-landen algemene abstracte rechtsregels verordend worden die op alle mogelijke geval</w:t>
      </w:r>
      <w:r w:rsidR="00C04265">
        <w:rPr>
          <w:rFonts w:ascii="Times New Roman" w:hAnsi="Times New Roman" w:cs="Times New Roman"/>
          <w:sz w:val="24"/>
          <w:szCs w:val="24"/>
        </w:rPr>
        <w:t>-</w:t>
      </w:r>
      <w:r w:rsidRPr="00D147A7">
        <w:rPr>
          <w:rFonts w:ascii="Times New Roman" w:hAnsi="Times New Roman" w:cs="Times New Roman"/>
          <w:sz w:val="24"/>
          <w:szCs w:val="24"/>
        </w:rPr>
        <w:t>len in de praktijk van toepassing worden geacht.</w:t>
      </w:r>
      <w:r w:rsidRPr="00D147A7">
        <w:rPr>
          <w:rStyle w:val="Voetnootmarkering"/>
          <w:rFonts w:ascii="Times New Roman" w:hAnsi="Times New Roman" w:cs="Times New Roman"/>
          <w:sz w:val="24"/>
          <w:szCs w:val="24"/>
        </w:rPr>
        <w:footnoteReference w:id="67"/>
      </w:r>
      <w:r w:rsidRPr="00D147A7">
        <w:rPr>
          <w:rFonts w:ascii="Times New Roman" w:hAnsi="Times New Roman" w:cs="Times New Roman"/>
          <w:sz w:val="24"/>
          <w:szCs w:val="24"/>
        </w:rPr>
        <w:t xml:space="preserve"> Zonder de nodige voorkennis is het niet al</w:t>
      </w:r>
      <w:r w:rsidR="00C04265">
        <w:rPr>
          <w:rFonts w:ascii="Times New Roman" w:hAnsi="Times New Roman" w:cs="Times New Roman"/>
          <w:sz w:val="24"/>
          <w:szCs w:val="24"/>
        </w:rPr>
        <w:t>-</w:t>
      </w:r>
      <w:r w:rsidRPr="00D147A7">
        <w:rPr>
          <w:rFonts w:ascii="Times New Roman" w:hAnsi="Times New Roman" w:cs="Times New Roman"/>
          <w:sz w:val="24"/>
          <w:szCs w:val="24"/>
        </w:rPr>
        <w:t>leen erg moeilijk om rechterlijke uitspraken in een buitenlands vakjargon te lezen (en te be</w:t>
      </w:r>
      <w:r w:rsidR="00C04265">
        <w:rPr>
          <w:rFonts w:ascii="Times New Roman" w:hAnsi="Times New Roman" w:cs="Times New Roman"/>
          <w:sz w:val="24"/>
          <w:szCs w:val="24"/>
        </w:rPr>
        <w:t>-</w:t>
      </w:r>
      <w:r w:rsidRPr="00D147A7">
        <w:rPr>
          <w:rFonts w:ascii="Times New Roman" w:hAnsi="Times New Roman" w:cs="Times New Roman"/>
          <w:sz w:val="24"/>
          <w:szCs w:val="24"/>
        </w:rPr>
        <w:t xml:space="preserve">grijpen), </w:t>
      </w:r>
      <w:r w:rsidR="00701B52" w:rsidRPr="00D147A7">
        <w:rPr>
          <w:rFonts w:ascii="Times New Roman" w:hAnsi="Times New Roman" w:cs="Times New Roman"/>
          <w:sz w:val="24"/>
          <w:szCs w:val="24"/>
        </w:rPr>
        <w:t xml:space="preserve">maar </w:t>
      </w:r>
      <w:r w:rsidRPr="00D147A7">
        <w:rPr>
          <w:rFonts w:ascii="Times New Roman" w:hAnsi="Times New Roman" w:cs="Times New Roman"/>
          <w:sz w:val="24"/>
          <w:szCs w:val="24"/>
        </w:rPr>
        <w:t>in België zijn dez</w:t>
      </w:r>
      <w:r w:rsidR="00701B52" w:rsidRPr="00D147A7">
        <w:rPr>
          <w:rFonts w:ascii="Times New Roman" w:hAnsi="Times New Roman" w:cs="Times New Roman"/>
          <w:sz w:val="24"/>
          <w:szCs w:val="24"/>
        </w:rPr>
        <w:t>e bronnen niet alomtegenwoordig.</w:t>
      </w:r>
    </w:p>
    <w:p w:rsidR="003E1E00" w:rsidRPr="00D147A7" w:rsidRDefault="003E1E00" w:rsidP="003E1E00">
      <w:pPr>
        <w:pStyle w:val="Geenafstand"/>
        <w:jc w:val="both"/>
        <w:rPr>
          <w:rFonts w:ascii="Times New Roman" w:hAnsi="Times New Roman" w:cs="Times New Roman"/>
          <w:sz w:val="24"/>
          <w:szCs w:val="24"/>
        </w:rPr>
      </w:pPr>
    </w:p>
    <w:p w:rsidR="00C04265" w:rsidRDefault="00C04265" w:rsidP="003E1E00">
      <w:pPr>
        <w:pStyle w:val="Geenafstand"/>
        <w:jc w:val="both"/>
        <w:rPr>
          <w:rFonts w:ascii="Times New Roman" w:hAnsi="Times New Roman" w:cs="Times New Roman"/>
          <w:smallCaps/>
          <w:sz w:val="24"/>
          <w:szCs w:val="24"/>
        </w:rPr>
      </w:pPr>
    </w:p>
    <w:p w:rsidR="003E1E00" w:rsidRPr="00D147A7" w:rsidRDefault="003E1E00" w:rsidP="003E1E00">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4. Bibliografie</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t>4.1 Wetgeving</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Besluitwet van 28 december 1944 betreffende de maatschappelijke zekerheid der arbeiders (BS 30 december 1944), herzien door de wet van 27 juni 1969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25 juli 1969).</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9 juni 1951 betreffende de repatriëring, door toedoen van de Staat, der lijken van sommigen der slachtoffers van de oorlog 1940-1945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15 juli 1951).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9 augustus 1954 tot regeling van de Rijksbijdrage in zake de overbrenging en de repa</w:t>
      </w:r>
      <w:r w:rsidR="00CA3838">
        <w:rPr>
          <w:rFonts w:ascii="Times New Roman" w:hAnsi="Times New Roman" w:cs="Times New Roman"/>
          <w:sz w:val="24"/>
          <w:szCs w:val="24"/>
        </w:rPr>
        <w:t>-</w:t>
      </w:r>
      <w:r w:rsidRPr="00D147A7">
        <w:rPr>
          <w:rFonts w:ascii="Times New Roman" w:hAnsi="Times New Roman" w:cs="Times New Roman"/>
          <w:sz w:val="24"/>
          <w:szCs w:val="24"/>
        </w:rPr>
        <w:t>triëring der lijken van de slachtoffers uit de oorlog 1940-1945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augustus 1954).</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15 december 1987 houdende uitvoering van de artikels 13 tot en met 17 van de wet op de ziekenhuizen, zoals gecoördineerd door het KB van 7 augustus 1987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25 december 1987).</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3E1E00" w:rsidP="003E1E00">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t>4.2 Archiefstukken</w:t>
      </w:r>
    </w:p>
    <w:p w:rsidR="003E1E00" w:rsidRPr="00D147A7" w:rsidRDefault="003E1E00" w:rsidP="003E1E00">
      <w:pPr>
        <w:pStyle w:val="Geenafstand"/>
        <w:jc w:val="both"/>
        <w:rPr>
          <w:rFonts w:ascii="Times New Roman" w:hAnsi="Times New Roman" w:cs="Times New Roman"/>
          <w:sz w:val="24"/>
          <w:szCs w:val="24"/>
        </w:rPr>
      </w:pPr>
    </w:p>
    <w:p w:rsidR="00C04265" w:rsidRDefault="003E1E00" w:rsidP="006D43A9">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Dossiernummer PCCA 29845, fol. 10, Cel Militaire Begraafplaatsen, Dienst Herinnering &amp; Communicatie, Instituut voor Veteranen, Nationaal Instituut voor Oorlogsinvaliden, Oud-strijders en Oorlogsslachtoffers (</w:t>
      </w:r>
      <w:hyperlink r:id="rId17" w:history="1">
        <w:r w:rsidRPr="00D147A7">
          <w:rPr>
            <w:rStyle w:val="Hyperlink"/>
            <w:rFonts w:ascii="Times New Roman" w:hAnsi="Times New Roman" w:cs="Times New Roman"/>
            <w:sz w:val="24"/>
            <w:szCs w:val="24"/>
          </w:rPr>
          <w:t>www.warveterans.be</w:t>
        </w:r>
      </w:hyperlink>
      <w:r w:rsidR="006D43A9">
        <w:rPr>
          <w:rFonts w:ascii="Times New Roman" w:hAnsi="Times New Roman" w:cs="Times New Roman"/>
          <w:sz w:val="24"/>
          <w:szCs w:val="24"/>
        </w:rPr>
        <w:t>).</w:t>
      </w:r>
    </w:p>
    <w:p w:rsidR="006D43A9" w:rsidRPr="006D43A9" w:rsidRDefault="006D43A9" w:rsidP="006D43A9">
      <w:pPr>
        <w:pStyle w:val="Geenafstand"/>
        <w:jc w:val="both"/>
        <w:rPr>
          <w:rFonts w:ascii="Times New Roman" w:hAnsi="Times New Roman" w:cs="Times New Roman"/>
          <w:sz w:val="24"/>
          <w:szCs w:val="24"/>
        </w:rPr>
      </w:pPr>
    </w:p>
    <w:p w:rsidR="003E1E00" w:rsidRPr="00D147A7" w:rsidRDefault="003E1E00" w:rsidP="005E39F6">
      <w:pPr>
        <w:pStyle w:val="Geenafstand"/>
        <w:ind w:firstLine="708"/>
        <w:jc w:val="both"/>
        <w:rPr>
          <w:rFonts w:ascii="Times New Roman" w:hAnsi="Times New Roman" w:cs="Times New Roman"/>
          <w:b/>
          <w:sz w:val="24"/>
          <w:szCs w:val="24"/>
          <w:lang w:val="en-US"/>
        </w:rPr>
      </w:pPr>
      <w:r w:rsidRPr="00D147A7">
        <w:rPr>
          <w:rFonts w:ascii="Times New Roman" w:hAnsi="Times New Roman" w:cs="Times New Roman"/>
          <w:b/>
          <w:sz w:val="24"/>
          <w:szCs w:val="24"/>
          <w:lang w:val="en-US"/>
        </w:rPr>
        <w:t>4.3 Rechtsleer en literatuur</w:t>
      </w:r>
    </w:p>
    <w:p w:rsidR="003A20A6" w:rsidRDefault="003A20A6" w:rsidP="003E1E00">
      <w:pPr>
        <w:pStyle w:val="Geenafstand"/>
        <w:jc w:val="both"/>
        <w:rPr>
          <w:rFonts w:ascii="Times New Roman" w:hAnsi="Times New Roman" w:cs="Times New Roman"/>
          <w:sz w:val="24"/>
          <w:szCs w:val="24"/>
          <w:lang w:val="en-US"/>
        </w:rPr>
      </w:pPr>
    </w:p>
    <w:p w:rsidR="003E1E00" w:rsidRPr="00D147A7"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ACKERKNECHT, E.H., ‘A plea for a ‘Behaviorist’ Approach in Writing the History of Me</w:t>
      </w:r>
      <w:r w:rsidRPr="00267E19">
        <w:rPr>
          <w:rFonts w:ascii="Times New Roman" w:hAnsi="Times New Roman"/>
          <w:sz w:val="24"/>
          <w:szCs w:val="24"/>
          <w:lang w:val="en-US"/>
        </w:rPr>
        <w:t>-</w:t>
      </w:r>
      <w:r w:rsidRPr="00267E19">
        <w:rPr>
          <w:rFonts w:ascii="Times New Roman" w:hAnsi="Times New Roman" w:cs="Times New Roman"/>
          <w:sz w:val="24"/>
          <w:szCs w:val="24"/>
          <w:lang w:val="en-US"/>
        </w:rPr>
        <w:t xml:space="preserve">dicine’, </w:t>
      </w:r>
      <w:r w:rsidRPr="00267E19">
        <w:rPr>
          <w:rFonts w:ascii="Times New Roman" w:hAnsi="Times New Roman" w:cs="Times New Roman"/>
          <w:i/>
          <w:sz w:val="24"/>
          <w:szCs w:val="24"/>
          <w:lang w:val="en-US"/>
        </w:rPr>
        <w:t>Journal of the History of Medicine and Allied Sciences</w:t>
      </w:r>
      <w:r w:rsidRPr="00267E19">
        <w:rPr>
          <w:rFonts w:ascii="Times New Roman" w:hAnsi="Times New Roman" w:cs="Times New Roman"/>
          <w:sz w:val="24"/>
          <w:szCs w:val="24"/>
          <w:lang w:val="en-US"/>
        </w:rPr>
        <w:t>, 22/3 (1967), p. 211-214.</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ALLEN, J.P.</w:t>
      </w:r>
      <w:r w:rsidR="005278FB" w:rsidRPr="00D147A7">
        <w:rPr>
          <w:rFonts w:ascii="Times New Roman" w:hAnsi="Times New Roman" w:cs="Times New Roman"/>
          <w:sz w:val="24"/>
          <w:szCs w:val="24"/>
          <w:lang w:val="en-US"/>
        </w:rPr>
        <w:t xml:space="preserve"> et al.</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The Art of Medicine in Ancient Egypt</w:t>
      </w:r>
      <w:r w:rsidRPr="00D147A7">
        <w:rPr>
          <w:rFonts w:ascii="Times New Roman" w:hAnsi="Times New Roman" w:cs="Times New Roman"/>
          <w:sz w:val="24"/>
          <w:szCs w:val="24"/>
          <w:lang w:val="en-US"/>
        </w:rPr>
        <w:t>, New York, The Metropolitan Mu</w:t>
      </w:r>
      <w:r w:rsidR="00CA3838">
        <w:rPr>
          <w:rFonts w:ascii="Times New Roman" w:hAnsi="Times New Roman" w:cs="Times New Roman"/>
          <w:sz w:val="24"/>
          <w:szCs w:val="24"/>
          <w:lang w:val="en-US"/>
        </w:rPr>
        <w:t>-</w:t>
      </w:r>
      <w:r w:rsidRPr="00D147A7">
        <w:rPr>
          <w:rFonts w:ascii="Times New Roman" w:hAnsi="Times New Roman" w:cs="Times New Roman"/>
          <w:sz w:val="24"/>
          <w:szCs w:val="24"/>
          <w:lang w:val="en-US"/>
        </w:rPr>
        <w:t>seum of Art, 2005, 116p.</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BAHN, P.G., </w:t>
      </w:r>
      <w:r w:rsidRPr="00D147A7">
        <w:rPr>
          <w:rFonts w:ascii="Times New Roman" w:hAnsi="Times New Roman" w:cs="Times New Roman"/>
          <w:i/>
          <w:sz w:val="24"/>
          <w:szCs w:val="24"/>
          <w:lang w:val="en-US"/>
        </w:rPr>
        <w:t>Cave Art: A Guide to the Decorated Ice Age Caves of Europe</w:t>
      </w:r>
      <w:r w:rsidRPr="00D147A7">
        <w:rPr>
          <w:rFonts w:ascii="Times New Roman" w:hAnsi="Times New Roman" w:cs="Times New Roman"/>
          <w:sz w:val="24"/>
          <w:szCs w:val="24"/>
          <w:lang w:val="en-US"/>
        </w:rPr>
        <w:t xml:space="preserve">, Londen, Frances Lincoln, 2007, 224p.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BECKER, M.Y., </w:t>
      </w:r>
      <w:r w:rsidRPr="00D147A7">
        <w:rPr>
          <w:rFonts w:ascii="Times New Roman" w:hAnsi="Times New Roman" w:cs="Times New Roman"/>
          <w:i/>
          <w:iCs/>
          <w:sz w:val="24"/>
          <w:szCs w:val="24"/>
          <w:lang w:val="en-US"/>
        </w:rPr>
        <w:t>A formal security policy for an NHS electronic health record service</w:t>
      </w:r>
      <w:r w:rsidRPr="00D147A7">
        <w:rPr>
          <w:rFonts w:ascii="Times New Roman" w:hAnsi="Times New Roman" w:cs="Times New Roman"/>
          <w:sz w:val="24"/>
          <w:szCs w:val="24"/>
          <w:lang w:val="en-US"/>
        </w:rPr>
        <w:t>, Tech</w:t>
      </w:r>
      <w:r w:rsidR="00CA3838">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nical Report Nummer 628, Cambridge, 2005, 81p. </w:t>
      </w:r>
      <w:r w:rsidRPr="00D147A7">
        <w:rPr>
          <w:rFonts w:ascii="Times New Roman" w:hAnsi="Times New Roman" w:cs="Times New Roman"/>
          <w:sz w:val="24"/>
          <w:szCs w:val="24"/>
        </w:rPr>
        <w:t>(</w:t>
      </w:r>
      <w:hyperlink r:id="rId18" w:history="1">
        <w:r w:rsidR="00CA3838" w:rsidRPr="00ED5FE6">
          <w:rPr>
            <w:rStyle w:val="Hyperlink"/>
            <w:rFonts w:ascii="Times New Roman" w:hAnsi="Times New Roman" w:cs="Times New Roman"/>
            <w:sz w:val="24"/>
            <w:szCs w:val="24"/>
          </w:rPr>
          <w:t>http://www.cl.cam.ac.uk/techreports/ UCAM-CL-TR-628.pdf</w:t>
        </w:r>
      </w:hyperlink>
      <w:r w:rsidRPr="00D147A7">
        <w:rPr>
          <w:rFonts w:ascii="Times New Roman" w:hAnsi="Times New Roman" w:cs="Times New Roman"/>
          <w:sz w:val="24"/>
          <w:szCs w:val="24"/>
        </w:rPr>
        <w:t>, laatst geraadpleegd op 23 juli 2012).</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BERGER, K.P., ‘Harmonisation of European contract law: the influence of comparative law’, </w:t>
      </w:r>
      <w:r w:rsidRPr="00D147A7">
        <w:rPr>
          <w:rFonts w:ascii="Times New Roman" w:hAnsi="Times New Roman" w:cs="Times New Roman"/>
          <w:i/>
          <w:sz w:val="24"/>
          <w:szCs w:val="24"/>
          <w:lang w:val="en-US"/>
        </w:rPr>
        <w:t>The International and Comparative Law Quarterly</w:t>
      </w:r>
      <w:r w:rsidRPr="00D147A7">
        <w:rPr>
          <w:rFonts w:ascii="Times New Roman" w:hAnsi="Times New Roman" w:cs="Times New Roman"/>
          <w:sz w:val="24"/>
          <w:szCs w:val="24"/>
          <w:lang w:val="en-US"/>
        </w:rPr>
        <w:t xml:space="preserve">, 50/4 (2001), p. 877-900. </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lastRenderedPageBreak/>
        <w:t xml:space="preserve">BRAND, P., ‘Judges and judging 1176-1307’, BRAND, P.; GETZLER, J. (reds.); </w:t>
      </w:r>
      <w:r w:rsidRPr="00D147A7">
        <w:rPr>
          <w:rFonts w:ascii="Times New Roman" w:hAnsi="Times New Roman" w:cs="Times New Roman"/>
          <w:i/>
          <w:sz w:val="24"/>
          <w:szCs w:val="24"/>
          <w:lang w:val="en-US"/>
        </w:rPr>
        <w:t>Judges and Judging in the History of the Common Law and the Civil Law</w:t>
      </w:r>
      <w:r w:rsidRPr="00D147A7">
        <w:rPr>
          <w:rFonts w:ascii="Times New Roman" w:hAnsi="Times New Roman" w:cs="Times New Roman"/>
          <w:sz w:val="24"/>
          <w:szCs w:val="24"/>
          <w:lang w:val="en-US"/>
        </w:rPr>
        <w:t>, Cambridge, Cambridge Uni</w:t>
      </w:r>
      <w:r w:rsidR="00CA3838">
        <w:rPr>
          <w:rFonts w:ascii="Times New Roman" w:hAnsi="Times New Roman" w:cs="Times New Roman"/>
          <w:sz w:val="24"/>
          <w:szCs w:val="24"/>
          <w:lang w:val="en-US"/>
        </w:rPr>
        <w:t>-</w:t>
      </w:r>
      <w:r w:rsidRPr="00D147A7">
        <w:rPr>
          <w:rFonts w:ascii="Times New Roman" w:hAnsi="Times New Roman" w:cs="Times New Roman"/>
          <w:sz w:val="24"/>
          <w:szCs w:val="24"/>
          <w:lang w:val="en-US"/>
        </w:rPr>
        <w:t>versity Press, 2012, p. 3-36.</w:t>
      </w:r>
    </w:p>
    <w:p w:rsidR="003A20A6"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BRAUDEL, F., ‘History and the Social Sciences’, ID., </w:t>
      </w:r>
      <w:r w:rsidRPr="00267E19">
        <w:rPr>
          <w:rFonts w:ascii="Times New Roman" w:hAnsi="Times New Roman" w:cs="Times New Roman"/>
          <w:i/>
          <w:sz w:val="24"/>
          <w:szCs w:val="24"/>
          <w:lang w:val="en-US"/>
        </w:rPr>
        <w:t>On History</w:t>
      </w:r>
      <w:r w:rsidRPr="00267E19">
        <w:rPr>
          <w:rFonts w:ascii="Times New Roman" w:hAnsi="Times New Roman" w:cs="Times New Roman"/>
          <w:sz w:val="24"/>
          <w:szCs w:val="24"/>
          <w:lang w:val="en-US"/>
        </w:rPr>
        <w:t>, Chicago, The University of Chica</w:t>
      </w:r>
      <w:r w:rsidRPr="00267E19">
        <w:rPr>
          <w:rFonts w:ascii="Times New Roman" w:hAnsi="Times New Roman"/>
          <w:sz w:val="24"/>
          <w:szCs w:val="24"/>
          <w:lang w:val="en-US"/>
        </w:rPr>
        <w:t>go Press, 1982, 226p.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BROWN, K., ‘‘If its old and dusty, it belongs in the Archives’: the Hospital Archivist as Me</w:t>
      </w:r>
      <w:r w:rsidR="00CA3838">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dical Museum Curator in the English National Health Service’, HONNORÉ, L. (red.), </w:t>
      </w:r>
      <w:r w:rsidRPr="00D147A7">
        <w:rPr>
          <w:rFonts w:ascii="Times New Roman" w:hAnsi="Times New Roman" w:cs="Times New Roman"/>
          <w:i/>
          <w:iCs/>
          <w:sz w:val="24"/>
          <w:szCs w:val="24"/>
          <w:lang w:val="en-US"/>
        </w:rPr>
        <w:t>Hande</w:t>
      </w:r>
      <w:r w:rsidR="00CA3838">
        <w:rPr>
          <w:rFonts w:ascii="Times New Roman" w:hAnsi="Times New Roman" w:cs="Times New Roman"/>
          <w:i/>
          <w:iCs/>
          <w:sz w:val="24"/>
          <w:szCs w:val="24"/>
          <w:lang w:val="en-US"/>
        </w:rPr>
        <w:t>-</w:t>
      </w:r>
      <w:r w:rsidRPr="00D147A7">
        <w:rPr>
          <w:rFonts w:ascii="Times New Roman" w:hAnsi="Times New Roman" w:cs="Times New Roman"/>
          <w:i/>
          <w:iCs/>
          <w:sz w:val="24"/>
          <w:szCs w:val="24"/>
          <w:lang w:val="en-US"/>
        </w:rPr>
        <w:t xml:space="preserve">lingen van het Internationaal Colloquium ‘Het geheugen van onze gezondheid. </w:t>
      </w:r>
      <w:r w:rsidRPr="00D147A7">
        <w:rPr>
          <w:rFonts w:ascii="Times New Roman" w:hAnsi="Times New Roman" w:cs="Times New Roman"/>
          <w:i/>
          <w:iCs/>
          <w:sz w:val="24"/>
          <w:szCs w:val="24"/>
        </w:rPr>
        <w:t>Het medisch archief en zijn hulpbronnen’. Brussel 15-17 maart 2007</w:t>
      </w:r>
      <w:r w:rsidRPr="00D147A7">
        <w:rPr>
          <w:rFonts w:ascii="Times New Roman" w:hAnsi="Times New Roman" w:cs="Times New Roman"/>
          <w:sz w:val="24"/>
          <w:szCs w:val="24"/>
        </w:rPr>
        <w:t xml:space="preserve">, A.B.B., extranummer 86, Brussel, 2008, p. 135-144. </w:t>
      </w:r>
    </w:p>
    <w:p w:rsidR="003A20A6"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BURKE, P. (red.), </w:t>
      </w:r>
      <w:r w:rsidRPr="00267E19">
        <w:rPr>
          <w:rFonts w:ascii="Times New Roman" w:hAnsi="Times New Roman" w:cs="Times New Roman"/>
          <w:i/>
          <w:sz w:val="24"/>
          <w:szCs w:val="24"/>
          <w:lang w:val="en-US"/>
        </w:rPr>
        <w:t>New Perspectives on Historical Writing</w:t>
      </w:r>
      <w:r w:rsidRPr="00267E19">
        <w:rPr>
          <w:rFonts w:ascii="Times New Roman" w:hAnsi="Times New Roman" w:cs="Times New Roman"/>
          <w:sz w:val="24"/>
          <w:szCs w:val="24"/>
          <w:lang w:val="en-US"/>
        </w:rPr>
        <w:t xml:space="preserve">, Cambridge, Polity Press, 1991, </w:t>
      </w:r>
      <w:r w:rsidRPr="00267E19">
        <w:rPr>
          <w:rFonts w:ascii="Times New Roman" w:hAnsi="Times New Roman"/>
          <w:sz w:val="24"/>
          <w:szCs w:val="24"/>
          <w:lang w:val="en-US"/>
        </w:rPr>
        <w:t>254p.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CRAIG, B.L., </w:t>
      </w:r>
      <w:r w:rsidRPr="00D147A7">
        <w:rPr>
          <w:rFonts w:ascii="Times New Roman" w:hAnsi="Times New Roman" w:cs="Times New Roman"/>
          <w:i/>
          <w:sz w:val="24"/>
          <w:szCs w:val="24"/>
          <w:lang w:val="en-US"/>
        </w:rPr>
        <w:t>Medical Archives: what they are and how to keep them. An introduction and some basic advice for individuals and institutions</w:t>
      </w:r>
      <w:r w:rsidRPr="00D147A7">
        <w:rPr>
          <w:rFonts w:ascii="Times New Roman" w:hAnsi="Times New Roman" w:cs="Times New Roman"/>
          <w:sz w:val="24"/>
          <w:szCs w:val="24"/>
          <w:lang w:val="en-US"/>
        </w:rPr>
        <w:t xml:space="preserve">, Toronto, 2000², 52p. </w:t>
      </w:r>
      <w:r w:rsidRPr="00D147A7">
        <w:rPr>
          <w:rFonts w:ascii="Times New Roman" w:hAnsi="Times New Roman" w:cs="Times New Roman"/>
          <w:sz w:val="24"/>
          <w:szCs w:val="24"/>
        </w:rPr>
        <w:t>(</w:t>
      </w:r>
      <w:hyperlink w:history="1">
        <w:r w:rsidR="00CA3838" w:rsidRPr="00ED5FE6">
          <w:rPr>
            <w:rStyle w:val="Hyperlink"/>
            <w:rFonts w:ascii="Times New Roman" w:hAnsi="Times New Roman" w:cs="Times New Roman"/>
            <w:sz w:val="24"/>
            <w:szCs w:val="24"/>
          </w:rPr>
          <w:t>http://php.ams-inc. on.ca/files/med_archives.pdf</w:t>
        </w:r>
      </w:hyperlink>
      <w:r w:rsidRPr="00D147A7">
        <w:rPr>
          <w:rFonts w:ascii="Times New Roman" w:hAnsi="Times New Roman" w:cs="Times New Roman"/>
          <w:sz w:val="24"/>
          <w:szCs w:val="24"/>
        </w:rPr>
        <w:t>, laatst geraadpleegd op 23 juli 2012).</w:t>
      </w:r>
    </w:p>
    <w:p w:rsidR="003A20A6"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DAVIS, G., </w:t>
      </w:r>
      <w:r w:rsidRPr="00267E19">
        <w:rPr>
          <w:rFonts w:ascii="Times New Roman" w:hAnsi="Times New Roman" w:cs="Times New Roman"/>
          <w:i/>
          <w:sz w:val="24"/>
          <w:szCs w:val="24"/>
          <w:lang w:val="en-US"/>
        </w:rPr>
        <w:t>‘The Cruel Madness of Love’: Sex, Syphilis and Psychiatry in Scotland, 1880-1930</w:t>
      </w:r>
      <w:r w:rsidRPr="00267E19">
        <w:rPr>
          <w:rFonts w:ascii="Times New Roman" w:hAnsi="Times New Roman" w:cs="Times New Roman"/>
          <w:sz w:val="24"/>
          <w:szCs w:val="24"/>
          <w:lang w:val="en-US"/>
        </w:rPr>
        <w:t xml:space="preserve">, The Wellcome Series in the History of Medicine, Amsterdam, Rodopi, 2008, </w:t>
      </w:r>
      <w:r w:rsidRPr="00267E19">
        <w:rPr>
          <w:rFonts w:ascii="Times New Roman" w:hAnsi="Times New Roman"/>
          <w:sz w:val="24"/>
          <w:szCs w:val="24"/>
          <w:lang w:val="en-US"/>
        </w:rPr>
        <w:t>285p.</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DE FERRIERE, C.J.; ESQ, J.B. (vert.); </w:t>
      </w:r>
      <w:r w:rsidRPr="00D147A7">
        <w:rPr>
          <w:rFonts w:ascii="Times New Roman" w:hAnsi="Times New Roman" w:cs="Times New Roman"/>
          <w:i/>
          <w:sz w:val="24"/>
          <w:szCs w:val="24"/>
          <w:lang w:val="en-US"/>
        </w:rPr>
        <w:t>The history of the Roman or Civil Law</w:t>
      </w:r>
      <w:r w:rsidRPr="00D147A7">
        <w:rPr>
          <w:rFonts w:ascii="Times New Roman" w:hAnsi="Times New Roman" w:cs="Times New Roman"/>
          <w:sz w:val="24"/>
          <w:szCs w:val="24"/>
          <w:lang w:val="en-US"/>
        </w:rPr>
        <w:t xml:space="preserve">, Clark, The Lawbook Exchange, 2010, 224p. </w:t>
      </w:r>
    </w:p>
    <w:p w:rsidR="00912968" w:rsidRPr="00912968" w:rsidRDefault="00912968" w:rsidP="003E1E00">
      <w:pPr>
        <w:pStyle w:val="Geenafstand"/>
        <w:jc w:val="both"/>
        <w:rPr>
          <w:rFonts w:ascii="Times New Roman" w:hAnsi="Times New Roman" w:cs="Times New Roman"/>
          <w:sz w:val="24"/>
          <w:szCs w:val="24"/>
        </w:rPr>
      </w:pPr>
      <w:r w:rsidRPr="00912968">
        <w:rPr>
          <w:rFonts w:ascii="Times New Roman" w:hAnsi="Times New Roman" w:cs="Times New Roman"/>
          <w:sz w:val="24"/>
          <w:szCs w:val="24"/>
        </w:rPr>
        <w:t xml:space="preserve">DE SCHRIJVER, R., </w:t>
      </w:r>
      <w:r w:rsidRPr="00912968">
        <w:rPr>
          <w:rFonts w:ascii="Times New Roman" w:hAnsi="Times New Roman" w:cs="Times New Roman"/>
          <w:i/>
          <w:sz w:val="24"/>
          <w:szCs w:val="24"/>
        </w:rPr>
        <w:t>Historiografie. Vijfentwintig eeuwen geschiedschrijving van West-Euro</w:t>
      </w:r>
      <w:r>
        <w:rPr>
          <w:rFonts w:ascii="Times New Roman" w:hAnsi="Times New Roman" w:cs="Times New Roman"/>
          <w:i/>
          <w:sz w:val="24"/>
          <w:szCs w:val="24"/>
        </w:rPr>
        <w:t>-</w:t>
      </w:r>
      <w:r w:rsidRPr="00912968">
        <w:rPr>
          <w:rFonts w:ascii="Times New Roman" w:hAnsi="Times New Roman" w:cs="Times New Roman"/>
          <w:i/>
          <w:sz w:val="24"/>
          <w:szCs w:val="24"/>
        </w:rPr>
        <w:t>pa</w:t>
      </w:r>
      <w:r w:rsidRPr="00912968">
        <w:rPr>
          <w:rFonts w:ascii="Times New Roman" w:hAnsi="Times New Roman" w:cs="Times New Roman"/>
          <w:sz w:val="24"/>
          <w:szCs w:val="24"/>
        </w:rPr>
        <w:t>, Ancorae. Steunpunten voor studie en onderwijs, 8, Leuven, Universitaire Pers Leuven, 1997³,</w:t>
      </w:r>
      <w:r>
        <w:rPr>
          <w:rFonts w:ascii="Times New Roman" w:hAnsi="Times New Roman" w:cs="Times New Roman"/>
          <w:sz w:val="24"/>
          <w:szCs w:val="24"/>
        </w:rPr>
        <w:t xml:space="preserve"> 426p.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Digital Information Policy (DH), </w:t>
      </w:r>
      <w:r w:rsidRPr="00D147A7">
        <w:rPr>
          <w:rFonts w:ascii="Times New Roman" w:hAnsi="Times New Roman" w:cs="Times New Roman"/>
          <w:i/>
          <w:sz w:val="24"/>
          <w:szCs w:val="24"/>
          <w:lang w:val="en-US"/>
        </w:rPr>
        <w:t>Records Management: NHS Code of Practice</w:t>
      </w:r>
      <w:r w:rsidRPr="00D147A7">
        <w:rPr>
          <w:rFonts w:ascii="Times New Roman" w:hAnsi="Times New Roman" w:cs="Times New Roman"/>
          <w:sz w:val="24"/>
          <w:szCs w:val="24"/>
          <w:lang w:val="en-US"/>
        </w:rPr>
        <w:t xml:space="preserve">, I, Londen, Department of Health, 2006, 89p. </w:t>
      </w:r>
      <w:r w:rsidRPr="00D147A7">
        <w:rPr>
          <w:rFonts w:ascii="Times New Roman" w:hAnsi="Times New Roman" w:cs="Times New Roman"/>
          <w:sz w:val="24"/>
          <w:szCs w:val="24"/>
        </w:rPr>
        <w:t>(</w:t>
      </w:r>
      <w:hyperlink r:id="rId19" w:history="1">
        <w:r w:rsidR="005278FB" w:rsidRPr="00D147A7">
          <w:rPr>
            <w:rStyle w:val="Hyperlink"/>
            <w:rFonts w:ascii="Times New Roman" w:hAnsi="Times New Roman" w:cs="Times New Roman"/>
            <w:sz w:val="24"/>
            <w:szCs w:val="24"/>
          </w:rPr>
          <w:t>http://www.dh.gov.uk/prod_consum_dh/groups/dh_ digitalassets/@dh/@en/documents/digitalasset/dh_4133196.pdf</w:t>
        </w:r>
      </w:hyperlink>
      <w:r w:rsidRPr="00D147A7">
        <w:rPr>
          <w:rFonts w:ascii="Times New Roman" w:hAnsi="Times New Roman" w:cs="Times New Roman"/>
          <w:sz w:val="24"/>
          <w:szCs w:val="24"/>
        </w:rPr>
        <w:t>, laatst geraadpleegd op 23 juli 2012).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Digital Information Policy (DH), </w:t>
      </w:r>
      <w:r w:rsidRPr="00D147A7">
        <w:rPr>
          <w:rFonts w:ascii="Times New Roman" w:hAnsi="Times New Roman" w:cs="Times New Roman"/>
          <w:i/>
          <w:sz w:val="24"/>
          <w:szCs w:val="24"/>
          <w:lang w:val="en-US"/>
        </w:rPr>
        <w:t>Records Management: NHS Code of Practice</w:t>
      </w:r>
      <w:r w:rsidRPr="00D147A7">
        <w:rPr>
          <w:rFonts w:ascii="Times New Roman" w:hAnsi="Times New Roman" w:cs="Times New Roman"/>
          <w:sz w:val="24"/>
          <w:szCs w:val="24"/>
          <w:lang w:val="en-US"/>
        </w:rPr>
        <w:t xml:space="preserve">, II, Londen, Department of Health, 2006, 107p. </w:t>
      </w:r>
      <w:r w:rsidRPr="00D147A7">
        <w:rPr>
          <w:rFonts w:ascii="Times New Roman" w:hAnsi="Times New Roman" w:cs="Times New Roman"/>
          <w:sz w:val="24"/>
          <w:szCs w:val="24"/>
        </w:rPr>
        <w:t>(</w:t>
      </w:r>
      <w:hyperlink r:id="rId20" w:history="1">
        <w:r w:rsidR="005278FB" w:rsidRPr="00D147A7">
          <w:rPr>
            <w:rStyle w:val="Hyperlink"/>
            <w:rFonts w:ascii="Times New Roman" w:hAnsi="Times New Roman" w:cs="Times New Roman"/>
            <w:sz w:val="24"/>
            <w:szCs w:val="24"/>
          </w:rPr>
          <w:t>http://www.dh.gov.uk/prod_consum_dh/groups/dh_ digitalassets/documents/digitalasset/dh_093024.pdf</w:t>
        </w:r>
      </w:hyperlink>
      <w:r w:rsidRPr="00D147A7">
        <w:rPr>
          <w:rFonts w:ascii="Times New Roman" w:hAnsi="Times New Roman" w:cs="Times New Roman"/>
          <w:sz w:val="24"/>
          <w:szCs w:val="24"/>
        </w:rPr>
        <w:t>, laatst geraadpleegd op 23 juli 2012).</w:t>
      </w:r>
    </w:p>
    <w:p w:rsidR="003A20A6" w:rsidRPr="003A20A6"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FOUCAULT, M.; SHERIDAN, A.M. (vert.); </w:t>
      </w:r>
      <w:r w:rsidRPr="00267E19">
        <w:rPr>
          <w:rFonts w:ascii="Times New Roman" w:hAnsi="Times New Roman" w:cs="Times New Roman"/>
          <w:i/>
          <w:sz w:val="24"/>
          <w:szCs w:val="24"/>
          <w:lang w:val="en-US"/>
        </w:rPr>
        <w:t>The Birth of the Clinic. An archaeology of me</w:t>
      </w:r>
      <w:r w:rsidRPr="00267E19">
        <w:rPr>
          <w:rFonts w:ascii="Times New Roman" w:hAnsi="Times New Roman"/>
          <w:i/>
          <w:sz w:val="24"/>
          <w:szCs w:val="24"/>
          <w:lang w:val="en-US"/>
        </w:rPr>
        <w:t>-</w:t>
      </w:r>
      <w:r w:rsidRPr="00267E19">
        <w:rPr>
          <w:rFonts w:ascii="Times New Roman" w:hAnsi="Times New Roman" w:cs="Times New Roman"/>
          <w:i/>
          <w:sz w:val="24"/>
          <w:szCs w:val="24"/>
          <w:lang w:val="en-US"/>
        </w:rPr>
        <w:t>dical perception</w:t>
      </w:r>
      <w:r w:rsidRPr="00267E19">
        <w:rPr>
          <w:rFonts w:ascii="Times New Roman" w:hAnsi="Times New Roman" w:cs="Times New Roman"/>
          <w:sz w:val="24"/>
          <w:szCs w:val="24"/>
          <w:lang w:val="en-US"/>
        </w:rPr>
        <w:t xml:space="preserve">, Routledge Classics, Londen </w:t>
      </w:r>
      <w:r w:rsidRPr="00267E19">
        <w:rPr>
          <w:rFonts w:ascii="Times New Roman" w:hAnsi="Times New Roman"/>
          <w:sz w:val="24"/>
          <w:szCs w:val="24"/>
          <w:lang w:val="en-US"/>
        </w:rPr>
        <w:t xml:space="preserve">– New York, Routledge, 2003, </w:t>
      </w:r>
      <w:r w:rsidRPr="00267E19">
        <w:rPr>
          <w:rFonts w:ascii="Times New Roman" w:hAnsi="Times New Roman" w:cs="Times New Roman"/>
          <w:sz w:val="24"/>
          <w:szCs w:val="24"/>
          <w:lang w:val="en-US"/>
        </w:rPr>
        <w:t>288</w:t>
      </w:r>
      <w:r w:rsidRPr="00267E19">
        <w:rPr>
          <w:rFonts w:ascii="Times New Roman" w:hAnsi="Times New Roman"/>
          <w:sz w:val="24"/>
          <w:szCs w:val="24"/>
          <w:lang w:val="en-US"/>
        </w:rPr>
        <w:t>p</w:t>
      </w:r>
      <w:r w:rsidRPr="00267E19">
        <w:rPr>
          <w:rFonts w:ascii="Times New Roman" w:hAnsi="Times New Roman" w:cs="Times New Roman"/>
          <w:sz w:val="24"/>
          <w:szCs w:val="24"/>
          <w:lang w:val="en-US"/>
        </w:rPr>
        <w:t>.</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HEIRBAUT, D., </w:t>
      </w:r>
      <w:r w:rsidRPr="00D147A7">
        <w:rPr>
          <w:rFonts w:ascii="Times New Roman" w:hAnsi="Times New Roman" w:cs="Times New Roman"/>
          <w:i/>
          <w:sz w:val="24"/>
          <w:szCs w:val="24"/>
        </w:rPr>
        <w:t>Privaatrechtsgeschiedenis van de Romeinen tot heden</w:t>
      </w:r>
      <w:r w:rsidRPr="00D147A7">
        <w:rPr>
          <w:rFonts w:ascii="Times New Roman" w:hAnsi="Times New Roman" w:cs="Times New Roman"/>
          <w:sz w:val="24"/>
          <w:szCs w:val="24"/>
        </w:rPr>
        <w:t xml:space="preserve">, Gent, Academia Press, 2005, 416p. </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HONNORE, L., </w:t>
      </w:r>
      <w:r w:rsidRPr="00D147A7">
        <w:rPr>
          <w:rFonts w:ascii="Times New Roman" w:hAnsi="Times New Roman" w:cs="Times New Roman"/>
          <w:i/>
          <w:sz w:val="24"/>
          <w:szCs w:val="24"/>
          <w:lang w:val="fr-BE"/>
        </w:rPr>
        <w:t>Archives sociales, Archives médicales, archives scientifiques: La pratique française</w:t>
      </w:r>
      <w:r w:rsidRPr="00D147A7">
        <w:rPr>
          <w:rFonts w:ascii="Times New Roman" w:hAnsi="Times New Roman" w:cs="Times New Roman"/>
          <w:sz w:val="24"/>
          <w:szCs w:val="24"/>
          <w:lang w:val="fr-BE"/>
        </w:rPr>
        <w:t>, Miscellanea Archivistica Studia, 166, Brussel, Algemeen Rijksarchief en Rijksar</w:t>
      </w:r>
      <w:r w:rsidR="00CA3838">
        <w:rPr>
          <w:rFonts w:ascii="Times New Roman" w:hAnsi="Times New Roman" w:cs="Times New Roman"/>
          <w:sz w:val="24"/>
          <w:szCs w:val="24"/>
          <w:lang w:val="fr-BE"/>
        </w:rPr>
        <w:t>-</w:t>
      </w:r>
      <w:r w:rsidRPr="00D147A7">
        <w:rPr>
          <w:rFonts w:ascii="Times New Roman" w:hAnsi="Times New Roman" w:cs="Times New Roman"/>
          <w:sz w:val="24"/>
          <w:szCs w:val="24"/>
          <w:lang w:val="fr-BE"/>
        </w:rPr>
        <w:t>chieven in de Provinciën, 2005, 61p.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HOUWAART, E.S., ‘Terug naar het hart van de medische praktijk. Het historisch belang van medische archieven’, </w:t>
      </w:r>
      <w:r w:rsidRPr="00D147A7">
        <w:rPr>
          <w:rFonts w:ascii="Times New Roman" w:hAnsi="Times New Roman" w:cs="Times New Roman"/>
          <w:i/>
          <w:iCs/>
          <w:sz w:val="24"/>
          <w:szCs w:val="24"/>
        </w:rPr>
        <w:t>Archievenblad</w:t>
      </w:r>
      <w:r w:rsidRPr="00D147A7">
        <w:rPr>
          <w:rFonts w:ascii="Times New Roman" w:hAnsi="Times New Roman" w:cs="Times New Roman"/>
          <w:sz w:val="24"/>
          <w:szCs w:val="24"/>
        </w:rPr>
        <w:t>, 1998, 9, p. 20-23.</w:t>
      </w:r>
    </w:p>
    <w:p w:rsidR="003E1E00"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HUFFMAN, E.K., </w:t>
      </w:r>
      <w:r w:rsidRPr="00D147A7">
        <w:rPr>
          <w:rFonts w:ascii="Times New Roman" w:hAnsi="Times New Roman" w:cs="Times New Roman"/>
          <w:i/>
          <w:sz w:val="24"/>
          <w:szCs w:val="24"/>
          <w:lang w:val="en-US"/>
        </w:rPr>
        <w:t>Medical Record Management</w:t>
      </w:r>
      <w:r w:rsidRPr="00D147A7">
        <w:rPr>
          <w:rFonts w:ascii="Times New Roman" w:hAnsi="Times New Roman" w:cs="Times New Roman"/>
          <w:sz w:val="24"/>
          <w:szCs w:val="24"/>
          <w:lang w:val="en-US"/>
        </w:rPr>
        <w:t>, Berwyn, Physicians’ Record Company, 1976</w:t>
      </w:r>
      <w:r w:rsidRPr="00D147A7">
        <w:rPr>
          <w:rFonts w:ascii="Times New Roman" w:hAnsi="Times New Roman" w:cs="Times New Roman"/>
          <w:sz w:val="24"/>
          <w:szCs w:val="24"/>
          <w:vertAlign w:val="superscript"/>
          <w:lang w:val="en-US"/>
        </w:rPr>
        <w:t>6</w:t>
      </w:r>
      <w:r w:rsidRPr="00D147A7">
        <w:rPr>
          <w:rFonts w:ascii="Times New Roman" w:hAnsi="Times New Roman" w:cs="Times New Roman"/>
          <w:sz w:val="24"/>
          <w:szCs w:val="24"/>
          <w:lang w:val="en-US"/>
        </w:rPr>
        <w:t>, 788p.</w:t>
      </w:r>
    </w:p>
    <w:p w:rsidR="003A20A6" w:rsidRPr="00D147A7"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HUNT, L.A. (red.), </w:t>
      </w:r>
      <w:r w:rsidRPr="00267E19">
        <w:rPr>
          <w:rFonts w:ascii="Times New Roman" w:hAnsi="Times New Roman" w:cs="Times New Roman"/>
          <w:i/>
          <w:sz w:val="24"/>
          <w:szCs w:val="24"/>
          <w:lang w:val="en-US"/>
        </w:rPr>
        <w:t>The new cultural history</w:t>
      </w:r>
      <w:r w:rsidRPr="00267E19">
        <w:rPr>
          <w:rFonts w:ascii="Times New Roman" w:hAnsi="Times New Roman" w:cs="Times New Roman"/>
          <w:sz w:val="24"/>
          <w:szCs w:val="24"/>
          <w:lang w:val="en-US"/>
        </w:rPr>
        <w:t>, Studies on the history of society and culture, 6, Berkeley, University of California press, 1989, 244p.</w:t>
      </w:r>
    </w:p>
    <w:p w:rsidR="00921F71" w:rsidRPr="00921F71" w:rsidRDefault="00921F71" w:rsidP="003E1E00">
      <w:pPr>
        <w:pStyle w:val="Geenafstand"/>
        <w:jc w:val="both"/>
        <w:rPr>
          <w:rFonts w:ascii="Times New Roman" w:hAnsi="Times New Roman" w:cs="Times New Roman"/>
          <w:sz w:val="24"/>
          <w:szCs w:val="24"/>
        </w:rPr>
      </w:pPr>
      <w:r w:rsidRPr="00921F71">
        <w:rPr>
          <w:rFonts w:ascii="Times New Roman" w:hAnsi="Times New Roman" w:cs="Times New Roman"/>
          <w:sz w:val="24"/>
          <w:szCs w:val="24"/>
        </w:rPr>
        <w:t xml:space="preserve">KLIJN, A., ‘Een retourtje Venray. Over het belang van patiëntendossiers voor het historisch onderzoek naar de geschiedenis van de psychiatrie’, </w:t>
      </w:r>
      <w:r w:rsidRPr="00921F71">
        <w:rPr>
          <w:rFonts w:ascii="Times New Roman" w:hAnsi="Times New Roman" w:cs="Times New Roman"/>
          <w:i/>
          <w:sz w:val="24"/>
          <w:szCs w:val="24"/>
        </w:rPr>
        <w:t>Studies over de sociaal-economische ge</w:t>
      </w:r>
      <w:r>
        <w:rPr>
          <w:rFonts w:ascii="Times New Roman" w:hAnsi="Times New Roman" w:cs="Times New Roman"/>
          <w:i/>
          <w:sz w:val="24"/>
          <w:szCs w:val="24"/>
        </w:rPr>
        <w:t>-</w:t>
      </w:r>
      <w:r w:rsidRPr="00921F71">
        <w:rPr>
          <w:rFonts w:ascii="Times New Roman" w:hAnsi="Times New Roman" w:cs="Times New Roman"/>
          <w:i/>
          <w:sz w:val="24"/>
          <w:szCs w:val="24"/>
        </w:rPr>
        <w:t>schiedenis van Limburg</w:t>
      </w:r>
      <w:r w:rsidRPr="00921F71">
        <w:rPr>
          <w:rFonts w:ascii="Times New Roman" w:hAnsi="Times New Roman" w:cs="Times New Roman"/>
          <w:sz w:val="24"/>
          <w:szCs w:val="24"/>
        </w:rPr>
        <w:t>, 48 (2003), p. 177-182.</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KUHN, T.S., </w:t>
      </w:r>
      <w:r w:rsidRPr="00D147A7">
        <w:rPr>
          <w:rFonts w:ascii="Times New Roman" w:hAnsi="Times New Roman" w:cs="Times New Roman"/>
          <w:i/>
          <w:sz w:val="24"/>
          <w:szCs w:val="24"/>
          <w:lang w:val="en-US"/>
        </w:rPr>
        <w:t>The Structure of Scientific Revolutions</w:t>
      </w:r>
      <w:r w:rsidRPr="00D147A7">
        <w:rPr>
          <w:rFonts w:ascii="Times New Roman" w:hAnsi="Times New Roman" w:cs="Times New Roman"/>
          <w:sz w:val="24"/>
          <w:szCs w:val="24"/>
          <w:lang w:val="en-US"/>
        </w:rPr>
        <w:t>, Chicago, University of Chicago Press, 1962, 210p.</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LAFFINEUR, J., ‘Dossier médical et droits du patient’, </w:t>
      </w:r>
      <w:r w:rsidRPr="00D147A7">
        <w:rPr>
          <w:rFonts w:ascii="Times New Roman" w:hAnsi="Times New Roman" w:cs="Times New Roman"/>
          <w:i/>
          <w:sz w:val="24"/>
          <w:szCs w:val="24"/>
          <w:lang w:val="fr-BE"/>
        </w:rPr>
        <w:t>D.C.C.R.</w:t>
      </w:r>
      <w:r w:rsidRPr="00D147A7">
        <w:rPr>
          <w:rFonts w:ascii="Times New Roman" w:hAnsi="Times New Roman" w:cs="Times New Roman"/>
          <w:sz w:val="24"/>
          <w:szCs w:val="24"/>
          <w:lang w:val="fr-BE"/>
        </w:rPr>
        <w:t>, 1991-1992, p. 966-1002.</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fr-BE"/>
        </w:rPr>
        <w:lastRenderedPageBreak/>
        <w:t xml:space="preserve">LOCOGE, T., ‘Le dossier médical et sa communication’, LUCAS, P.; STEHMAN, M. (reds.); </w:t>
      </w:r>
      <w:r w:rsidRPr="00D147A7">
        <w:rPr>
          <w:rFonts w:ascii="Times New Roman" w:hAnsi="Times New Roman" w:cs="Times New Roman"/>
          <w:i/>
          <w:sz w:val="24"/>
          <w:szCs w:val="24"/>
          <w:lang w:val="fr-BE"/>
        </w:rPr>
        <w:t xml:space="preserve">Actualité du dommage corporel. </w:t>
      </w:r>
      <w:r w:rsidRPr="00D147A7">
        <w:rPr>
          <w:rFonts w:ascii="Times New Roman" w:hAnsi="Times New Roman" w:cs="Times New Roman"/>
          <w:i/>
          <w:sz w:val="24"/>
          <w:szCs w:val="24"/>
          <w:lang w:val="en-US"/>
        </w:rPr>
        <w:t>La responsabilité médicale</w:t>
      </w:r>
      <w:r w:rsidRPr="00D147A7">
        <w:rPr>
          <w:rFonts w:ascii="Times New Roman" w:hAnsi="Times New Roman" w:cs="Times New Roman"/>
          <w:sz w:val="24"/>
          <w:szCs w:val="24"/>
          <w:lang w:val="en-US"/>
        </w:rPr>
        <w:t>, Collection Médico-Légale, 8, Brussel, Juridoc, 2003, p. 93-111.</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LOWRANCE, W.W., </w:t>
      </w:r>
      <w:r w:rsidRPr="00D147A7">
        <w:rPr>
          <w:rFonts w:ascii="Times New Roman" w:hAnsi="Times New Roman" w:cs="Times New Roman"/>
          <w:i/>
          <w:iCs/>
          <w:sz w:val="24"/>
          <w:szCs w:val="24"/>
          <w:lang w:val="en-US"/>
        </w:rPr>
        <w:t>Access to collections of data and materials for health research. A report to the Medical Research Coucil and the Wellcome Trust</w:t>
      </w:r>
      <w:r w:rsidRPr="00D147A7">
        <w:rPr>
          <w:rFonts w:ascii="Times New Roman" w:hAnsi="Times New Roman" w:cs="Times New Roman"/>
          <w:sz w:val="24"/>
          <w:szCs w:val="24"/>
          <w:lang w:val="en-US"/>
        </w:rPr>
        <w:t xml:space="preserve">, s.l., 2006, 39p. </w:t>
      </w:r>
      <w:r w:rsidRPr="00D147A7">
        <w:rPr>
          <w:rFonts w:ascii="Times New Roman" w:hAnsi="Times New Roman" w:cs="Times New Roman"/>
          <w:sz w:val="24"/>
          <w:szCs w:val="24"/>
        </w:rPr>
        <w:t>(</w:t>
      </w:r>
      <w:hyperlink w:history="1">
        <w:r w:rsidR="00CA3838" w:rsidRPr="00ED5FE6">
          <w:rPr>
            <w:rStyle w:val="Hyperlink"/>
            <w:rFonts w:ascii="Times New Roman" w:hAnsi="Times New Roman" w:cs="Times New Roman"/>
            <w:sz w:val="24"/>
            <w:szCs w:val="24"/>
          </w:rPr>
          <w:t>http://www. wellcome.ac.uk/stellent/groups/corporatesite/@msh_grants/documents/web_document/wtx030842.pdf</w:t>
        </w:r>
      </w:hyperlink>
      <w:r w:rsidRPr="00D147A7">
        <w:rPr>
          <w:rFonts w:ascii="Times New Roman" w:hAnsi="Times New Roman" w:cs="Times New Roman"/>
          <w:sz w:val="24"/>
          <w:szCs w:val="24"/>
        </w:rPr>
        <w:t>, laatst geraadpleegd op 23 juli 2012).</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LUTTE, I., ‘Le dossier concernant le patient’, THIRY, E. (red.), </w:t>
      </w:r>
      <w:r w:rsidRPr="00D147A7">
        <w:rPr>
          <w:rFonts w:ascii="Times New Roman" w:hAnsi="Times New Roman" w:cs="Times New Roman"/>
          <w:i/>
          <w:sz w:val="24"/>
          <w:szCs w:val="24"/>
          <w:lang w:val="fr-BE"/>
        </w:rPr>
        <w:t>Actualités de droit médical</w:t>
      </w:r>
      <w:r w:rsidRPr="00D147A7">
        <w:rPr>
          <w:rFonts w:ascii="Times New Roman" w:hAnsi="Times New Roman" w:cs="Times New Roman"/>
          <w:sz w:val="24"/>
          <w:szCs w:val="24"/>
          <w:lang w:val="fr-BE"/>
        </w:rPr>
        <w:t>, UB³, 10, Brussel, Bruylant, 2006, p. 101-156.</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MARECHAL, G., ‘Het centrum voor hedendaagse medische archieven in het Wellcome Insti</w:t>
      </w:r>
      <w:r w:rsidR="00CA3838">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tute for the History of Medicine’, </w:t>
      </w:r>
      <w:r w:rsidRPr="00D147A7">
        <w:rPr>
          <w:rFonts w:ascii="Times New Roman" w:hAnsi="Times New Roman" w:cs="Times New Roman"/>
          <w:i/>
          <w:sz w:val="24"/>
          <w:szCs w:val="24"/>
          <w:lang w:val="fr-BE"/>
        </w:rPr>
        <w:t>B.A.G.</w:t>
      </w:r>
      <w:r w:rsidRPr="00D147A7">
        <w:rPr>
          <w:rFonts w:ascii="Times New Roman" w:hAnsi="Times New Roman" w:cs="Times New Roman"/>
          <w:sz w:val="24"/>
          <w:szCs w:val="24"/>
          <w:lang w:val="fr-BE"/>
        </w:rPr>
        <w:t>, 65/2 (1989), p. 165-170.</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MOODIE, R.L., </w:t>
      </w:r>
      <w:r w:rsidRPr="00D147A7">
        <w:rPr>
          <w:rFonts w:ascii="Times New Roman" w:hAnsi="Times New Roman" w:cs="Times New Roman"/>
          <w:i/>
          <w:sz w:val="24"/>
          <w:szCs w:val="24"/>
          <w:lang w:val="en-US"/>
        </w:rPr>
        <w:t>The antiquity of disease</w:t>
      </w:r>
      <w:r w:rsidRPr="00D147A7">
        <w:rPr>
          <w:rFonts w:ascii="Times New Roman" w:hAnsi="Times New Roman" w:cs="Times New Roman"/>
          <w:sz w:val="24"/>
          <w:szCs w:val="24"/>
          <w:lang w:val="en-US"/>
        </w:rPr>
        <w:t>, Chicago, the University of Chicago Press, 1923, 148p.</w:t>
      </w:r>
    </w:p>
    <w:p w:rsidR="003A20A6" w:rsidRDefault="003A20A6" w:rsidP="003E1E00">
      <w:pPr>
        <w:pStyle w:val="Geenafstand"/>
        <w:jc w:val="both"/>
        <w:rPr>
          <w:rFonts w:ascii="Times New Roman" w:hAnsi="Times New Roman" w:cs="Times New Roman"/>
          <w:sz w:val="24"/>
          <w:szCs w:val="24"/>
          <w:lang w:val="fr-BE"/>
        </w:rPr>
      </w:pPr>
      <w:r w:rsidRPr="00267E19">
        <w:rPr>
          <w:rFonts w:ascii="Times New Roman" w:hAnsi="Times New Roman" w:cs="Times New Roman"/>
          <w:sz w:val="24"/>
          <w:szCs w:val="24"/>
          <w:lang w:val="en-US"/>
        </w:rPr>
        <w:t xml:space="preserve">NYE, R.A., ‘The evolution of the concept of medicalization in the late twentieth century’, </w:t>
      </w:r>
      <w:r w:rsidRPr="00267E19">
        <w:rPr>
          <w:rFonts w:ascii="Times New Roman" w:hAnsi="Times New Roman" w:cs="Times New Roman"/>
          <w:i/>
          <w:sz w:val="24"/>
          <w:szCs w:val="24"/>
          <w:lang w:val="en-US"/>
        </w:rPr>
        <w:t>Journal of History of the Behavorial Sciences</w:t>
      </w:r>
      <w:r w:rsidRPr="00267E19">
        <w:rPr>
          <w:rFonts w:ascii="Times New Roman" w:hAnsi="Times New Roman"/>
          <w:sz w:val="24"/>
          <w:szCs w:val="24"/>
          <w:lang w:val="en-US"/>
        </w:rPr>
        <w:t xml:space="preserve">, 39/2 (2003), p. 115-129 </w:t>
      </w:r>
      <w:r w:rsidRPr="00267E19">
        <w:rPr>
          <w:rFonts w:ascii="Times New Roman" w:hAnsi="Times New Roman" w:cs="Times New Roman"/>
          <w:sz w:val="24"/>
          <w:szCs w:val="24"/>
          <w:lang w:val="en-US"/>
        </w:rPr>
        <w:t>(</w:t>
      </w:r>
      <w:hyperlink w:history="1">
        <w:r w:rsidRPr="00267E19">
          <w:rPr>
            <w:rStyle w:val="Hyperlink"/>
            <w:rFonts w:ascii="Times New Roman" w:hAnsi="Times New Roman"/>
            <w:sz w:val="24"/>
            <w:szCs w:val="24"/>
            <w:lang w:val="en-US"/>
          </w:rPr>
          <w:t>http://www.pageout. net/user/www/m/i/mitchellberman/history%20readings/history%20of%20medicalization.pdf</w:t>
        </w:r>
      </w:hyperlink>
      <w:r w:rsidRPr="00267E19">
        <w:rPr>
          <w:rFonts w:ascii="Times New Roman" w:hAnsi="Times New Roman" w:cs="Times New Roman"/>
          <w:sz w:val="24"/>
          <w:szCs w:val="24"/>
          <w:lang w:val="en-US"/>
        </w:rPr>
        <w:t>).</w:t>
      </w:r>
    </w:p>
    <w:p w:rsidR="003A20A6" w:rsidRDefault="003A20A6" w:rsidP="003E1E00">
      <w:pPr>
        <w:pStyle w:val="Geenafstand"/>
        <w:jc w:val="both"/>
        <w:rPr>
          <w:rFonts w:ascii="Times New Roman" w:hAnsi="Times New Roman" w:cs="Times New Roman"/>
          <w:sz w:val="24"/>
          <w:szCs w:val="24"/>
          <w:lang w:val="fr-BE"/>
        </w:rPr>
      </w:pPr>
      <w:r w:rsidRPr="00267E19">
        <w:rPr>
          <w:rFonts w:ascii="Times New Roman" w:eastAsiaTheme="minorEastAsia" w:hAnsi="Times New Roman" w:cs="Times New Roman"/>
          <w:sz w:val="24"/>
          <w:szCs w:val="24"/>
          <w:lang w:val="en-US"/>
        </w:rPr>
        <w:t xml:space="preserve">PORTER, R., ‘The patient’s view. Doing medical history from below’, </w:t>
      </w:r>
      <w:r w:rsidRPr="00267E19">
        <w:rPr>
          <w:rFonts w:ascii="Times New Roman" w:eastAsiaTheme="minorEastAsia" w:hAnsi="Times New Roman" w:cs="Times New Roman"/>
          <w:i/>
          <w:sz w:val="24"/>
          <w:szCs w:val="24"/>
          <w:lang w:val="en-US"/>
        </w:rPr>
        <w:t>Theory and Society</w:t>
      </w:r>
      <w:r w:rsidRPr="00267E19">
        <w:rPr>
          <w:rFonts w:ascii="Times New Roman" w:eastAsiaTheme="minorEastAsia" w:hAnsi="Times New Roman" w:cs="Times New Roman"/>
          <w:sz w:val="24"/>
          <w:szCs w:val="24"/>
          <w:lang w:val="en-US"/>
        </w:rPr>
        <w:t>, 14/2 (1985), p. 175-198.</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PRADEAU, F., ‘Le dossier du patient dans les établissements de santé. Tenue, contenue, ar</w:t>
      </w:r>
      <w:r w:rsidR="00CA3838">
        <w:rPr>
          <w:rFonts w:ascii="Times New Roman" w:hAnsi="Times New Roman" w:cs="Times New Roman"/>
          <w:sz w:val="24"/>
          <w:szCs w:val="24"/>
          <w:lang w:val="fr-BE"/>
        </w:rPr>
        <w:t>-</w:t>
      </w:r>
      <w:r w:rsidRPr="00D147A7">
        <w:rPr>
          <w:rFonts w:ascii="Times New Roman" w:hAnsi="Times New Roman" w:cs="Times New Roman"/>
          <w:sz w:val="24"/>
          <w:szCs w:val="24"/>
          <w:lang w:val="fr-BE"/>
        </w:rPr>
        <w:t>chivage et communication’, Poitiers, s.d., 6p. (</w:t>
      </w:r>
      <w:hyperlink r:id="rId21" w:history="1">
        <w:r w:rsidR="003A20A6" w:rsidRPr="000805E8">
          <w:rPr>
            <w:rStyle w:val="Hyperlink"/>
            <w:rFonts w:ascii="Times New Roman" w:hAnsi="Times New Roman" w:cs="Times New Roman"/>
            <w:sz w:val="24"/>
            <w:szCs w:val="24"/>
            <w:lang w:val="fr-BE"/>
          </w:rPr>
          <w:t>http://membres.multimania.fr/pradeau/exposes/ DosMed/dossier_medical_synthese_011015.pdf</w:t>
        </w:r>
      </w:hyperlink>
      <w:r w:rsidRPr="00D147A7">
        <w:rPr>
          <w:rFonts w:ascii="Times New Roman" w:hAnsi="Times New Roman" w:cs="Times New Roman"/>
          <w:sz w:val="24"/>
          <w:szCs w:val="24"/>
          <w:lang w:val="fr-BE"/>
        </w:rPr>
        <w:t>, laatst geraadpleegd op 23 juli 2012).</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PROBST, T., ‘Civil law et Common law: Code contre case’, DUNAND, J.; WINIGER, B.; </w:t>
      </w:r>
      <w:r w:rsidRPr="00D147A7">
        <w:rPr>
          <w:rFonts w:ascii="Times New Roman" w:hAnsi="Times New Roman" w:cs="Times New Roman"/>
          <w:i/>
          <w:sz w:val="24"/>
          <w:szCs w:val="24"/>
          <w:lang w:val="fr-BE"/>
        </w:rPr>
        <w:t>Le Code civil français dans le droit européen</w:t>
      </w:r>
      <w:r w:rsidRPr="00D147A7">
        <w:rPr>
          <w:rFonts w:ascii="Times New Roman" w:hAnsi="Times New Roman" w:cs="Times New Roman"/>
          <w:sz w:val="24"/>
          <w:szCs w:val="24"/>
          <w:lang w:val="fr-BE"/>
        </w:rPr>
        <w:t>, Brussel, Bruylant, 2005, p. 217-231.</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RUNNINGTON, C.; HALE, M.; </w:t>
      </w:r>
      <w:r w:rsidRPr="00D147A7">
        <w:rPr>
          <w:rFonts w:ascii="Times New Roman" w:hAnsi="Times New Roman" w:cs="Times New Roman"/>
          <w:i/>
          <w:sz w:val="24"/>
          <w:szCs w:val="24"/>
          <w:lang w:val="en-US"/>
        </w:rPr>
        <w:t>The history of the common law of England</w:t>
      </w:r>
      <w:r w:rsidRPr="00D147A7">
        <w:rPr>
          <w:rFonts w:ascii="Times New Roman" w:hAnsi="Times New Roman" w:cs="Times New Roman"/>
          <w:sz w:val="24"/>
          <w:szCs w:val="24"/>
          <w:lang w:val="en-US"/>
        </w:rPr>
        <w:t>, Londen, 1820, 472p.</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RYAN, K.W., </w:t>
      </w:r>
      <w:r w:rsidRPr="00D147A7">
        <w:rPr>
          <w:rFonts w:ascii="Times New Roman" w:hAnsi="Times New Roman" w:cs="Times New Roman"/>
          <w:i/>
          <w:sz w:val="24"/>
          <w:szCs w:val="24"/>
          <w:lang w:val="en-US"/>
        </w:rPr>
        <w:t>An introduction to the Civil law</w:t>
      </w:r>
      <w:r w:rsidRPr="00D147A7">
        <w:rPr>
          <w:rFonts w:ascii="Times New Roman" w:hAnsi="Times New Roman" w:cs="Times New Roman"/>
          <w:sz w:val="24"/>
          <w:szCs w:val="24"/>
          <w:lang w:val="en-US"/>
        </w:rPr>
        <w:t>, Brisbane, Law Book co. of Australia, 1962, 294p.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SAUVEPLANNE, J.G., </w:t>
      </w:r>
      <w:r w:rsidRPr="00D147A7">
        <w:rPr>
          <w:rFonts w:ascii="Times New Roman" w:hAnsi="Times New Roman" w:cs="Times New Roman"/>
          <w:i/>
          <w:sz w:val="24"/>
          <w:szCs w:val="24"/>
          <w:lang w:val="en-US"/>
        </w:rPr>
        <w:t>Codified and judge made law: the role of courts and legislators in civil and common law systems</w:t>
      </w:r>
      <w:r w:rsidRPr="00D147A7">
        <w:rPr>
          <w:rFonts w:ascii="Times New Roman" w:hAnsi="Times New Roman" w:cs="Times New Roman"/>
          <w:sz w:val="24"/>
          <w:szCs w:val="24"/>
          <w:lang w:val="en-US"/>
        </w:rPr>
        <w:t xml:space="preserve">, Mededelingen der Koninklijke Nederlandse akademie van wetenschappen. </w:t>
      </w:r>
      <w:r w:rsidRPr="00D147A7">
        <w:rPr>
          <w:rFonts w:ascii="Times New Roman" w:hAnsi="Times New Roman" w:cs="Times New Roman"/>
          <w:sz w:val="24"/>
          <w:szCs w:val="24"/>
        </w:rPr>
        <w:t xml:space="preserve">Afdeling letterkunde. N.R., 45/4, Amsterdam, North-Holland, 1982, 28p.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SCHELLENBERG, T.R., </w:t>
      </w:r>
      <w:r w:rsidRPr="00D147A7">
        <w:rPr>
          <w:rFonts w:ascii="Times New Roman" w:hAnsi="Times New Roman" w:cs="Times New Roman"/>
          <w:i/>
          <w:sz w:val="24"/>
          <w:szCs w:val="24"/>
        </w:rPr>
        <w:t xml:space="preserve">Modern Archives. </w:t>
      </w:r>
      <w:r w:rsidRPr="00D147A7">
        <w:rPr>
          <w:rFonts w:ascii="Times New Roman" w:hAnsi="Times New Roman" w:cs="Times New Roman"/>
          <w:i/>
          <w:sz w:val="24"/>
          <w:szCs w:val="24"/>
          <w:lang w:val="en-US"/>
        </w:rPr>
        <w:t>Principles &amp; Techniques</w:t>
      </w:r>
      <w:r w:rsidRPr="00D147A7">
        <w:rPr>
          <w:rFonts w:ascii="Times New Roman" w:hAnsi="Times New Roman" w:cs="Times New Roman"/>
          <w:sz w:val="24"/>
          <w:szCs w:val="24"/>
          <w:lang w:val="en-US"/>
        </w:rPr>
        <w:t xml:space="preserve">, Chicago, The Society of American Archivists, 2003³, 248p. </w:t>
      </w:r>
      <w:r w:rsidRPr="00D147A7">
        <w:rPr>
          <w:rFonts w:ascii="Times New Roman" w:hAnsi="Times New Roman" w:cs="Times New Roman"/>
          <w:sz w:val="24"/>
          <w:szCs w:val="24"/>
        </w:rPr>
        <w:t>(</w:t>
      </w:r>
      <w:hyperlink r:id="rId22" w:history="1">
        <w:r w:rsidR="00CA3838" w:rsidRPr="00ED5FE6">
          <w:rPr>
            <w:rStyle w:val="Hyperlink"/>
            <w:rFonts w:ascii="Times New Roman" w:hAnsi="Times New Roman" w:cs="Times New Roman"/>
            <w:sz w:val="24"/>
            <w:szCs w:val="24"/>
            <w:shd w:val="clear" w:color="auto" w:fill="FFFFFF"/>
          </w:rPr>
          <w:t>http://www.archivists.org/publications/epubs/Modern Archives-Schellenberg.pdf</w:t>
        </w:r>
      </w:hyperlink>
      <w:r w:rsidRPr="00D147A7">
        <w:rPr>
          <w:rFonts w:ascii="Times New Roman" w:hAnsi="Times New Roman" w:cs="Times New Roman"/>
          <w:sz w:val="24"/>
          <w:szCs w:val="24"/>
        </w:rPr>
        <w:t>, laatst geraadpleegd op 23 juli 2012).</w:t>
      </w:r>
    </w:p>
    <w:p w:rsidR="003E1E00" w:rsidRPr="00D147A7" w:rsidRDefault="003E1E00" w:rsidP="003E1E00">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SERVAIS, P., </w:t>
      </w:r>
      <w:r w:rsidRPr="00D147A7">
        <w:rPr>
          <w:rFonts w:ascii="Times New Roman" w:hAnsi="Times New Roman" w:cs="Times New Roman"/>
          <w:i/>
          <w:sz w:val="24"/>
          <w:szCs w:val="24"/>
          <w:lang w:val="fr-BE"/>
        </w:rPr>
        <w:t>L’information médicale clinique. Archivage, utilisation et gestion du dossier médical</w:t>
      </w:r>
      <w:r w:rsidRPr="00D147A7">
        <w:rPr>
          <w:rFonts w:ascii="Times New Roman" w:hAnsi="Times New Roman" w:cs="Times New Roman"/>
          <w:sz w:val="24"/>
          <w:szCs w:val="24"/>
          <w:lang w:val="fr-BE"/>
        </w:rPr>
        <w:t>, Rencontres de bibliothéconomie, 7, Louvain-la-Neuve, Academia-Bruylant, 1996, 102p.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SERVAIS, P.; ROGER, F.H.; ‘Archives médicales et histoire de la santé’, </w:t>
      </w:r>
      <w:r w:rsidRPr="00D147A7">
        <w:rPr>
          <w:rFonts w:ascii="Times New Roman" w:hAnsi="Times New Roman" w:cs="Times New Roman"/>
          <w:i/>
          <w:sz w:val="24"/>
          <w:szCs w:val="24"/>
          <w:lang w:val="fr-BE"/>
        </w:rPr>
        <w:t xml:space="preserve">Congres de Comines, 28-31 VIII 1980. </w:t>
      </w:r>
      <w:r w:rsidRPr="00D147A7">
        <w:rPr>
          <w:rFonts w:ascii="Times New Roman" w:hAnsi="Times New Roman" w:cs="Times New Roman"/>
          <w:i/>
          <w:sz w:val="24"/>
          <w:szCs w:val="24"/>
        </w:rPr>
        <w:t>Actes – Handelingen – Akten</w:t>
      </w:r>
      <w:r w:rsidRPr="00D147A7">
        <w:rPr>
          <w:rFonts w:ascii="Times New Roman" w:hAnsi="Times New Roman" w:cs="Times New Roman"/>
          <w:sz w:val="24"/>
          <w:szCs w:val="24"/>
        </w:rPr>
        <w:t>, Congres van de federatie van kring</w:t>
      </w:r>
      <w:r w:rsidR="00CA3838">
        <w:rPr>
          <w:rFonts w:ascii="Times New Roman" w:hAnsi="Times New Roman" w:cs="Times New Roman"/>
          <w:sz w:val="24"/>
          <w:szCs w:val="24"/>
        </w:rPr>
        <w:t>-</w:t>
      </w:r>
      <w:r w:rsidRPr="00D147A7">
        <w:rPr>
          <w:rFonts w:ascii="Times New Roman" w:hAnsi="Times New Roman" w:cs="Times New Roman"/>
          <w:sz w:val="24"/>
          <w:szCs w:val="24"/>
        </w:rPr>
        <w:t>en voor oudheidkunde en geschiedenis van België, XLV, Comines, 1980, p. 411-421.</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SHEPHERD, E.; YEO, G.; </w:t>
      </w:r>
      <w:r w:rsidRPr="00D147A7">
        <w:rPr>
          <w:rFonts w:ascii="Times New Roman" w:hAnsi="Times New Roman" w:cs="Times New Roman"/>
          <w:i/>
          <w:sz w:val="24"/>
          <w:szCs w:val="24"/>
          <w:lang w:val="en-US"/>
        </w:rPr>
        <w:t>Managing records: a handbook of principles and practice</w:t>
      </w:r>
      <w:r w:rsidRPr="00D147A7">
        <w:rPr>
          <w:rFonts w:ascii="Times New Roman" w:hAnsi="Times New Roman" w:cs="Times New Roman"/>
          <w:sz w:val="24"/>
          <w:szCs w:val="24"/>
          <w:lang w:val="en-US"/>
        </w:rPr>
        <w:t>, Lon</w:t>
      </w:r>
      <w:r w:rsidR="00CA3838">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den, Facet Publishing, 2003, 318p. </w:t>
      </w:r>
    </w:p>
    <w:p w:rsidR="003A20A6" w:rsidRPr="003A20A6" w:rsidRDefault="003A20A6" w:rsidP="003E1E00">
      <w:pPr>
        <w:pStyle w:val="Geenafstand"/>
        <w:jc w:val="both"/>
        <w:rPr>
          <w:rFonts w:ascii="Times New Roman" w:hAnsi="Times New Roman" w:cs="Times New Roman"/>
          <w:sz w:val="24"/>
          <w:szCs w:val="24"/>
          <w:lang w:val="en-US"/>
        </w:rPr>
      </w:pPr>
      <w:r w:rsidRPr="00267E19">
        <w:rPr>
          <w:rFonts w:ascii="Times New Roman" w:hAnsi="Times New Roman" w:cs="Times New Roman"/>
          <w:sz w:val="24"/>
          <w:szCs w:val="24"/>
          <w:lang w:val="en-US"/>
        </w:rPr>
        <w:t xml:space="preserve">SHORTT, S., ‘The New Social History of Medicine: Some Implications for Reasearch’, </w:t>
      </w:r>
      <w:r w:rsidRPr="00267E19">
        <w:rPr>
          <w:rFonts w:ascii="Times New Roman" w:hAnsi="Times New Roman" w:cs="Times New Roman"/>
          <w:i/>
          <w:sz w:val="24"/>
          <w:szCs w:val="24"/>
          <w:lang w:val="en-US"/>
        </w:rPr>
        <w:t>Ar</w:t>
      </w:r>
      <w:r w:rsidRPr="00267E19">
        <w:rPr>
          <w:rFonts w:ascii="Times New Roman" w:hAnsi="Times New Roman"/>
          <w:i/>
          <w:sz w:val="24"/>
          <w:szCs w:val="24"/>
          <w:lang w:val="en-US"/>
        </w:rPr>
        <w:t>-</w:t>
      </w:r>
      <w:r w:rsidRPr="00267E19">
        <w:rPr>
          <w:rFonts w:ascii="Times New Roman" w:hAnsi="Times New Roman" w:cs="Times New Roman"/>
          <w:i/>
          <w:sz w:val="24"/>
          <w:szCs w:val="24"/>
          <w:lang w:val="en-US"/>
        </w:rPr>
        <w:t>chivaria</w:t>
      </w:r>
      <w:r w:rsidRPr="00267E19">
        <w:rPr>
          <w:rFonts w:ascii="Times New Roman" w:hAnsi="Times New Roman" w:cs="Times New Roman"/>
          <w:sz w:val="24"/>
          <w:szCs w:val="24"/>
          <w:lang w:val="en-US"/>
        </w:rPr>
        <w:t>, 10 (1980), p. 5-22.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STEVENS, F., </w:t>
      </w:r>
      <w:r w:rsidRPr="00D147A7">
        <w:rPr>
          <w:rFonts w:ascii="Times New Roman" w:hAnsi="Times New Roman" w:cs="Times New Roman"/>
          <w:i/>
          <w:sz w:val="24"/>
          <w:szCs w:val="24"/>
        </w:rPr>
        <w:t>Geschiedenis van het publiekrecht</w:t>
      </w:r>
      <w:r w:rsidRPr="00D147A7">
        <w:rPr>
          <w:rFonts w:ascii="Times New Roman" w:hAnsi="Times New Roman" w:cs="Times New Roman"/>
          <w:sz w:val="24"/>
          <w:szCs w:val="24"/>
        </w:rPr>
        <w:t>, Leuven, Acco, 2009</w:t>
      </w:r>
      <w:r w:rsidRPr="00D147A7">
        <w:rPr>
          <w:rFonts w:ascii="Times New Roman" w:hAnsi="Times New Roman" w:cs="Times New Roman"/>
          <w:sz w:val="24"/>
          <w:szCs w:val="24"/>
          <w:vertAlign w:val="superscript"/>
        </w:rPr>
        <w:t>7</w:t>
      </w:r>
      <w:r w:rsidRPr="00D147A7">
        <w:rPr>
          <w:rFonts w:ascii="Times New Roman" w:hAnsi="Times New Roman" w:cs="Times New Roman"/>
          <w:sz w:val="24"/>
          <w:szCs w:val="24"/>
        </w:rPr>
        <w:t xml:space="preserve">, 120p. </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THOMASSEN, T.H.P.M., ‘Paradigmatische veranderingen in de archiefwetenschap’, HORS</w:t>
      </w:r>
      <w:r w:rsidR="00CA3838">
        <w:rPr>
          <w:rFonts w:ascii="Times New Roman" w:hAnsi="Times New Roman" w:cs="Times New Roman"/>
          <w:sz w:val="24"/>
          <w:szCs w:val="24"/>
        </w:rPr>
        <w:t>-</w:t>
      </w:r>
      <w:r w:rsidRPr="00D147A7">
        <w:rPr>
          <w:rFonts w:ascii="Times New Roman" w:hAnsi="Times New Roman" w:cs="Times New Roman"/>
          <w:sz w:val="24"/>
          <w:szCs w:val="24"/>
        </w:rPr>
        <w:t xml:space="preserve">MAN, P.J.; KETELAAR, F.C.J.; THOMASSEN, T.H.P.M.; </w:t>
      </w:r>
      <w:r w:rsidRPr="00D147A7">
        <w:rPr>
          <w:rFonts w:ascii="Times New Roman" w:hAnsi="Times New Roman" w:cs="Times New Roman"/>
          <w:i/>
          <w:sz w:val="24"/>
          <w:szCs w:val="24"/>
        </w:rPr>
        <w:t>Naar een nieuw paradigma in de archivistiek</w:t>
      </w:r>
      <w:r w:rsidRPr="00D147A7">
        <w:rPr>
          <w:rFonts w:ascii="Times New Roman" w:hAnsi="Times New Roman" w:cs="Times New Roman"/>
          <w:sz w:val="24"/>
          <w:szCs w:val="24"/>
        </w:rPr>
        <w:t>, ‘s Gravenhage, Stichting Archiefpublicaties, 1999, p. 69-79.</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UPWARD, F., ‘Structuring the Records Continuum. Part one: Post-custodial Principes and Proporties’, </w:t>
      </w:r>
      <w:r w:rsidRPr="00D147A7">
        <w:rPr>
          <w:rFonts w:ascii="Times New Roman" w:hAnsi="Times New Roman" w:cs="Times New Roman"/>
          <w:i/>
          <w:sz w:val="24"/>
          <w:szCs w:val="24"/>
          <w:lang w:val="en-US"/>
        </w:rPr>
        <w:t>Archives and Manuscripts</w:t>
      </w:r>
      <w:r w:rsidRPr="00D147A7">
        <w:rPr>
          <w:rFonts w:ascii="Times New Roman" w:hAnsi="Times New Roman" w:cs="Times New Roman"/>
          <w:sz w:val="24"/>
          <w:szCs w:val="24"/>
          <w:lang w:val="en-US"/>
        </w:rPr>
        <w:t>, 24/2 (1996), p. 268-285 (</w:t>
      </w:r>
      <w:hyperlink w:history="1">
        <w:r w:rsidR="00CA3838" w:rsidRPr="00ED5FE6">
          <w:rPr>
            <w:rStyle w:val="Hyperlink"/>
            <w:rFonts w:ascii="Times New Roman" w:hAnsi="Times New Roman" w:cs="Times New Roman"/>
            <w:sz w:val="24"/>
            <w:szCs w:val="24"/>
            <w:lang w:val="en-US"/>
          </w:rPr>
          <w:t xml:space="preserve">http://www.infotech.monash. </w:t>
        </w:r>
        <w:r w:rsidR="00CA3838" w:rsidRPr="00ED5FE6">
          <w:rPr>
            <w:rStyle w:val="Hyperlink"/>
            <w:rFonts w:ascii="Times New Roman" w:hAnsi="Times New Roman" w:cs="Times New Roman"/>
            <w:sz w:val="24"/>
            <w:szCs w:val="24"/>
            <w:lang w:val="en-US"/>
          </w:rPr>
          <w:lastRenderedPageBreak/>
          <w:t>edu.au/research/groups/rcrg/publications/recordscontinuum-fupp1.html</w:t>
        </w:r>
      </w:hyperlink>
      <w:r w:rsidRPr="00D147A7">
        <w:rPr>
          <w:rFonts w:ascii="Times New Roman" w:hAnsi="Times New Roman" w:cs="Times New Roman"/>
          <w:sz w:val="24"/>
          <w:szCs w:val="24"/>
          <w:lang w:val="en-US"/>
        </w:rPr>
        <w:t xml:space="preserve">, laatst geraadpleegd op 23 juli 2012). </w:t>
      </w:r>
    </w:p>
    <w:p w:rsidR="003E1E00" w:rsidRPr="00D147A7" w:rsidRDefault="003E1E00" w:rsidP="003E1E00">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UPWARD, F., ‘Structuring the Records Continuum. Part two: Structuration Theory and Recordkeeping’, </w:t>
      </w:r>
      <w:r w:rsidRPr="00D147A7">
        <w:rPr>
          <w:rFonts w:ascii="Times New Roman" w:hAnsi="Times New Roman" w:cs="Times New Roman"/>
          <w:i/>
          <w:sz w:val="24"/>
          <w:szCs w:val="24"/>
          <w:lang w:val="en-US"/>
        </w:rPr>
        <w:t>Archives and Manuscripts</w:t>
      </w:r>
      <w:r w:rsidRPr="00D147A7">
        <w:rPr>
          <w:rFonts w:ascii="Times New Roman" w:hAnsi="Times New Roman" w:cs="Times New Roman"/>
          <w:sz w:val="24"/>
          <w:szCs w:val="24"/>
          <w:lang w:val="en-US"/>
        </w:rPr>
        <w:t>, 25/1 (1997), p. 10-35 (</w:t>
      </w:r>
      <w:hyperlink w:history="1">
        <w:r w:rsidR="005278FB" w:rsidRPr="00D147A7">
          <w:rPr>
            <w:rStyle w:val="Hyperlink"/>
            <w:rFonts w:ascii="Times New Roman" w:hAnsi="Times New Roman" w:cs="Times New Roman"/>
            <w:sz w:val="24"/>
            <w:szCs w:val="24"/>
            <w:lang w:val="en-US"/>
          </w:rPr>
          <w:t>http://www.infotech. monash.edu.au/research/groups/rcrg/publications/recordscontinuum-fupp2.html#top</w:t>
        </w:r>
      </w:hyperlink>
      <w:r w:rsidRPr="00D147A7">
        <w:rPr>
          <w:rFonts w:ascii="Times New Roman" w:hAnsi="Times New Roman" w:cs="Times New Roman"/>
          <w:sz w:val="24"/>
          <w:szCs w:val="24"/>
          <w:lang w:val="en-US"/>
        </w:rPr>
        <w:t>, laatst geraadpleegd op 23 juli 2012).</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DAMME, J.; NYS, H.; VAN DAMME, T.; </w:t>
      </w:r>
      <w:r w:rsidRPr="00D147A7">
        <w:rPr>
          <w:rFonts w:ascii="Times New Roman" w:hAnsi="Times New Roman" w:cs="Times New Roman"/>
          <w:i/>
          <w:sz w:val="24"/>
          <w:szCs w:val="24"/>
        </w:rPr>
        <w:t>De patiënt, de huisarts en zijn dossier</w:t>
      </w:r>
      <w:r w:rsidRPr="00D147A7">
        <w:rPr>
          <w:rFonts w:ascii="Times New Roman" w:hAnsi="Times New Roman" w:cs="Times New Roman"/>
          <w:sz w:val="24"/>
          <w:szCs w:val="24"/>
        </w:rPr>
        <w:t>, Ant</w:t>
      </w:r>
      <w:r w:rsidR="00CA3838">
        <w:rPr>
          <w:rFonts w:ascii="Times New Roman" w:hAnsi="Times New Roman" w:cs="Times New Roman"/>
          <w:sz w:val="24"/>
          <w:szCs w:val="24"/>
        </w:rPr>
        <w:t>-</w:t>
      </w:r>
      <w:r w:rsidRPr="00D147A7">
        <w:rPr>
          <w:rFonts w:ascii="Times New Roman" w:hAnsi="Times New Roman" w:cs="Times New Roman"/>
          <w:sz w:val="24"/>
          <w:szCs w:val="24"/>
        </w:rPr>
        <w:t>werpen, Intersentia, 2003, 235p.</w:t>
      </w:r>
    </w:p>
    <w:p w:rsidR="003A20A6" w:rsidRDefault="003A20A6" w:rsidP="003E1E00">
      <w:pPr>
        <w:pStyle w:val="Geenafstand"/>
        <w:jc w:val="both"/>
        <w:rPr>
          <w:rFonts w:ascii="Times New Roman" w:hAnsi="Times New Roman" w:cs="Times New Roman"/>
          <w:sz w:val="24"/>
          <w:szCs w:val="24"/>
        </w:rPr>
      </w:pPr>
      <w:r w:rsidRPr="00267E19">
        <w:rPr>
          <w:rFonts w:ascii="Times New Roman" w:hAnsi="Times New Roman" w:cs="Times New Roman"/>
          <w:sz w:val="24"/>
          <w:szCs w:val="24"/>
        </w:rPr>
        <w:t xml:space="preserve">VAN EE, A.; BOMMELJE, B. (verts.); BURKE, P.; </w:t>
      </w:r>
      <w:r w:rsidRPr="00267E19">
        <w:rPr>
          <w:rFonts w:ascii="Times New Roman" w:hAnsi="Times New Roman" w:cs="Times New Roman"/>
          <w:i/>
          <w:sz w:val="24"/>
          <w:szCs w:val="24"/>
        </w:rPr>
        <w:t>Wat is Cultuurgeschiedenis?</w:t>
      </w:r>
      <w:r w:rsidRPr="00267E19">
        <w:rPr>
          <w:rFonts w:ascii="Times New Roman" w:hAnsi="Times New Roman" w:cs="Times New Roman"/>
          <w:sz w:val="24"/>
          <w:szCs w:val="24"/>
        </w:rPr>
        <w:t>, Utrecht, Bijleveld, 2007, 207p.</w:t>
      </w:r>
    </w:p>
    <w:p w:rsidR="003E1E00" w:rsidRPr="00D147A7" w:rsidRDefault="003E1E00" w:rsidP="003E1E00">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VANSWEEVELT, T.; DEWALLENS, F.; </w:t>
      </w:r>
      <w:r w:rsidRPr="00D147A7">
        <w:rPr>
          <w:rFonts w:ascii="Times New Roman" w:hAnsi="Times New Roman" w:cs="Times New Roman"/>
          <w:i/>
          <w:sz w:val="24"/>
          <w:szCs w:val="24"/>
        </w:rPr>
        <w:t>Het</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patiëntendossier</w:t>
      </w:r>
      <w:r w:rsidRPr="00D147A7">
        <w:rPr>
          <w:rFonts w:ascii="Times New Roman" w:hAnsi="Times New Roman" w:cs="Times New Roman"/>
          <w:sz w:val="24"/>
          <w:szCs w:val="24"/>
        </w:rPr>
        <w:t>, Reeks Gezondheidsrecht, 2, Antwerpen, Intersentia, 2011, 182p.</w:t>
      </w:r>
    </w:p>
    <w:p w:rsidR="00921F71" w:rsidRDefault="00921F71" w:rsidP="003E1E00">
      <w:pPr>
        <w:pStyle w:val="Geenafstand"/>
        <w:jc w:val="both"/>
        <w:rPr>
          <w:rFonts w:ascii="Times New Roman" w:hAnsi="Times New Roman" w:cs="Times New Roman"/>
          <w:sz w:val="24"/>
          <w:szCs w:val="24"/>
        </w:rPr>
      </w:pPr>
      <w:r w:rsidRPr="00921F71">
        <w:rPr>
          <w:rFonts w:ascii="Times New Roman" w:hAnsi="Times New Roman" w:cs="Times New Roman"/>
          <w:sz w:val="24"/>
          <w:szCs w:val="24"/>
        </w:rPr>
        <w:t xml:space="preserve">VIJSELAAR, J., </w:t>
      </w:r>
      <w:r w:rsidRPr="00921F71">
        <w:rPr>
          <w:rFonts w:ascii="Times New Roman" w:hAnsi="Times New Roman" w:cs="Times New Roman"/>
          <w:i/>
          <w:sz w:val="24"/>
          <w:szCs w:val="24"/>
        </w:rPr>
        <w:t>Het gesticht. Enkele reis of retour</w:t>
      </w:r>
      <w:r w:rsidRPr="00921F71">
        <w:rPr>
          <w:rFonts w:ascii="Times New Roman" w:hAnsi="Times New Roman" w:cs="Times New Roman"/>
          <w:sz w:val="24"/>
          <w:szCs w:val="24"/>
        </w:rPr>
        <w:t>, Amsterdam, Uitgeverij Boom, 2010, 381p.</w:t>
      </w:r>
    </w:p>
    <w:p w:rsidR="003E1E00" w:rsidRPr="00D147A7" w:rsidRDefault="003E1E00" w:rsidP="003E1E00">
      <w:pPr>
        <w:pStyle w:val="Geenafstand"/>
        <w:jc w:val="both"/>
        <w:rPr>
          <w:rFonts w:ascii="Times New Roman" w:hAnsi="Times New Roman" w:cs="Times New Roman"/>
          <w:color w:val="FF0000"/>
          <w:sz w:val="24"/>
          <w:szCs w:val="24"/>
        </w:rPr>
      </w:pPr>
      <w:r w:rsidRPr="00D147A7">
        <w:rPr>
          <w:rFonts w:ascii="Times New Roman" w:hAnsi="Times New Roman" w:cs="Times New Roman"/>
          <w:sz w:val="24"/>
          <w:szCs w:val="24"/>
        </w:rPr>
        <w:t xml:space="preserve">ZWALVE, W.J., </w:t>
      </w:r>
      <w:r w:rsidRPr="00D147A7">
        <w:rPr>
          <w:rFonts w:ascii="Times New Roman" w:hAnsi="Times New Roman" w:cs="Times New Roman"/>
          <w:i/>
          <w:sz w:val="24"/>
          <w:szCs w:val="24"/>
        </w:rPr>
        <w:t>C.Æ Uniken Venema’s Common la wand civil law: inleiding tot het Anglo-Amerikaanse recht in vergelijking met het Nederlandse</w:t>
      </w:r>
      <w:r w:rsidRPr="00D147A7">
        <w:rPr>
          <w:rFonts w:ascii="Times New Roman" w:hAnsi="Times New Roman" w:cs="Times New Roman"/>
          <w:sz w:val="24"/>
          <w:szCs w:val="24"/>
        </w:rPr>
        <w:t>, Deventer, Kluwer, 2000, 687p.</w:t>
      </w:r>
    </w:p>
    <w:p w:rsidR="00C04265" w:rsidRPr="00040B8D" w:rsidRDefault="00C04265" w:rsidP="00040B8D">
      <w:pPr>
        <w:pStyle w:val="Geenafstand"/>
        <w:jc w:val="both"/>
        <w:rPr>
          <w:rFonts w:ascii="Times New Roman" w:hAnsi="Times New Roman" w:cs="Times New Roman"/>
          <w:b/>
          <w:sz w:val="24"/>
          <w:szCs w:val="24"/>
        </w:rPr>
      </w:pPr>
    </w:p>
    <w:p w:rsidR="003E1E00" w:rsidRPr="00D147A7" w:rsidRDefault="003E1E00" w:rsidP="00C04265">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4.4 Websites</w:t>
      </w:r>
    </w:p>
    <w:p w:rsidR="003E1E00" w:rsidRPr="00D147A7" w:rsidRDefault="003E1E00" w:rsidP="003E1E00">
      <w:pPr>
        <w:pStyle w:val="Geenafstand"/>
        <w:jc w:val="both"/>
        <w:rPr>
          <w:rFonts w:ascii="Times New Roman" w:hAnsi="Times New Roman" w:cs="Times New Roman"/>
          <w:sz w:val="24"/>
          <w:szCs w:val="24"/>
        </w:rPr>
      </w:pPr>
    </w:p>
    <w:p w:rsidR="003E1E00" w:rsidRPr="00D147A7" w:rsidRDefault="002E7E12" w:rsidP="003E1E00">
      <w:pPr>
        <w:pStyle w:val="Geenafstand"/>
        <w:jc w:val="both"/>
        <w:rPr>
          <w:rFonts w:ascii="Times New Roman" w:hAnsi="Times New Roman" w:cs="Times New Roman"/>
          <w:sz w:val="24"/>
          <w:szCs w:val="24"/>
        </w:rPr>
      </w:pPr>
      <w:hyperlink r:id="rId23" w:history="1">
        <w:r w:rsidR="003E1E00" w:rsidRPr="00D147A7">
          <w:rPr>
            <w:rStyle w:val="Hyperlink"/>
            <w:rFonts w:ascii="Times New Roman" w:hAnsi="Times New Roman" w:cs="Times New Roman"/>
            <w:sz w:val="24"/>
            <w:szCs w:val="24"/>
          </w:rPr>
          <w:t>http://archive.nlm.nih.gov/proj/ttp/smith_home.html</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24" w:history="1">
        <w:r w:rsidR="003E1E00" w:rsidRPr="00D147A7">
          <w:rPr>
            <w:rStyle w:val="Hyperlink"/>
            <w:rFonts w:ascii="Times New Roman" w:hAnsi="Times New Roman" w:cs="Times New Roman"/>
            <w:sz w:val="24"/>
            <w:szCs w:val="24"/>
          </w:rPr>
          <w:t>http://membres.multimania.fr/pradeau/</w:t>
        </w:r>
      </w:hyperlink>
      <w:r w:rsidR="003E1E00" w:rsidRPr="00D147A7">
        <w:rPr>
          <w:rFonts w:ascii="Times New Roman" w:hAnsi="Times New Roman" w:cs="Times New Roman"/>
          <w:sz w:val="24"/>
          <w:szCs w:val="24"/>
        </w:rPr>
        <w:t>.</w:t>
      </w:r>
    </w:p>
    <w:p w:rsidR="003E1E00" w:rsidRPr="00D147A7" w:rsidRDefault="002E7E12" w:rsidP="003E1E00">
      <w:pPr>
        <w:pStyle w:val="Geenafstand"/>
        <w:jc w:val="both"/>
        <w:rPr>
          <w:rFonts w:ascii="Times New Roman" w:hAnsi="Times New Roman" w:cs="Times New Roman"/>
          <w:sz w:val="24"/>
          <w:szCs w:val="24"/>
        </w:rPr>
      </w:pPr>
      <w:hyperlink r:id="rId25" w:history="1">
        <w:r w:rsidR="003E1E00" w:rsidRPr="00D147A7">
          <w:rPr>
            <w:rStyle w:val="Hyperlink"/>
            <w:rFonts w:ascii="Times New Roman" w:hAnsi="Times New Roman" w:cs="Times New Roman"/>
            <w:sz w:val="24"/>
            <w:szCs w:val="24"/>
          </w:rPr>
          <w:t>http://php.ams-inc.on.ca/files/med_archives.pdf</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26" w:history="1">
        <w:r w:rsidR="003E1E00" w:rsidRPr="00D147A7">
          <w:rPr>
            <w:rStyle w:val="Hyperlink"/>
            <w:rFonts w:ascii="Times New Roman" w:hAnsi="Times New Roman" w:cs="Times New Roman"/>
            <w:sz w:val="24"/>
            <w:szCs w:val="24"/>
          </w:rPr>
          <w:t>http://www.aams.org.au/contents.php?subdir=library/history/&amp;filename=pharonic_egypt</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27" w:history="1">
        <w:r w:rsidR="003E1E00" w:rsidRPr="00D147A7">
          <w:rPr>
            <w:rStyle w:val="Hyperlink"/>
            <w:rFonts w:ascii="Times New Roman" w:hAnsi="Times New Roman" w:cs="Times New Roman"/>
            <w:sz w:val="24"/>
            <w:szCs w:val="24"/>
          </w:rPr>
          <w:t>http://www.archivists.org/</w:t>
        </w:r>
      </w:hyperlink>
      <w:r w:rsidR="003E1E00" w:rsidRPr="00D147A7">
        <w:rPr>
          <w:rFonts w:ascii="Times New Roman" w:hAnsi="Times New Roman" w:cs="Times New Roman"/>
          <w:sz w:val="24"/>
          <w:szCs w:val="24"/>
        </w:rPr>
        <w:t xml:space="preserve">. </w:t>
      </w:r>
    </w:p>
    <w:p w:rsidR="003E1E00" w:rsidRPr="00D147A7" w:rsidRDefault="002E7E12" w:rsidP="003E1E00">
      <w:pPr>
        <w:pStyle w:val="Geenafstand"/>
        <w:jc w:val="both"/>
        <w:rPr>
          <w:rFonts w:ascii="Times New Roman" w:hAnsi="Times New Roman" w:cs="Times New Roman"/>
          <w:sz w:val="24"/>
          <w:szCs w:val="24"/>
        </w:rPr>
      </w:pPr>
      <w:hyperlink r:id="rId28" w:history="1">
        <w:r w:rsidR="003E1E00" w:rsidRPr="00D147A7">
          <w:rPr>
            <w:rStyle w:val="Hyperlink"/>
            <w:rFonts w:ascii="Times New Roman" w:hAnsi="Times New Roman" w:cs="Times New Roman"/>
            <w:sz w:val="24"/>
            <w:szCs w:val="24"/>
          </w:rPr>
          <w:t>http://www.bradshawfoundation.com/hand_paintings_rock_art.php</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29" w:history="1">
        <w:r w:rsidR="003E1E00" w:rsidRPr="00D147A7">
          <w:rPr>
            <w:rStyle w:val="Hyperlink"/>
            <w:rFonts w:ascii="Times New Roman" w:hAnsi="Times New Roman" w:cs="Times New Roman"/>
            <w:sz w:val="24"/>
            <w:szCs w:val="24"/>
          </w:rPr>
          <w:t>http://www.dh.gov.uk/</w:t>
        </w:r>
      </w:hyperlink>
      <w:r w:rsidR="003E1E00" w:rsidRPr="00D147A7">
        <w:rPr>
          <w:rFonts w:ascii="Times New Roman" w:hAnsi="Times New Roman" w:cs="Times New Roman"/>
          <w:sz w:val="24"/>
          <w:szCs w:val="24"/>
        </w:rPr>
        <w:t xml:space="preserve">. </w:t>
      </w:r>
    </w:p>
    <w:p w:rsidR="003E1E00" w:rsidRPr="00D147A7" w:rsidRDefault="002E7E12" w:rsidP="003E1E00">
      <w:pPr>
        <w:pStyle w:val="Geenafstand"/>
        <w:jc w:val="both"/>
        <w:rPr>
          <w:rFonts w:ascii="Times New Roman" w:hAnsi="Times New Roman" w:cs="Times New Roman"/>
          <w:sz w:val="24"/>
          <w:szCs w:val="24"/>
        </w:rPr>
      </w:pPr>
      <w:hyperlink r:id="rId30" w:history="1">
        <w:r w:rsidR="003E1E00" w:rsidRPr="00D147A7">
          <w:rPr>
            <w:rStyle w:val="Hyperlink"/>
            <w:rFonts w:ascii="Times New Roman" w:hAnsi="Times New Roman" w:cs="Times New Roman"/>
            <w:sz w:val="24"/>
            <w:szCs w:val="24"/>
          </w:rPr>
          <w:t>http://www.infotech.monash.edu.au/research/groups/rcrg/publications/recordscontinuum-fupp1.html</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31" w:anchor="top" w:history="1">
        <w:r w:rsidR="003E1E00" w:rsidRPr="00D147A7">
          <w:rPr>
            <w:rStyle w:val="Hyperlink"/>
            <w:rFonts w:ascii="Times New Roman" w:hAnsi="Times New Roman" w:cs="Times New Roman"/>
            <w:sz w:val="24"/>
            <w:szCs w:val="24"/>
          </w:rPr>
          <w:t>http://www.infotech.monash.edu.au/research/groups/rcrg/publications/recordscontinuum-fupp2.html#top</w:t>
        </w:r>
      </w:hyperlink>
      <w:r w:rsidR="003E1E00" w:rsidRPr="00D147A7">
        <w:rPr>
          <w:rFonts w:ascii="Times New Roman" w:hAnsi="Times New Roman" w:cs="Times New Roman"/>
          <w:sz w:val="24"/>
          <w:szCs w:val="24"/>
        </w:rPr>
        <w:t>, laatst geraadpleegd op 23 juli 2012.</w:t>
      </w:r>
    </w:p>
    <w:p w:rsidR="003E1E00" w:rsidRPr="00D147A7" w:rsidRDefault="002E7E12" w:rsidP="003E1E00">
      <w:pPr>
        <w:pStyle w:val="Geenafstand"/>
        <w:jc w:val="both"/>
        <w:rPr>
          <w:rFonts w:ascii="Times New Roman" w:hAnsi="Times New Roman" w:cs="Times New Roman"/>
          <w:sz w:val="24"/>
          <w:szCs w:val="24"/>
        </w:rPr>
      </w:pPr>
      <w:hyperlink r:id="rId32" w:history="1">
        <w:r w:rsidR="003E1E00" w:rsidRPr="00D147A7">
          <w:rPr>
            <w:rStyle w:val="Hyperlink"/>
            <w:rFonts w:ascii="Times New Roman" w:hAnsi="Times New Roman" w:cs="Times New Roman"/>
            <w:sz w:val="24"/>
            <w:szCs w:val="24"/>
          </w:rPr>
          <w:t>http://www.nhs.uk/</w:t>
        </w:r>
      </w:hyperlink>
      <w:r w:rsidR="003E1E00" w:rsidRPr="00D147A7">
        <w:rPr>
          <w:rFonts w:ascii="Times New Roman" w:hAnsi="Times New Roman" w:cs="Times New Roman"/>
          <w:sz w:val="24"/>
          <w:szCs w:val="24"/>
        </w:rPr>
        <w:t xml:space="preserve">. </w:t>
      </w:r>
    </w:p>
    <w:p w:rsidR="003E1E00" w:rsidRPr="00D147A7" w:rsidRDefault="002E7E12" w:rsidP="003E1E00">
      <w:pPr>
        <w:pStyle w:val="Geenafstand"/>
        <w:jc w:val="both"/>
        <w:rPr>
          <w:rFonts w:ascii="Times New Roman" w:hAnsi="Times New Roman" w:cs="Times New Roman"/>
          <w:sz w:val="24"/>
          <w:szCs w:val="24"/>
        </w:rPr>
      </w:pPr>
      <w:hyperlink r:id="rId33" w:history="1">
        <w:r w:rsidR="003E1E00" w:rsidRPr="00D147A7">
          <w:rPr>
            <w:rStyle w:val="Hyperlink"/>
            <w:rFonts w:ascii="Times New Roman" w:hAnsi="Times New Roman" w:cs="Times New Roman"/>
            <w:sz w:val="24"/>
            <w:szCs w:val="24"/>
          </w:rPr>
          <w:t>http://www.warveterans.be/</w:t>
        </w:r>
      </w:hyperlink>
      <w:r w:rsidR="003E1E00" w:rsidRPr="00D147A7">
        <w:rPr>
          <w:rFonts w:ascii="Times New Roman" w:hAnsi="Times New Roman" w:cs="Times New Roman"/>
          <w:sz w:val="24"/>
          <w:szCs w:val="24"/>
        </w:rPr>
        <w:t xml:space="preserve">. </w:t>
      </w:r>
    </w:p>
    <w:p w:rsidR="003E1E00" w:rsidRPr="00D147A7" w:rsidRDefault="002E7E12" w:rsidP="00701B52">
      <w:pPr>
        <w:pStyle w:val="Geenafstand"/>
        <w:jc w:val="both"/>
        <w:rPr>
          <w:rFonts w:ascii="Times New Roman" w:hAnsi="Times New Roman" w:cs="Times New Roman"/>
          <w:sz w:val="24"/>
          <w:szCs w:val="24"/>
        </w:rPr>
      </w:pPr>
      <w:hyperlink r:id="rId34" w:history="1">
        <w:r w:rsidR="003E1E00" w:rsidRPr="00D147A7">
          <w:rPr>
            <w:rStyle w:val="Hyperlink"/>
            <w:rFonts w:ascii="Times New Roman" w:hAnsi="Times New Roman" w:cs="Times New Roman"/>
            <w:sz w:val="24"/>
            <w:szCs w:val="24"/>
          </w:rPr>
          <w:t>http://www.wellcome.ac.uk/</w:t>
        </w:r>
      </w:hyperlink>
      <w:r w:rsidR="00701B52"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br w:type="page"/>
      </w:r>
    </w:p>
    <w:p w:rsidR="009931C7" w:rsidRPr="00D147A7" w:rsidRDefault="009931C7" w:rsidP="009931C7">
      <w:pPr>
        <w:widowControl/>
        <w:suppressAutoHyphens w:val="0"/>
        <w:spacing w:line="240" w:lineRule="atLeast"/>
        <w:jc w:val="center"/>
        <w:rPr>
          <w:b/>
          <w:smallCaps/>
          <w:kern w:val="0"/>
          <w:sz w:val="32"/>
          <w:szCs w:val="32"/>
          <w:lang w:val="nl-NL" w:eastAsia="en-US" w:bidi="ar-SA"/>
        </w:rPr>
      </w:pPr>
      <w:r w:rsidRPr="00D147A7">
        <w:rPr>
          <w:b/>
          <w:smallCaps/>
          <w:kern w:val="0"/>
          <w:sz w:val="32"/>
          <w:szCs w:val="32"/>
          <w:lang w:val="nl-NL" w:eastAsia="en-US" w:bidi="ar-SA"/>
        </w:rPr>
        <w:lastRenderedPageBreak/>
        <w:t>Deel 1: Creatie</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Het eerste deel van deze verhandeling bestaat uit vier hoofdstukken: de dossierplicht van zorgverleners, de eigendom, de vorm en de typologie van patiëntendossiers. Bij wijze van in</w:t>
      </w:r>
      <w:r w:rsidR="00453376">
        <w:rPr>
          <w:kern w:val="0"/>
          <w:lang w:val="nl-NL" w:eastAsia="en-US" w:bidi="ar-SA"/>
        </w:rPr>
        <w:t>-</w:t>
      </w:r>
      <w:r w:rsidRPr="00D147A7">
        <w:rPr>
          <w:kern w:val="0"/>
          <w:lang w:val="nl-NL" w:eastAsia="en-US" w:bidi="ar-SA"/>
        </w:rPr>
        <w:t>leiding wordt elke mate</w:t>
      </w:r>
      <w:r w:rsidR="002B3CFE" w:rsidRPr="00D147A7">
        <w:rPr>
          <w:kern w:val="0"/>
          <w:lang w:val="nl-NL" w:eastAsia="en-US" w:bidi="ar-SA"/>
        </w:rPr>
        <w:t>rie hier eerst kort toegelicht.</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Patiëntendossiers zijn een </w:t>
      </w:r>
      <w:r w:rsidRPr="00D147A7">
        <w:rPr>
          <w:i/>
          <w:iCs/>
          <w:kern w:val="0"/>
          <w:lang w:val="nl-NL" w:eastAsia="en-US" w:bidi="ar-SA"/>
        </w:rPr>
        <w:t>conditio sine qua non</w:t>
      </w:r>
      <w:r w:rsidRPr="00D147A7">
        <w:rPr>
          <w:kern w:val="0"/>
          <w:lang w:val="nl-NL" w:eastAsia="en-US" w:bidi="ar-SA"/>
        </w:rPr>
        <w:t xml:space="preserve"> voor een kwalitatieve en continue zorg</w:t>
      </w:r>
      <w:r w:rsidR="00453376">
        <w:rPr>
          <w:kern w:val="0"/>
          <w:lang w:val="nl-NL" w:eastAsia="en-US" w:bidi="ar-SA"/>
        </w:rPr>
        <w:t>-</w:t>
      </w:r>
      <w:r w:rsidRPr="00D147A7">
        <w:rPr>
          <w:kern w:val="0"/>
          <w:lang w:val="nl-NL" w:eastAsia="en-US" w:bidi="ar-SA"/>
        </w:rPr>
        <w:t xml:space="preserve">verlening. Daarom moeten beroepsbeoefenaars in de gezondheidszorg voor iedere patiënt </w:t>
      </w:r>
      <w:r w:rsidR="002B3CFE" w:rsidRPr="00D147A7">
        <w:rPr>
          <w:kern w:val="0"/>
          <w:lang w:val="nl-NL" w:eastAsia="en-US" w:bidi="ar-SA"/>
        </w:rPr>
        <w:t>éé</w:t>
      </w:r>
      <w:r w:rsidRPr="00D147A7">
        <w:rPr>
          <w:kern w:val="0"/>
          <w:lang w:val="nl-NL" w:eastAsia="en-US" w:bidi="ar-SA"/>
        </w:rPr>
        <w:t>n dossier aanleggen. Het zou uiteraard volledig zinloos zijn mocht de dossierplicht van zorg</w:t>
      </w:r>
      <w:r w:rsidR="00453376">
        <w:rPr>
          <w:kern w:val="0"/>
          <w:lang w:val="nl-NL" w:eastAsia="en-US" w:bidi="ar-SA"/>
        </w:rPr>
        <w:t>-</w:t>
      </w:r>
      <w:r w:rsidRPr="00D147A7">
        <w:rPr>
          <w:kern w:val="0"/>
          <w:lang w:val="nl-NL" w:eastAsia="en-US" w:bidi="ar-SA"/>
        </w:rPr>
        <w:t>verleners na de archiefvorming ophouden. Patiëntendossiers zijn immers geen statische be</w:t>
      </w:r>
      <w:r w:rsidR="00453376">
        <w:rPr>
          <w:kern w:val="0"/>
          <w:lang w:val="nl-NL" w:eastAsia="en-US" w:bidi="ar-SA"/>
        </w:rPr>
        <w:t>-</w:t>
      </w:r>
      <w:r w:rsidRPr="00D147A7">
        <w:rPr>
          <w:kern w:val="0"/>
          <w:lang w:val="nl-NL" w:eastAsia="en-US" w:bidi="ar-SA"/>
        </w:rPr>
        <w:t>scheiden, maar moeten bij ieder contact tussen zorgverlener en patiënt geactualiseerd worden. Omdat patiënten zich op elk ogenblik tot hun zorgverlener kunnen wenden, moeten patiënten</w:t>
      </w:r>
      <w:r w:rsidR="00453376">
        <w:rPr>
          <w:kern w:val="0"/>
          <w:lang w:val="nl-NL" w:eastAsia="en-US" w:bidi="ar-SA"/>
        </w:rPr>
        <w:t>-</w:t>
      </w:r>
      <w:r w:rsidRPr="00D147A7">
        <w:rPr>
          <w:kern w:val="0"/>
          <w:lang w:val="nl-NL" w:eastAsia="en-US" w:bidi="ar-SA"/>
        </w:rPr>
        <w:t>dossiers te allen tijde raadpleegbaar zijn. Daartoe is het noodzakelijk dat patiëntendossiers goed bewaard</w:t>
      </w:r>
      <w:r w:rsidR="002B3CFE" w:rsidRPr="00D147A7">
        <w:rPr>
          <w:kern w:val="0"/>
          <w:lang w:val="nl-NL" w:eastAsia="en-US" w:bidi="ar-SA"/>
        </w:rPr>
        <w:t xml:space="preserve"> worden</w:t>
      </w:r>
      <w:r w:rsidRPr="00D147A7">
        <w:rPr>
          <w:kern w:val="0"/>
          <w:lang w:val="nl-NL" w:eastAsia="en-US" w:bidi="ar-SA"/>
        </w:rPr>
        <w:t>. Om de toegankelijkheid van patiëntendossiers te bevorderen, moet</w:t>
      </w:r>
      <w:r w:rsidR="002B3CFE" w:rsidRPr="00D147A7">
        <w:rPr>
          <w:kern w:val="0"/>
          <w:lang w:val="nl-NL" w:eastAsia="en-US" w:bidi="ar-SA"/>
        </w:rPr>
        <w:t>en</w:t>
      </w:r>
      <w:r w:rsidRPr="00D147A7">
        <w:rPr>
          <w:kern w:val="0"/>
          <w:lang w:val="nl-NL" w:eastAsia="en-US" w:bidi="ar-SA"/>
        </w:rPr>
        <w:t xml:space="preserve"> ze in geordende staat worden bewaard. Bovendien moeten de nodige veiligheidsmaatregelen getroffen worden, opdat enkel geautoriseerde zorgverleners toegang zouden hebben tot deze uiterst privacygevoelige archiefstukken.</w:t>
      </w:r>
    </w:p>
    <w:p w:rsidR="009931C7" w:rsidRPr="00D147A7" w:rsidRDefault="009931C7" w:rsidP="009931C7">
      <w:pPr>
        <w:widowControl/>
        <w:suppressAutoHyphens w:val="0"/>
        <w:spacing w:line="24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rPr>
                <w:b/>
                <w:smallCaps/>
                <w:kern w:val="0"/>
                <w:lang w:val="nl-NL" w:eastAsia="en-US" w:bidi="ar-SA"/>
              </w:rPr>
            </w:pPr>
            <w:r w:rsidRPr="00D147A7">
              <w:rPr>
                <w:b/>
                <w:smallCaps/>
                <w:kern w:val="0"/>
                <w:lang w:val="nl-NL" w:eastAsia="en-US" w:bidi="ar-SA"/>
              </w:rPr>
              <w:t>Relevante wetgeving</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b/>
                <w:smallCaps/>
                <w:kern w:val="0"/>
                <w:lang w:val="nl-NL" w:eastAsia="en-US" w:bidi="ar-SA"/>
              </w:rPr>
            </w:pPr>
            <w:r w:rsidRPr="00D147A7">
              <w:rPr>
                <w:b/>
                <w:kern w:val="0"/>
                <w:lang w:val="nl-NL" w:eastAsia="en-US" w:bidi="ar-SA"/>
              </w:rPr>
              <w:t xml:space="preserve">België: </w:t>
            </w:r>
            <w:r w:rsidRPr="00D147A7">
              <w:rPr>
                <w:kern w:val="0"/>
                <w:lang w:val="nl-NL" w:eastAsia="en-US" w:bidi="ar-SA"/>
              </w:rPr>
              <w:t>art. 1147 en art. 1382 BW; art. 9 § 1 Wet Patiëntenrechten</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b/>
                <w:smallCaps/>
                <w:kern w:val="0"/>
                <w:lang w:val="nl-NL" w:eastAsia="en-US" w:bidi="ar-SA"/>
              </w:rPr>
            </w:pPr>
            <w:r w:rsidRPr="00D147A7">
              <w:rPr>
                <w:b/>
                <w:kern w:val="0"/>
                <w:lang w:val="nl-NL" w:eastAsia="en-US" w:bidi="ar-SA"/>
              </w:rPr>
              <w:t>Nederland:</w:t>
            </w:r>
            <w:r w:rsidRPr="00D147A7">
              <w:rPr>
                <w:kern w:val="0"/>
                <w:lang w:val="nl-NL" w:eastAsia="en-US" w:bidi="ar-SA"/>
              </w:rPr>
              <w:t xml:space="preserve"> art. 454 § 1 en § 3 WGBO; art. 19 § 1 en art. 20 § 1 Wcz</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smallCaps/>
                <w:kern w:val="0"/>
                <w:lang w:val="nl-NL" w:eastAsia="en-US" w:bidi="ar-SA"/>
              </w:rPr>
            </w:pPr>
            <w:r w:rsidRPr="00D147A7">
              <w:rPr>
                <w:b/>
                <w:kern w:val="0"/>
                <w:lang w:val="nl-NL" w:eastAsia="en-US" w:bidi="ar-SA"/>
              </w:rPr>
              <w:t>Frankrijk:</w:t>
            </w:r>
            <w:r w:rsidRPr="00D147A7">
              <w:rPr>
                <w:kern w:val="0"/>
                <w:lang w:val="nl-NL" w:eastAsia="en-US" w:bidi="ar-SA"/>
              </w:rPr>
              <w:t xml:space="preserve"> art. R. 1112-2 CSP, gewijzigd door art. 2 van besluit nr. 2006-119 van 6 februari 2006</w:t>
            </w:r>
          </w:p>
        </w:tc>
      </w:tr>
    </w:tbl>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In het tweede hoofdstuk wordt de eigendom van patiëntendossiers, dat reeds geruime tijd een omstreden thema in de rechtsleer is, onder de loep genomen. Drie actoren komen in aan</w:t>
      </w:r>
      <w:r w:rsidR="002B3CFE" w:rsidRPr="00D147A7">
        <w:rPr>
          <w:kern w:val="0"/>
          <w:lang w:val="nl-NL" w:eastAsia="en-US" w:bidi="ar-SA"/>
        </w:rPr>
        <w:t>-</w:t>
      </w:r>
      <w:r w:rsidRPr="00D147A7">
        <w:rPr>
          <w:kern w:val="0"/>
          <w:lang w:val="nl-NL" w:eastAsia="en-US" w:bidi="ar-SA"/>
        </w:rPr>
        <w:t xml:space="preserve">merking: de patiënt, de zorgverlener en, in voorkomend geval, de verzorgingsinstelling. Hoe wordt de eigendom van een patiëntendossier geregeld in de wetgeving? Heeft dit gevolgen voor de praktijk? Is het überhaupt zinvol om één partij als eigenaar van het patiëntendossier te kwalificeren? De verzorgingsstaat ontwikkelde zich de voorbije jaren immers tot een ware ‘gezondheidsdemocratie’, waarin patiënten almaar meer </w:t>
      </w:r>
      <w:r w:rsidRPr="00D147A7">
        <w:rPr>
          <w:i/>
          <w:iCs/>
          <w:kern w:val="0"/>
          <w:lang w:val="nl-NL" w:eastAsia="en-US" w:bidi="ar-SA"/>
        </w:rPr>
        <w:t>empowered</w:t>
      </w:r>
      <w:r w:rsidRPr="00D147A7">
        <w:rPr>
          <w:kern w:val="0"/>
          <w:lang w:val="nl-NL" w:eastAsia="en-US" w:bidi="ar-SA"/>
        </w:rPr>
        <w:t xml:space="preserve"> zijn. Bovendien worden steeds meer rechten en plichten van de be</w:t>
      </w:r>
      <w:r w:rsidR="002B3CFE" w:rsidRPr="00D147A7">
        <w:rPr>
          <w:kern w:val="0"/>
          <w:lang w:val="nl-NL" w:eastAsia="en-US" w:bidi="ar-SA"/>
        </w:rPr>
        <w:t>trokkenen wettelijk vastgelegd.</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In het derde hoofdstuk wordt onderzocht welke vorm patiëntendossiers mogen aannemen volgens de wet. In theorie zijn er drie soorten gegevensdragers waarop patiëntendossiers vastgelegd kunnen worden:</w:t>
      </w:r>
      <w:r w:rsidR="002B3CFE" w:rsidRPr="00D147A7">
        <w:rPr>
          <w:kern w:val="0"/>
          <w:lang w:val="nl-NL" w:eastAsia="en-US" w:bidi="ar-SA"/>
        </w:rPr>
        <w:t xml:space="preserve"> elektronische (gedigitaliseerd</w:t>
      </w:r>
      <w:r w:rsidRPr="00D147A7">
        <w:rPr>
          <w:kern w:val="0"/>
          <w:lang w:val="nl-NL" w:eastAsia="en-US" w:bidi="ar-SA"/>
        </w:rPr>
        <w:t xml:space="preserve"> of </w:t>
      </w:r>
      <w:r w:rsidRPr="00D147A7">
        <w:rPr>
          <w:i/>
          <w:kern w:val="0"/>
          <w:lang w:val="nl-NL" w:eastAsia="en-US" w:bidi="ar-SA"/>
        </w:rPr>
        <w:t>digital born</w:t>
      </w:r>
      <w:r w:rsidRPr="00D147A7">
        <w:rPr>
          <w:kern w:val="0"/>
          <w:lang w:val="nl-NL" w:eastAsia="en-US" w:bidi="ar-SA"/>
        </w:rPr>
        <w:t>), fotografische (foto’s, microfiches of microfilms) en papieren dragers. Aan iedere gegevensdrager zijn specifieke voor- en nadelen verbonden. Papier is zondermeer de meest ingeburgerde en gebruiksvriendelijke drager</w:t>
      </w:r>
      <w:r w:rsidR="002B3CFE" w:rsidRPr="00D147A7">
        <w:rPr>
          <w:kern w:val="0"/>
          <w:lang w:val="nl-NL" w:eastAsia="en-US" w:bidi="ar-SA"/>
        </w:rPr>
        <w:t>,</w:t>
      </w:r>
      <w:r w:rsidRPr="00D147A7">
        <w:rPr>
          <w:kern w:val="0"/>
          <w:lang w:val="nl-NL" w:eastAsia="en-US" w:bidi="ar-SA"/>
        </w:rPr>
        <w:t xml:space="preserve"> ondanks het feit dat de bewaring ervan veel ruimte in beslag neemt en </w:t>
      </w:r>
      <w:r w:rsidR="002B3CFE" w:rsidRPr="00D147A7">
        <w:rPr>
          <w:kern w:val="0"/>
          <w:lang w:val="nl-NL" w:eastAsia="en-US" w:bidi="ar-SA"/>
        </w:rPr>
        <w:t>ze</w:t>
      </w:r>
      <w:r w:rsidRPr="00D147A7">
        <w:rPr>
          <w:kern w:val="0"/>
          <w:lang w:val="nl-NL" w:eastAsia="en-US" w:bidi="ar-SA"/>
        </w:rPr>
        <w:t xml:space="preserve"> slechts op één plaats geraadpleegd </w:t>
      </w:r>
      <w:r w:rsidR="002B3CFE" w:rsidRPr="00D147A7">
        <w:rPr>
          <w:kern w:val="0"/>
          <w:lang w:val="nl-NL" w:eastAsia="en-US" w:bidi="ar-SA"/>
        </w:rPr>
        <w:t xml:space="preserve">kunnen </w:t>
      </w:r>
      <w:r w:rsidRPr="00D147A7">
        <w:rPr>
          <w:kern w:val="0"/>
          <w:lang w:val="nl-NL" w:eastAsia="en-US" w:bidi="ar-SA"/>
        </w:rPr>
        <w:t xml:space="preserve">worden. Microfilm is daarentegen veel duurzamer en behoeft (veel) minder opslagruimte dan papier, maar is slechts een secundaire gegevensdrager. Maar omdat microfilms statisch zijn, </w:t>
      </w:r>
      <w:r w:rsidR="002B3CFE" w:rsidRPr="00D147A7">
        <w:rPr>
          <w:kern w:val="0"/>
          <w:lang w:val="nl-NL" w:eastAsia="en-US" w:bidi="ar-SA"/>
        </w:rPr>
        <w:t>wordt</w:t>
      </w:r>
      <w:r w:rsidRPr="00D147A7">
        <w:rPr>
          <w:kern w:val="0"/>
          <w:lang w:val="nl-NL" w:eastAsia="en-US" w:bidi="ar-SA"/>
        </w:rPr>
        <w:t xml:space="preserve"> </w:t>
      </w:r>
      <w:r w:rsidR="002B3CFE" w:rsidRPr="00D147A7">
        <w:rPr>
          <w:kern w:val="0"/>
          <w:lang w:val="nl-NL" w:eastAsia="en-US" w:bidi="ar-SA"/>
        </w:rPr>
        <w:t xml:space="preserve">hun </w:t>
      </w:r>
      <w:r w:rsidRPr="00D147A7">
        <w:rPr>
          <w:kern w:val="0"/>
          <w:lang w:val="nl-NL" w:eastAsia="en-US" w:bidi="ar-SA"/>
        </w:rPr>
        <w:t xml:space="preserve">integriteit </w:t>
      </w:r>
      <w:r w:rsidR="002B3CFE" w:rsidRPr="00D147A7">
        <w:rPr>
          <w:kern w:val="0"/>
          <w:lang w:val="nl-NL" w:eastAsia="en-US" w:bidi="ar-SA"/>
        </w:rPr>
        <w:t>beter gegaran-deerd</w:t>
      </w:r>
      <w:r w:rsidRPr="00D147A7">
        <w:rPr>
          <w:kern w:val="0"/>
          <w:lang w:val="nl-NL" w:eastAsia="en-US" w:bidi="ar-SA"/>
        </w:rPr>
        <w:t xml:space="preserve">. De microverfilming van bescheiden is duur, arbeidsintensief en het terugvinden van op microfilm vastgelegde documenten vergt doorgaans veel tijd. Ook microfilms kunnen, net als papier, slechts op één plaats tegelijkertijd geraadpleegd worden. Bovendien is de verkleining van onder meer röntgenfoto’s erg duur en is de beeldkwaliteit niet altijd bevredigend. Vandaag de dag worden patiëntendossiers meestal op digitale gegevensdragers opgeslagen, ondanks de hieraan verbonden risico’s. </w:t>
      </w:r>
      <w:r w:rsidRPr="00D147A7">
        <w:rPr>
          <w:kern w:val="0"/>
          <w:lang w:eastAsia="en-US" w:bidi="ar-SA"/>
        </w:rPr>
        <w:t>De kans dat huidige gegevensdragers op toekomstige computersystemen nog geraadpleegd zullen kunnen worden, vereist immers de nodige investeringen.</w:t>
      </w:r>
      <w:r w:rsidRPr="00D147A7">
        <w:rPr>
          <w:kern w:val="0"/>
          <w:lang w:val="nl-NL" w:eastAsia="en-US" w:bidi="ar-SA"/>
        </w:rPr>
        <w:t xml:space="preserve"> Het is dan ook de vraag of het financieel haalbaar is om de talrijke patiënten</w:t>
      </w:r>
      <w:r w:rsidR="002B3CFE" w:rsidRPr="00D147A7">
        <w:rPr>
          <w:kern w:val="0"/>
          <w:lang w:val="nl-NL" w:eastAsia="en-US" w:bidi="ar-SA"/>
        </w:rPr>
        <w:t>-</w:t>
      </w:r>
      <w:r w:rsidRPr="00D147A7">
        <w:rPr>
          <w:kern w:val="0"/>
          <w:lang w:val="nl-NL" w:eastAsia="en-US" w:bidi="ar-SA"/>
        </w:rPr>
        <w:lastRenderedPageBreak/>
        <w:t xml:space="preserve">dossiers leesbaar te houden gedurende hun bewaartermijn. Gegevens die op magnetische schijven (diskettes, harde schijven, minidiscs) en cassettes opgeslagen zijn, zullen geleidelijk aan degraderen (een fenomeen dat bekend staat als </w:t>
      </w:r>
      <w:r w:rsidRPr="00D147A7">
        <w:rPr>
          <w:i/>
          <w:kern w:val="0"/>
          <w:lang w:val="nl-NL" w:eastAsia="en-US" w:bidi="ar-SA"/>
        </w:rPr>
        <w:t>bitrot</w:t>
      </w:r>
      <w:r w:rsidRPr="00D147A7">
        <w:rPr>
          <w:kern w:val="0"/>
          <w:lang w:val="nl-NL" w:eastAsia="en-US" w:bidi="ar-SA"/>
        </w:rPr>
        <w:t xml:space="preserve">). De voorkeur gaat uit naar </w:t>
      </w:r>
      <w:r w:rsidRPr="00D147A7">
        <w:rPr>
          <w:i/>
          <w:iCs/>
          <w:kern w:val="0"/>
          <w:lang w:val="nl-NL" w:eastAsia="en-US" w:bidi="ar-SA"/>
        </w:rPr>
        <w:t>non-rewritable</w:t>
      </w:r>
      <w:r w:rsidRPr="00D147A7">
        <w:rPr>
          <w:kern w:val="0"/>
          <w:lang w:val="nl-NL" w:eastAsia="en-US" w:bidi="ar-SA"/>
        </w:rPr>
        <w:t xml:space="preserve"> optische schijven (zoals CD-rom’s, DVD’s, etc.) en flashgeheugenkaarten (zoals de USB-stick) met een schakelaar voor schrijfbeveiliging. Toch moeten zelfs de meest duurzame digitale gegevensdragers regelmatig geconverteerd worden. Om de duurzaamheid en uitwisselbaarheid van digitale bestanden te stimuleren, moeten standaardformaten zoals XML, PDF/A en TIFF (voor</w:t>
      </w:r>
      <w:r w:rsidR="002B3CFE" w:rsidRPr="00D147A7">
        <w:rPr>
          <w:kern w:val="0"/>
          <w:lang w:val="nl-NL" w:eastAsia="en-US" w:bidi="ar-SA"/>
        </w:rPr>
        <w:t xml:space="preserve"> afbeeldingen) gebruikt worden.</w:t>
      </w:r>
    </w:p>
    <w:p w:rsidR="009931C7" w:rsidRPr="00D147A7" w:rsidRDefault="009931C7" w:rsidP="009931C7">
      <w:pPr>
        <w:widowControl/>
        <w:suppressAutoHyphens w:val="0"/>
        <w:spacing w:line="240" w:lineRule="atLeast"/>
        <w:jc w:val="both"/>
        <w:rPr>
          <w:kern w:val="0"/>
          <w:lang w:val="nl-NL"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b/>
                <w:smallCaps/>
                <w:kern w:val="0"/>
                <w:lang w:val="nl-NL" w:eastAsia="en-US" w:bidi="ar-SA"/>
              </w:rPr>
            </w:pPr>
            <w:r w:rsidRPr="00D147A7">
              <w:rPr>
                <w:b/>
                <w:smallCaps/>
                <w:kern w:val="0"/>
                <w:lang w:val="nl-NL" w:eastAsia="en-US" w:bidi="ar-SA"/>
              </w:rPr>
              <w:t>Relevante wetgeving</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b/>
                <w:smallCaps/>
                <w:kern w:val="0"/>
                <w:lang w:val="nl-NL" w:eastAsia="en-US" w:bidi="ar-SA"/>
              </w:rPr>
            </w:pPr>
            <w:r w:rsidRPr="00D147A7">
              <w:rPr>
                <w:b/>
                <w:kern w:val="0"/>
                <w:lang w:val="nl-NL" w:eastAsia="en-US" w:bidi="ar-SA"/>
              </w:rPr>
              <w:t>België:</w:t>
            </w:r>
            <w:r w:rsidRPr="00D147A7">
              <w:rPr>
                <w:kern w:val="0"/>
                <w:lang w:val="nl-NL" w:eastAsia="en-US" w:bidi="ar-SA"/>
              </w:rPr>
              <w:t xml:space="preserve"> art. 1 § 1 KB van 3 mei 1999 (1); art. 1 § 2 KB van 3 mei 1999 (2); art. N1, B, 3, d) KB van 21 september 2004; art. 1 § 2 KB van 28 december 2006</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b/>
                <w:smallCaps/>
                <w:kern w:val="0"/>
                <w:lang w:val="nl-NL" w:eastAsia="en-US" w:bidi="ar-SA"/>
              </w:rPr>
            </w:pPr>
            <w:r w:rsidRPr="00D147A7">
              <w:rPr>
                <w:b/>
                <w:kern w:val="0"/>
                <w:lang w:val="nl-NL" w:eastAsia="en-US" w:bidi="ar-SA"/>
              </w:rPr>
              <w:t>Nederland:</w:t>
            </w:r>
            <w:r w:rsidRPr="00D147A7">
              <w:rPr>
                <w:kern w:val="0"/>
                <w:lang w:val="en-US" w:eastAsia="en-US" w:bidi="ar-SA"/>
              </w:rPr>
              <w:t xml:space="preserve"> art. 7 Archiefwet</w:t>
            </w:r>
          </w:p>
        </w:tc>
      </w:tr>
      <w:tr w:rsidR="009931C7" w:rsidRPr="00D147A7" w:rsidTr="004721B1">
        <w:tc>
          <w:tcPr>
            <w:tcW w:w="9212" w:type="dxa"/>
            <w:shd w:val="clear" w:color="auto" w:fill="auto"/>
          </w:tcPr>
          <w:p w:rsidR="009931C7" w:rsidRPr="00D147A7" w:rsidRDefault="009931C7" w:rsidP="009931C7">
            <w:pPr>
              <w:widowControl/>
              <w:suppressAutoHyphens w:val="0"/>
              <w:spacing w:line="240" w:lineRule="atLeast"/>
              <w:jc w:val="both"/>
              <w:rPr>
                <w:smallCaps/>
                <w:kern w:val="0"/>
                <w:lang w:val="nl-NL" w:eastAsia="en-US" w:bidi="ar-SA"/>
              </w:rPr>
            </w:pPr>
            <w:r w:rsidRPr="00D147A7">
              <w:rPr>
                <w:b/>
                <w:kern w:val="0"/>
                <w:lang w:val="nl-NL" w:eastAsia="en-US" w:bidi="ar-SA"/>
              </w:rPr>
              <w:t>Frankrijk:</w:t>
            </w:r>
            <w:r w:rsidRPr="00D147A7">
              <w:rPr>
                <w:kern w:val="0"/>
                <w:lang w:val="nl-NL" w:eastAsia="en-US" w:bidi="ar-SA"/>
              </w:rPr>
              <w:t xml:space="preserve"> art. R. 1111-1 tot art. R. 1111-16-1 CSP</w:t>
            </w:r>
          </w:p>
        </w:tc>
      </w:tr>
    </w:tbl>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In het laatste hoofdstuk wordt ingegaan op de typologie van patiëntendossiers. Medische archieven bestaan uit archiefreeksen van divers pluimage. </w:t>
      </w:r>
      <w:r w:rsidRPr="00D147A7">
        <w:rPr>
          <w:i/>
          <w:iCs/>
          <w:kern w:val="0"/>
          <w:lang w:val="nl-NL" w:eastAsia="en-US" w:bidi="ar-SA"/>
        </w:rPr>
        <w:t>Grosso modo</w:t>
      </w:r>
      <w:r w:rsidRPr="00D147A7">
        <w:rPr>
          <w:kern w:val="0"/>
          <w:lang w:val="nl-NL" w:eastAsia="en-US" w:bidi="ar-SA"/>
        </w:rPr>
        <w:t xml:space="preserve"> kunnen administra</w:t>
      </w:r>
      <w:r w:rsidR="00453376">
        <w:rPr>
          <w:kern w:val="0"/>
          <w:lang w:val="nl-NL" w:eastAsia="en-US" w:bidi="ar-SA"/>
        </w:rPr>
        <w:t>-</w:t>
      </w:r>
      <w:r w:rsidRPr="00D147A7">
        <w:rPr>
          <w:kern w:val="0"/>
          <w:lang w:val="nl-NL" w:eastAsia="en-US" w:bidi="ar-SA"/>
        </w:rPr>
        <w:t>tieve van medische gegevens onderscheiden</w:t>
      </w:r>
      <w:r w:rsidR="002B3CFE" w:rsidRPr="00D147A7">
        <w:rPr>
          <w:kern w:val="0"/>
          <w:lang w:val="nl-NL" w:eastAsia="en-US" w:bidi="ar-SA"/>
        </w:rPr>
        <w:t xml:space="preserve"> worden</w:t>
      </w:r>
      <w:r w:rsidRPr="00D147A7">
        <w:rPr>
          <w:kern w:val="0"/>
          <w:lang w:val="nl-NL" w:eastAsia="en-US" w:bidi="ar-SA"/>
        </w:rPr>
        <w:t xml:space="preserve">. Omdat patiëntendossiers de hoofdmoot van deze archieven zijn en ze bovendien veruit de meest interessante bescheiden zijn, zullen zij het onderwerp van deze verhandeling uitmaken. In </w:t>
      </w:r>
      <w:r w:rsidR="002B3CFE" w:rsidRPr="00D147A7">
        <w:rPr>
          <w:kern w:val="0"/>
          <w:lang w:val="nl-NL" w:eastAsia="en-US" w:bidi="ar-SA"/>
        </w:rPr>
        <w:t>het</w:t>
      </w:r>
      <w:r w:rsidRPr="00D147A7">
        <w:rPr>
          <w:kern w:val="0"/>
          <w:lang w:val="nl-NL" w:eastAsia="en-US" w:bidi="ar-SA"/>
        </w:rPr>
        <w:t xml:space="preserve"> laatste onderdeel wordt beschreven voor welke soorten patiëntendossiers de nationale wetgevingen afzonderlijke bepalingen voorzien hebben en welke categorieën het onderwerp v</w:t>
      </w:r>
      <w:r w:rsidR="002B3CFE" w:rsidRPr="00D147A7">
        <w:rPr>
          <w:kern w:val="0"/>
          <w:lang w:val="nl-NL" w:eastAsia="en-US" w:bidi="ar-SA"/>
        </w:rPr>
        <w:t>an deze studie zullen uitmaken.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Cs/>
          <w:smallCaps/>
          <w:kern w:val="0"/>
          <w:lang w:val="nl-NL" w:eastAsia="en-US" w:bidi="ar-SA"/>
        </w:rPr>
      </w:pPr>
      <w:r w:rsidRPr="00D147A7">
        <w:rPr>
          <w:bCs/>
          <w:smallCaps/>
          <w:kern w:val="0"/>
          <w:lang w:val="nl-NL" w:eastAsia="en-US" w:bidi="ar-SA"/>
        </w:rPr>
        <w:t>1.1 België</w:t>
      </w:r>
    </w:p>
    <w:p w:rsidR="009931C7" w:rsidRPr="00D147A7" w:rsidRDefault="009931C7" w:rsidP="009931C7">
      <w:pPr>
        <w:widowControl/>
        <w:suppressAutoHyphens w:val="0"/>
        <w:spacing w:line="240" w:lineRule="atLeast"/>
        <w:jc w:val="both"/>
        <w:rPr>
          <w:b/>
          <w:bCs/>
          <w:smallCaps/>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1: Dossierplicht</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mate waar</w:t>
      </w:r>
      <w:r w:rsidR="00453376">
        <w:rPr>
          <w:kern w:val="0"/>
          <w:lang w:val="nl-NL" w:eastAsia="en-US" w:bidi="ar-SA"/>
        </w:rPr>
        <w:t>in</w:t>
      </w:r>
      <w:r w:rsidRPr="00D147A7">
        <w:rPr>
          <w:kern w:val="0"/>
          <w:lang w:val="nl-NL" w:eastAsia="en-US" w:bidi="ar-SA"/>
        </w:rPr>
        <w:t xml:space="preserve"> patiëntendossiers aangevuld en bewaard</w:t>
      </w:r>
      <w:r w:rsidR="002B3CFE" w:rsidRPr="00D147A7">
        <w:rPr>
          <w:kern w:val="0"/>
          <w:lang w:val="nl-NL" w:eastAsia="en-US" w:bidi="ar-SA"/>
        </w:rPr>
        <w:t xml:space="preserve"> worden</w:t>
      </w:r>
      <w:r w:rsidRPr="00D147A7">
        <w:rPr>
          <w:kern w:val="0"/>
          <w:lang w:val="nl-NL" w:eastAsia="en-US" w:bidi="ar-SA"/>
        </w:rPr>
        <w:t>, is gecorreleerd aan de kwa</w:t>
      </w:r>
      <w:r w:rsidR="00453376">
        <w:rPr>
          <w:kern w:val="0"/>
          <w:lang w:val="nl-NL" w:eastAsia="en-US" w:bidi="ar-SA"/>
        </w:rPr>
        <w:t>-</w:t>
      </w:r>
      <w:r w:rsidRPr="00D147A7">
        <w:rPr>
          <w:kern w:val="0"/>
          <w:lang w:val="nl-NL" w:eastAsia="en-US" w:bidi="ar-SA"/>
        </w:rPr>
        <w:t>liteit van de zorgverlening. Het is dan ook verwonderlijk dat het recht van patiënten op een zorgvuldig bijgehouden en veilig bewaard patiëntendossier pas in 2002 expliciet genormeerd werd.</w:t>
      </w:r>
      <w:r w:rsidRPr="00D147A7">
        <w:rPr>
          <w:kern w:val="0"/>
          <w:vertAlign w:val="superscript"/>
          <w:lang w:val="nl-NL" w:eastAsia="en-US" w:bidi="ar-SA"/>
        </w:rPr>
        <w:footnoteReference w:id="68"/>
      </w:r>
      <w:r w:rsidRPr="00D147A7">
        <w:rPr>
          <w:color w:val="FF0000"/>
          <w:kern w:val="0"/>
          <w:lang w:val="nl-NL" w:eastAsia="en-US" w:bidi="ar-SA"/>
        </w:rPr>
        <w:t xml:space="preserve"> </w:t>
      </w:r>
      <w:r w:rsidRPr="00D147A7">
        <w:rPr>
          <w:kern w:val="0"/>
          <w:lang w:val="nl-NL" w:eastAsia="en-US" w:bidi="ar-SA"/>
        </w:rPr>
        <w:t>Zorgverleners die vóór 2002 in aansprakelijkheidsgeschillen geen patiëntendossier konden voorleggen, konden pretenderen geen burgerrechtelijke fout te hebben begaan.</w:t>
      </w:r>
      <w:r w:rsidRPr="00D147A7">
        <w:rPr>
          <w:kern w:val="0"/>
          <w:vertAlign w:val="superscript"/>
          <w:lang w:val="nl-NL" w:eastAsia="en-US" w:bidi="ar-SA"/>
        </w:rPr>
        <w:footnoteReference w:id="69"/>
      </w:r>
      <w:r w:rsidRPr="00D147A7">
        <w:rPr>
          <w:kern w:val="0"/>
          <w:lang w:val="nl-NL" w:eastAsia="en-US" w:bidi="ar-SA"/>
        </w:rPr>
        <w:t xml:space="preserve"> Toch is eenieder aansprakelijk voor de schade die door zijn daad, nalatigheid of onvoorzichtigheid berokkend werd.</w:t>
      </w:r>
      <w:r w:rsidRPr="00D147A7">
        <w:rPr>
          <w:kern w:val="0"/>
          <w:vertAlign w:val="superscript"/>
          <w:lang w:val="nl-NL" w:eastAsia="en-US" w:bidi="ar-SA"/>
        </w:rPr>
        <w:footnoteReference w:id="70"/>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Vroeger beschouwden artsen de door hen gevormde patiëntendossiers als hún ‘geschreven geheugen’, waar enkel zij toegang to</w:t>
      </w:r>
      <w:r w:rsidR="002B3CFE" w:rsidRPr="00D147A7">
        <w:rPr>
          <w:kern w:val="0"/>
          <w:lang w:val="nl-NL" w:eastAsia="en-US" w:bidi="ar-SA"/>
        </w:rPr>
        <w:t>t</w:t>
      </w:r>
      <w:r w:rsidRPr="00D147A7">
        <w:rPr>
          <w:kern w:val="0"/>
          <w:lang w:val="nl-NL" w:eastAsia="en-US" w:bidi="ar-SA"/>
        </w:rPr>
        <w:t xml:space="preserve"> hadden. In de 21</w:t>
      </w:r>
      <w:r w:rsidRPr="00D147A7">
        <w:rPr>
          <w:kern w:val="0"/>
          <w:vertAlign w:val="superscript"/>
          <w:lang w:val="nl-NL" w:eastAsia="en-US" w:bidi="ar-SA"/>
        </w:rPr>
        <w:t>ste</w:t>
      </w:r>
      <w:r w:rsidRPr="00D147A7">
        <w:rPr>
          <w:kern w:val="0"/>
          <w:lang w:val="nl-NL" w:eastAsia="en-US" w:bidi="ar-SA"/>
        </w:rPr>
        <w:t xml:space="preserve"> eeuw evolueerden patiëntendossiers evenwel tot ‘zwarte doos’ van de zorgverlening. Zo hebben (vertegenwoordigers van) patiënten tegenwoordig </w:t>
      </w:r>
      <w:r w:rsidR="002B3CFE" w:rsidRPr="00D147A7">
        <w:rPr>
          <w:kern w:val="0"/>
          <w:lang w:val="nl-NL" w:eastAsia="en-US" w:bidi="ar-SA"/>
        </w:rPr>
        <w:t xml:space="preserve">het </w:t>
      </w:r>
      <w:r w:rsidRPr="00D147A7">
        <w:rPr>
          <w:kern w:val="0"/>
          <w:lang w:val="nl-NL" w:eastAsia="en-US" w:bidi="ar-SA"/>
        </w:rPr>
        <w:t xml:space="preserve">recht op inzage in en afschrift van het </w:t>
      </w:r>
      <w:r w:rsidR="002B3CFE" w:rsidRPr="00D147A7">
        <w:rPr>
          <w:kern w:val="0"/>
          <w:lang w:val="nl-NL" w:eastAsia="en-US" w:bidi="ar-SA"/>
        </w:rPr>
        <w:t xml:space="preserve">hen betreffende </w:t>
      </w:r>
      <w:r w:rsidRPr="00D147A7">
        <w:rPr>
          <w:kern w:val="0"/>
          <w:lang w:val="nl-NL" w:eastAsia="en-US" w:bidi="ar-SA"/>
        </w:rPr>
        <w:t>patiënten</w:t>
      </w:r>
      <w:r w:rsidR="002B3CFE" w:rsidRPr="00D147A7">
        <w:rPr>
          <w:kern w:val="0"/>
          <w:lang w:val="nl-NL" w:eastAsia="en-US" w:bidi="ar-SA"/>
        </w:rPr>
        <w:t>-</w:t>
      </w:r>
      <w:r w:rsidRPr="00D147A7">
        <w:rPr>
          <w:kern w:val="0"/>
          <w:lang w:val="nl-NL" w:eastAsia="en-US" w:bidi="ar-SA"/>
        </w:rPr>
        <w:t>dossier, waardoor alle handelingen en beslissingen van zorgverleners te allen tijde geverifi</w:t>
      </w:r>
      <w:r w:rsidR="001E3B02">
        <w:rPr>
          <w:kern w:val="0"/>
          <w:lang w:val="nl-NL" w:eastAsia="en-US" w:bidi="ar-SA"/>
        </w:rPr>
        <w:t>-</w:t>
      </w:r>
      <w:r w:rsidRPr="00D147A7">
        <w:rPr>
          <w:kern w:val="0"/>
          <w:lang w:val="nl-NL" w:eastAsia="en-US" w:bidi="ar-SA"/>
        </w:rPr>
        <w:t>eerd kunnen worden.</w:t>
      </w:r>
      <w:r w:rsidRPr="00D147A7">
        <w:rPr>
          <w:kern w:val="0"/>
          <w:vertAlign w:val="superscript"/>
          <w:lang w:val="nl-NL" w:eastAsia="en-US" w:bidi="ar-SA"/>
        </w:rPr>
        <w:footnoteReference w:id="71"/>
      </w:r>
      <w:r w:rsidRPr="00D147A7">
        <w:rPr>
          <w:kern w:val="0"/>
          <w:lang w:val="nl-NL" w:eastAsia="en-US" w:bidi="ar-SA"/>
        </w:rPr>
        <w:t xml:space="preserve"> </w:t>
      </w:r>
      <w:r w:rsidRPr="00D147A7">
        <w:rPr>
          <w:lang w:val="nl-NL"/>
        </w:rPr>
        <w:t>Omdat de erkenning van ziekenhuizen (onder meer) afhankelijk is van de goede bewaring van patiëntendossiers</w:t>
      </w:r>
      <w:r w:rsidRPr="00D147A7">
        <w:rPr>
          <w:vertAlign w:val="superscript"/>
          <w:lang w:val="nl-NL"/>
        </w:rPr>
        <w:footnoteReference w:id="72"/>
      </w:r>
      <w:r w:rsidRPr="00D147A7">
        <w:rPr>
          <w:lang w:val="nl-NL"/>
        </w:rPr>
        <w:t xml:space="preserve">, kunnen patiënten hun recht op het aanleggen van een dossier </w:t>
      </w:r>
      <w:r w:rsidRPr="00D147A7">
        <w:rPr>
          <w:kern w:val="0"/>
          <w:lang w:val="nl-NL" w:eastAsia="en-US" w:bidi="ar-SA"/>
        </w:rPr>
        <w:t>ten aanzien van (de beheerder van) het ziekenhuis doen gelden.</w:t>
      </w:r>
      <w:r w:rsidRPr="00D147A7">
        <w:rPr>
          <w:kern w:val="0"/>
          <w:vertAlign w:val="superscript"/>
          <w:lang w:val="nl-NL" w:eastAsia="en-US" w:bidi="ar-SA"/>
        </w:rPr>
        <w:footnoteReference w:id="73"/>
      </w:r>
      <w:r w:rsidRPr="00D147A7">
        <w:rPr>
          <w:lang w:val="nl-NL"/>
        </w:rPr>
        <w:t xml:space="preserve"> </w:t>
      </w:r>
      <w:r w:rsidRPr="00D147A7">
        <w:rPr>
          <w:kern w:val="0"/>
          <w:lang w:val="nl-NL" w:eastAsia="en-US" w:bidi="ar-SA"/>
        </w:rPr>
        <w:t>In zelfstandige dokterspraktijken staan beroepsbeoefenaars in de zin van de Wet Patiëntenrechten</w:t>
      </w:r>
      <w:r w:rsidRPr="00D147A7">
        <w:rPr>
          <w:lang w:val="nl-NL"/>
        </w:rPr>
        <w:t xml:space="preserve"> hiervoor in</w:t>
      </w:r>
      <w:r w:rsidRPr="00D147A7">
        <w:rPr>
          <w:kern w:val="0"/>
          <w:lang w:val="nl-NL" w:eastAsia="en-US" w:bidi="ar-SA"/>
        </w:rPr>
        <w:t>.</w:t>
      </w:r>
      <w:r w:rsidRPr="00D147A7">
        <w:rPr>
          <w:kern w:val="0"/>
          <w:vertAlign w:val="superscript"/>
          <w:lang w:val="nl-NL" w:eastAsia="en-US" w:bidi="ar-SA"/>
        </w:rPr>
        <w:footnoteReference w:id="74"/>
      </w:r>
      <w:r w:rsidRPr="00D147A7">
        <w:rPr>
          <w:kern w:val="0"/>
          <w:lang w:val="nl-NL" w:eastAsia="en-US" w:bidi="ar-SA"/>
        </w:rPr>
        <w:t xml:space="preserve"> De Wet Patiëntenrechten is van toepassing op geneesheren, tandartsen, apothekers en scheikundige wetenschappers die gerechtigd zijn klinisch biologische analyses te verrichten, kinesitherapeuten, vroedvrouwen, verpleegkundigen en paramedici.</w:t>
      </w:r>
      <w:r w:rsidRPr="00D147A7">
        <w:rPr>
          <w:kern w:val="0"/>
          <w:vertAlign w:val="superscript"/>
          <w:lang w:val="nl-NL" w:eastAsia="en-US" w:bidi="ar-SA"/>
        </w:rPr>
        <w:footnoteReference w:id="75"/>
      </w:r>
      <w:r w:rsidRPr="00D147A7">
        <w:rPr>
          <w:kern w:val="0"/>
          <w:lang w:val="nl-NL" w:eastAsia="en-US" w:bidi="ar-SA"/>
        </w:rPr>
        <w:t xml:space="preserve"> Tot de beroepsgroep paramedici behoren apothekersassistenten, audiologen, bandagisten, orthesisten, prothesisten, diëtisten, ergotherapeuten, technologen laboratorium, bio-technologie en menselijke erfelijk</w:t>
      </w:r>
      <w:r w:rsidR="001E3B02">
        <w:rPr>
          <w:kern w:val="0"/>
          <w:lang w:val="nl-NL" w:eastAsia="en-US" w:bidi="ar-SA"/>
        </w:rPr>
        <w:t>-</w:t>
      </w:r>
      <w:r w:rsidRPr="00D147A7">
        <w:rPr>
          <w:kern w:val="0"/>
          <w:lang w:val="nl-NL" w:eastAsia="en-US" w:bidi="ar-SA"/>
        </w:rPr>
        <w:t>heidstechniek, logopedisten, orthopedisten, podologen en technologen medische beeld</w:t>
      </w:r>
      <w:r w:rsidR="001E3B02">
        <w:rPr>
          <w:kern w:val="0"/>
          <w:lang w:val="nl-NL" w:eastAsia="en-US" w:bidi="ar-SA"/>
        </w:rPr>
        <w:t>-</w:t>
      </w:r>
      <w:r w:rsidRPr="00D147A7">
        <w:rPr>
          <w:kern w:val="0"/>
          <w:lang w:val="nl-NL" w:eastAsia="en-US" w:bidi="ar-SA"/>
        </w:rPr>
        <w:t>vorming.</w:t>
      </w:r>
      <w:r w:rsidRPr="00D147A7">
        <w:rPr>
          <w:kern w:val="0"/>
          <w:vertAlign w:val="superscript"/>
          <w:lang w:val="nl-NL" w:eastAsia="en-US" w:bidi="ar-SA"/>
        </w:rPr>
        <w:footnoteReference w:id="76"/>
      </w:r>
      <w:r w:rsidRPr="00D147A7">
        <w:rPr>
          <w:kern w:val="0"/>
          <w:lang w:val="nl-NL" w:eastAsia="en-US" w:bidi="ar-SA"/>
        </w:rPr>
        <w:t xml:space="preserve"> Verder is de Wet Patiëntenrechten ook van toepassing op homeopaten, chiro</w:t>
      </w:r>
      <w:r w:rsidR="001E3B02">
        <w:rPr>
          <w:kern w:val="0"/>
          <w:lang w:val="nl-NL" w:eastAsia="en-US" w:bidi="ar-SA"/>
        </w:rPr>
        <w:t>-</w:t>
      </w:r>
      <w:r w:rsidRPr="00D147A7">
        <w:rPr>
          <w:kern w:val="0"/>
          <w:lang w:val="nl-NL" w:eastAsia="en-US" w:bidi="ar-SA"/>
        </w:rPr>
        <w:t>practoren, osteopaten en acapuncturisten</w:t>
      </w:r>
      <w:r w:rsidRPr="00D147A7">
        <w:rPr>
          <w:kern w:val="0"/>
          <w:vertAlign w:val="superscript"/>
          <w:lang w:val="nl-NL" w:eastAsia="en-US" w:bidi="ar-SA"/>
        </w:rPr>
        <w:footnoteReference w:id="77"/>
      </w:r>
      <w:r w:rsidRPr="00D147A7">
        <w:rPr>
          <w:kern w:val="0"/>
          <w:lang w:val="nl-NL" w:eastAsia="en-US" w:bidi="ar-SA"/>
        </w:rPr>
        <w:t>, althans wanneer de Wet Niet-Conventionele Prak</w:t>
      </w:r>
      <w:r w:rsidR="001E3B02">
        <w:rPr>
          <w:kern w:val="0"/>
          <w:lang w:val="nl-NL" w:eastAsia="en-US" w:bidi="ar-SA"/>
        </w:rPr>
        <w:t>-</w:t>
      </w:r>
      <w:r w:rsidRPr="00D147A7">
        <w:rPr>
          <w:kern w:val="0"/>
          <w:lang w:val="nl-NL" w:eastAsia="en-US" w:bidi="ar-SA"/>
        </w:rPr>
        <w:t>tijken in werking getreden</w:t>
      </w:r>
      <w:r w:rsidR="002B3CFE" w:rsidRPr="00D147A7">
        <w:rPr>
          <w:kern w:val="0"/>
          <w:lang w:val="nl-NL" w:eastAsia="en-US" w:bidi="ar-SA"/>
        </w:rPr>
        <w:t xml:space="preserve"> zal zijn</w:t>
      </w:r>
      <w:r w:rsidRPr="00D147A7">
        <w:rPr>
          <w:kern w:val="0"/>
          <w:lang w:val="nl-NL" w:eastAsia="en-US" w:bidi="ar-SA"/>
        </w:rPr>
        <w:t>. Vooralsnog vallen zij onder het toepassingsgebied van de Wet Patiëntenrechten op voorwaarde dat de niet-conventionele praktijk wordt uitgeoefend door een ‘erkende’ zorgver</w:t>
      </w:r>
      <w:r w:rsidR="002B3CFE" w:rsidRPr="00D147A7">
        <w:rPr>
          <w:kern w:val="0"/>
          <w:lang w:val="nl-NL" w:eastAsia="en-US" w:bidi="ar-SA"/>
        </w:rPr>
        <w:t>lener</w:t>
      </w:r>
      <w:r w:rsidRPr="00D147A7">
        <w:rPr>
          <w:kern w:val="0"/>
          <w:lang w:val="nl-NL" w:eastAsia="en-US" w:bidi="ar-SA"/>
        </w:rPr>
        <w:t xml:space="preserve"> in de zin van KB nr. 78.</w:t>
      </w:r>
      <w:r w:rsidRPr="00D147A7">
        <w:rPr>
          <w:kern w:val="0"/>
          <w:vertAlign w:val="superscript"/>
          <w:lang w:val="nl-NL" w:eastAsia="en-US" w:bidi="ar-SA"/>
        </w:rPr>
        <w:footnoteReference w:id="78"/>
      </w:r>
      <w:r w:rsidRPr="00D147A7">
        <w:rPr>
          <w:kern w:val="0"/>
          <w:lang w:val="nl-NL" w:eastAsia="en-US" w:bidi="ar-SA"/>
        </w:rPr>
        <w:t xml:space="preserve"> Zorgverleners die niet onder de Wet Patiëntenrechten ressorteren (zoals psycho</w:t>
      </w:r>
      <w:r w:rsidR="002B3CFE" w:rsidRPr="00D147A7">
        <w:rPr>
          <w:kern w:val="0"/>
          <w:lang w:val="nl-NL" w:eastAsia="en-US" w:bidi="ar-SA"/>
        </w:rPr>
        <w:t>-</w:t>
      </w:r>
      <w:r w:rsidRPr="00D147A7">
        <w:rPr>
          <w:kern w:val="0"/>
          <w:lang w:val="nl-NL" w:eastAsia="en-US" w:bidi="ar-SA"/>
        </w:rPr>
        <w:t>therapeuten, seksuologen, klinische psycho</w:t>
      </w:r>
      <w:r w:rsidR="001E3B02">
        <w:rPr>
          <w:kern w:val="0"/>
          <w:lang w:val="nl-NL" w:eastAsia="en-US" w:bidi="ar-SA"/>
        </w:rPr>
        <w:t>-</w:t>
      </w:r>
      <w:r w:rsidRPr="00D147A7">
        <w:rPr>
          <w:kern w:val="0"/>
          <w:lang w:val="nl-NL" w:eastAsia="en-US" w:bidi="ar-SA"/>
        </w:rPr>
        <w:t>logen en orthopedagogen</w:t>
      </w:r>
      <w:r w:rsidRPr="00D147A7">
        <w:rPr>
          <w:kern w:val="0"/>
          <w:vertAlign w:val="superscript"/>
          <w:lang w:val="nl-NL" w:eastAsia="en-US" w:bidi="ar-SA"/>
        </w:rPr>
        <w:footnoteReference w:id="79"/>
      </w:r>
      <w:r w:rsidRPr="00D147A7">
        <w:rPr>
          <w:kern w:val="0"/>
          <w:lang w:val="nl-NL" w:eastAsia="en-US" w:bidi="ar-SA"/>
        </w:rPr>
        <w:t>), krijgen evenwel geen vrijgeleide. Hoewel voor hen (nog) geen specifieke wettelijke bepalingen m.b.t. de dossierplicht van kracht zijn, moeten zij de algeme</w:t>
      </w:r>
      <w:r w:rsidR="001E3B02">
        <w:rPr>
          <w:kern w:val="0"/>
          <w:lang w:val="nl-NL" w:eastAsia="en-US" w:bidi="ar-SA"/>
        </w:rPr>
        <w:t>-</w:t>
      </w:r>
      <w:r w:rsidRPr="00D147A7">
        <w:rPr>
          <w:kern w:val="0"/>
          <w:lang w:val="nl-NL" w:eastAsia="en-US" w:bidi="ar-SA"/>
        </w:rPr>
        <w:t>ne zorgvuldigheidsplicht in acht nemen.</w:t>
      </w:r>
      <w:r w:rsidRPr="00D147A7">
        <w:rPr>
          <w:kern w:val="0"/>
          <w:vertAlign w:val="superscript"/>
          <w:lang w:val="nl-NL" w:eastAsia="en-US" w:bidi="ar-SA"/>
        </w:rPr>
        <w:footnoteReference w:id="80"/>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Omdat het recht op een patiëntendossier niet onder het zelfbeschikkingsrecht valt, kunnen patiënten er geen afstand van doen. Alle zorgverleners die onder het toepassingsgebied van de Wet Patiëntenrechten vallen, zijn immers verplicht om voor iedere patiënt een afzonderlijk dossier aan te leggen en bij te houden. Dit wordt in tal van wettelijke bepalingen</w:t>
      </w:r>
      <w:r w:rsidR="002B3CFE" w:rsidRPr="00D147A7">
        <w:rPr>
          <w:kern w:val="0"/>
          <w:lang w:val="nl-NL" w:eastAsia="en-US" w:bidi="ar-SA"/>
        </w:rPr>
        <w:t xml:space="preserve"> –</w:t>
      </w:r>
      <w:r w:rsidRPr="00D147A7">
        <w:rPr>
          <w:kern w:val="0"/>
          <w:lang w:val="nl-NL" w:eastAsia="en-US" w:bidi="ar-SA"/>
        </w:rPr>
        <w:t xml:space="preserve"> al dan niet </w:t>
      </w:r>
      <w:r w:rsidRPr="00D147A7">
        <w:rPr>
          <w:kern w:val="0"/>
          <w:lang w:val="nl-NL" w:eastAsia="en-US" w:bidi="ar-SA"/>
        </w:rPr>
        <w:lastRenderedPageBreak/>
        <w:t>expliciet</w:t>
      </w:r>
      <w:r w:rsidR="002B3CFE" w:rsidRPr="00D147A7">
        <w:rPr>
          <w:kern w:val="0"/>
          <w:lang w:val="nl-NL" w:eastAsia="en-US" w:bidi="ar-SA"/>
        </w:rPr>
        <w:t xml:space="preserve"> –</w:t>
      </w:r>
      <w:r w:rsidRPr="00D147A7">
        <w:rPr>
          <w:kern w:val="0"/>
          <w:lang w:val="nl-NL" w:eastAsia="en-US" w:bidi="ar-SA"/>
        </w:rPr>
        <w:t xml:space="preserve"> verordend.</w:t>
      </w:r>
      <w:r w:rsidRPr="00D147A7">
        <w:rPr>
          <w:kern w:val="0"/>
          <w:vertAlign w:val="superscript"/>
          <w:lang w:val="nl-NL" w:eastAsia="en-US" w:bidi="ar-SA"/>
        </w:rPr>
        <w:footnoteReference w:id="81"/>
      </w:r>
      <w:r w:rsidRPr="00D147A7">
        <w:rPr>
          <w:kern w:val="0"/>
          <w:lang w:val="nl-NL" w:eastAsia="en-US" w:bidi="ar-SA"/>
        </w:rPr>
        <w:t xml:space="preserve"> Wie geen patiëntendossiers bijhoudt, handelt niet als een zorgvuldig beroepsbeoefenaar.</w:t>
      </w:r>
      <w:r w:rsidRPr="00D147A7">
        <w:rPr>
          <w:kern w:val="0"/>
          <w:vertAlign w:val="superscript"/>
          <w:lang w:val="nl-NL" w:eastAsia="en-US" w:bidi="ar-SA"/>
        </w:rPr>
        <w:footnoteReference w:id="82"/>
      </w:r>
      <w:r w:rsidRPr="00D147A7">
        <w:rPr>
          <w:kern w:val="0"/>
          <w:lang w:val="nl-NL" w:eastAsia="en-US" w:bidi="ar-SA"/>
        </w:rPr>
        <w:t xml:space="preserve"> De dossierplicht van zorgverleners betreft een resultaatsverbintenis.</w:t>
      </w:r>
      <w:r w:rsidRPr="00D147A7">
        <w:rPr>
          <w:kern w:val="0"/>
          <w:vertAlign w:val="superscript"/>
          <w:lang w:val="nl-NL" w:eastAsia="en-US" w:bidi="ar-SA"/>
        </w:rPr>
        <w:footnoteReference w:id="83"/>
      </w:r>
      <w:r w:rsidRPr="00D147A7">
        <w:rPr>
          <w:kern w:val="0"/>
          <w:lang w:val="nl-NL" w:eastAsia="en-US" w:bidi="ar-SA"/>
        </w:rPr>
        <w:t xml:space="preserve"> Een resultaats- of uitslagverbintenbis is een verbintenis die de schuldenaar (</w:t>
      </w:r>
      <w:r w:rsidRPr="00D147A7">
        <w:rPr>
          <w:i/>
          <w:iCs/>
          <w:kern w:val="0"/>
          <w:lang w:val="nl-NL" w:eastAsia="en-US" w:bidi="ar-SA"/>
        </w:rPr>
        <w:t xml:space="preserve">in casu </w:t>
      </w:r>
      <w:r w:rsidRPr="00D147A7">
        <w:rPr>
          <w:kern w:val="0"/>
          <w:lang w:val="nl-NL" w:eastAsia="en-US" w:bidi="ar-SA"/>
        </w:rPr>
        <w:t>de zorg</w:t>
      </w:r>
      <w:r w:rsidR="001E3B02">
        <w:rPr>
          <w:kern w:val="0"/>
          <w:lang w:val="nl-NL" w:eastAsia="en-US" w:bidi="ar-SA"/>
        </w:rPr>
        <w:t>-</w:t>
      </w:r>
      <w:r w:rsidRPr="00D147A7">
        <w:rPr>
          <w:kern w:val="0"/>
          <w:lang w:val="nl-NL" w:eastAsia="en-US" w:bidi="ar-SA"/>
        </w:rPr>
        <w:t>verlener) verplicht om een bepaald resultaat te bereiken (</w:t>
      </w:r>
      <w:r w:rsidRPr="00D147A7">
        <w:rPr>
          <w:i/>
          <w:iCs/>
          <w:kern w:val="0"/>
          <w:lang w:val="nl-NL" w:eastAsia="en-US" w:bidi="ar-SA"/>
        </w:rPr>
        <w:t xml:space="preserve">in casu </w:t>
      </w:r>
      <w:r w:rsidRPr="00D147A7">
        <w:rPr>
          <w:kern w:val="0"/>
          <w:lang w:val="nl-NL" w:eastAsia="en-US" w:bidi="ar-SA"/>
        </w:rPr>
        <w:t>de inrichting van een patiënt</w:t>
      </w:r>
      <w:r w:rsidR="001E3B02">
        <w:rPr>
          <w:kern w:val="0"/>
          <w:lang w:val="nl-NL" w:eastAsia="en-US" w:bidi="ar-SA"/>
        </w:rPr>
        <w:t>-</w:t>
      </w:r>
      <w:r w:rsidRPr="00D147A7">
        <w:rPr>
          <w:kern w:val="0"/>
          <w:lang w:val="nl-NL" w:eastAsia="en-US" w:bidi="ar-SA"/>
        </w:rPr>
        <w:t>endossier), behalve in het geval van overmacht.</w:t>
      </w:r>
      <w:r w:rsidRPr="00D147A7">
        <w:rPr>
          <w:kern w:val="0"/>
          <w:vertAlign w:val="superscript"/>
          <w:lang w:val="nl-NL" w:eastAsia="en-US" w:bidi="ar-SA"/>
        </w:rPr>
        <w:footnoteReference w:id="84"/>
      </w:r>
      <w:r w:rsidRPr="00D147A7">
        <w:rPr>
          <w:kern w:val="0"/>
          <w:lang w:val="nl-NL" w:eastAsia="en-US" w:bidi="ar-SA"/>
        </w:rPr>
        <w:t xml:space="preserve"> In tegenstelling tot de dossierplicht is de be</w:t>
      </w:r>
      <w:r w:rsidR="001E3B02">
        <w:rPr>
          <w:kern w:val="0"/>
          <w:lang w:val="nl-NL" w:eastAsia="en-US" w:bidi="ar-SA"/>
        </w:rPr>
        <w:t>-</w:t>
      </w:r>
      <w:r w:rsidRPr="00D147A7">
        <w:rPr>
          <w:kern w:val="0"/>
          <w:lang w:val="nl-NL" w:eastAsia="en-US" w:bidi="ar-SA"/>
        </w:rPr>
        <w:t>handelingsovereenkomst een middelen- of inspanningsverbintenis, waarbij de schuldenaar als goede huisvader de nodige inspanningen moet leveren om het gewenste – maar niet gegaran</w:t>
      </w:r>
      <w:r w:rsidR="001E3B02">
        <w:rPr>
          <w:kern w:val="0"/>
          <w:lang w:val="nl-NL" w:eastAsia="en-US" w:bidi="ar-SA"/>
        </w:rPr>
        <w:t>-</w:t>
      </w:r>
      <w:r w:rsidRPr="00D147A7">
        <w:rPr>
          <w:kern w:val="0"/>
          <w:lang w:val="nl-NL" w:eastAsia="en-US" w:bidi="ar-SA"/>
        </w:rPr>
        <w:t>deerde –</w:t>
      </w:r>
      <w:r w:rsidR="007943D4" w:rsidRPr="00D147A7">
        <w:rPr>
          <w:kern w:val="0"/>
          <w:lang w:val="nl-NL" w:eastAsia="en-US" w:bidi="ar-SA"/>
        </w:rPr>
        <w:t xml:space="preserve"> </w:t>
      </w:r>
      <w:r w:rsidRPr="00D147A7">
        <w:rPr>
          <w:kern w:val="0"/>
          <w:lang w:val="nl-NL" w:eastAsia="en-US" w:bidi="ar-SA"/>
        </w:rPr>
        <w:t>resultaat te bereiken (i.e. de wettelijke zorgvuldigheidsnorm).</w:t>
      </w:r>
      <w:r w:rsidRPr="00D147A7">
        <w:rPr>
          <w:kern w:val="0"/>
          <w:vertAlign w:val="superscript"/>
          <w:lang w:val="nl-NL" w:eastAsia="en-US" w:bidi="ar-SA"/>
        </w:rPr>
        <w:footnoteReference w:id="85"/>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dossierplicht geldt ook voor huisartsen. Zij moeten voor iedere patiënt die bij hen op consultatie komt een </w:t>
      </w:r>
      <w:r w:rsidR="007943D4" w:rsidRPr="00D147A7">
        <w:rPr>
          <w:kern w:val="0"/>
          <w:lang w:val="nl-NL" w:eastAsia="en-US" w:bidi="ar-SA"/>
        </w:rPr>
        <w:t>A</w:t>
      </w:r>
      <w:r w:rsidRPr="00D147A7">
        <w:rPr>
          <w:kern w:val="0"/>
          <w:lang w:val="nl-NL" w:eastAsia="en-US" w:bidi="ar-SA"/>
        </w:rPr>
        <w:t xml:space="preserve">lgemeen </w:t>
      </w:r>
      <w:r w:rsidR="007943D4" w:rsidRPr="00D147A7">
        <w:rPr>
          <w:kern w:val="0"/>
          <w:lang w:val="nl-NL" w:eastAsia="en-US" w:bidi="ar-SA"/>
        </w:rPr>
        <w:t>(of Globaal) M</w:t>
      </w:r>
      <w:r w:rsidRPr="00D147A7">
        <w:rPr>
          <w:kern w:val="0"/>
          <w:lang w:val="nl-NL" w:eastAsia="en-US" w:bidi="ar-SA"/>
        </w:rPr>
        <w:t xml:space="preserve">edisch </w:t>
      </w:r>
      <w:r w:rsidR="007943D4" w:rsidRPr="00D147A7">
        <w:rPr>
          <w:kern w:val="0"/>
          <w:lang w:val="nl-NL" w:eastAsia="en-US" w:bidi="ar-SA"/>
        </w:rPr>
        <w:t>D</w:t>
      </w:r>
      <w:r w:rsidRPr="00D147A7">
        <w:rPr>
          <w:kern w:val="0"/>
          <w:lang w:val="nl-NL" w:eastAsia="en-US" w:bidi="ar-SA"/>
        </w:rPr>
        <w:t>ossier of een patiëntendossier vormen en bewaren.</w:t>
      </w:r>
      <w:r w:rsidRPr="00D147A7">
        <w:rPr>
          <w:kern w:val="0"/>
          <w:vertAlign w:val="superscript"/>
          <w:lang w:val="nl-NL" w:eastAsia="en-US" w:bidi="ar-SA"/>
        </w:rPr>
        <w:footnoteReference w:id="86"/>
      </w:r>
      <w:r w:rsidRPr="00D147A7">
        <w:rPr>
          <w:kern w:val="0"/>
          <w:lang w:val="nl-NL" w:eastAsia="en-US" w:bidi="ar-SA"/>
        </w:rPr>
        <w:t xml:space="preserve"> Net als voor ziekenhuizen is de adequate bewaring van patiëntendossiers immers één van de erkenningsnormen om de bijzondere beroepstitel van huisarts te kunnen voeren en behouden.</w:t>
      </w:r>
      <w:r w:rsidRPr="00D147A7">
        <w:rPr>
          <w:kern w:val="0"/>
          <w:vertAlign w:val="superscript"/>
          <w:lang w:val="nl-NL" w:eastAsia="en-US" w:bidi="ar-SA"/>
        </w:rPr>
        <w:footnoteReference w:id="87"/>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Ook voor bewoners van een rust- en verzorgingstehuis (RVT) moet een individueel verzorg</w:t>
      </w:r>
      <w:r w:rsidR="001E3B02">
        <w:rPr>
          <w:kern w:val="0"/>
          <w:lang w:val="nl-NL" w:eastAsia="en-US" w:bidi="ar-SA"/>
        </w:rPr>
        <w:t>-</w:t>
      </w:r>
      <w:r w:rsidRPr="00D147A7">
        <w:rPr>
          <w:kern w:val="0"/>
          <w:lang w:val="nl-NL" w:eastAsia="en-US" w:bidi="ar-SA"/>
        </w:rPr>
        <w:t>ingsdossier worden opgesteld, dat doorgaans uit een persoonlijk medisch dossier van de be</w:t>
      </w:r>
      <w:r w:rsidR="001E3B02">
        <w:rPr>
          <w:kern w:val="0"/>
          <w:lang w:val="nl-NL" w:eastAsia="en-US" w:bidi="ar-SA"/>
        </w:rPr>
        <w:t>-</w:t>
      </w:r>
      <w:r w:rsidRPr="00D147A7">
        <w:rPr>
          <w:kern w:val="0"/>
          <w:lang w:val="nl-NL" w:eastAsia="en-US" w:bidi="ar-SA"/>
        </w:rPr>
        <w:t>handelende huisarts, een medisch RVT-dossier en een verpleegkundig dossier bestaat.</w:t>
      </w:r>
      <w:r w:rsidRPr="00D147A7">
        <w:rPr>
          <w:kern w:val="0"/>
          <w:vertAlign w:val="superscript"/>
          <w:lang w:val="nl-NL" w:eastAsia="en-US" w:bidi="ar-SA"/>
        </w:rPr>
        <w:footnoteReference w:id="88"/>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Alle zorgverleners zijn dus wettelijk verplicht om voor iedere patiënt één dossier aan te maken en te bewaren. Het is dus niet ondenkbaar dat voor één patiënt verschillende patiënten</w:t>
      </w:r>
      <w:r w:rsidR="001E3B02">
        <w:rPr>
          <w:kern w:val="0"/>
          <w:lang w:val="nl-NL" w:eastAsia="en-US" w:bidi="ar-SA"/>
        </w:rPr>
        <w:t>-</w:t>
      </w:r>
      <w:r w:rsidRPr="00D147A7">
        <w:rPr>
          <w:kern w:val="0"/>
          <w:lang w:val="nl-NL" w:eastAsia="en-US" w:bidi="ar-SA"/>
        </w:rPr>
        <w:t>dossiers bestaan. Iedere zorgverleners die tegelijk of achtereenvolgens dezelfde patiënt behan</w:t>
      </w:r>
      <w:r w:rsidR="001E3B02">
        <w:rPr>
          <w:kern w:val="0"/>
          <w:lang w:val="nl-NL" w:eastAsia="en-US" w:bidi="ar-SA"/>
        </w:rPr>
        <w:t>-</w:t>
      </w:r>
      <w:r w:rsidRPr="00D147A7">
        <w:rPr>
          <w:kern w:val="0"/>
          <w:lang w:val="nl-NL" w:eastAsia="en-US" w:bidi="ar-SA"/>
        </w:rPr>
        <w:t>delt, is immers verplicht om een patiëntendossier te creëren en bij te houden.</w:t>
      </w:r>
      <w:r w:rsidRPr="00D147A7">
        <w:rPr>
          <w:kern w:val="0"/>
          <w:vertAlign w:val="superscript"/>
          <w:lang w:val="nl-NL" w:eastAsia="en-US" w:bidi="ar-SA"/>
        </w:rPr>
        <w:footnoteReference w:id="89"/>
      </w:r>
      <w:r w:rsidRPr="00D147A7">
        <w:rPr>
          <w:kern w:val="0"/>
          <w:lang w:val="nl-NL" w:eastAsia="en-US" w:bidi="ar-SA"/>
        </w:rPr>
        <w:t xml:space="preserve"> Bovendien stimuleert de wetgever de dossiervorming in de zorgsector door hier financiële vergoedingen aan te koppelen. Zo bepaalt de Koning de voorwaarden waaronder zorg</w:t>
      </w:r>
      <w:r w:rsidR="007943D4" w:rsidRPr="00D147A7">
        <w:rPr>
          <w:kern w:val="0"/>
          <w:lang w:val="nl-NL" w:eastAsia="en-US" w:bidi="ar-SA"/>
        </w:rPr>
        <w:t>-</w:t>
      </w:r>
      <w:r w:rsidRPr="00D147A7">
        <w:rPr>
          <w:kern w:val="0"/>
          <w:lang w:val="nl-NL" w:eastAsia="en-US" w:bidi="ar-SA"/>
        </w:rPr>
        <w:t xml:space="preserve">verleners vergoed </w:t>
      </w:r>
      <w:r w:rsidRPr="00D147A7">
        <w:rPr>
          <w:kern w:val="0"/>
          <w:lang w:val="nl-NL" w:eastAsia="en-US" w:bidi="ar-SA"/>
        </w:rPr>
        <w:lastRenderedPageBreak/>
        <w:t>kunnen worden voor het gebruik van telematica en het elektronisch beheer van medische dossiers.</w:t>
      </w:r>
      <w:r w:rsidRPr="00D147A7">
        <w:rPr>
          <w:kern w:val="0"/>
          <w:vertAlign w:val="superscript"/>
          <w:lang w:val="nl-NL" w:eastAsia="en-US" w:bidi="ar-SA"/>
        </w:rPr>
        <w:footnoteReference w:id="90"/>
      </w:r>
      <w:r w:rsidRPr="00D147A7">
        <w:rPr>
          <w:kern w:val="0"/>
          <w:lang w:val="nl-NL" w:eastAsia="en-US" w:bidi="ar-SA"/>
        </w:rPr>
        <w:t xml:space="preserve"> Ook voor het beheer van </w:t>
      </w:r>
      <w:r w:rsidR="007943D4" w:rsidRPr="00D147A7">
        <w:rPr>
          <w:kern w:val="0"/>
          <w:lang w:val="nl-NL" w:eastAsia="en-US" w:bidi="ar-SA"/>
        </w:rPr>
        <w:t>A</w:t>
      </w:r>
      <w:r w:rsidRPr="00D147A7">
        <w:rPr>
          <w:kern w:val="0"/>
          <w:lang w:val="nl-NL" w:eastAsia="en-US" w:bidi="ar-SA"/>
        </w:rPr>
        <w:t xml:space="preserve">lgemeen </w:t>
      </w:r>
      <w:r w:rsidR="007943D4" w:rsidRPr="00D147A7">
        <w:rPr>
          <w:kern w:val="0"/>
          <w:lang w:val="nl-NL" w:eastAsia="en-US" w:bidi="ar-SA"/>
        </w:rPr>
        <w:t>M</w:t>
      </w:r>
      <w:r w:rsidRPr="00D147A7">
        <w:rPr>
          <w:kern w:val="0"/>
          <w:lang w:val="nl-NL" w:eastAsia="en-US" w:bidi="ar-SA"/>
        </w:rPr>
        <w:t xml:space="preserve">edische </w:t>
      </w:r>
      <w:r w:rsidR="007943D4" w:rsidRPr="00D147A7">
        <w:rPr>
          <w:kern w:val="0"/>
          <w:lang w:val="nl-NL" w:eastAsia="en-US" w:bidi="ar-SA"/>
        </w:rPr>
        <w:t>D</w:t>
      </w:r>
      <w:r w:rsidRPr="00D147A7">
        <w:rPr>
          <w:kern w:val="0"/>
          <w:lang w:val="nl-NL" w:eastAsia="en-US" w:bidi="ar-SA"/>
        </w:rPr>
        <w:t>ossiers door erkende huisartsen is een specifiek honorarium voorzien.</w:t>
      </w:r>
      <w:r w:rsidRPr="00D147A7">
        <w:rPr>
          <w:kern w:val="0"/>
          <w:vertAlign w:val="superscript"/>
          <w:lang w:val="nl-NL" w:eastAsia="en-US" w:bidi="ar-SA"/>
        </w:rPr>
        <w:footnoteReference w:id="91"/>
      </w:r>
      <w:r w:rsidRPr="00D147A7">
        <w:rPr>
          <w:kern w:val="0"/>
          <w:lang w:val="nl-NL" w:eastAsia="en-US" w:bidi="ar-SA"/>
        </w:rPr>
        <w:t xml:space="preserve"> Eenmaal per jaar moeten patiënten € 15 betalen aan de huisarts bij wie hun </w:t>
      </w:r>
      <w:r w:rsidR="007943D4" w:rsidRPr="00D147A7">
        <w:rPr>
          <w:kern w:val="0"/>
          <w:lang w:val="nl-NL" w:eastAsia="en-US" w:bidi="ar-SA"/>
        </w:rPr>
        <w:t>A</w:t>
      </w:r>
      <w:r w:rsidRPr="00D147A7">
        <w:rPr>
          <w:kern w:val="0"/>
          <w:lang w:val="nl-NL" w:eastAsia="en-US" w:bidi="ar-SA"/>
        </w:rPr>
        <w:t xml:space="preserve">lgemeen </w:t>
      </w:r>
      <w:r w:rsidR="007943D4" w:rsidRPr="00D147A7">
        <w:rPr>
          <w:kern w:val="0"/>
          <w:lang w:val="nl-NL" w:eastAsia="en-US" w:bidi="ar-SA"/>
        </w:rPr>
        <w:t>M</w:t>
      </w:r>
      <w:r w:rsidRPr="00D147A7">
        <w:rPr>
          <w:kern w:val="0"/>
          <w:lang w:val="nl-NL" w:eastAsia="en-US" w:bidi="ar-SA"/>
        </w:rPr>
        <w:t xml:space="preserve">edisch </w:t>
      </w:r>
      <w:r w:rsidR="007943D4" w:rsidRPr="00D147A7">
        <w:rPr>
          <w:kern w:val="0"/>
          <w:lang w:val="nl-NL" w:eastAsia="en-US" w:bidi="ar-SA"/>
        </w:rPr>
        <w:t>D</w:t>
      </w:r>
      <w:r w:rsidRPr="00D147A7">
        <w:rPr>
          <w:kern w:val="0"/>
          <w:lang w:val="nl-NL" w:eastAsia="en-US" w:bidi="ar-SA"/>
        </w:rPr>
        <w:t>ossier beheerd</w:t>
      </w:r>
      <w:r w:rsidR="007943D4" w:rsidRPr="00D147A7">
        <w:rPr>
          <w:kern w:val="0"/>
          <w:lang w:val="nl-NL" w:eastAsia="en-US" w:bidi="ar-SA"/>
        </w:rPr>
        <w:t xml:space="preserve"> wordt</w:t>
      </w:r>
      <w:r w:rsidRPr="00D147A7">
        <w:rPr>
          <w:kern w:val="0"/>
          <w:lang w:val="nl-NL" w:eastAsia="en-US" w:bidi="ar-SA"/>
        </w:rPr>
        <w:t>. Als het getuigschrift van deze betaling evenwel aan het ziekenfonds bezorgd</w:t>
      </w:r>
      <w:r w:rsidR="007943D4" w:rsidRPr="00D147A7">
        <w:rPr>
          <w:kern w:val="0"/>
          <w:lang w:val="nl-NL" w:eastAsia="en-US" w:bidi="ar-SA"/>
        </w:rPr>
        <w:t xml:space="preserve"> wordt</w:t>
      </w:r>
      <w:r w:rsidRPr="00D147A7">
        <w:rPr>
          <w:kern w:val="0"/>
          <w:lang w:val="nl-NL" w:eastAsia="en-US" w:bidi="ar-SA"/>
        </w:rPr>
        <w:t>, wordt dit bedrag integraal terug</w:t>
      </w:r>
      <w:r w:rsidR="00EB5E36">
        <w:rPr>
          <w:kern w:val="0"/>
          <w:lang w:val="nl-NL" w:eastAsia="en-US" w:bidi="ar-SA"/>
        </w:rPr>
        <w:t>-</w:t>
      </w:r>
      <w:r w:rsidRPr="00D147A7">
        <w:rPr>
          <w:kern w:val="0"/>
          <w:lang w:val="nl-NL" w:eastAsia="en-US" w:bidi="ar-SA"/>
        </w:rPr>
        <w:t>betaald.</w:t>
      </w:r>
      <w:r w:rsidRPr="00D147A7">
        <w:rPr>
          <w:kern w:val="0"/>
          <w:vertAlign w:val="superscript"/>
          <w:lang w:val="nl-NL" w:eastAsia="en-US" w:bidi="ar-SA"/>
        </w:rPr>
        <w:footnoteReference w:id="92"/>
      </w:r>
      <w:r w:rsidRPr="00D147A7">
        <w:rPr>
          <w:kern w:val="0"/>
          <w:lang w:val="nl-NL" w:eastAsia="en-US" w:bidi="ar-SA"/>
        </w:rPr>
        <w:t xml:space="preserve"> Het </w:t>
      </w:r>
      <w:r w:rsidR="007943D4" w:rsidRPr="00D147A7">
        <w:rPr>
          <w:kern w:val="0"/>
          <w:lang w:val="nl-NL" w:eastAsia="en-US" w:bidi="ar-SA"/>
        </w:rPr>
        <w:t>A</w:t>
      </w:r>
      <w:r w:rsidRPr="00D147A7">
        <w:rPr>
          <w:kern w:val="0"/>
          <w:lang w:val="nl-NL" w:eastAsia="en-US" w:bidi="ar-SA"/>
        </w:rPr>
        <w:t xml:space="preserve">lgemeen </w:t>
      </w:r>
      <w:r w:rsidR="007943D4" w:rsidRPr="00D147A7">
        <w:rPr>
          <w:kern w:val="0"/>
          <w:lang w:val="nl-NL" w:eastAsia="en-US" w:bidi="ar-SA"/>
        </w:rPr>
        <w:t>M</w:t>
      </w:r>
      <w:r w:rsidRPr="00D147A7">
        <w:rPr>
          <w:kern w:val="0"/>
          <w:lang w:val="nl-NL" w:eastAsia="en-US" w:bidi="ar-SA"/>
        </w:rPr>
        <w:t xml:space="preserve">edisch </w:t>
      </w:r>
      <w:r w:rsidR="007943D4" w:rsidRPr="00D147A7">
        <w:rPr>
          <w:kern w:val="0"/>
          <w:lang w:val="nl-NL" w:eastAsia="en-US" w:bidi="ar-SA"/>
        </w:rPr>
        <w:t>D</w:t>
      </w:r>
      <w:r w:rsidRPr="00D147A7">
        <w:rPr>
          <w:kern w:val="0"/>
          <w:lang w:val="nl-NL" w:eastAsia="en-US" w:bidi="ar-SA"/>
        </w:rPr>
        <w:t xml:space="preserve">ossier heeft overigens ook voor patiënten een belangrijk financieel voordeel. Bij iedere consultatie </w:t>
      </w:r>
      <w:r w:rsidR="007943D4" w:rsidRPr="00D147A7">
        <w:rPr>
          <w:kern w:val="0"/>
          <w:lang w:val="nl-NL" w:eastAsia="en-US" w:bidi="ar-SA"/>
        </w:rPr>
        <w:t xml:space="preserve">bij de huisarts die het Algemeen Medisch Dossier beheert, </w:t>
      </w:r>
      <w:r w:rsidRPr="00D147A7">
        <w:rPr>
          <w:kern w:val="0"/>
          <w:lang w:val="nl-NL" w:eastAsia="en-US" w:bidi="ar-SA"/>
        </w:rPr>
        <w:t>geniet men een vermindering van 30% van het remgeld.</w:t>
      </w:r>
      <w:r w:rsidRPr="00D147A7">
        <w:rPr>
          <w:kern w:val="0"/>
          <w:vertAlign w:val="superscript"/>
          <w:lang w:val="nl-NL" w:eastAsia="en-US" w:bidi="ar-SA"/>
        </w:rPr>
        <w:footnoteReference w:id="93"/>
      </w:r>
      <w:r w:rsidRPr="00D147A7">
        <w:rPr>
          <w:kern w:val="0"/>
          <w:lang w:val="nl-NL" w:eastAsia="en-US" w:bidi="ar-SA"/>
        </w:rPr>
        <w:t xml:space="preserve"> Het is dan ook niet te ver</w:t>
      </w:r>
      <w:r w:rsidR="00EB5E36">
        <w:rPr>
          <w:kern w:val="0"/>
          <w:lang w:val="nl-NL" w:eastAsia="en-US" w:bidi="ar-SA"/>
        </w:rPr>
        <w:t>-</w:t>
      </w:r>
      <w:r w:rsidRPr="00D147A7">
        <w:rPr>
          <w:kern w:val="0"/>
          <w:lang w:val="nl-NL" w:eastAsia="en-US" w:bidi="ar-SA"/>
        </w:rPr>
        <w:t xml:space="preserve">wonderen dat steeds meer patiënten over een </w:t>
      </w:r>
      <w:r w:rsidR="007943D4" w:rsidRPr="00D147A7">
        <w:rPr>
          <w:kern w:val="0"/>
          <w:lang w:val="nl-NL" w:eastAsia="en-US" w:bidi="ar-SA"/>
        </w:rPr>
        <w:t>A</w:t>
      </w:r>
      <w:r w:rsidRPr="00D147A7">
        <w:rPr>
          <w:kern w:val="0"/>
          <w:lang w:val="nl-NL" w:eastAsia="en-US" w:bidi="ar-SA"/>
        </w:rPr>
        <w:t xml:space="preserve">lgemeen </w:t>
      </w:r>
      <w:r w:rsidR="007943D4" w:rsidRPr="00D147A7">
        <w:rPr>
          <w:kern w:val="0"/>
          <w:lang w:val="nl-NL" w:eastAsia="en-US" w:bidi="ar-SA"/>
        </w:rPr>
        <w:t>M</w:t>
      </w:r>
      <w:r w:rsidRPr="00D147A7">
        <w:rPr>
          <w:kern w:val="0"/>
          <w:lang w:val="nl-NL" w:eastAsia="en-US" w:bidi="ar-SA"/>
        </w:rPr>
        <w:t xml:space="preserve">edisch </w:t>
      </w:r>
      <w:r w:rsidR="007943D4" w:rsidRPr="00D147A7">
        <w:rPr>
          <w:kern w:val="0"/>
          <w:lang w:val="nl-NL" w:eastAsia="en-US" w:bidi="ar-SA"/>
        </w:rPr>
        <w:t>D</w:t>
      </w:r>
      <w:r w:rsidRPr="00D147A7">
        <w:rPr>
          <w:kern w:val="0"/>
          <w:lang w:val="nl-NL" w:eastAsia="en-US" w:bidi="ar-SA"/>
        </w:rPr>
        <w:t>ossier beschikken.</w:t>
      </w:r>
      <w:r w:rsidRPr="00D147A7">
        <w:rPr>
          <w:kern w:val="0"/>
          <w:vertAlign w:val="superscript"/>
          <w:lang w:val="nl-NL" w:eastAsia="en-US" w:bidi="ar-SA"/>
        </w:rPr>
        <w:footnoteReference w:id="94"/>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In de Wet Patiëntenrechten werd geen definitie van het begrip ‘patiëntendossier’ opgenomen. Tijdens de parlementaire voorbereiding </w:t>
      </w:r>
      <w:r w:rsidR="00F747B7" w:rsidRPr="00D147A7">
        <w:rPr>
          <w:kern w:val="0"/>
          <w:lang w:val="nl-NL" w:eastAsia="en-US" w:bidi="ar-SA"/>
        </w:rPr>
        <w:t>sprak men van</w:t>
      </w:r>
      <w:r w:rsidRPr="00D147A7">
        <w:rPr>
          <w:kern w:val="0"/>
          <w:lang w:val="nl-NL" w:eastAsia="en-US" w:bidi="ar-SA"/>
        </w:rPr>
        <w:t xml:space="preserve"> </w:t>
      </w:r>
      <w:r w:rsidRPr="00D147A7">
        <w:rPr>
          <w:i/>
          <w:iCs/>
          <w:kern w:val="0"/>
          <w:lang w:val="nl-NL" w:eastAsia="en-US" w:bidi="ar-SA"/>
        </w:rPr>
        <w:t>een feitelijke notie: het patiënten</w:t>
      </w:r>
      <w:r w:rsidR="00F747B7" w:rsidRPr="00D147A7">
        <w:rPr>
          <w:i/>
          <w:iCs/>
          <w:kern w:val="0"/>
          <w:lang w:val="nl-NL" w:eastAsia="en-US" w:bidi="ar-SA"/>
        </w:rPr>
        <w:t>-</w:t>
      </w:r>
      <w:r w:rsidRPr="00D147A7">
        <w:rPr>
          <w:i/>
          <w:iCs/>
          <w:kern w:val="0"/>
          <w:lang w:val="nl-NL" w:eastAsia="en-US" w:bidi="ar-SA"/>
        </w:rPr>
        <w:t>dossier is het geheel van gegevens, documenten, stukken, enz. die over één patiënt worden bijgehouden en bewaard, al dan niet op verschillende plaatsen en op verschillende gegevens</w:t>
      </w:r>
      <w:r w:rsidR="00EB5E36">
        <w:rPr>
          <w:i/>
          <w:iCs/>
          <w:kern w:val="0"/>
          <w:lang w:val="nl-NL" w:eastAsia="en-US" w:bidi="ar-SA"/>
        </w:rPr>
        <w:t>-</w:t>
      </w:r>
      <w:r w:rsidRPr="00D147A7">
        <w:rPr>
          <w:i/>
          <w:iCs/>
          <w:kern w:val="0"/>
          <w:lang w:val="nl-NL" w:eastAsia="en-US" w:bidi="ar-SA"/>
        </w:rPr>
        <w:t>dragers</w:t>
      </w:r>
      <w:r w:rsidRPr="00D147A7">
        <w:rPr>
          <w:kern w:val="0"/>
          <w:lang w:val="nl-NL" w:eastAsia="en-US" w:bidi="ar-SA"/>
        </w:rPr>
        <w:t>.</w:t>
      </w:r>
      <w:r w:rsidRPr="00D147A7">
        <w:rPr>
          <w:kern w:val="0"/>
          <w:vertAlign w:val="superscript"/>
          <w:lang w:val="nl-NL" w:eastAsia="en-US" w:bidi="ar-SA"/>
        </w:rPr>
        <w:footnoteReference w:id="95"/>
      </w:r>
      <w:r w:rsidRPr="00D147A7">
        <w:rPr>
          <w:kern w:val="0"/>
          <w:lang w:val="nl-NL" w:eastAsia="en-US" w:bidi="ar-SA"/>
        </w:rPr>
        <w:t xml:space="preserve"> Het patiëntendossier bevat dus alle relevante informatie over de patiënt.</w:t>
      </w:r>
      <w:r w:rsidRPr="00D147A7">
        <w:rPr>
          <w:kern w:val="0"/>
          <w:vertAlign w:val="superscript"/>
          <w:lang w:val="nl-NL" w:eastAsia="en-US" w:bidi="ar-SA"/>
        </w:rPr>
        <w:footnoteReference w:id="96"/>
      </w:r>
      <w:r w:rsidRPr="00D147A7">
        <w:rPr>
          <w:kern w:val="0"/>
          <w:lang w:val="nl-NL" w:eastAsia="en-US" w:bidi="ar-SA"/>
        </w:rPr>
        <w:t xml:space="preserve"> Deze op</w:t>
      </w:r>
      <w:r w:rsidR="00EB5E36">
        <w:rPr>
          <w:kern w:val="0"/>
          <w:lang w:val="nl-NL" w:eastAsia="en-US" w:bidi="ar-SA"/>
        </w:rPr>
        <w:t>-</w:t>
      </w:r>
      <w:r w:rsidRPr="00D147A7">
        <w:rPr>
          <w:kern w:val="0"/>
          <w:lang w:val="nl-NL" w:eastAsia="en-US" w:bidi="ar-SA"/>
        </w:rPr>
        <w:t xml:space="preserve">vatting wordt bevestigd door de wettelijke definitie van het </w:t>
      </w:r>
      <w:r w:rsidR="00F747B7" w:rsidRPr="00D147A7">
        <w:rPr>
          <w:kern w:val="0"/>
          <w:lang w:val="nl-NL" w:eastAsia="en-US" w:bidi="ar-SA"/>
        </w:rPr>
        <w:t>A</w:t>
      </w:r>
      <w:r w:rsidRPr="00D147A7">
        <w:rPr>
          <w:kern w:val="0"/>
          <w:lang w:val="nl-NL" w:eastAsia="en-US" w:bidi="ar-SA"/>
        </w:rPr>
        <w:t xml:space="preserve">lgemeen </w:t>
      </w:r>
      <w:r w:rsidR="00F747B7" w:rsidRPr="00D147A7">
        <w:rPr>
          <w:kern w:val="0"/>
          <w:lang w:val="nl-NL" w:eastAsia="en-US" w:bidi="ar-SA"/>
        </w:rPr>
        <w:t>M</w:t>
      </w:r>
      <w:r w:rsidRPr="00D147A7">
        <w:rPr>
          <w:kern w:val="0"/>
          <w:lang w:val="nl-NL" w:eastAsia="en-US" w:bidi="ar-SA"/>
        </w:rPr>
        <w:t xml:space="preserve">edisch </w:t>
      </w:r>
      <w:r w:rsidR="00F747B7" w:rsidRPr="00D147A7">
        <w:rPr>
          <w:kern w:val="0"/>
          <w:lang w:val="nl-NL" w:eastAsia="en-US" w:bidi="ar-SA"/>
        </w:rPr>
        <w:t>D</w:t>
      </w:r>
      <w:r w:rsidRPr="00D147A7">
        <w:rPr>
          <w:kern w:val="0"/>
          <w:lang w:val="nl-NL" w:eastAsia="en-US" w:bidi="ar-SA"/>
        </w:rPr>
        <w:t xml:space="preserve">ossier, dat omschreven wordt als </w:t>
      </w:r>
      <w:r w:rsidRPr="00D147A7">
        <w:rPr>
          <w:i/>
          <w:iCs/>
          <w:kern w:val="0"/>
          <w:lang w:val="nl-NL" w:eastAsia="en-US" w:bidi="ar-SA"/>
        </w:rPr>
        <w:t>een functionele en selectieve verzameling van relevante medische, soci</w:t>
      </w:r>
      <w:r w:rsidR="00EB5E36">
        <w:rPr>
          <w:i/>
          <w:iCs/>
          <w:kern w:val="0"/>
          <w:lang w:val="nl-NL" w:eastAsia="en-US" w:bidi="ar-SA"/>
        </w:rPr>
        <w:t>-</w:t>
      </w:r>
      <w:r w:rsidRPr="00D147A7">
        <w:rPr>
          <w:i/>
          <w:iCs/>
          <w:kern w:val="0"/>
          <w:lang w:val="nl-NL" w:eastAsia="en-US" w:bidi="ar-SA"/>
        </w:rPr>
        <w:t xml:space="preserve">ale en administratieve gegevens m.b.t. de patiënt </w:t>
      </w:r>
      <w:r w:rsidRPr="00D147A7">
        <w:rPr>
          <w:kern w:val="0"/>
          <w:lang w:val="nl-NL" w:eastAsia="en-US" w:bidi="ar-SA"/>
        </w:rPr>
        <w:t>(…).</w:t>
      </w:r>
      <w:r w:rsidRPr="00D147A7">
        <w:rPr>
          <w:kern w:val="0"/>
          <w:vertAlign w:val="superscript"/>
          <w:lang w:val="nl-NL" w:eastAsia="en-US" w:bidi="ar-SA"/>
        </w:rPr>
        <w:footnoteReference w:id="97"/>
      </w:r>
    </w:p>
    <w:p w:rsidR="009931C7" w:rsidRPr="00D147A7" w:rsidRDefault="006C7CDF" w:rsidP="009931C7">
      <w:pPr>
        <w:widowControl/>
        <w:suppressAutoHyphens w:val="0"/>
        <w:spacing w:line="240" w:lineRule="atLeast"/>
        <w:jc w:val="both"/>
        <w:rPr>
          <w:kern w:val="0"/>
          <w:lang w:val="nl-NL" w:eastAsia="en-US" w:bidi="ar-SA"/>
        </w:rPr>
      </w:pPr>
      <w:r w:rsidRPr="00D147A7">
        <w:rPr>
          <w:kern w:val="0"/>
          <w:lang w:val="nl-NL" w:eastAsia="en-US" w:bidi="ar-SA"/>
        </w:rPr>
        <w:t>Omdat h</w:t>
      </w:r>
      <w:r w:rsidR="009931C7" w:rsidRPr="00D147A7">
        <w:rPr>
          <w:kern w:val="0"/>
          <w:lang w:val="nl-NL" w:eastAsia="en-US" w:bidi="ar-SA"/>
        </w:rPr>
        <w:t>et patiëntendossier hét werkinstrument bij uitstek aangaande de diagnostiek, de op</w:t>
      </w:r>
      <w:r w:rsidR="00EB5E36">
        <w:rPr>
          <w:kern w:val="0"/>
          <w:lang w:val="nl-NL" w:eastAsia="en-US" w:bidi="ar-SA"/>
        </w:rPr>
        <w:t>-</w:t>
      </w:r>
      <w:r w:rsidR="009931C7" w:rsidRPr="00D147A7">
        <w:rPr>
          <w:kern w:val="0"/>
          <w:lang w:val="nl-NL" w:eastAsia="en-US" w:bidi="ar-SA"/>
        </w:rPr>
        <w:t>volging van de patiënt en de kwaliteitscontrole van de zorgverlening</w:t>
      </w:r>
      <w:r w:rsidRPr="00D147A7">
        <w:rPr>
          <w:kern w:val="0"/>
          <w:lang w:val="nl-NL" w:eastAsia="en-US" w:bidi="ar-SA"/>
        </w:rPr>
        <w:t xml:space="preserve"> moet d</w:t>
      </w:r>
      <w:r w:rsidR="009931C7" w:rsidRPr="00D147A7">
        <w:rPr>
          <w:kern w:val="0"/>
          <w:lang w:val="nl-NL" w:eastAsia="en-US" w:bidi="ar-SA"/>
        </w:rPr>
        <w:t>e term ‘patiënt</w:t>
      </w:r>
      <w:r w:rsidRPr="00D147A7">
        <w:rPr>
          <w:kern w:val="0"/>
          <w:lang w:val="nl-NL" w:eastAsia="en-US" w:bidi="ar-SA"/>
        </w:rPr>
        <w:t>-</w:t>
      </w:r>
      <w:r w:rsidR="009931C7" w:rsidRPr="00D147A7">
        <w:rPr>
          <w:kern w:val="0"/>
          <w:lang w:val="nl-NL" w:eastAsia="en-US" w:bidi="ar-SA"/>
        </w:rPr>
        <w:t>endossier’ erg ruim worden ingevuld.</w:t>
      </w:r>
      <w:r w:rsidR="009931C7" w:rsidRPr="00D147A7">
        <w:rPr>
          <w:kern w:val="0"/>
          <w:vertAlign w:val="superscript"/>
          <w:lang w:val="nl-NL" w:eastAsia="en-US" w:bidi="ar-SA"/>
        </w:rPr>
        <w:footnoteReference w:id="98"/>
      </w:r>
      <w:r w:rsidR="009931C7" w:rsidRPr="00D147A7">
        <w:rPr>
          <w:kern w:val="0"/>
          <w:lang w:val="nl-NL" w:eastAsia="en-US" w:bidi="ar-SA"/>
        </w:rPr>
        <w:t xml:space="preserve"> Magda Aelvoet bevestigde dit in haar hoedanigheid van Minister van Volksgezondheid door te stellen dat </w:t>
      </w:r>
      <w:r w:rsidR="009931C7" w:rsidRPr="00D147A7">
        <w:rPr>
          <w:i/>
          <w:iCs/>
          <w:kern w:val="0"/>
          <w:lang w:val="nl-NL" w:eastAsia="en-US" w:bidi="ar-SA"/>
        </w:rPr>
        <w:t xml:space="preserve">het ‘patiëntendossier’ niet alleen het ‘medisch dossier’ is; </w:t>
      </w:r>
      <w:r w:rsidRPr="00D147A7">
        <w:rPr>
          <w:iCs/>
          <w:kern w:val="0"/>
          <w:lang w:val="nl-NL" w:eastAsia="en-US" w:bidi="ar-SA"/>
        </w:rPr>
        <w:t>(…) [maar]</w:t>
      </w:r>
      <w:r w:rsidR="009931C7" w:rsidRPr="00D147A7">
        <w:rPr>
          <w:i/>
          <w:iCs/>
          <w:kern w:val="0"/>
          <w:lang w:val="nl-NL" w:eastAsia="en-US" w:bidi="ar-SA"/>
        </w:rPr>
        <w:t xml:space="preserve"> alle dossiers die worden aangelegd in het raam van de </w:t>
      </w:r>
      <w:r w:rsidR="009931C7" w:rsidRPr="00D147A7">
        <w:rPr>
          <w:i/>
          <w:iCs/>
          <w:kern w:val="0"/>
          <w:lang w:val="nl-NL" w:eastAsia="en-US" w:bidi="ar-SA"/>
        </w:rPr>
        <w:lastRenderedPageBreak/>
        <w:t>rechtsverhouding tussen beroepsbeoefenaar en patiënt, alsook op het dossier dat in het ziek</w:t>
      </w:r>
      <w:r w:rsidRPr="00D147A7">
        <w:rPr>
          <w:i/>
          <w:iCs/>
          <w:kern w:val="0"/>
          <w:lang w:val="nl-NL" w:eastAsia="en-US" w:bidi="ar-SA"/>
        </w:rPr>
        <w:t>-</w:t>
      </w:r>
      <w:r w:rsidR="009931C7" w:rsidRPr="00D147A7">
        <w:rPr>
          <w:i/>
          <w:iCs/>
          <w:kern w:val="0"/>
          <w:lang w:val="nl-NL" w:eastAsia="en-US" w:bidi="ar-SA"/>
        </w:rPr>
        <w:t>enhuis wordt bijgehouden</w:t>
      </w:r>
      <w:r w:rsidR="009931C7" w:rsidRPr="00D147A7">
        <w:rPr>
          <w:kern w:val="0"/>
          <w:lang w:val="nl-NL" w:eastAsia="en-US" w:bidi="ar-SA"/>
        </w:rPr>
        <w:t>.</w:t>
      </w:r>
      <w:r w:rsidR="009931C7" w:rsidRPr="00D147A7">
        <w:rPr>
          <w:kern w:val="0"/>
          <w:vertAlign w:val="superscript"/>
          <w:lang w:val="nl-NL" w:eastAsia="en-US" w:bidi="ar-SA"/>
        </w:rPr>
        <w:footnoteReference w:id="99"/>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Naast de dossierplicht van zorgverleners wordt ook de inhoud van de verschillende catego</w:t>
      </w:r>
      <w:r w:rsidR="00EB5E36">
        <w:rPr>
          <w:kern w:val="0"/>
          <w:lang w:val="nl-NL" w:eastAsia="en-US" w:bidi="ar-SA"/>
        </w:rPr>
        <w:t>-</w:t>
      </w:r>
      <w:r w:rsidRPr="00D147A7">
        <w:rPr>
          <w:kern w:val="0"/>
          <w:lang w:val="nl-NL" w:eastAsia="en-US" w:bidi="ar-SA"/>
        </w:rPr>
        <w:t>rieën patiëntendossiers in toenemende mate bij wet geregeld, zij het in een mozaïek van tal</w:t>
      </w:r>
      <w:r w:rsidR="00EB5E36">
        <w:rPr>
          <w:kern w:val="0"/>
          <w:lang w:val="nl-NL" w:eastAsia="en-US" w:bidi="ar-SA"/>
        </w:rPr>
        <w:t>-</w:t>
      </w:r>
      <w:r w:rsidRPr="00D147A7">
        <w:rPr>
          <w:kern w:val="0"/>
          <w:lang w:val="nl-NL" w:eastAsia="en-US" w:bidi="ar-SA"/>
        </w:rPr>
        <w:t>rijke, disparate regels. Hoewel iedere situatie uniek is en soms andere of bijkomende regels vereist zijn, wordt het gebrek aan een algemene richtlijn die de minimale inhoud van patiënt</w:t>
      </w:r>
      <w:r w:rsidR="00EB5E36">
        <w:rPr>
          <w:kern w:val="0"/>
          <w:lang w:val="nl-NL" w:eastAsia="en-US" w:bidi="ar-SA"/>
        </w:rPr>
        <w:t>-</w:t>
      </w:r>
      <w:r w:rsidRPr="00D147A7">
        <w:rPr>
          <w:kern w:val="0"/>
          <w:lang w:val="nl-NL" w:eastAsia="en-US" w:bidi="ar-SA"/>
        </w:rPr>
        <w:t>endossiers op coherente wijze vastlegt als betreurenswaardig ervaren.</w:t>
      </w:r>
      <w:r w:rsidRPr="00D147A7">
        <w:rPr>
          <w:kern w:val="0"/>
          <w:vertAlign w:val="superscript"/>
          <w:lang w:val="nl-NL" w:eastAsia="en-US" w:bidi="ar-SA"/>
        </w:rPr>
        <w:footnoteReference w:id="100"/>
      </w:r>
      <w:r w:rsidRPr="00D147A7">
        <w:rPr>
          <w:kern w:val="0"/>
          <w:lang w:val="nl-NL" w:eastAsia="en-US" w:bidi="ar-SA"/>
        </w:rPr>
        <w:t xml:space="preserve"> Hieronder wordt de wettelijk verplichte inhoud opgesomd van de</w:t>
      </w:r>
      <w:r w:rsidR="00F747B7" w:rsidRPr="00D147A7">
        <w:rPr>
          <w:kern w:val="0"/>
          <w:lang w:val="nl-NL" w:eastAsia="en-US" w:bidi="ar-SA"/>
        </w:rPr>
        <w:t xml:space="preserve"> voornaamste patiëntendossiers.</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i/>
          <w:iCs/>
          <w:kern w:val="0"/>
          <w:lang w:val="nl-NL" w:eastAsia="en-US" w:bidi="ar-SA"/>
        </w:rPr>
      </w:pPr>
      <w:r w:rsidRPr="00D147A7">
        <w:rPr>
          <w:kern w:val="0"/>
          <w:lang w:val="nl-NL" w:eastAsia="en-US" w:bidi="ar-SA"/>
        </w:rPr>
        <w:t>-</w:t>
      </w:r>
      <w:r w:rsidRPr="00D147A7">
        <w:rPr>
          <w:i/>
          <w:iCs/>
          <w:kern w:val="0"/>
          <w:lang w:val="nl-NL" w:eastAsia="en-US" w:bidi="ar-SA"/>
        </w:rPr>
        <w:t xml:space="preserve">Het ‘Algemeen Medisch Dossier’ omvat de volgende gegevens: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1° de socio-administratieve gegevens m.b.t. de patiënt,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2° ziektegeschiedenis en antecedenten (doorgestane ziekten, operaties, vaccinatiesta</w:t>
      </w:r>
      <w:r w:rsidR="00EB5E36">
        <w:rPr>
          <w:i/>
          <w:iCs/>
          <w:kern w:val="0"/>
          <w:lang w:val="nl-NL" w:eastAsia="en-US" w:bidi="ar-SA"/>
        </w:rPr>
        <w:t>-</w:t>
      </w:r>
      <w:r w:rsidRPr="00D147A7">
        <w:rPr>
          <w:i/>
          <w:iCs/>
          <w:kern w:val="0"/>
          <w:lang w:val="nl-NL" w:eastAsia="en-US" w:bidi="ar-SA"/>
        </w:rPr>
        <w:t xml:space="preserve">tus),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3° een lijst van de problemen (allergieën, medicatie),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4° de verslagen van geneesheren-specialisten en van andere zorgverstrekkers, alsmede de laboratoriumonderzoeken </w:t>
      </w:r>
      <w:r w:rsidRPr="00D147A7">
        <w:rPr>
          <w:kern w:val="0"/>
          <w:lang w:val="nl-NL" w:eastAsia="en-US" w:bidi="ar-SA"/>
        </w:rPr>
        <w:t>(dit zijn objectieve gegevens die in het ‘centraal dossier</w:t>
      </w:r>
      <w:r w:rsidR="00EB5E36">
        <w:rPr>
          <w:kern w:val="0"/>
          <w:lang w:val="nl-NL" w:eastAsia="en-US" w:bidi="ar-SA"/>
        </w:rPr>
        <w:t>-</w:t>
      </w:r>
      <w:r w:rsidRPr="00D147A7">
        <w:rPr>
          <w:kern w:val="0"/>
          <w:lang w:val="nl-NL" w:eastAsia="en-US" w:bidi="ar-SA"/>
        </w:rPr>
        <w:t>gedeelte’ thuishoren</w:t>
      </w:r>
      <w:r w:rsidRPr="00D147A7">
        <w:rPr>
          <w:kern w:val="0"/>
          <w:vertAlign w:val="superscript"/>
          <w:lang w:val="nl-NL" w:eastAsia="en-US" w:bidi="ar-SA"/>
        </w:rPr>
        <w:footnoteReference w:id="101"/>
      </w:r>
      <w:r w:rsidRPr="00D147A7">
        <w:rPr>
          <w:kern w:val="0"/>
          <w:lang w:val="nl-NL" w:eastAsia="en-US" w:bidi="ar-SA"/>
        </w:rPr>
        <w:t>)</w:t>
      </w:r>
      <w:r w:rsidRPr="00D147A7">
        <w:rPr>
          <w:i/>
          <w:iCs/>
          <w:kern w:val="0"/>
          <w:lang w:val="nl-NL" w:eastAsia="en-US" w:bidi="ar-SA"/>
        </w:rPr>
        <w:t xml:space="preserve">,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5° een deel dat meer specifiek bestemd is voor de huisarts </w:t>
      </w:r>
      <w:r w:rsidRPr="00D147A7">
        <w:rPr>
          <w:kern w:val="0"/>
          <w:lang w:val="nl-NL" w:eastAsia="en-US" w:bidi="ar-SA"/>
        </w:rPr>
        <w:t>(deze subjectieve gegevens worden in het ‘werkdossiergedeelte’ ondergebracht</w:t>
      </w:r>
      <w:r w:rsidRPr="00D147A7">
        <w:rPr>
          <w:kern w:val="0"/>
          <w:vertAlign w:val="superscript"/>
          <w:lang w:val="nl-NL" w:eastAsia="en-US" w:bidi="ar-SA"/>
        </w:rPr>
        <w:footnoteReference w:id="102"/>
      </w:r>
      <w:r w:rsidRPr="00D147A7">
        <w:rPr>
          <w:kern w:val="0"/>
          <w:lang w:val="nl-NL" w:eastAsia="en-US" w:bidi="ar-SA"/>
        </w:rPr>
        <w:t>)</w:t>
      </w:r>
      <w:r w:rsidRPr="00D147A7">
        <w:rPr>
          <w:i/>
          <w:iCs/>
          <w:kern w:val="0"/>
          <w:lang w:val="nl-NL" w:eastAsia="en-US" w:bidi="ar-SA"/>
        </w:rPr>
        <w:t xml:space="preserve">,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6° in voorkomend geval, dossiers voor specifieke rubrieken.</w:t>
      </w:r>
      <w:r w:rsidRPr="00D147A7">
        <w:rPr>
          <w:i/>
          <w:iCs/>
          <w:kern w:val="0"/>
          <w:vertAlign w:val="superscript"/>
          <w:lang w:val="nl-NL" w:eastAsia="en-US" w:bidi="ar-SA"/>
        </w:rPr>
        <w:footnoteReference w:id="103"/>
      </w:r>
    </w:p>
    <w:p w:rsidR="009931C7" w:rsidRPr="00D147A7" w:rsidRDefault="009931C7" w:rsidP="009931C7">
      <w:pPr>
        <w:widowControl/>
        <w:suppressAutoHyphens w:val="0"/>
        <w:spacing w:line="240" w:lineRule="atLeast"/>
        <w:jc w:val="both"/>
        <w:rPr>
          <w:i/>
          <w:iCs/>
          <w:kern w:val="0"/>
          <w:lang w:val="nl-NL" w:eastAsia="en-US" w:bidi="ar-SA"/>
        </w:rPr>
      </w:pPr>
    </w:p>
    <w:p w:rsidR="009931C7" w:rsidRPr="00D147A7" w:rsidRDefault="009931C7" w:rsidP="009931C7">
      <w:pPr>
        <w:widowControl/>
        <w:suppressAutoHyphens w:val="0"/>
        <w:spacing w:line="240" w:lineRule="atLeast"/>
        <w:jc w:val="both"/>
        <w:rPr>
          <w:i/>
          <w:iCs/>
          <w:kern w:val="0"/>
          <w:lang w:val="nl-NL" w:eastAsia="en-US" w:bidi="ar-SA"/>
        </w:rPr>
      </w:pPr>
      <w:r w:rsidRPr="00D147A7">
        <w:rPr>
          <w:i/>
          <w:iCs/>
          <w:kern w:val="0"/>
          <w:lang w:val="nl-NL" w:eastAsia="en-US" w:bidi="ar-SA"/>
        </w:rPr>
        <w:t xml:space="preserve">-Het medisch dossier </w:t>
      </w:r>
      <w:r w:rsidRPr="00D147A7">
        <w:rPr>
          <w:iCs/>
          <w:kern w:val="0"/>
          <w:lang w:val="nl-NL" w:eastAsia="en-US" w:bidi="ar-SA"/>
        </w:rPr>
        <w:t xml:space="preserve">[in ziekenhuisverband] </w:t>
      </w:r>
      <w:r w:rsidRPr="00D147A7">
        <w:rPr>
          <w:i/>
          <w:iCs/>
          <w:kern w:val="0"/>
          <w:lang w:val="nl-NL" w:eastAsia="en-US" w:bidi="ar-SA"/>
        </w:rPr>
        <w:t xml:space="preserve">bevat ten minste de volgende documenten en gegevens: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1° de identiteit van de patiënt;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2° familiale en persoonlijke antecedenten, de huidige ziektegeschiedenis, de gegevens der voorgaande raadplegingen en hospitalisaties;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3° de uitslagen van de klinische, radiologische, biologische, functionele en histo-pathologische onderzoeken;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4° de adviezen van de geconsulteerde geneesheren; de voorlopige en definitieve dia</w:t>
      </w:r>
      <w:r w:rsidR="00EB5E36">
        <w:rPr>
          <w:i/>
          <w:iCs/>
          <w:kern w:val="0"/>
          <w:lang w:val="nl-NL" w:eastAsia="en-US" w:bidi="ar-SA"/>
        </w:rPr>
        <w:t>-</w:t>
      </w:r>
      <w:r w:rsidRPr="00D147A7">
        <w:rPr>
          <w:i/>
          <w:iCs/>
          <w:kern w:val="0"/>
          <w:lang w:val="nl-NL" w:eastAsia="en-US" w:bidi="ar-SA"/>
        </w:rPr>
        <w:t xml:space="preserve">gnose;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5° de ingestelde behandeling;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6° bij een chirurgische ingreep, het operatief protocol en het anesthesieprotocol;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7° de evolutie van de aandoening;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8° het verslag van een eventuele lijkschouwing;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9° een afschrift van het ontslagverslag;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i/>
          <w:iCs/>
          <w:kern w:val="0"/>
          <w:lang w:val="nl-NL" w:eastAsia="en-US" w:bidi="ar-SA"/>
        </w:rPr>
        <w:t>10° voor elke transfusie het toegediende labiel bloedproduct (met eenheid- of lot</w:t>
      </w:r>
      <w:r w:rsidR="00F747B7" w:rsidRPr="00D147A7">
        <w:rPr>
          <w:i/>
          <w:iCs/>
          <w:kern w:val="0"/>
          <w:lang w:val="nl-NL" w:eastAsia="en-US" w:bidi="ar-SA"/>
        </w:rPr>
        <w:t>-</w:t>
      </w:r>
      <w:r w:rsidRPr="00D147A7">
        <w:rPr>
          <w:i/>
          <w:iCs/>
          <w:kern w:val="0"/>
          <w:lang w:val="nl-NL" w:eastAsia="en-US" w:bidi="ar-SA"/>
        </w:rPr>
        <w:t>nummer), de datum en het uur van toediening, de toedieners (arts en verpleegkun</w:t>
      </w:r>
      <w:r w:rsidR="00EB5E36">
        <w:rPr>
          <w:i/>
          <w:iCs/>
          <w:kern w:val="0"/>
          <w:lang w:val="nl-NL" w:eastAsia="en-US" w:bidi="ar-SA"/>
        </w:rPr>
        <w:t>-</w:t>
      </w:r>
      <w:r w:rsidRPr="00D147A7">
        <w:rPr>
          <w:i/>
          <w:iCs/>
          <w:kern w:val="0"/>
          <w:lang w:val="nl-NL" w:eastAsia="en-US" w:bidi="ar-SA"/>
        </w:rPr>
        <w:t>dige), de indicatie voor de transfusie, de eventuele reacties en een klinische en/of bio</w:t>
      </w:r>
      <w:r w:rsidR="00EB5E36">
        <w:rPr>
          <w:i/>
          <w:iCs/>
          <w:kern w:val="0"/>
          <w:lang w:val="nl-NL" w:eastAsia="en-US" w:bidi="ar-SA"/>
        </w:rPr>
        <w:t>-</w:t>
      </w:r>
      <w:r w:rsidRPr="00D147A7">
        <w:rPr>
          <w:i/>
          <w:iCs/>
          <w:kern w:val="0"/>
          <w:lang w:val="nl-NL" w:eastAsia="en-US" w:bidi="ar-SA"/>
        </w:rPr>
        <w:t>logische evaluatie van de doeltreffendheid van de interventie</w:t>
      </w:r>
      <w:r w:rsidRPr="00D147A7">
        <w:rPr>
          <w:kern w:val="0"/>
          <w:lang w:val="nl-NL" w:eastAsia="en-US" w:bidi="ar-SA"/>
        </w:rPr>
        <w:t>.</w:t>
      </w:r>
      <w:r w:rsidRPr="00D147A7">
        <w:rPr>
          <w:kern w:val="0"/>
          <w:vertAlign w:val="superscript"/>
          <w:lang w:val="nl-NL" w:eastAsia="en-US" w:bidi="ar-SA"/>
        </w:rPr>
        <w:footnoteReference w:id="104"/>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De in </w:t>
      </w:r>
      <w:r w:rsidRPr="00D147A7">
        <w:rPr>
          <w:iCs/>
          <w:kern w:val="0"/>
          <w:lang w:val="nl-NL" w:eastAsia="en-US" w:bidi="ar-SA"/>
        </w:rPr>
        <w:t>(…)</w:t>
      </w:r>
      <w:r w:rsidRPr="00D147A7">
        <w:rPr>
          <w:i/>
          <w:iCs/>
          <w:kern w:val="0"/>
          <w:lang w:val="nl-NL" w:eastAsia="en-US" w:bidi="ar-SA"/>
        </w:rPr>
        <w:t xml:space="preserve"> 3°, 4°, 5°, 6° en 8° bedoelde stukken dienen respectievelijke door de ver</w:t>
      </w:r>
      <w:r w:rsidR="00EB5E36">
        <w:rPr>
          <w:i/>
          <w:iCs/>
          <w:kern w:val="0"/>
          <w:lang w:val="nl-NL" w:eastAsia="en-US" w:bidi="ar-SA"/>
        </w:rPr>
        <w:t>-</w:t>
      </w:r>
      <w:r w:rsidRPr="00D147A7">
        <w:rPr>
          <w:i/>
          <w:iCs/>
          <w:kern w:val="0"/>
          <w:lang w:val="nl-NL" w:eastAsia="en-US" w:bidi="ar-SA"/>
        </w:rPr>
        <w:t xml:space="preserve">antwoordelijke arts, de geconsulteerde geneesheren, de arts die de diagnose gesteld </w:t>
      </w:r>
      <w:r w:rsidRPr="00D147A7">
        <w:rPr>
          <w:i/>
          <w:iCs/>
          <w:kern w:val="0"/>
          <w:lang w:val="nl-NL" w:eastAsia="en-US" w:bidi="ar-SA"/>
        </w:rPr>
        <w:lastRenderedPageBreak/>
        <w:t>heeft, de behandelende chirurg en anesthesist en de anatomopatholoog ondertekend te zijn.</w:t>
      </w:r>
      <w:r w:rsidRPr="00D147A7">
        <w:rPr>
          <w:i/>
          <w:iCs/>
          <w:kern w:val="0"/>
          <w:vertAlign w:val="superscript"/>
          <w:lang w:val="nl-NL" w:eastAsia="en-US" w:bidi="ar-SA"/>
        </w:rPr>
        <w:footnoteReference w:id="105"/>
      </w:r>
    </w:p>
    <w:p w:rsidR="009931C7" w:rsidRPr="00D147A7" w:rsidRDefault="009931C7" w:rsidP="009931C7">
      <w:pPr>
        <w:widowControl/>
        <w:suppressAutoHyphens w:val="0"/>
        <w:spacing w:line="240" w:lineRule="atLeast"/>
        <w:jc w:val="both"/>
        <w:rPr>
          <w:i/>
          <w:iCs/>
          <w:kern w:val="0"/>
          <w:lang w:val="nl-NL" w:eastAsia="en-US" w:bidi="ar-SA"/>
        </w:rPr>
      </w:pPr>
      <w:r w:rsidRPr="00D147A7">
        <w:rPr>
          <w:i/>
          <w:iCs/>
          <w:kern w:val="0"/>
          <w:lang w:val="nl-NL" w:eastAsia="en-US" w:bidi="ar-SA"/>
        </w:rPr>
        <w:t xml:space="preserve">Het (…) ontslagverslag omvat: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1° het voorlopig verslag dat de onmiddellijke continuïteit van de zorg waarborgt;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i/>
          <w:iCs/>
          <w:kern w:val="0"/>
          <w:lang w:val="nl-NL" w:eastAsia="en-US" w:bidi="ar-SA"/>
        </w:rPr>
        <w:t>2° het volledig verslag over het ziekenhuisverblijf, ondertekend door de arts die voor de patiënt verantwoordelijk is</w:t>
      </w:r>
      <w:r w:rsidRPr="00D147A7">
        <w:rPr>
          <w:kern w:val="0"/>
          <w:lang w:val="nl-NL" w:eastAsia="en-US" w:bidi="ar-SA"/>
        </w:rPr>
        <w:t>.</w:t>
      </w:r>
      <w:r w:rsidRPr="00D147A7">
        <w:rPr>
          <w:kern w:val="0"/>
          <w:vertAlign w:val="superscript"/>
          <w:lang w:val="nl-NL" w:eastAsia="en-US" w:bidi="ar-SA"/>
        </w:rPr>
        <w:footnoteReference w:id="106"/>
      </w:r>
    </w:p>
    <w:p w:rsidR="009931C7" w:rsidRPr="00D147A7" w:rsidRDefault="009931C7" w:rsidP="009931C7">
      <w:pPr>
        <w:widowControl/>
        <w:suppressAutoHyphens w:val="0"/>
        <w:spacing w:line="240" w:lineRule="atLeast"/>
        <w:ind w:left="708"/>
        <w:jc w:val="both"/>
        <w:rPr>
          <w:iCs/>
          <w:kern w:val="0"/>
          <w:lang w:val="nl-NL" w:eastAsia="en-US" w:bidi="ar-SA"/>
        </w:rPr>
      </w:pPr>
      <w:r w:rsidRPr="00D147A7">
        <w:rPr>
          <w:iCs/>
          <w:kern w:val="0"/>
          <w:lang w:val="nl-NL" w:eastAsia="en-US" w:bidi="ar-SA"/>
        </w:rPr>
        <w:t xml:space="preserve">Dit ontslagverslag wordt </w:t>
      </w:r>
      <w:r w:rsidRPr="00D147A7">
        <w:rPr>
          <w:i/>
          <w:iCs/>
          <w:kern w:val="0"/>
          <w:lang w:val="nl-NL" w:eastAsia="en-US" w:bidi="ar-SA"/>
        </w:rPr>
        <w:t>hetzij aan de patiënt meegegeven die het aan zijn behande</w:t>
      </w:r>
      <w:r w:rsidR="00F747B7" w:rsidRPr="00D147A7">
        <w:rPr>
          <w:i/>
          <w:iCs/>
          <w:kern w:val="0"/>
          <w:lang w:val="nl-NL" w:eastAsia="en-US" w:bidi="ar-SA"/>
        </w:rPr>
        <w:t>-</w:t>
      </w:r>
      <w:r w:rsidRPr="00D147A7">
        <w:rPr>
          <w:i/>
          <w:iCs/>
          <w:kern w:val="0"/>
          <w:lang w:val="nl-NL" w:eastAsia="en-US" w:bidi="ar-SA"/>
        </w:rPr>
        <w:t>lende arts en aan ieder betrokken arts bezorgt, hetzij aan de behandelende arts en ieder betrokken arts bezorgd.</w:t>
      </w:r>
      <w:r w:rsidRPr="00D147A7">
        <w:rPr>
          <w:i/>
          <w:iCs/>
          <w:kern w:val="0"/>
          <w:vertAlign w:val="superscript"/>
          <w:lang w:val="nl-NL" w:eastAsia="en-US" w:bidi="ar-SA"/>
        </w:rPr>
        <w:footnoteReference w:id="107"/>
      </w:r>
    </w:p>
    <w:p w:rsidR="009931C7" w:rsidRPr="00D147A7" w:rsidRDefault="009931C7" w:rsidP="009931C7">
      <w:pPr>
        <w:widowControl/>
        <w:suppressAutoHyphens w:val="0"/>
        <w:spacing w:line="240" w:lineRule="atLeast"/>
        <w:jc w:val="both"/>
        <w:rPr>
          <w:i/>
          <w:iCs/>
          <w:kern w:val="0"/>
          <w:lang w:val="nl-NL" w:eastAsia="en-US" w:bidi="ar-SA"/>
        </w:rPr>
      </w:pPr>
    </w:p>
    <w:p w:rsidR="009931C7" w:rsidRPr="00D147A7" w:rsidRDefault="009931C7" w:rsidP="009931C7">
      <w:pPr>
        <w:widowControl/>
        <w:suppressAutoHyphens w:val="0"/>
        <w:spacing w:line="240" w:lineRule="atLeast"/>
        <w:jc w:val="both"/>
        <w:rPr>
          <w:i/>
          <w:iCs/>
          <w:kern w:val="0"/>
          <w:lang w:val="nl-NL" w:eastAsia="en-US" w:bidi="ar-SA"/>
        </w:rPr>
      </w:pPr>
      <w:r w:rsidRPr="00D147A7">
        <w:rPr>
          <w:i/>
          <w:iCs/>
          <w:kern w:val="0"/>
          <w:lang w:val="nl-NL" w:eastAsia="en-US" w:bidi="ar-SA"/>
        </w:rPr>
        <w:t xml:space="preserve">-Het verpleegkundig dossier </w:t>
      </w:r>
      <w:r w:rsidRPr="00D147A7">
        <w:rPr>
          <w:iCs/>
          <w:kern w:val="0"/>
          <w:lang w:val="nl-NL" w:eastAsia="en-US" w:bidi="ar-SA"/>
        </w:rPr>
        <w:t xml:space="preserve">[in ziekenhuisverband] </w:t>
      </w:r>
      <w:r w:rsidRPr="00D147A7">
        <w:rPr>
          <w:i/>
          <w:iCs/>
          <w:kern w:val="0"/>
          <w:lang w:val="nl-NL" w:eastAsia="en-US" w:bidi="ar-SA"/>
        </w:rPr>
        <w:t xml:space="preserve">bevat ten minste de volgende documenten en gegevens: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1° de identiteit van de patiënt;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2° de verpleegkundige anamnese, met name alle elementen die tot doel hebben de leef</w:t>
      </w:r>
      <w:r w:rsidR="00EB5E36">
        <w:rPr>
          <w:i/>
          <w:iCs/>
          <w:kern w:val="0"/>
          <w:lang w:val="nl-NL" w:eastAsia="en-US" w:bidi="ar-SA"/>
        </w:rPr>
        <w:t>-</w:t>
      </w:r>
      <w:r w:rsidRPr="00D147A7">
        <w:rPr>
          <w:i/>
          <w:iCs/>
          <w:kern w:val="0"/>
          <w:lang w:val="nl-NL" w:eastAsia="en-US" w:bidi="ar-SA"/>
        </w:rPr>
        <w:t xml:space="preserve">gewoonten van de patiënt te identificeren, de evaluaties, de evoluties, de huidige en potentiële wijzigingen van zijn behoeften alsook alle elementen ter voorbereiding op zijn ontslag;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3° de medische en paramedische informatie die nodig is om de kwaliteit en de conti</w:t>
      </w:r>
      <w:r w:rsidR="00F747B7" w:rsidRPr="00D147A7">
        <w:rPr>
          <w:i/>
          <w:iCs/>
          <w:kern w:val="0"/>
          <w:lang w:val="nl-NL" w:eastAsia="en-US" w:bidi="ar-SA"/>
        </w:rPr>
        <w:t>-</w:t>
      </w:r>
      <w:r w:rsidRPr="00D147A7">
        <w:rPr>
          <w:i/>
          <w:iCs/>
          <w:kern w:val="0"/>
          <w:lang w:val="nl-NL" w:eastAsia="en-US" w:bidi="ar-SA"/>
        </w:rPr>
        <w:t xml:space="preserve">nuïteit van de verpleegkundige zorg aan de patiënt te verzekeren;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4° de voorgeschreven medische behandelingen, met name de medicamenteuze toedien</w:t>
      </w:r>
      <w:r w:rsidR="00F747B7" w:rsidRPr="00D147A7">
        <w:rPr>
          <w:i/>
          <w:iCs/>
          <w:kern w:val="0"/>
          <w:lang w:val="nl-NL" w:eastAsia="en-US" w:bidi="ar-SA"/>
        </w:rPr>
        <w:t>-</w:t>
      </w:r>
      <w:r w:rsidRPr="00D147A7">
        <w:rPr>
          <w:i/>
          <w:iCs/>
          <w:kern w:val="0"/>
          <w:lang w:val="nl-NL" w:eastAsia="en-US" w:bidi="ar-SA"/>
        </w:rPr>
        <w:t>ingen, de diagnostische onderzoeken, de technische verstrekkingen en de toevertrouw</w:t>
      </w:r>
      <w:r w:rsidR="00F747B7" w:rsidRPr="00D147A7">
        <w:rPr>
          <w:i/>
          <w:iCs/>
          <w:kern w:val="0"/>
          <w:lang w:val="nl-NL" w:eastAsia="en-US" w:bidi="ar-SA"/>
        </w:rPr>
        <w:t>-</w:t>
      </w:r>
      <w:r w:rsidRPr="00D147A7">
        <w:rPr>
          <w:i/>
          <w:iCs/>
          <w:kern w:val="0"/>
          <w:lang w:val="nl-NL" w:eastAsia="en-US" w:bidi="ar-SA"/>
        </w:rPr>
        <w:t xml:space="preserve">de handelingen;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5° het verpleegplan, met name het document dat het klinisch oordeel van de verpleeg</w:t>
      </w:r>
      <w:r w:rsidR="00F747B7" w:rsidRPr="00D147A7">
        <w:rPr>
          <w:i/>
          <w:iCs/>
          <w:kern w:val="0"/>
          <w:lang w:val="nl-NL" w:eastAsia="en-US" w:bidi="ar-SA"/>
        </w:rPr>
        <w:t>-</w:t>
      </w:r>
      <w:r w:rsidRPr="00D147A7">
        <w:rPr>
          <w:i/>
          <w:iCs/>
          <w:kern w:val="0"/>
          <w:lang w:val="nl-NL" w:eastAsia="en-US" w:bidi="ar-SA"/>
        </w:rPr>
        <w:t>kundige omschrijft bij de benadering van gezondheidsproblemen die voortvloeien uit zijn/haar specifieke verantwoordelijkheid. Het verpleegplan bestaat uit verpleegpro</w:t>
      </w:r>
      <w:r w:rsidR="00F747B7" w:rsidRPr="00D147A7">
        <w:rPr>
          <w:i/>
          <w:iCs/>
          <w:kern w:val="0"/>
          <w:lang w:val="nl-NL" w:eastAsia="en-US" w:bidi="ar-SA"/>
        </w:rPr>
        <w:t>-</w:t>
      </w:r>
      <w:r w:rsidRPr="00D147A7">
        <w:rPr>
          <w:i/>
          <w:iCs/>
          <w:kern w:val="0"/>
          <w:lang w:val="nl-NL" w:eastAsia="en-US" w:bidi="ar-SA"/>
        </w:rPr>
        <w:t>blemen en/of verpleegdiagnoses, de doelstellingen, de verwachte resultaten en ver</w:t>
      </w:r>
      <w:r w:rsidR="00EB5E36">
        <w:rPr>
          <w:i/>
          <w:iCs/>
          <w:kern w:val="0"/>
          <w:lang w:val="nl-NL" w:eastAsia="en-US" w:bidi="ar-SA"/>
        </w:rPr>
        <w:t>-</w:t>
      </w:r>
      <w:r w:rsidRPr="00D147A7">
        <w:rPr>
          <w:i/>
          <w:iCs/>
          <w:kern w:val="0"/>
          <w:lang w:val="nl-NL" w:eastAsia="en-US" w:bidi="ar-SA"/>
        </w:rPr>
        <w:t xml:space="preserve">pleegkundige interventies;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6° de verpleegplanning die een lijst is van de geplande en al dan niet verstrekte zorg</w:t>
      </w:r>
      <w:r w:rsidR="00EB5E36">
        <w:rPr>
          <w:i/>
          <w:iCs/>
          <w:kern w:val="0"/>
          <w:lang w:val="nl-NL" w:eastAsia="en-US" w:bidi="ar-SA"/>
        </w:rPr>
        <w:t>-</w:t>
      </w:r>
      <w:r w:rsidRPr="00D147A7">
        <w:rPr>
          <w:i/>
          <w:iCs/>
          <w:kern w:val="0"/>
          <w:lang w:val="nl-NL" w:eastAsia="en-US" w:bidi="ar-SA"/>
        </w:rPr>
        <w:t xml:space="preserve">en, overeenkomstig het verpleegplan en de voorgeschreven behandelingen;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7° de gestructureerde observatienota’s die de evaluatie van de bereikte resultaten documenteren en die de opvolging van de problemen en verwachtingen van de patiënt verzekeren;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8° een afschrift van het verpleegkundig ontslagrapport</w:t>
      </w:r>
      <w:r w:rsidRPr="00D147A7">
        <w:rPr>
          <w:i/>
          <w:iCs/>
          <w:kern w:val="0"/>
          <w:vertAlign w:val="superscript"/>
          <w:lang w:val="nl-NL" w:eastAsia="en-US" w:bidi="ar-SA"/>
        </w:rPr>
        <w:footnoteReference w:id="108"/>
      </w:r>
      <w:r w:rsidRPr="00D147A7">
        <w:rPr>
          <w:i/>
          <w:iCs/>
          <w:kern w:val="0"/>
          <w:lang w:val="nl-NL" w:eastAsia="en-US" w:bidi="ar-SA"/>
        </w:rPr>
        <w:t xml:space="preserve">, </w:t>
      </w:r>
      <w:r w:rsidRPr="00D147A7">
        <w:rPr>
          <w:iCs/>
          <w:kern w:val="0"/>
          <w:lang w:val="nl-NL" w:eastAsia="en-US" w:bidi="ar-SA"/>
        </w:rPr>
        <w:t xml:space="preserve">dat </w:t>
      </w:r>
      <w:r w:rsidRPr="00D147A7">
        <w:rPr>
          <w:i/>
          <w:iCs/>
          <w:kern w:val="0"/>
          <w:lang w:val="nl-NL" w:eastAsia="en-US" w:bidi="ar-SA"/>
        </w:rPr>
        <w:t xml:space="preserve">alle elementen </w:t>
      </w:r>
      <w:r w:rsidRPr="00D147A7">
        <w:rPr>
          <w:iCs/>
          <w:kern w:val="0"/>
          <w:lang w:val="nl-NL" w:eastAsia="en-US" w:bidi="ar-SA"/>
        </w:rPr>
        <w:t>[bevat]</w:t>
      </w:r>
      <w:r w:rsidRPr="00D147A7">
        <w:rPr>
          <w:i/>
          <w:iCs/>
          <w:kern w:val="0"/>
          <w:lang w:val="nl-NL" w:eastAsia="en-US" w:bidi="ar-SA"/>
        </w:rPr>
        <w:t xml:space="preserve"> die onontbeerlijk zijn voor het verzekeren van de continuïteit van de verpleegkundige zorg</w:t>
      </w:r>
      <w:r w:rsidRPr="00D147A7">
        <w:rPr>
          <w:iCs/>
          <w:kern w:val="0"/>
          <w:lang w:val="nl-NL" w:eastAsia="en-US" w:bidi="ar-SA"/>
        </w:rPr>
        <w:t xml:space="preserve"> en wordt </w:t>
      </w:r>
      <w:r w:rsidRPr="00D147A7">
        <w:rPr>
          <w:i/>
          <w:iCs/>
          <w:kern w:val="0"/>
          <w:lang w:val="nl-NL" w:eastAsia="en-US" w:bidi="ar-SA"/>
        </w:rPr>
        <w:t>hetzij aan de patiënt meegegeven, hetzij bezorgd aan de behandelende gezondheidszorgberoepsbeoefenaar of aan de gezondheidszorgberoepsbeoefenaar die door de patiënt is aangewezen.</w:t>
      </w:r>
      <w:r w:rsidRPr="00D147A7">
        <w:rPr>
          <w:i/>
          <w:iCs/>
          <w:kern w:val="0"/>
          <w:vertAlign w:val="superscript"/>
          <w:lang w:val="nl-NL" w:eastAsia="en-US" w:bidi="ar-SA"/>
        </w:rPr>
        <w:footnoteReference w:id="109"/>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i/>
          <w:iCs/>
          <w:kern w:val="0"/>
          <w:lang w:val="nl-NL" w:eastAsia="en-US" w:bidi="ar-SA"/>
        </w:rPr>
      </w:pPr>
      <w:r w:rsidRPr="00D147A7">
        <w:rPr>
          <w:kern w:val="0"/>
          <w:lang w:val="nl-NL" w:eastAsia="en-US" w:bidi="ar-SA"/>
        </w:rPr>
        <w:t>-</w:t>
      </w:r>
      <w:r w:rsidRPr="00D147A7">
        <w:rPr>
          <w:i/>
          <w:iCs/>
          <w:kern w:val="0"/>
          <w:lang w:val="nl-NL" w:eastAsia="en-US" w:bidi="ar-SA"/>
        </w:rPr>
        <w:t xml:space="preserve">Het </w:t>
      </w:r>
      <w:r w:rsidRPr="00D147A7">
        <w:rPr>
          <w:kern w:val="0"/>
          <w:lang w:val="nl-NL" w:eastAsia="en-US" w:bidi="ar-SA"/>
        </w:rPr>
        <w:t>(…)</w:t>
      </w:r>
      <w:r w:rsidRPr="00D147A7">
        <w:rPr>
          <w:i/>
          <w:iCs/>
          <w:kern w:val="0"/>
          <w:lang w:val="nl-NL" w:eastAsia="en-US" w:bidi="ar-SA"/>
        </w:rPr>
        <w:t xml:space="preserve"> </w:t>
      </w:r>
      <w:r w:rsidRPr="00D147A7">
        <w:rPr>
          <w:kern w:val="0"/>
          <w:lang w:val="nl-NL" w:eastAsia="en-US" w:bidi="ar-SA"/>
        </w:rPr>
        <w:t>[individueel verzorgings]</w:t>
      </w:r>
      <w:r w:rsidRPr="00D147A7">
        <w:rPr>
          <w:i/>
          <w:iCs/>
          <w:kern w:val="0"/>
          <w:lang w:val="nl-NL" w:eastAsia="en-US" w:bidi="ar-SA"/>
        </w:rPr>
        <w:t xml:space="preserve">dossier moet tenminste de volgende gegevens omvatten: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1° de identificatiegegevens van de bewoner;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2° de te contacteren persoon;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3° de anamnese;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4° het klinisch onderzoek bij de opname;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 xml:space="preserve">5° het </w:t>
      </w:r>
      <w:r w:rsidRPr="00D147A7">
        <w:rPr>
          <w:kern w:val="0"/>
          <w:lang w:val="nl-NL" w:eastAsia="en-US" w:bidi="ar-SA"/>
        </w:rPr>
        <w:t>(…)</w:t>
      </w:r>
      <w:r w:rsidRPr="00D147A7">
        <w:rPr>
          <w:i/>
          <w:iCs/>
          <w:kern w:val="0"/>
          <w:lang w:val="nl-NL" w:eastAsia="en-US" w:bidi="ar-SA"/>
        </w:rPr>
        <w:t xml:space="preserve"> multidisciplinair evaluatieprotocol en een rapport over de gezondheids</w:t>
      </w:r>
      <w:r w:rsidR="00F747B7" w:rsidRPr="00D147A7">
        <w:rPr>
          <w:i/>
          <w:iCs/>
          <w:kern w:val="0"/>
          <w:lang w:val="nl-NL" w:eastAsia="en-US" w:bidi="ar-SA"/>
        </w:rPr>
        <w:t>-</w:t>
      </w:r>
      <w:r w:rsidRPr="00D147A7">
        <w:rPr>
          <w:i/>
          <w:iCs/>
          <w:kern w:val="0"/>
          <w:lang w:val="nl-NL" w:eastAsia="en-US" w:bidi="ar-SA"/>
        </w:rPr>
        <w:t xml:space="preserve">toestand van de betrokkene; </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lastRenderedPageBreak/>
        <w:t>6° het plan van verzorging, revalidatie en bijstand bij de dagelijkse levenshande</w:t>
      </w:r>
      <w:r w:rsidR="00F747B7" w:rsidRPr="00D147A7">
        <w:rPr>
          <w:i/>
          <w:iCs/>
          <w:kern w:val="0"/>
          <w:lang w:val="nl-NL" w:eastAsia="en-US" w:bidi="ar-SA"/>
        </w:rPr>
        <w:t>-</w:t>
      </w:r>
      <w:r w:rsidRPr="00D147A7">
        <w:rPr>
          <w:i/>
          <w:iCs/>
          <w:kern w:val="0"/>
          <w:lang w:val="nl-NL" w:eastAsia="en-US" w:bidi="ar-SA"/>
        </w:rPr>
        <w:t xml:space="preserve">lingen, opgemaakt door de beoefenaars van de verpleegkunde. Dit plan moet worden geëvalueerd en aangepast aan de evolutie van de toestand van de bewoner;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7° de diagnose;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8° de behandeling; </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 xml:space="preserve">9° de klinische en de diagnostische evolutie;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i/>
          <w:iCs/>
          <w:kern w:val="0"/>
          <w:lang w:val="nl-NL" w:eastAsia="en-US" w:bidi="ar-SA"/>
        </w:rPr>
        <w:t>10° de voorgeschreven geneesmiddelen, alsook de toediening ervan</w:t>
      </w:r>
      <w:r w:rsidRPr="00D147A7">
        <w:rPr>
          <w:kern w:val="0"/>
          <w:lang w:val="nl-NL" w:eastAsia="en-US" w:bidi="ar-SA"/>
        </w:rPr>
        <w:t>.</w:t>
      </w:r>
      <w:r w:rsidRPr="00D147A7">
        <w:rPr>
          <w:kern w:val="0"/>
          <w:vertAlign w:val="superscript"/>
          <w:lang w:val="nl-NL" w:eastAsia="en-US" w:bidi="ar-SA"/>
        </w:rPr>
        <w:footnoteReference w:id="110"/>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Verder moeten in dit dossier worden opgenomen: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11° een gedateerde en ondertekende verklaring waarin de vertegenwoordiger wordt aangeduid,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12° het schriftelijk verzoek van de patiënt om informatie aan deze vertrouwenspersoon mee te delen,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het verzoek en de beweegredenen van de patiënt om geen informatie over (bepaalde aspecten van) zijn gezondheidstoestand te ontvangen en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13° een DNR (</w:t>
      </w:r>
      <w:r w:rsidR="00EB5E36">
        <w:rPr>
          <w:i/>
          <w:kern w:val="0"/>
          <w:lang w:val="nl-NL" w:eastAsia="en-US" w:bidi="ar-SA"/>
        </w:rPr>
        <w:t>D</w:t>
      </w:r>
      <w:r w:rsidRPr="00D147A7">
        <w:rPr>
          <w:i/>
          <w:kern w:val="0"/>
          <w:lang w:val="nl-NL" w:eastAsia="en-US" w:bidi="ar-SA"/>
        </w:rPr>
        <w:t xml:space="preserve">o </w:t>
      </w:r>
      <w:r w:rsidR="00EB5E36">
        <w:rPr>
          <w:i/>
          <w:kern w:val="0"/>
          <w:lang w:val="nl-NL" w:eastAsia="en-US" w:bidi="ar-SA"/>
        </w:rPr>
        <w:t>N</w:t>
      </w:r>
      <w:r w:rsidRPr="00D147A7">
        <w:rPr>
          <w:i/>
          <w:kern w:val="0"/>
          <w:lang w:val="nl-NL" w:eastAsia="en-US" w:bidi="ar-SA"/>
        </w:rPr>
        <w:t xml:space="preserve">ot </w:t>
      </w:r>
      <w:r w:rsidR="00EB5E36">
        <w:rPr>
          <w:i/>
          <w:kern w:val="0"/>
          <w:lang w:val="nl-NL" w:eastAsia="en-US" w:bidi="ar-SA"/>
        </w:rPr>
        <w:t>R</w:t>
      </w:r>
      <w:r w:rsidRPr="00D147A7">
        <w:rPr>
          <w:i/>
          <w:kern w:val="0"/>
          <w:lang w:val="nl-NL" w:eastAsia="en-US" w:bidi="ar-SA"/>
        </w:rPr>
        <w:t>esuscitate</w:t>
      </w:r>
      <w:r w:rsidRPr="00D147A7">
        <w:rPr>
          <w:kern w:val="0"/>
          <w:lang w:val="nl-NL" w:eastAsia="en-US" w:bidi="ar-SA"/>
        </w:rPr>
        <w:t>)-verklaring van de patiënt of diens vertrouwensper</w:t>
      </w:r>
      <w:r w:rsidR="00EB5E36">
        <w:rPr>
          <w:kern w:val="0"/>
          <w:lang w:val="nl-NL" w:eastAsia="en-US" w:bidi="ar-SA"/>
        </w:rPr>
        <w:t>-</w:t>
      </w:r>
      <w:r w:rsidRPr="00D147A7">
        <w:rPr>
          <w:kern w:val="0"/>
          <w:lang w:val="nl-NL" w:eastAsia="en-US" w:bidi="ar-SA"/>
        </w:rPr>
        <w:t>soon (i.e. de wil om niet gereanimeerd te worden).</w:t>
      </w:r>
      <w:r w:rsidRPr="00D147A7">
        <w:rPr>
          <w:kern w:val="0"/>
          <w:vertAlign w:val="superscript"/>
          <w:lang w:val="nl-NL" w:eastAsia="en-US" w:bidi="ar-SA"/>
        </w:rPr>
        <w:footnoteReference w:id="111"/>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Aantekeningen over de zorgverlening die afzonderlijk worden opgeborgen, zijn de zogenaam</w:t>
      </w:r>
      <w:r w:rsidR="00F747B7" w:rsidRPr="00D147A7">
        <w:rPr>
          <w:kern w:val="0"/>
          <w:lang w:val="nl-NL" w:eastAsia="en-US" w:bidi="ar-SA"/>
        </w:rPr>
        <w:t>-</w:t>
      </w:r>
      <w:r w:rsidRPr="00D147A7">
        <w:rPr>
          <w:kern w:val="0"/>
          <w:lang w:val="nl-NL" w:eastAsia="en-US" w:bidi="ar-SA"/>
        </w:rPr>
        <w:t>de ‘persoonlijke notities’. Deze notities kunnen uitsluitend door de archiefvormer geraad</w:t>
      </w:r>
      <w:r w:rsidR="00F747B7" w:rsidRPr="00D147A7">
        <w:rPr>
          <w:kern w:val="0"/>
          <w:lang w:val="nl-NL" w:eastAsia="en-US" w:bidi="ar-SA"/>
        </w:rPr>
        <w:t>-</w:t>
      </w:r>
      <w:r w:rsidRPr="00D147A7">
        <w:rPr>
          <w:kern w:val="0"/>
          <w:lang w:val="nl-NL" w:eastAsia="en-US" w:bidi="ar-SA"/>
        </w:rPr>
        <w:t>pleegd worden.</w:t>
      </w:r>
      <w:r w:rsidRPr="00D147A7">
        <w:rPr>
          <w:kern w:val="0"/>
          <w:vertAlign w:val="superscript"/>
          <w:lang w:val="nl-NL" w:eastAsia="en-US" w:bidi="ar-SA"/>
        </w:rPr>
        <w:footnoteReference w:id="112"/>
      </w:r>
      <w:r w:rsidRPr="00D147A7">
        <w:rPr>
          <w:kern w:val="0"/>
          <w:lang w:val="nl-NL" w:eastAsia="en-US" w:bidi="ar-SA"/>
        </w:rPr>
        <w:t xml:space="preserve"> Pas als de zorgverlener deze aantekeningen na afloop van het onderzoek of de behandeling niet vernietigt, moeten ze aan het patiëntendossier worden toegevoegd.</w:t>
      </w:r>
      <w:r w:rsidRPr="00D147A7">
        <w:rPr>
          <w:kern w:val="0"/>
          <w:vertAlign w:val="superscript"/>
          <w:lang w:val="nl-NL" w:eastAsia="en-US" w:bidi="ar-SA"/>
        </w:rPr>
        <w:footnoteReference w:id="113"/>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Verder bestaat er een internationale richtlijn die psychiaters gebiedt om elke behandeling in het patiëntendossier op te nemen en daarbij aan te geven of het al dan niet om een vrijwillige behandeling gaat.</w:t>
      </w:r>
      <w:r w:rsidRPr="00D147A7">
        <w:rPr>
          <w:kern w:val="0"/>
          <w:vertAlign w:val="superscript"/>
          <w:lang w:val="nl-NL" w:eastAsia="en-US" w:bidi="ar-SA"/>
        </w:rPr>
        <w:footnoteReference w:id="114"/>
      </w:r>
    </w:p>
    <w:p w:rsidR="00F747B7" w:rsidRPr="00D147A7" w:rsidRDefault="00F747B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afwezigheid van een definitie van het ‘patiëntendossier’ is niet de enige lacune die de Wet Patiëntenrechten vertoont. De wetgever heeft evenmin verduidelijkt wat met ‘zorgvuldig bijhouden’ en ‘veilig bewaren’ wordt bedoeld. Een andere wettelijke bepaling licht, zij het in beperkte mate, het ‘zorgvuldig bijhouden’ verder toe: </w:t>
      </w:r>
      <w:r w:rsidRPr="00D147A7">
        <w:rPr>
          <w:i/>
          <w:iCs/>
          <w:kern w:val="0"/>
          <w:lang w:val="nl-NL" w:eastAsia="en-US" w:bidi="ar-SA"/>
        </w:rPr>
        <w:t xml:space="preserve">Het </w:t>
      </w:r>
      <w:r w:rsidRPr="00D147A7">
        <w:rPr>
          <w:iCs/>
          <w:kern w:val="0"/>
          <w:lang w:val="nl-NL" w:eastAsia="en-US" w:bidi="ar-SA"/>
        </w:rPr>
        <w:t>(…)</w:t>
      </w:r>
      <w:r w:rsidRPr="00D147A7">
        <w:rPr>
          <w:i/>
          <w:iCs/>
          <w:kern w:val="0"/>
          <w:lang w:val="nl-NL" w:eastAsia="en-US" w:bidi="ar-SA"/>
        </w:rPr>
        <w:t xml:space="preserve"> dossier </w:t>
      </w:r>
      <w:r w:rsidRPr="00D147A7">
        <w:rPr>
          <w:iCs/>
          <w:kern w:val="0"/>
          <w:lang w:val="nl-NL" w:eastAsia="en-US" w:bidi="ar-SA"/>
        </w:rPr>
        <w:t>(…)</w:t>
      </w:r>
      <w:r w:rsidRPr="00D147A7">
        <w:rPr>
          <w:i/>
          <w:iCs/>
          <w:kern w:val="0"/>
          <w:lang w:val="nl-NL" w:eastAsia="en-US" w:bidi="ar-SA"/>
        </w:rPr>
        <w:t xml:space="preserve"> moet de therapeu</w:t>
      </w:r>
      <w:r w:rsidR="00F747B7" w:rsidRPr="00D147A7">
        <w:rPr>
          <w:i/>
          <w:iCs/>
          <w:kern w:val="0"/>
          <w:lang w:val="nl-NL" w:eastAsia="en-US" w:bidi="ar-SA"/>
        </w:rPr>
        <w:t>-</w:t>
      </w:r>
      <w:r w:rsidRPr="00D147A7">
        <w:rPr>
          <w:i/>
          <w:iCs/>
          <w:kern w:val="0"/>
          <w:lang w:val="nl-NL" w:eastAsia="en-US" w:bidi="ar-SA"/>
        </w:rPr>
        <w:t>tische en diagnostische aanpak getrouw weergeven</w:t>
      </w:r>
      <w:r w:rsidRPr="00D147A7">
        <w:rPr>
          <w:kern w:val="0"/>
          <w:lang w:val="nl-NL" w:eastAsia="en-US" w:bidi="ar-SA"/>
        </w:rPr>
        <w:t>.</w:t>
      </w:r>
      <w:r w:rsidRPr="00D147A7">
        <w:rPr>
          <w:kern w:val="0"/>
          <w:vertAlign w:val="superscript"/>
          <w:lang w:val="nl-NL" w:eastAsia="en-US" w:bidi="ar-SA"/>
        </w:rPr>
        <w:footnoteReference w:id="115"/>
      </w:r>
      <w:r w:rsidRPr="00D147A7">
        <w:rPr>
          <w:kern w:val="0"/>
          <w:lang w:val="nl-NL" w:eastAsia="en-US" w:bidi="ar-SA"/>
        </w:rPr>
        <w:t xml:space="preserve"> Daarnaast kan het ‘veilig bewaren’ in verband worden </w:t>
      </w:r>
      <w:r w:rsidR="00F747B7" w:rsidRPr="00D147A7">
        <w:rPr>
          <w:kern w:val="0"/>
          <w:lang w:val="nl-NL" w:eastAsia="en-US" w:bidi="ar-SA"/>
        </w:rPr>
        <w:t xml:space="preserve">gebracht </w:t>
      </w:r>
      <w:r w:rsidRPr="00D147A7">
        <w:rPr>
          <w:kern w:val="0"/>
          <w:lang w:val="nl-NL" w:eastAsia="en-US" w:bidi="ar-SA"/>
        </w:rPr>
        <w:t>met het medisch beroepsgeheim, dat vervat is in artikel 458 Sw.</w:t>
      </w:r>
      <w:r w:rsidRPr="00D147A7">
        <w:rPr>
          <w:kern w:val="0"/>
          <w:vertAlign w:val="superscript"/>
          <w:lang w:val="nl-NL" w:eastAsia="en-US" w:bidi="ar-SA"/>
        </w:rPr>
        <w:footnoteReference w:id="116"/>
      </w:r>
      <w:r w:rsidRPr="00D147A7">
        <w:rPr>
          <w:kern w:val="0"/>
          <w:lang w:val="nl-NL" w:eastAsia="en-US" w:bidi="ar-SA"/>
        </w:rPr>
        <w:t xml:space="preserve"> Alle wettelijke verplichtingen tot bescherming van de persoonlijke levenssfeer van de patiënt, de privacywet bij uitstek, moeten nageleefd worden.</w:t>
      </w:r>
      <w:r w:rsidRPr="00D147A7">
        <w:rPr>
          <w:kern w:val="0"/>
          <w:vertAlign w:val="superscript"/>
          <w:lang w:val="nl-NL" w:eastAsia="en-US" w:bidi="ar-SA"/>
        </w:rPr>
        <w:footnoteReference w:id="117"/>
      </w:r>
      <w:r w:rsidRPr="00D147A7">
        <w:rPr>
          <w:kern w:val="0"/>
          <w:lang w:val="nl-NL" w:eastAsia="en-US" w:bidi="ar-SA"/>
        </w:rPr>
        <w:t xml:space="preserve"> Wegens het gebrek aan bepalingen die preciseren hoe de begrippen ‘zorgvuldig bijhouden’ en ‘veilig bewaren’ ingevuld moeten worden, wordt in de rechtsleer aangeraden om hiervoor terug te grijpen naar het adagium </w:t>
      </w:r>
      <w:r w:rsidRPr="00D147A7">
        <w:rPr>
          <w:i/>
          <w:iCs/>
          <w:kern w:val="0"/>
          <w:lang w:val="nl-NL" w:eastAsia="en-US" w:bidi="ar-SA"/>
        </w:rPr>
        <w:lastRenderedPageBreak/>
        <w:t>culpa levis in abstracto</w:t>
      </w:r>
      <w:r w:rsidRPr="00D147A7">
        <w:rPr>
          <w:kern w:val="0"/>
          <w:lang w:val="nl-NL" w:eastAsia="en-US" w:bidi="ar-SA"/>
        </w:rPr>
        <w:t>.</w:t>
      </w:r>
      <w:r w:rsidRPr="00D147A7">
        <w:rPr>
          <w:kern w:val="0"/>
          <w:vertAlign w:val="superscript"/>
          <w:lang w:val="nl-NL" w:eastAsia="en-US" w:bidi="ar-SA"/>
        </w:rPr>
        <w:footnoteReference w:id="118"/>
      </w:r>
      <w:r w:rsidRPr="00D147A7">
        <w:rPr>
          <w:i/>
          <w:iCs/>
          <w:color w:val="FF0000"/>
          <w:kern w:val="0"/>
          <w:sz w:val="20"/>
          <w:szCs w:val="20"/>
          <w:lang w:val="nl-NL" w:eastAsia="en-US" w:bidi="ar-SA"/>
        </w:rPr>
        <w:t xml:space="preserve"> </w:t>
      </w:r>
      <w:r w:rsidRPr="00D147A7">
        <w:rPr>
          <w:i/>
          <w:iCs/>
          <w:kern w:val="0"/>
          <w:lang w:val="nl-NL" w:eastAsia="en-US" w:bidi="ar-SA"/>
        </w:rPr>
        <w:t xml:space="preserve">Culpa levis in abstracto </w:t>
      </w:r>
      <w:r w:rsidRPr="00D147A7">
        <w:rPr>
          <w:kern w:val="0"/>
          <w:lang w:val="nl-NL" w:eastAsia="en-US" w:bidi="ar-SA"/>
        </w:rPr>
        <w:t>is een objectieve beoordeling van de schuldenaar, waarbij diens handelingen aan die van een andere zorgvuldige collega (</w:t>
      </w:r>
      <w:r w:rsidRPr="00D147A7">
        <w:rPr>
          <w:i/>
          <w:iCs/>
          <w:kern w:val="0"/>
          <w:lang w:val="nl-NL" w:eastAsia="en-US" w:bidi="ar-SA"/>
        </w:rPr>
        <w:t>bonus pater familias</w:t>
      </w:r>
      <w:r w:rsidRPr="00D147A7">
        <w:rPr>
          <w:kern w:val="0"/>
          <w:lang w:val="nl-NL" w:eastAsia="en-US" w:bidi="ar-SA"/>
        </w:rPr>
        <w:t xml:space="preserve">, </w:t>
      </w:r>
      <w:r w:rsidRPr="00D147A7">
        <w:rPr>
          <w:i/>
          <w:iCs/>
          <w:kern w:val="0"/>
          <w:lang w:val="nl-NL" w:eastAsia="en-US" w:bidi="ar-SA"/>
        </w:rPr>
        <w:t xml:space="preserve">in casu </w:t>
      </w:r>
      <w:r w:rsidRPr="00D147A7">
        <w:rPr>
          <w:kern w:val="0"/>
          <w:lang w:val="nl-NL" w:eastAsia="en-US" w:bidi="ar-SA"/>
        </w:rPr>
        <w:t>de ‘</w:t>
      </w:r>
      <w:r w:rsidRPr="00D147A7">
        <w:rPr>
          <w:i/>
          <w:iCs/>
          <w:kern w:val="0"/>
          <w:lang w:val="nl-NL" w:eastAsia="en-US" w:bidi="ar-SA"/>
        </w:rPr>
        <w:t>bonus medicus</w:t>
      </w:r>
      <w:r w:rsidRPr="00D147A7">
        <w:rPr>
          <w:kern w:val="0"/>
          <w:lang w:val="nl-NL" w:eastAsia="en-US" w:bidi="ar-SA"/>
        </w:rPr>
        <w:t>’) in dezelfde omstandigheden worden getoetst.</w:t>
      </w:r>
      <w:r w:rsidRPr="00D147A7">
        <w:rPr>
          <w:kern w:val="0"/>
          <w:vertAlign w:val="superscript"/>
          <w:lang w:val="nl-NL" w:eastAsia="en-US" w:bidi="ar-SA"/>
        </w:rPr>
        <w:footnoteReference w:id="119"/>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2: Eigendom</w:t>
      </w:r>
    </w:p>
    <w:p w:rsidR="009931C7" w:rsidRPr="00D147A7" w:rsidRDefault="009931C7" w:rsidP="009931C7">
      <w:pPr>
        <w:widowControl/>
        <w:suppressAutoHyphens w:val="0"/>
        <w:spacing w:line="240" w:lineRule="atLeast"/>
        <w:ind w:firstLine="360"/>
        <w:jc w:val="both"/>
        <w:rPr>
          <w:b/>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In de bestaande wetgeving kan niet meteen een adequaat antwoord </w:t>
      </w:r>
      <w:r w:rsidR="0067765F" w:rsidRPr="00D147A7">
        <w:rPr>
          <w:kern w:val="0"/>
          <w:lang w:val="nl-NL" w:eastAsia="en-US" w:bidi="ar-SA"/>
        </w:rPr>
        <w:t>teruggevonden</w:t>
      </w:r>
      <w:r w:rsidRPr="00D147A7">
        <w:rPr>
          <w:kern w:val="0"/>
          <w:lang w:val="nl-NL" w:eastAsia="en-US" w:bidi="ar-SA"/>
        </w:rPr>
        <w:t xml:space="preserve"> worden op de vraag rond het eigendomsrecht van patiëntendossiers. Omdat een oplossing ook niet uit analogieën – met bijvoorbeeld een juridisch of advocatendossier – kan worden afgeleid, kan hiervoor enkel beroep worden gedaan op de rechtsleer.</w:t>
      </w:r>
      <w:r w:rsidRPr="00D147A7">
        <w:rPr>
          <w:kern w:val="0"/>
          <w:vertAlign w:val="superscript"/>
          <w:lang w:val="nl-NL" w:eastAsia="en-US" w:bidi="ar-SA"/>
        </w:rPr>
        <w:footnoteReference w:id="120"/>
      </w:r>
    </w:p>
    <w:p w:rsidR="0067765F" w:rsidRPr="00D147A7" w:rsidRDefault="0067765F"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In een eerste fase werd de eigendom van het patiëntendossier – inclusief de resultaten van technische onderzoeken – toegekend aan de alleen werkende zorgverlener enerzijds en aan het ziekenhuis waarvoor de zorgverlener werkt anderzijds.</w:t>
      </w:r>
      <w:r w:rsidRPr="00D147A7">
        <w:rPr>
          <w:kern w:val="0"/>
          <w:vertAlign w:val="superscript"/>
          <w:lang w:val="nl-NL" w:eastAsia="en-US" w:bidi="ar-SA"/>
        </w:rPr>
        <w:footnoteReference w:id="121"/>
      </w:r>
      <w:r w:rsidRPr="00D147A7">
        <w:rPr>
          <w:kern w:val="0"/>
          <w:lang w:val="nl-NL" w:eastAsia="en-US" w:bidi="ar-SA"/>
        </w:rPr>
        <w:t xml:space="preserve"> Dat individuele zorgverleners en verzorgingsinstellingen de eindverantwoordelijkheid voor ‘hun’ patiëntendossiers dragen, werd als hét argument bij uitstek gebruikt om deze opvatting te rechtvaardigden. Bovendien kopen zij de gegevensdrager aan waarop de gezondheidsgegevens op worden aangebracht. Men ging er dus van uit dat de kosten van de gegevensdrager niet verrekend werden in het bedrag dat patiënten aan hun zorgverlener moeten betalen. Hoewel de resultaten van techni</w:t>
      </w:r>
      <w:r w:rsidR="0067765F" w:rsidRPr="00D147A7">
        <w:rPr>
          <w:kern w:val="0"/>
          <w:lang w:val="nl-NL" w:eastAsia="en-US" w:bidi="ar-SA"/>
        </w:rPr>
        <w:t>-</w:t>
      </w:r>
      <w:r w:rsidRPr="00D147A7">
        <w:rPr>
          <w:kern w:val="0"/>
          <w:lang w:val="nl-NL" w:eastAsia="en-US" w:bidi="ar-SA"/>
        </w:rPr>
        <w:t>sche onderzoeken evenmin als eigendom van de patiënt beschouwd</w:t>
      </w:r>
      <w:r w:rsidR="0067765F" w:rsidRPr="00D147A7">
        <w:rPr>
          <w:kern w:val="0"/>
          <w:lang w:val="nl-NL" w:eastAsia="en-US" w:bidi="ar-SA"/>
        </w:rPr>
        <w:t xml:space="preserve"> werden</w:t>
      </w:r>
      <w:r w:rsidRPr="00D147A7">
        <w:rPr>
          <w:kern w:val="0"/>
          <w:lang w:val="nl-NL" w:eastAsia="en-US" w:bidi="ar-SA"/>
        </w:rPr>
        <w:t xml:space="preserve">, worden ze – om </w:t>
      </w:r>
      <w:r w:rsidRPr="00D147A7">
        <w:rPr>
          <w:kern w:val="0"/>
          <w:lang w:val="nl-NL" w:eastAsia="en-US" w:bidi="ar-SA"/>
        </w:rPr>
        <w:lastRenderedPageBreak/>
        <w:t>pragmatische redenen – wel aan de patiënten meegegeven.</w:t>
      </w:r>
      <w:r w:rsidRPr="00D147A7">
        <w:rPr>
          <w:kern w:val="0"/>
          <w:vertAlign w:val="superscript"/>
          <w:lang w:val="nl-NL" w:eastAsia="en-US" w:bidi="ar-SA"/>
        </w:rPr>
        <w:footnoteReference w:id="122"/>
      </w:r>
      <w:r w:rsidRPr="00D147A7">
        <w:rPr>
          <w:kern w:val="0"/>
          <w:lang w:val="nl-NL" w:eastAsia="en-US" w:bidi="ar-SA"/>
        </w:rPr>
        <w:t xml:space="preserve"> Ondanks dit alles werd nooit in twijfel getrokken dat de eindverantwoordelijken niet vrij over ‘hun’ patiëntendossiers mogen beschikken.</w:t>
      </w:r>
    </w:p>
    <w:p w:rsidR="006C7CDF" w:rsidRPr="00D147A7" w:rsidRDefault="006C7CDF"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Een kentering kwam er toen het voorwerp van het eigendomsrecht van patiëntendossiers expliciet bij wet geregeld werd, waardoor deze eigendom fundamenteel van de ‘normale’ burgerrechtelijke</w:t>
      </w:r>
      <w:r w:rsidRPr="00D147A7">
        <w:rPr>
          <w:kern w:val="0"/>
          <w:vertAlign w:val="superscript"/>
          <w:lang w:val="nl-NL" w:eastAsia="en-US" w:bidi="ar-SA"/>
        </w:rPr>
        <w:footnoteReference w:id="123"/>
      </w:r>
      <w:r w:rsidRPr="00D147A7">
        <w:rPr>
          <w:kern w:val="0"/>
          <w:lang w:val="nl-NL" w:eastAsia="en-US" w:bidi="ar-SA"/>
        </w:rPr>
        <w:t xml:space="preserve"> en intellectuele eigendom verschilt.</w:t>
      </w:r>
      <w:r w:rsidRPr="00D147A7">
        <w:rPr>
          <w:kern w:val="0"/>
          <w:vertAlign w:val="superscript"/>
          <w:lang w:val="nl-NL" w:eastAsia="en-US" w:bidi="ar-SA"/>
        </w:rPr>
        <w:footnoteReference w:id="124"/>
      </w:r>
      <w:r w:rsidRPr="00D147A7">
        <w:rPr>
          <w:kern w:val="0"/>
          <w:lang w:val="nl-NL" w:eastAsia="en-US" w:bidi="ar-SA"/>
        </w:rPr>
        <w:t xml:space="preserve"> Zo ligt de minimale inhoud van het patiëntendossier vast</w:t>
      </w:r>
      <w:r w:rsidRPr="00D147A7">
        <w:rPr>
          <w:kern w:val="0"/>
          <w:vertAlign w:val="superscript"/>
          <w:lang w:val="nl-NL" w:eastAsia="en-US" w:bidi="ar-SA"/>
        </w:rPr>
        <w:footnoteReference w:id="125"/>
      </w:r>
      <w:r w:rsidRPr="00D147A7">
        <w:rPr>
          <w:kern w:val="0"/>
          <w:lang w:val="nl-NL" w:eastAsia="en-US" w:bidi="ar-SA"/>
        </w:rPr>
        <w:t>, heeft de betrokken patiënt recht op inzage in en afschrift van zijn/</w:t>
      </w:r>
      <w:r w:rsidR="00C04265">
        <w:rPr>
          <w:kern w:val="0"/>
          <w:lang w:val="nl-NL" w:eastAsia="en-US" w:bidi="ar-SA"/>
        </w:rPr>
        <w:t xml:space="preserve"> </w:t>
      </w:r>
      <w:r w:rsidRPr="00D147A7">
        <w:rPr>
          <w:kern w:val="0"/>
          <w:lang w:val="nl-NL" w:eastAsia="en-US" w:bidi="ar-SA"/>
        </w:rPr>
        <w:t>haar dossier</w:t>
      </w:r>
      <w:r w:rsidRPr="00D147A7">
        <w:rPr>
          <w:kern w:val="0"/>
          <w:vertAlign w:val="superscript"/>
          <w:lang w:val="nl-NL" w:eastAsia="en-US" w:bidi="ar-SA"/>
        </w:rPr>
        <w:footnoteReference w:id="126"/>
      </w:r>
      <w:r w:rsidRPr="00D147A7">
        <w:rPr>
          <w:kern w:val="0"/>
          <w:lang w:val="nl-NL" w:eastAsia="en-US" w:bidi="ar-SA"/>
        </w:rPr>
        <w:t>, is de verantwoordelijke voor en de plaats van de bewaring van het patiënten</w:t>
      </w:r>
      <w:r w:rsidR="00C04265">
        <w:rPr>
          <w:kern w:val="0"/>
          <w:lang w:val="nl-NL" w:eastAsia="en-US" w:bidi="ar-SA"/>
        </w:rPr>
        <w:t>-</w:t>
      </w:r>
      <w:r w:rsidRPr="00D147A7">
        <w:rPr>
          <w:kern w:val="0"/>
          <w:lang w:val="nl-NL" w:eastAsia="en-US" w:bidi="ar-SA"/>
        </w:rPr>
        <w:t>dossier bepaald</w:t>
      </w:r>
      <w:r w:rsidRPr="00D147A7">
        <w:rPr>
          <w:kern w:val="0"/>
          <w:vertAlign w:val="superscript"/>
          <w:lang w:val="nl-NL" w:eastAsia="en-US" w:bidi="ar-SA"/>
        </w:rPr>
        <w:footnoteReference w:id="127"/>
      </w:r>
      <w:r w:rsidRPr="00D147A7">
        <w:rPr>
          <w:kern w:val="0"/>
          <w:lang w:val="nl-NL" w:eastAsia="en-US" w:bidi="ar-SA"/>
        </w:rPr>
        <w:t xml:space="preserve"> en wordt de mededeling en verkoop van (delen van) patiëntendossiers via het beroepsgeheim aan banden gelegd.</w:t>
      </w:r>
      <w:r w:rsidRPr="00D147A7">
        <w:rPr>
          <w:kern w:val="0"/>
          <w:vertAlign w:val="superscript"/>
          <w:lang w:val="nl-NL" w:eastAsia="en-US" w:bidi="ar-SA"/>
        </w:rPr>
        <w:footnoteReference w:id="128"/>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Toch is de kwestie over de eigendom van patiëntendossiers hierdoor niet van de discussielijst verdwenen. Het lot van patiëntendossiers na beëindiging van de behandelingsovereenkomst vormt met name de grote struikelblok.</w:t>
      </w:r>
      <w:r w:rsidRPr="00D147A7">
        <w:rPr>
          <w:kern w:val="0"/>
          <w:vertAlign w:val="superscript"/>
          <w:lang w:val="nl-NL" w:eastAsia="en-US" w:bidi="ar-SA"/>
        </w:rPr>
        <w:footnoteReference w:id="129"/>
      </w:r>
      <w:r w:rsidRPr="00D147A7">
        <w:rPr>
          <w:kern w:val="0"/>
          <w:lang w:val="nl-NL" w:eastAsia="en-US" w:bidi="ar-SA"/>
        </w:rPr>
        <w:t xml:space="preserve"> Het antwoord op deze vraag is afhankelijk van de plaats waar deze overeenkomst gesloten </w:t>
      </w:r>
      <w:r w:rsidR="0067765F" w:rsidRPr="00D147A7">
        <w:rPr>
          <w:kern w:val="0"/>
          <w:lang w:val="nl-NL" w:eastAsia="en-US" w:bidi="ar-SA"/>
        </w:rPr>
        <w:t xml:space="preserve">werd </w:t>
      </w:r>
      <w:r w:rsidRPr="00D147A7">
        <w:rPr>
          <w:kern w:val="0"/>
          <w:lang w:val="nl-NL" w:eastAsia="en-US" w:bidi="ar-SA"/>
        </w:rPr>
        <w:t>en dus wie verantwoordelijk is voor de bewa</w:t>
      </w:r>
      <w:r w:rsidR="00C04265">
        <w:rPr>
          <w:kern w:val="0"/>
          <w:lang w:val="nl-NL" w:eastAsia="en-US" w:bidi="ar-SA"/>
        </w:rPr>
        <w:t>-</w:t>
      </w:r>
      <w:r w:rsidRPr="00D147A7">
        <w:rPr>
          <w:kern w:val="0"/>
          <w:lang w:val="nl-NL" w:eastAsia="en-US" w:bidi="ar-SA"/>
        </w:rPr>
        <w:t>ring van de patiëntendossiers. Dossiers van patiënten die in een verzorgingsinstelling behan</w:t>
      </w:r>
      <w:r w:rsidR="00C04265">
        <w:rPr>
          <w:kern w:val="0"/>
          <w:lang w:val="nl-NL" w:eastAsia="en-US" w:bidi="ar-SA"/>
        </w:rPr>
        <w:t>-</w:t>
      </w:r>
      <w:r w:rsidRPr="00D147A7">
        <w:rPr>
          <w:kern w:val="0"/>
          <w:lang w:val="nl-NL" w:eastAsia="en-US" w:bidi="ar-SA"/>
        </w:rPr>
        <w:t>deld werden, moeten in dit instituut bewaard worden. De verantwoordelijkheid voor de bewa</w:t>
      </w:r>
      <w:r w:rsidR="00C04265">
        <w:rPr>
          <w:kern w:val="0"/>
          <w:lang w:val="nl-NL" w:eastAsia="en-US" w:bidi="ar-SA"/>
        </w:rPr>
        <w:t>-</w:t>
      </w:r>
      <w:r w:rsidRPr="00D147A7">
        <w:rPr>
          <w:kern w:val="0"/>
          <w:lang w:val="nl-NL" w:eastAsia="en-US" w:bidi="ar-SA"/>
        </w:rPr>
        <w:t>ring berust bij de beheerder van deze instelling, waarop de hoofdgeneesheer toezicht moet uit</w:t>
      </w:r>
      <w:r w:rsidR="00C04265">
        <w:rPr>
          <w:kern w:val="0"/>
          <w:lang w:val="nl-NL" w:eastAsia="en-US" w:bidi="ar-SA"/>
        </w:rPr>
        <w:t>-</w:t>
      </w:r>
      <w:r w:rsidRPr="00D147A7">
        <w:rPr>
          <w:kern w:val="0"/>
          <w:lang w:val="nl-NL" w:eastAsia="en-US" w:bidi="ar-SA"/>
        </w:rPr>
        <w:t>oefenen.</w:t>
      </w:r>
      <w:r w:rsidRPr="00D147A7">
        <w:rPr>
          <w:kern w:val="0"/>
          <w:vertAlign w:val="superscript"/>
          <w:lang w:val="nl-NL" w:eastAsia="en-US" w:bidi="ar-SA"/>
        </w:rPr>
        <w:footnoteReference w:id="130"/>
      </w:r>
      <w:r w:rsidRPr="00D147A7">
        <w:rPr>
          <w:kern w:val="0"/>
          <w:lang w:val="nl-NL" w:eastAsia="en-US" w:bidi="ar-SA"/>
        </w:rPr>
        <w:t xml:space="preserve"> Artsen die uit dienst treden, mogen de door hen gevormde (originele) patiënten</w:t>
      </w:r>
      <w:r w:rsidR="00C04265">
        <w:rPr>
          <w:kern w:val="0"/>
          <w:lang w:val="nl-NL" w:eastAsia="en-US" w:bidi="ar-SA"/>
        </w:rPr>
        <w:t>-</w:t>
      </w:r>
      <w:r w:rsidRPr="00D147A7">
        <w:rPr>
          <w:kern w:val="0"/>
          <w:lang w:val="nl-NL" w:eastAsia="en-US" w:bidi="ar-SA"/>
        </w:rPr>
        <w:t>dossiers geenszins met zich meenemen. Wie dat wel doet, maakt zich schuldig aan diefstal in de zin van artikel 461 Sw.</w:t>
      </w:r>
      <w:r w:rsidRPr="00D147A7">
        <w:rPr>
          <w:kern w:val="0"/>
          <w:vertAlign w:val="superscript"/>
          <w:lang w:val="nl-NL" w:eastAsia="en-US" w:bidi="ar-SA"/>
        </w:rPr>
        <w:footnoteReference w:id="131"/>
      </w:r>
      <w:r w:rsidRPr="00D147A7">
        <w:rPr>
          <w:kern w:val="0"/>
          <w:lang w:val="nl-NL" w:eastAsia="en-US" w:bidi="ar-SA"/>
        </w:rPr>
        <w:t xml:space="preserve"> Dit oordeelde de correctionele rechter in de rechtszaak die het Algemeen Ziekenhuis Jan Palfijn (te Gent) in 2005 aanspande tegen de arts die een dag na zijn (mondeling</w:t>
      </w:r>
      <w:r w:rsidR="0067765F" w:rsidRPr="00D147A7">
        <w:rPr>
          <w:kern w:val="0"/>
          <w:lang w:val="nl-NL" w:eastAsia="en-US" w:bidi="ar-SA"/>
        </w:rPr>
        <w:t>e</w:t>
      </w:r>
      <w:r w:rsidRPr="00D147A7">
        <w:rPr>
          <w:kern w:val="0"/>
          <w:lang w:val="nl-NL" w:eastAsia="en-US" w:bidi="ar-SA"/>
        </w:rPr>
        <w:t>) ontslag door de hoofdgeneesheer werd aangetroffen met een twintigtal pa</w:t>
      </w:r>
      <w:r w:rsidR="00C04265">
        <w:rPr>
          <w:kern w:val="0"/>
          <w:lang w:val="nl-NL" w:eastAsia="en-US" w:bidi="ar-SA"/>
        </w:rPr>
        <w:t>-</w:t>
      </w:r>
      <w:r w:rsidRPr="00D147A7">
        <w:rPr>
          <w:kern w:val="0"/>
          <w:lang w:val="nl-NL" w:eastAsia="en-US" w:bidi="ar-SA"/>
        </w:rPr>
        <w:t>tiëntendossiers onder de arm.</w:t>
      </w:r>
      <w:r w:rsidRPr="00D147A7">
        <w:rPr>
          <w:kern w:val="0"/>
          <w:vertAlign w:val="superscript"/>
          <w:lang w:val="nl-NL" w:eastAsia="en-US" w:bidi="ar-SA"/>
        </w:rPr>
        <w:footnoteReference w:id="132"/>
      </w:r>
      <w:r w:rsidRPr="00D147A7">
        <w:rPr>
          <w:kern w:val="0"/>
          <w:lang w:val="nl-NL" w:eastAsia="en-US" w:bidi="ar-SA"/>
        </w:rPr>
        <w:t xml:space="preserve"> Opdat de continuïteit van de zorgverlening gevrijwaard zou worden, kunnen artsen hooguit een kopie van de patiëntendossiers verkrijgen (mits de desbe</w:t>
      </w:r>
      <w:r w:rsidR="00C04265">
        <w:rPr>
          <w:kern w:val="0"/>
          <w:lang w:val="nl-NL" w:eastAsia="en-US" w:bidi="ar-SA"/>
        </w:rPr>
        <w:t>-</w:t>
      </w:r>
      <w:r w:rsidRPr="00D147A7">
        <w:rPr>
          <w:kern w:val="0"/>
          <w:lang w:val="nl-NL" w:eastAsia="en-US" w:bidi="ar-SA"/>
        </w:rPr>
        <w:t>treffende patiënt hiermee instemt).</w:t>
      </w:r>
      <w:r w:rsidRPr="00D147A7">
        <w:rPr>
          <w:kern w:val="0"/>
          <w:vertAlign w:val="superscript"/>
          <w:lang w:val="nl-NL" w:eastAsia="en-US" w:bidi="ar-SA"/>
        </w:rPr>
        <w:footnoteReference w:id="133"/>
      </w:r>
      <w:r w:rsidRPr="00D147A7">
        <w:rPr>
          <w:kern w:val="0"/>
          <w:lang w:val="nl-NL" w:eastAsia="en-US" w:bidi="ar-SA"/>
        </w:rPr>
        <w:t xml:space="preserve"> Verzorgingsinstellingen kopen de gegevensdragers aan waarop gezondheidsgegevens worden aangebracht en staan bovendien in voor hun bewaring. Dit leidt tot de conclusie dat de gegevensdragers van patiëntendossiers aan de verzorgingsin</w:t>
      </w:r>
      <w:r w:rsidR="00C04265">
        <w:rPr>
          <w:kern w:val="0"/>
          <w:lang w:val="nl-NL" w:eastAsia="en-US" w:bidi="ar-SA"/>
        </w:rPr>
        <w:t>-</w:t>
      </w:r>
      <w:r w:rsidRPr="00D147A7">
        <w:rPr>
          <w:kern w:val="0"/>
          <w:lang w:val="nl-NL" w:eastAsia="en-US" w:bidi="ar-SA"/>
        </w:rPr>
        <w:lastRenderedPageBreak/>
        <w:t>stellingen toebehoren. De eigendom van deze gegevensdragers wijzigt immers niet op het mo</w:t>
      </w:r>
      <w:r w:rsidR="00C04265">
        <w:rPr>
          <w:kern w:val="0"/>
          <w:lang w:val="nl-NL" w:eastAsia="en-US" w:bidi="ar-SA"/>
        </w:rPr>
        <w:t>-</w:t>
      </w:r>
      <w:r w:rsidRPr="00D147A7">
        <w:rPr>
          <w:kern w:val="0"/>
          <w:lang w:val="nl-NL" w:eastAsia="en-US" w:bidi="ar-SA"/>
        </w:rPr>
        <w:t xml:space="preserve">ment dat er gezondheidsgegevens op worden aangebracht. Patiënten hebben immers ‘slechts’ </w:t>
      </w:r>
      <w:r w:rsidR="0067765F" w:rsidRPr="00D147A7">
        <w:rPr>
          <w:kern w:val="0"/>
          <w:lang w:val="nl-NL" w:eastAsia="en-US" w:bidi="ar-SA"/>
        </w:rPr>
        <w:t xml:space="preserve">het </w:t>
      </w:r>
      <w:r w:rsidRPr="00D147A7">
        <w:rPr>
          <w:kern w:val="0"/>
          <w:lang w:val="nl-NL" w:eastAsia="en-US" w:bidi="ar-SA"/>
        </w:rPr>
        <w:t>recht op een kopie van (een gedeelte van) hun patiëntendossier.</w:t>
      </w:r>
      <w:r w:rsidRPr="00D147A7">
        <w:rPr>
          <w:kern w:val="0"/>
          <w:vertAlign w:val="superscript"/>
          <w:lang w:val="nl-NL" w:eastAsia="en-US" w:bidi="ar-SA"/>
        </w:rPr>
        <w:footnoteReference w:id="134"/>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Het lot van patiëntendossiers bij overdracht of stopzetting van een dokterspraktijk is evenmin genormeerd.</w:t>
      </w:r>
      <w:r w:rsidRPr="00D147A7">
        <w:rPr>
          <w:kern w:val="0"/>
          <w:vertAlign w:val="superscript"/>
          <w:lang w:val="nl-NL" w:eastAsia="en-US" w:bidi="ar-SA"/>
        </w:rPr>
        <w:footnoteReference w:id="135"/>
      </w:r>
      <w:r w:rsidRPr="00D147A7">
        <w:rPr>
          <w:kern w:val="0"/>
          <w:lang w:val="nl-NL" w:eastAsia="en-US" w:bidi="ar-SA"/>
        </w:rPr>
        <w:t xml:space="preserve"> Wanneer een praktijk aan een andere arts wordt overgedragen, worden de pa</w:t>
      </w:r>
      <w:r w:rsidR="00C04265">
        <w:rPr>
          <w:kern w:val="0"/>
          <w:lang w:val="nl-NL" w:eastAsia="en-US" w:bidi="ar-SA"/>
        </w:rPr>
        <w:t>-</w:t>
      </w:r>
      <w:r w:rsidRPr="00D147A7">
        <w:rPr>
          <w:kern w:val="0"/>
          <w:lang w:val="nl-NL" w:eastAsia="en-US" w:bidi="ar-SA"/>
        </w:rPr>
        <w:t>tiëntendossiers (samen met de verantwoordelijkheid) doorgaans mee overgedragen, op voor</w:t>
      </w:r>
      <w:r w:rsidR="00C04265">
        <w:rPr>
          <w:kern w:val="0"/>
          <w:lang w:val="nl-NL" w:eastAsia="en-US" w:bidi="ar-SA"/>
        </w:rPr>
        <w:t>-</w:t>
      </w:r>
      <w:r w:rsidRPr="00D147A7">
        <w:rPr>
          <w:kern w:val="0"/>
          <w:lang w:val="nl-NL" w:eastAsia="en-US" w:bidi="ar-SA"/>
        </w:rPr>
        <w:t>waarde dat de patiënt hiermee akkoord gaat.</w:t>
      </w:r>
      <w:r w:rsidRPr="00D147A7">
        <w:rPr>
          <w:kern w:val="0"/>
          <w:vertAlign w:val="superscript"/>
          <w:lang w:val="nl-NL" w:eastAsia="en-US" w:bidi="ar-SA"/>
        </w:rPr>
        <w:footnoteReference w:id="136"/>
      </w:r>
      <w:r w:rsidRPr="00D147A7">
        <w:rPr>
          <w:kern w:val="0"/>
          <w:lang w:val="nl-NL" w:eastAsia="en-US" w:bidi="ar-SA"/>
        </w:rPr>
        <w:t xml:space="preserve"> Bij het stopzetten van een praktijk die niet overgedragen wordt, moeten de patiëntendossiers aan de door de (vertegenwoordigers van de) patiënten aangeduide beroepsbeoefenaars worden overhandigd. Als een (vertegenwoordiger van de) patiënt niet kan worden opgespoord, moet de oorspronkelijke beroepsbeoefenaar het patiëntendossier ter bewaring aan een andere beroepsbeoefenaar ter hand stellen. Indien de aanvankelijke beroepsbeoefenaar hier niet toe in staat is (bijvoorbeeld wegens overlijden), kunnen diens naaste verwanten dit verwezenlijken. Willen of kunnen de verwanten deze over</w:t>
      </w:r>
      <w:r w:rsidR="0067765F" w:rsidRPr="00D147A7">
        <w:rPr>
          <w:kern w:val="0"/>
          <w:lang w:val="nl-NL" w:eastAsia="en-US" w:bidi="ar-SA"/>
        </w:rPr>
        <w:t>-</w:t>
      </w:r>
      <w:r w:rsidRPr="00D147A7">
        <w:rPr>
          <w:kern w:val="0"/>
          <w:lang w:val="nl-NL" w:eastAsia="en-US" w:bidi="ar-SA"/>
        </w:rPr>
        <w:t xml:space="preserve">dracht niet bewerkstelligen, dan moeten de patiëntendossiers tot nader order door de bevoegde Provinciale Raad van de Orde der geneesheren </w:t>
      </w:r>
      <w:r w:rsidR="0067765F" w:rsidRPr="00D147A7">
        <w:rPr>
          <w:kern w:val="0"/>
          <w:lang w:val="nl-NL" w:eastAsia="en-US" w:bidi="ar-SA"/>
        </w:rPr>
        <w:t xml:space="preserve">worden </w:t>
      </w:r>
      <w:r w:rsidRPr="00D147A7">
        <w:rPr>
          <w:kern w:val="0"/>
          <w:lang w:val="nl-NL" w:eastAsia="en-US" w:bidi="ar-SA"/>
        </w:rPr>
        <w:t>bewaard.</w:t>
      </w:r>
      <w:r w:rsidRPr="00D147A7">
        <w:rPr>
          <w:kern w:val="0"/>
          <w:vertAlign w:val="superscript"/>
          <w:lang w:val="nl-NL" w:eastAsia="en-US" w:bidi="ar-SA"/>
        </w:rPr>
        <w:footnoteReference w:id="137"/>
      </w:r>
    </w:p>
    <w:p w:rsidR="009931C7" w:rsidRPr="00D147A7" w:rsidRDefault="009931C7" w:rsidP="009931C7">
      <w:pPr>
        <w:widowControl/>
        <w:suppressAutoHyphens w:val="0"/>
        <w:spacing w:line="240" w:lineRule="atLeast"/>
        <w:ind w:firstLine="360"/>
        <w:jc w:val="both"/>
        <w:rPr>
          <w:b/>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3: Vormvereisten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vorm heeft betrekking op de gegevensdrager van patiëntendossiers. Ook in de medische sector worden papieren steeds meer door computers vervangen. In aanvulling op de inleiding, worden op de volgende pagina de voor- en nadelen van elektronische patiëntendossiers tegen elkaar afgewogen. De toenemende digitalisering is een universele trend, die geenszins alleen op België of op de gez</w:t>
      </w:r>
      <w:r w:rsidR="0067765F" w:rsidRPr="00D147A7">
        <w:rPr>
          <w:kern w:val="0"/>
          <w:lang w:val="nl-NL" w:eastAsia="en-US" w:bidi="ar-SA"/>
        </w:rPr>
        <w:t>ondheidszorg van toepassing is.</w:t>
      </w:r>
      <w:r w:rsidRPr="00D147A7">
        <w:rPr>
          <w:kern w:val="0"/>
          <w:lang w:val="nl-NL" w:eastAsia="en-US" w:bidi="ar-SA"/>
        </w:rPr>
        <w:fldChar w:fldCharType="begin"/>
      </w:r>
      <w:r w:rsidRPr="00D147A7">
        <w:rPr>
          <w:kern w:val="0"/>
          <w:lang w:val="nl-NL" w:eastAsia="en-US" w:bidi="ar-SA"/>
        </w:rPr>
        <w:instrText xml:space="preserve"> LINK Excel.Sheet.8 "G:\\1. Creatie\\Nieuwe map\\EPD - pro's versus contra's.xls" Blad2!R6K2:R39K3 \a \f 4 \h  \* MERGEFORMAT </w:instrText>
      </w:r>
      <w:r w:rsidRPr="00D147A7">
        <w:rPr>
          <w:kern w:val="0"/>
          <w:lang w:val="nl-NL" w:eastAsia="en-US" w:bidi="ar-SA"/>
        </w:rPr>
        <w:fldChar w:fldCharType="separate"/>
      </w:r>
    </w:p>
    <w:p w:rsidR="009931C7" w:rsidRPr="00D147A7" w:rsidRDefault="009931C7" w:rsidP="009931C7">
      <w:pPr>
        <w:widowControl/>
        <w:suppressAutoHyphens w:val="0"/>
        <w:spacing w:line="240" w:lineRule="atLeast"/>
      </w:pPr>
      <w:r w:rsidRPr="00D147A7">
        <w:br w:type="page"/>
      </w:r>
    </w:p>
    <w:tbl>
      <w:tblPr>
        <w:tblW w:w="9214" w:type="dxa"/>
        <w:tblInd w:w="70" w:type="dxa"/>
        <w:tblCellMar>
          <w:left w:w="70" w:type="dxa"/>
          <w:right w:w="70" w:type="dxa"/>
        </w:tblCellMar>
        <w:tblLook w:val="04A0" w:firstRow="1" w:lastRow="0" w:firstColumn="1" w:lastColumn="0" w:noHBand="0" w:noVBand="1"/>
      </w:tblPr>
      <w:tblGrid>
        <w:gridCol w:w="4678"/>
        <w:gridCol w:w="4536"/>
      </w:tblGrid>
      <w:tr w:rsidR="009931C7" w:rsidRPr="00D147A7" w:rsidTr="00E3749F">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931C7" w:rsidRPr="00D147A7" w:rsidRDefault="009931C7" w:rsidP="009931C7">
            <w:pPr>
              <w:widowControl/>
              <w:suppressAutoHyphens w:val="0"/>
              <w:spacing w:line="240" w:lineRule="atLeast"/>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lastRenderedPageBreak/>
              <w:t>Voordelen</w:t>
            </w:r>
          </w:p>
        </w:tc>
        <w:tc>
          <w:tcPr>
            <w:tcW w:w="4536"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31C7" w:rsidRPr="00D147A7" w:rsidRDefault="009931C7" w:rsidP="009931C7">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Nadelen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Kostenbesparend op lange termijn</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E3749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Hoge investeringskost impliceert besparingen op andere vlakken</w:t>
            </w:r>
          </w:p>
        </w:tc>
      </w:tr>
      <w:tr w:rsidR="009931C7" w:rsidRPr="00D147A7" w:rsidTr="004721B1">
        <w:trPr>
          <w:trHeight w:val="300"/>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9931C7">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t>Creatie</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Opstellen van documenten (zoals herhaalrecepten en verwijsbrieven) kan drastisch versneld worden</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E3749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xml:space="preserve">(Semi-)automatische invoer van gegevens </w:t>
            </w:r>
            <w:r w:rsidR="00E3749F" w:rsidRPr="00D147A7">
              <w:rPr>
                <w:rFonts w:eastAsia="Times New Roman"/>
                <w:color w:val="000000"/>
                <w:kern w:val="0"/>
                <w:sz w:val="16"/>
                <w:szCs w:val="16"/>
                <w:lang w:eastAsia="nl-BE" w:bidi="ar-SA"/>
              </w:rPr>
              <w:t>waardoor</w:t>
            </w:r>
            <w:r w:rsidRPr="00D147A7">
              <w:rPr>
                <w:rFonts w:eastAsia="Times New Roman"/>
                <w:color w:val="000000"/>
                <w:kern w:val="0"/>
                <w:sz w:val="16"/>
                <w:szCs w:val="16"/>
                <w:lang w:eastAsia="nl-BE" w:bidi="ar-SA"/>
              </w:rPr>
              <w:t xml:space="preserve"> dossiers vollediger</w:t>
            </w:r>
            <w:r w:rsidR="00E3749F" w:rsidRPr="00D147A7">
              <w:rPr>
                <w:rFonts w:eastAsia="Times New Roman"/>
                <w:color w:val="000000"/>
                <w:kern w:val="0"/>
                <w:sz w:val="16"/>
                <w:szCs w:val="16"/>
                <w:lang w:eastAsia="nl-BE" w:bidi="ar-SA"/>
              </w:rPr>
              <w:t xml:space="preserve"> worden</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E3749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Geen globaal overzicht</w:t>
            </w:r>
            <w:r w:rsidR="00E3749F" w:rsidRPr="00D147A7">
              <w:rPr>
                <w:rFonts w:eastAsia="Times New Roman"/>
                <w:color w:val="000000"/>
                <w:kern w:val="0"/>
                <w:sz w:val="16"/>
                <w:szCs w:val="16"/>
                <w:lang w:eastAsia="nl-BE" w:bidi="ar-SA"/>
              </w:rPr>
              <w:t xml:space="preserve"> vergt</w:t>
            </w:r>
            <w:r w:rsidRPr="00D147A7">
              <w:rPr>
                <w:rFonts w:eastAsia="Times New Roman"/>
                <w:color w:val="000000"/>
                <w:kern w:val="0"/>
                <w:sz w:val="16"/>
                <w:szCs w:val="16"/>
                <w:lang w:eastAsia="nl-BE" w:bidi="ar-SA"/>
              </w:rPr>
              <w:t xml:space="preserve"> extra tijd om </w:t>
            </w:r>
            <w:r w:rsidR="00E3749F" w:rsidRPr="00D147A7">
              <w:rPr>
                <w:rFonts w:eastAsia="Times New Roman"/>
                <w:color w:val="000000"/>
                <w:kern w:val="0"/>
                <w:sz w:val="16"/>
                <w:szCs w:val="16"/>
                <w:lang w:eastAsia="nl-BE" w:bidi="ar-SA"/>
              </w:rPr>
              <w:t xml:space="preserve">een </w:t>
            </w:r>
            <w:r w:rsidRPr="00D147A7">
              <w:rPr>
                <w:rFonts w:eastAsia="Times New Roman"/>
                <w:color w:val="000000"/>
                <w:kern w:val="0"/>
                <w:sz w:val="16"/>
                <w:szCs w:val="16"/>
                <w:lang w:eastAsia="nl-BE" w:bidi="ar-SA"/>
              </w:rPr>
              <w:t>volledig beeld van de patiënt te vormen</w:t>
            </w:r>
          </w:p>
        </w:tc>
      </w:tr>
      <w:tr w:rsidR="009931C7" w:rsidRPr="00D147A7" w:rsidTr="004721B1">
        <w:trPr>
          <w:trHeight w:val="300"/>
        </w:trPr>
        <w:tc>
          <w:tcPr>
            <w:tcW w:w="4678"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Patiëntendossiers worden gestandaardiseerd</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Standaardisatie vergt veel werk</w:t>
            </w:r>
          </w:p>
        </w:tc>
      </w:tr>
      <w:tr w:rsidR="009931C7" w:rsidRPr="00D147A7" w:rsidTr="004721B1">
        <w:trPr>
          <w:trHeight w:val="300"/>
        </w:trPr>
        <w:tc>
          <w:tcPr>
            <w:tcW w:w="4678" w:type="dxa"/>
            <w:vMerge/>
            <w:tcBorders>
              <w:top w:val="nil"/>
              <w:left w:val="single" w:sz="4" w:space="0" w:color="auto"/>
              <w:bottom w:val="single" w:sz="4" w:space="0" w:color="auto"/>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Voorgeprogrammeerde velden laat weinig plaats vrij voor vrije tekst</w:t>
            </w:r>
          </w:p>
        </w:tc>
      </w:tr>
      <w:tr w:rsidR="009931C7" w:rsidRPr="00D147A7" w:rsidTr="004721B1">
        <w:trPr>
          <w:trHeight w:val="300"/>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9931C7">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t>Vastlegging, ordening en toegankelijkheid</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Alle gegevens over één patiënt in één instelling zijn geconcentreerd</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Eén dossier per patiënt binnen één instelling (i.p.v. afdeling)</w:t>
            </w:r>
          </w:p>
        </w:tc>
        <w:tc>
          <w:tcPr>
            <w:tcW w:w="4536"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Inconsistentie met andere systemen / geen interoperabiliteit</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Mogelijkheid om aan apotheeksystemen te koppelen</w:t>
            </w:r>
          </w:p>
        </w:tc>
        <w:tc>
          <w:tcPr>
            <w:tcW w:w="4536"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Kloof om gebruik te maken van eHealth-toepassingen is kleiner</w:t>
            </w:r>
          </w:p>
        </w:tc>
        <w:tc>
          <w:tcPr>
            <w:tcW w:w="4536"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E3749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xml:space="preserve">Dossiers en voorschriften zijn beter leesbaar </w:t>
            </w:r>
            <w:r w:rsidR="00E3749F" w:rsidRPr="00D147A7">
              <w:rPr>
                <w:rFonts w:eastAsia="Times New Roman"/>
                <w:color w:val="000000"/>
                <w:kern w:val="0"/>
                <w:sz w:val="16"/>
                <w:szCs w:val="16"/>
                <w:lang w:eastAsia="nl-BE" w:bidi="ar-SA"/>
              </w:rPr>
              <w:t>waardoor</w:t>
            </w:r>
            <w:r w:rsidRPr="00D147A7">
              <w:rPr>
                <w:rFonts w:eastAsia="Times New Roman"/>
                <w:color w:val="000000"/>
                <w:kern w:val="0"/>
                <w:sz w:val="16"/>
                <w:szCs w:val="16"/>
                <w:lang w:eastAsia="nl-BE" w:bidi="ar-SA"/>
              </w:rPr>
              <w:t xml:space="preserve"> vergissingen voorkomen</w:t>
            </w:r>
            <w:r w:rsidR="00E3749F" w:rsidRPr="00D147A7">
              <w:rPr>
                <w:rFonts w:eastAsia="Times New Roman"/>
                <w:color w:val="000000"/>
                <w:kern w:val="0"/>
                <w:sz w:val="16"/>
                <w:szCs w:val="16"/>
                <w:lang w:eastAsia="nl-BE" w:bidi="ar-SA"/>
              </w:rPr>
              <w:t xml:space="preserve"> kunnen worden</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Geen uniform gebruik van afkortingen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xml:space="preserve">Zorgverleners kunnen gewaarschuwd of herinnerd worden (bijv. over bijwerkingen </w:t>
            </w:r>
            <w:r w:rsidR="00E3749F" w:rsidRPr="00D147A7">
              <w:rPr>
                <w:rFonts w:eastAsia="Times New Roman"/>
                <w:color w:val="000000"/>
                <w:kern w:val="0"/>
                <w:sz w:val="16"/>
                <w:szCs w:val="16"/>
                <w:lang w:eastAsia="nl-BE" w:bidi="ar-SA"/>
              </w:rPr>
              <w:t xml:space="preserve">van </w:t>
            </w:r>
            <w:r w:rsidRPr="00D147A7">
              <w:rPr>
                <w:rFonts w:eastAsia="Times New Roman"/>
                <w:color w:val="000000"/>
                <w:kern w:val="0"/>
                <w:sz w:val="16"/>
                <w:szCs w:val="16"/>
                <w:lang w:eastAsia="nl-BE" w:bidi="ar-SA"/>
              </w:rPr>
              <w:t xml:space="preserve">of allergieën van </w:t>
            </w:r>
            <w:r w:rsidR="006C7CDF" w:rsidRPr="00D147A7">
              <w:rPr>
                <w:rFonts w:eastAsia="Times New Roman"/>
                <w:color w:val="000000"/>
                <w:kern w:val="0"/>
                <w:sz w:val="16"/>
                <w:szCs w:val="16"/>
                <w:lang w:eastAsia="nl-BE" w:bidi="ar-SA"/>
              </w:rPr>
              <w:t xml:space="preserve">een </w:t>
            </w:r>
            <w:r w:rsidRPr="00D147A7">
              <w:rPr>
                <w:rFonts w:eastAsia="Times New Roman"/>
                <w:color w:val="000000"/>
                <w:kern w:val="0"/>
                <w:sz w:val="16"/>
                <w:szCs w:val="16"/>
                <w:lang w:eastAsia="nl-BE" w:bidi="ar-SA"/>
              </w:rPr>
              <w:t>patiënt voor bestanddelen</w:t>
            </w:r>
            <w:r w:rsidR="00E3749F" w:rsidRPr="00D147A7">
              <w:rPr>
                <w:rFonts w:eastAsia="Times New Roman"/>
                <w:color w:val="000000"/>
                <w:kern w:val="0"/>
                <w:sz w:val="16"/>
                <w:szCs w:val="16"/>
                <w:lang w:eastAsia="nl-BE" w:bidi="ar-SA"/>
              </w:rPr>
              <w:t xml:space="preserve"> van</w:t>
            </w:r>
            <w:r w:rsidRPr="00D147A7">
              <w:rPr>
                <w:rFonts w:eastAsia="Times New Roman"/>
                <w:color w:val="000000"/>
                <w:kern w:val="0"/>
                <w:sz w:val="16"/>
                <w:szCs w:val="16"/>
                <w:lang w:eastAsia="nl-BE" w:bidi="ar-SA"/>
              </w:rPr>
              <w:t xml:space="preserve"> geneesmiddelen)</w:t>
            </w:r>
          </w:p>
        </w:tc>
        <w:tc>
          <w:tcPr>
            <w:tcW w:w="4536" w:type="dxa"/>
            <w:tcBorders>
              <w:top w:val="nil"/>
              <w:left w:val="nil"/>
              <w:bottom w:val="nil"/>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De mogelijkheid om metadata toe te voegen, biedt tal van voordelen (o.m. voor ordening)</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xml:space="preserve">Vereist discipline </w:t>
            </w:r>
            <w:r w:rsidR="00E3749F" w:rsidRPr="00D147A7">
              <w:rPr>
                <w:rFonts w:eastAsia="Times New Roman"/>
                <w:color w:val="000000"/>
                <w:kern w:val="0"/>
                <w:sz w:val="16"/>
                <w:szCs w:val="16"/>
                <w:lang w:eastAsia="nl-BE" w:bidi="ar-SA"/>
              </w:rPr>
              <w:t xml:space="preserve">van zorgverleners </w:t>
            </w:r>
            <w:r w:rsidRPr="00D147A7">
              <w:rPr>
                <w:rFonts w:eastAsia="Times New Roman"/>
                <w:color w:val="000000"/>
                <w:kern w:val="0"/>
                <w:sz w:val="16"/>
                <w:szCs w:val="16"/>
                <w:lang w:eastAsia="nl-BE" w:bidi="ar-SA"/>
              </w:rPr>
              <w:t xml:space="preserve">en vergt </w:t>
            </w:r>
            <w:r w:rsidR="00E3749F" w:rsidRPr="00D147A7">
              <w:rPr>
                <w:rFonts w:eastAsia="Times New Roman"/>
                <w:color w:val="000000"/>
                <w:kern w:val="0"/>
                <w:sz w:val="16"/>
                <w:szCs w:val="16"/>
                <w:lang w:eastAsia="nl-BE" w:bidi="ar-SA"/>
              </w:rPr>
              <w:t xml:space="preserve">extra </w:t>
            </w:r>
            <w:r w:rsidRPr="00D147A7">
              <w:rPr>
                <w:rFonts w:eastAsia="Times New Roman"/>
                <w:color w:val="000000"/>
                <w:kern w:val="0"/>
                <w:sz w:val="16"/>
                <w:szCs w:val="16"/>
                <w:lang w:eastAsia="nl-BE" w:bidi="ar-SA"/>
              </w:rPr>
              <w:t>tijd</w:t>
            </w:r>
          </w:p>
        </w:tc>
      </w:tr>
      <w:tr w:rsidR="009931C7" w:rsidRPr="00D147A7" w:rsidTr="004721B1">
        <w:trPr>
          <w:trHeight w:val="300"/>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9931C7">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t>Bewaring</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Oplossing voor het gebrek aan opslagruimte en reductie van (opslag)kosten</w:t>
            </w:r>
          </w:p>
        </w:tc>
        <w:tc>
          <w:tcPr>
            <w:tcW w:w="4536"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Moeilijker om gegevens toegankelijk te houden, authenticiteit en integriteit te waarborgen, illusie te doorbreken dat selectie overbodig is,…</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Minder kans op verlies van het patiëntendossier</w:t>
            </w:r>
          </w:p>
        </w:tc>
        <w:tc>
          <w:tcPr>
            <w:tcW w:w="4536" w:type="dxa"/>
            <w:vMerge/>
            <w:tcBorders>
              <w:top w:val="nil"/>
              <w:left w:val="single" w:sz="4" w:space="0" w:color="auto"/>
              <w:bottom w:val="single" w:sz="4" w:space="0" w:color="auto"/>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9931C7">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t>Gebruik</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Betere en snellere toegang tot informatie</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Opzoeken van oude documenten is lastiger</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Beschikbaarheid van en toegankelijkheid tot patiëntendossiers overstijgt grenzen van plaats en tijd</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22"/>
                <w:szCs w:val="22"/>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Mogelijkheid om op afstand zorg te verlenen (telegeneeskunde)</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Negatieve beïnvloeding van interactie tussen arts en patiënt</w:t>
            </w:r>
            <w:r w:rsidR="006C7CDF" w:rsidRPr="00D147A7">
              <w:rPr>
                <w:rFonts w:eastAsia="Times New Roman"/>
                <w:color w:val="000000"/>
                <w:kern w:val="0"/>
                <w:sz w:val="16"/>
                <w:szCs w:val="16"/>
                <w:lang w:eastAsia="nl-BE" w:bidi="ar-SA"/>
              </w:rPr>
              <w:t xml:space="preserve">; </w:t>
            </w:r>
            <w:r w:rsidRPr="00D147A7">
              <w:rPr>
                <w:rFonts w:eastAsia="Times New Roman"/>
                <w:color w:val="000000"/>
                <w:kern w:val="0"/>
                <w:sz w:val="16"/>
                <w:szCs w:val="16"/>
                <w:lang w:eastAsia="nl-BE" w:bidi="ar-SA"/>
              </w:rPr>
              <w:t xml:space="preserve">contact </w:t>
            </w:r>
            <w:r w:rsidR="006C7CDF" w:rsidRPr="00D147A7">
              <w:rPr>
                <w:rFonts w:eastAsia="Times New Roman"/>
                <w:color w:val="000000"/>
                <w:kern w:val="0"/>
                <w:sz w:val="16"/>
                <w:szCs w:val="16"/>
                <w:lang w:eastAsia="nl-BE" w:bidi="ar-SA"/>
              </w:rPr>
              <w:t xml:space="preserve">tussen zorgverlener en patiënt </w:t>
            </w:r>
            <w:r w:rsidRPr="00D147A7">
              <w:rPr>
                <w:rFonts w:eastAsia="Times New Roman"/>
                <w:color w:val="000000"/>
                <w:kern w:val="0"/>
                <w:sz w:val="16"/>
                <w:szCs w:val="16"/>
                <w:lang w:eastAsia="nl-BE" w:bidi="ar-SA"/>
              </w:rPr>
              <w:t>wordt onpersoonlijker</w:t>
            </w:r>
          </w:p>
        </w:tc>
      </w:tr>
      <w:tr w:rsidR="009931C7" w:rsidRPr="00D147A7" w:rsidTr="004721B1">
        <w:trPr>
          <w:trHeight w:val="300"/>
        </w:trPr>
        <w:tc>
          <w:tcPr>
            <w:tcW w:w="4678"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Informatiebeheer wordt geoptimaliseerd</w:t>
            </w:r>
            <w:r w:rsidR="006C7CDF" w:rsidRPr="00D147A7">
              <w:rPr>
                <w:rFonts w:eastAsia="Times New Roman"/>
                <w:color w:val="000000"/>
                <w:kern w:val="0"/>
                <w:sz w:val="16"/>
                <w:szCs w:val="16"/>
                <w:lang w:eastAsia="nl-BE" w:bidi="ar-SA"/>
              </w:rPr>
              <w:t>,</w:t>
            </w:r>
            <w:r w:rsidRPr="00D147A7">
              <w:rPr>
                <w:rFonts w:eastAsia="Times New Roman"/>
                <w:color w:val="000000"/>
                <w:kern w:val="0"/>
                <w:sz w:val="16"/>
                <w:szCs w:val="16"/>
                <w:lang w:eastAsia="nl-BE" w:bidi="ar-SA"/>
              </w:rPr>
              <w:t xml:space="preserve"> </w:t>
            </w:r>
            <w:r w:rsidR="006C7CDF" w:rsidRPr="00D147A7">
              <w:rPr>
                <w:rFonts w:eastAsia="Times New Roman"/>
                <w:color w:val="000000"/>
                <w:kern w:val="0"/>
                <w:sz w:val="16"/>
                <w:szCs w:val="16"/>
                <w:lang w:eastAsia="nl-BE" w:bidi="ar-SA"/>
              </w:rPr>
              <w:t>wat</w:t>
            </w:r>
            <w:r w:rsidRPr="00D147A7">
              <w:rPr>
                <w:rFonts w:eastAsia="Times New Roman"/>
                <w:color w:val="000000"/>
                <w:kern w:val="0"/>
                <w:sz w:val="16"/>
                <w:szCs w:val="16"/>
                <w:lang w:eastAsia="nl-BE" w:bidi="ar-SA"/>
              </w:rPr>
              <w:t xml:space="preserve"> </w:t>
            </w:r>
            <w:r w:rsidR="006C7CDF" w:rsidRPr="00D147A7">
              <w:rPr>
                <w:rFonts w:eastAsia="Times New Roman"/>
                <w:color w:val="000000"/>
                <w:kern w:val="0"/>
                <w:sz w:val="16"/>
                <w:szCs w:val="16"/>
                <w:lang w:eastAsia="nl-BE" w:bidi="ar-SA"/>
              </w:rPr>
              <w:t>de</w:t>
            </w:r>
            <w:r w:rsidRPr="00D147A7">
              <w:rPr>
                <w:rFonts w:eastAsia="Times New Roman"/>
                <w:color w:val="000000"/>
                <w:kern w:val="0"/>
                <w:sz w:val="16"/>
                <w:szCs w:val="16"/>
                <w:lang w:eastAsia="nl-BE" w:bidi="ar-SA"/>
              </w:rPr>
              <w:t xml:space="preserve"> kwaliteit en productiviteit van de zorgverlening</w:t>
            </w:r>
            <w:r w:rsidR="006C7CDF" w:rsidRPr="00D147A7">
              <w:rPr>
                <w:rFonts w:eastAsia="Times New Roman"/>
                <w:color w:val="000000"/>
                <w:kern w:val="0"/>
                <w:sz w:val="16"/>
                <w:szCs w:val="16"/>
                <w:lang w:eastAsia="nl-BE" w:bidi="ar-SA"/>
              </w:rPr>
              <w:t xml:space="preserve"> ten goede komt</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Gebruikers moeten technisch onderlegd zijn en er is een aanzienlijke leercurve</w:t>
            </w:r>
          </w:p>
        </w:tc>
      </w:tr>
      <w:tr w:rsidR="009931C7" w:rsidRPr="00D147A7" w:rsidTr="004721B1">
        <w:trPr>
          <w:trHeight w:val="300"/>
        </w:trPr>
        <w:tc>
          <w:tcPr>
            <w:tcW w:w="4678" w:type="dxa"/>
            <w:vMerge/>
            <w:tcBorders>
              <w:top w:val="nil"/>
              <w:left w:val="single" w:sz="4" w:space="0" w:color="auto"/>
              <w:bottom w:val="single" w:sz="4" w:space="0" w:color="auto"/>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Afhankelijkheid van techniek</w:t>
            </w:r>
            <w:r w:rsidR="006C7CDF" w:rsidRPr="00D147A7">
              <w:rPr>
                <w:rFonts w:eastAsia="Times New Roman"/>
                <w:color w:val="000000"/>
                <w:kern w:val="0"/>
                <w:sz w:val="16"/>
                <w:szCs w:val="16"/>
                <w:lang w:eastAsia="nl-BE" w:bidi="ar-SA"/>
              </w:rPr>
              <w:t xml:space="preserve">: </w:t>
            </w:r>
            <w:r w:rsidRPr="00D147A7">
              <w:rPr>
                <w:rFonts w:eastAsia="Times New Roman"/>
                <w:color w:val="000000"/>
                <w:kern w:val="0"/>
                <w:sz w:val="16"/>
                <w:szCs w:val="16"/>
                <w:lang w:eastAsia="nl-BE" w:bidi="ar-SA"/>
              </w:rPr>
              <w:t xml:space="preserve">nood aan computers en informaticadienst; stroompannes, uitvallen </w:t>
            </w:r>
            <w:r w:rsidR="006C7CDF" w:rsidRPr="00D147A7">
              <w:rPr>
                <w:rFonts w:eastAsia="Times New Roman"/>
                <w:color w:val="000000"/>
                <w:kern w:val="0"/>
                <w:sz w:val="16"/>
                <w:szCs w:val="16"/>
                <w:lang w:eastAsia="nl-BE" w:bidi="ar-SA"/>
              </w:rPr>
              <w:t xml:space="preserve">van het </w:t>
            </w:r>
            <w:r w:rsidRPr="00D147A7">
              <w:rPr>
                <w:rFonts w:eastAsia="Times New Roman"/>
                <w:color w:val="000000"/>
                <w:kern w:val="0"/>
                <w:sz w:val="16"/>
                <w:szCs w:val="16"/>
                <w:lang w:eastAsia="nl-BE" w:bidi="ar-SA"/>
              </w:rPr>
              <w:t>systeem, mogelijke softwarefouten,… hebben catastrofale gevolgen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Betere communicatie tussen zorgverleners</w:t>
            </w:r>
            <w:r w:rsidR="006C7CDF" w:rsidRPr="00D147A7">
              <w:rPr>
                <w:rFonts w:eastAsia="Times New Roman"/>
                <w:color w:val="000000"/>
                <w:kern w:val="0"/>
                <w:sz w:val="16"/>
                <w:szCs w:val="16"/>
                <w:lang w:eastAsia="nl-BE" w:bidi="ar-SA"/>
              </w:rPr>
              <w:t xml:space="preserve"> onderling en met patiënten</w:t>
            </w:r>
          </w:p>
        </w:tc>
        <w:tc>
          <w:tcPr>
            <w:tcW w:w="4536"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Bedenkingen over v</w:t>
            </w:r>
            <w:r w:rsidR="006C7CDF" w:rsidRPr="00D147A7">
              <w:rPr>
                <w:rFonts w:eastAsia="Times New Roman"/>
                <w:color w:val="000000"/>
                <w:kern w:val="0"/>
                <w:sz w:val="16"/>
                <w:szCs w:val="16"/>
                <w:lang w:eastAsia="nl-BE" w:bidi="ar-SA"/>
              </w:rPr>
              <w:t xml:space="preserve">eiligheids- en privacyaspecten </w:t>
            </w:r>
            <w:r w:rsidRPr="00D147A7">
              <w:rPr>
                <w:rFonts w:eastAsia="Times New Roman"/>
                <w:color w:val="000000"/>
                <w:kern w:val="0"/>
                <w:sz w:val="16"/>
                <w:szCs w:val="16"/>
                <w:lang w:eastAsia="nl-BE" w:bidi="ar-SA"/>
              </w:rPr>
              <w:t>zoals crashes van het systeem, vi</w:t>
            </w:r>
            <w:r w:rsidR="006C7CDF" w:rsidRPr="00D147A7">
              <w:rPr>
                <w:rFonts w:eastAsia="Times New Roman"/>
                <w:color w:val="000000"/>
                <w:kern w:val="0"/>
                <w:sz w:val="16"/>
                <w:szCs w:val="16"/>
                <w:lang w:eastAsia="nl-BE" w:bidi="ar-SA"/>
              </w:rPr>
              <w:t>russen, sabotage door hackers,…</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Selectieve toegang tot elektronische patiëntendossier is mogelijk</w:t>
            </w:r>
          </w:p>
        </w:tc>
        <w:tc>
          <w:tcPr>
            <w:tcW w:w="4536"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Betere beveiliging (d.m.v. paswoorden, loggings,…)</w:t>
            </w:r>
          </w:p>
        </w:tc>
        <w:tc>
          <w:tcPr>
            <w:tcW w:w="4536"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r>
      <w:tr w:rsidR="009931C7" w:rsidRPr="00D147A7" w:rsidTr="004721B1">
        <w:trPr>
          <w:trHeight w:val="300"/>
        </w:trPr>
        <w:tc>
          <w:tcPr>
            <w:tcW w:w="467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Inbreuken op privacy kunnen op veel grotere schaal plaatsvinden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Gegevens zijn meer up-to-date, nauwkeuriger en beter verstaanbaar</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6C7CDF"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Risico dat gegevens</w:t>
            </w:r>
            <w:r w:rsidR="009931C7" w:rsidRPr="00D147A7">
              <w:rPr>
                <w:rFonts w:eastAsia="Times New Roman"/>
                <w:color w:val="000000"/>
                <w:kern w:val="0"/>
                <w:sz w:val="16"/>
                <w:szCs w:val="16"/>
                <w:lang w:eastAsia="nl-BE" w:bidi="ar-SA"/>
              </w:rPr>
              <w:t xml:space="preserve"> niet makkelijk teruggevonden kunnen worden </w:t>
            </w:r>
            <w:r w:rsidRPr="00D147A7">
              <w:rPr>
                <w:rFonts w:eastAsia="Times New Roman"/>
                <w:color w:val="000000"/>
                <w:kern w:val="0"/>
                <w:sz w:val="16"/>
                <w:szCs w:val="16"/>
                <w:lang w:eastAsia="nl-BE" w:bidi="ar-SA"/>
              </w:rPr>
              <w:t>en dat</w:t>
            </w:r>
            <w:r w:rsidR="009931C7" w:rsidRPr="00D147A7">
              <w:rPr>
                <w:rFonts w:eastAsia="Times New Roman"/>
                <w:color w:val="000000"/>
                <w:kern w:val="0"/>
                <w:sz w:val="16"/>
                <w:szCs w:val="16"/>
                <w:lang w:eastAsia="nl-BE" w:bidi="ar-SA"/>
              </w:rPr>
              <w:t xml:space="preserve"> upload-/downloadprocessen niet gestroomlijnd zijn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Gegevens kunnen naar wens gerangschikt worden (chronologisch, op indicatie, op probleem, op arts,…) </w:t>
            </w:r>
            <w:r w:rsidR="006C7CDF" w:rsidRPr="00D147A7">
              <w:rPr>
                <w:rFonts w:eastAsia="Times New Roman"/>
                <w:kern w:val="0"/>
                <w:sz w:val="16"/>
                <w:szCs w:val="16"/>
                <w:lang w:eastAsia="nl-BE" w:bidi="ar-SA"/>
              </w:rPr>
              <w:t>zodat informatie</w:t>
            </w:r>
            <w:r w:rsidRPr="00D147A7">
              <w:rPr>
                <w:rFonts w:eastAsia="Times New Roman"/>
                <w:kern w:val="0"/>
                <w:sz w:val="16"/>
                <w:szCs w:val="16"/>
                <w:lang w:eastAsia="nl-BE" w:bidi="ar-SA"/>
              </w:rPr>
              <w:t xml:space="preserve"> sneller en makkelijker </w:t>
            </w:r>
            <w:r w:rsidR="006C7CDF" w:rsidRPr="00D147A7">
              <w:rPr>
                <w:rFonts w:eastAsia="Times New Roman"/>
                <w:kern w:val="0"/>
                <w:sz w:val="16"/>
                <w:szCs w:val="16"/>
                <w:lang w:eastAsia="nl-BE" w:bidi="ar-SA"/>
              </w:rPr>
              <w:t xml:space="preserve">kan worden </w:t>
            </w:r>
            <w:r w:rsidRPr="00D147A7">
              <w:rPr>
                <w:rFonts w:eastAsia="Times New Roman"/>
                <w:kern w:val="0"/>
                <w:sz w:val="16"/>
                <w:szCs w:val="16"/>
                <w:lang w:eastAsia="nl-BE" w:bidi="ar-SA"/>
              </w:rPr>
              <w:t>terugv</w:t>
            </w:r>
            <w:r w:rsidR="006C7CDF" w:rsidRPr="00D147A7">
              <w:rPr>
                <w:rFonts w:eastAsia="Times New Roman"/>
                <w:kern w:val="0"/>
                <w:sz w:val="16"/>
                <w:szCs w:val="16"/>
                <w:lang w:eastAsia="nl-BE" w:bidi="ar-SA"/>
              </w:rPr>
              <w:t>o</w:t>
            </w:r>
            <w:r w:rsidRPr="00D147A7">
              <w:rPr>
                <w:rFonts w:eastAsia="Times New Roman"/>
                <w:kern w:val="0"/>
                <w:sz w:val="16"/>
                <w:szCs w:val="16"/>
                <w:lang w:eastAsia="nl-BE" w:bidi="ar-SA"/>
              </w:rPr>
              <w:t xml:space="preserve">nden </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Gegegevens van een beeldscherm lezen is lastig</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Gegevens kunnen op verschillende manieren (tekstueel, tabelvorm, grafieken) voorgesteld worden</w:t>
            </w:r>
            <w:r w:rsidR="006C7CDF" w:rsidRPr="00D147A7">
              <w:rPr>
                <w:rFonts w:eastAsia="Times New Roman"/>
                <w:color w:val="000000"/>
                <w:kern w:val="0"/>
                <w:sz w:val="16"/>
                <w:szCs w:val="16"/>
                <w:lang w:eastAsia="nl-BE" w:bidi="ar-SA"/>
              </w:rPr>
              <w:t>, wat het uitvoeren</w:t>
            </w:r>
            <w:r w:rsidRPr="00D147A7">
              <w:rPr>
                <w:rFonts w:eastAsia="Times New Roman"/>
                <w:color w:val="000000"/>
                <w:kern w:val="0"/>
                <w:sz w:val="16"/>
                <w:szCs w:val="16"/>
                <w:lang w:eastAsia="nl-BE" w:bidi="ar-SA"/>
              </w:rPr>
              <w:t xml:space="preserve"> </w:t>
            </w:r>
            <w:r w:rsidR="006C7CDF" w:rsidRPr="00D147A7">
              <w:rPr>
                <w:rFonts w:eastAsia="Times New Roman"/>
                <w:color w:val="000000"/>
                <w:kern w:val="0"/>
                <w:sz w:val="16"/>
                <w:szCs w:val="16"/>
                <w:lang w:eastAsia="nl-BE" w:bidi="ar-SA"/>
              </w:rPr>
              <w:t>van</w:t>
            </w:r>
            <w:r w:rsidRPr="00D147A7">
              <w:rPr>
                <w:rFonts w:eastAsia="Times New Roman"/>
                <w:color w:val="000000"/>
                <w:kern w:val="0"/>
                <w:sz w:val="16"/>
                <w:szCs w:val="16"/>
                <w:lang w:eastAsia="nl-BE" w:bidi="ar-SA"/>
              </w:rPr>
              <w:t xml:space="preserve"> kwaliteitscontroles, </w:t>
            </w:r>
            <w:r w:rsidR="006C7CDF" w:rsidRPr="00D147A7">
              <w:rPr>
                <w:rFonts w:eastAsia="Times New Roman"/>
                <w:color w:val="000000"/>
                <w:kern w:val="0"/>
                <w:sz w:val="16"/>
                <w:szCs w:val="16"/>
                <w:lang w:eastAsia="nl-BE" w:bidi="ar-SA"/>
              </w:rPr>
              <w:t xml:space="preserve">het genereren van </w:t>
            </w:r>
            <w:r w:rsidRPr="00D147A7">
              <w:rPr>
                <w:rFonts w:eastAsia="Times New Roman"/>
                <w:color w:val="000000"/>
                <w:kern w:val="0"/>
                <w:sz w:val="16"/>
                <w:szCs w:val="16"/>
                <w:lang w:eastAsia="nl-BE" w:bidi="ar-SA"/>
              </w:rPr>
              <w:t>statistieken,…</w:t>
            </w:r>
            <w:r w:rsidR="006C7CDF" w:rsidRPr="00D147A7">
              <w:rPr>
                <w:rFonts w:eastAsia="Times New Roman"/>
                <w:color w:val="000000"/>
                <w:kern w:val="0"/>
                <w:sz w:val="16"/>
                <w:szCs w:val="16"/>
                <w:lang w:eastAsia="nl-BE" w:bidi="ar-SA"/>
              </w:rPr>
              <w:t xml:space="preserve"> bevorderd</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Vele kleine fouten, 'bugs', 'klik'-handelingen leiden tot frustratie en ontevredenheid</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6C7CDF">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Administratieve ondersteuning</w:t>
            </w:r>
            <w:r w:rsidR="006C7CDF" w:rsidRPr="00D147A7">
              <w:rPr>
                <w:rFonts w:eastAsia="Times New Roman"/>
                <w:color w:val="000000"/>
                <w:kern w:val="0"/>
                <w:sz w:val="16"/>
                <w:szCs w:val="16"/>
                <w:lang w:eastAsia="nl-BE" w:bidi="ar-SA"/>
              </w:rPr>
              <w:t>:</w:t>
            </w:r>
            <w:r w:rsidRPr="00D147A7">
              <w:rPr>
                <w:rFonts w:eastAsia="Times New Roman"/>
                <w:color w:val="000000"/>
                <w:kern w:val="0"/>
                <w:sz w:val="16"/>
                <w:szCs w:val="16"/>
                <w:lang w:eastAsia="nl-BE" w:bidi="ar-SA"/>
              </w:rPr>
              <w:t xml:space="preserve"> eenvoudiger en efficiënter werken (makkelijker dubbels aanmaken,...)</w:t>
            </w:r>
          </w:p>
        </w:tc>
        <w:tc>
          <w:tcPr>
            <w:tcW w:w="453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Verhoogd risico om gegevens (al dan niet op grote schaal) ongecontroleerd te vernietigen en/of te vermenigvuldigen</w:t>
            </w: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Gegevens zijn gebruiksklaar voor wetenschappelijk onderzoek, kwaliteitsbewaking, management-doeleinden,…</w:t>
            </w:r>
          </w:p>
        </w:tc>
        <w:tc>
          <w:tcPr>
            <w:tcW w:w="4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22"/>
                <w:szCs w:val="22"/>
                <w:lang w:eastAsia="nl-BE" w:bidi="ar-SA"/>
              </w:rPr>
            </w:pPr>
          </w:p>
        </w:tc>
      </w:tr>
      <w:tr w:rsidR="009931C7" w:rsidRPr="00D147A7" w:rsidTr="004721B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9931C7">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Gegevens kunnen eenvoudig geanonimiseerd/gecodeerd worden voor wetenschappelijke doeleinden</w:t>
            </w:r>
          </w:p>
        </w:tc>
        <w:tc>
          <w:tcPr>
            <w:tcW w:w="4536" w:type="dxa"/>
            <w:vMerge/>
            <w:tcBorders>
              <w:top w:val="nil"/>
              <w:left w:val="single" w:sz="4" w:space="0" w:color="auto"/>
              <w:bottom w:val="single" w:sz="4" w:space="0" w:color="auto"/>
              <w:right w:val="single" w:sz="4" w:space="0" w:color="auto"/>
            </w:tcBorders>
            <w:vAlign w:val="center"/>
            <w:hideMark/>
          </w:tcPr>
          <w:p w:rsidR="009931C7" w:rsidRPr="00D147A7" w:rsidRDefault="009931C7" w:rsidP="009931C7">
            <w:pPr>
              <w:widowControl/>
              <w:suppressAutoHyphens w:val="0"/>
              <w:rPr>
                <w:rFonts w:eastAsia="Times New Roman"/>
                <w:color w:val="000000"/>
                <w:kern w:val="0"/>
                <w:sz w:val="22"/>
                <w:szCs w:val="22"/>
                <w:lang w:eastAsia="nl-BE" w:bidi="ar-SA"/>
              </w:rPr>
            </w:pPr>
          </w:p>
        </w:tc>
      </w:tr>
    </w:tbl>
    <w:p w:rsidR="009931C7" w:rsidRPr="00D147A7" w:rsidRDefault="009931C7" w:rsidP="009931C7">
      <w:pPr>
        <w:widowControl/>
        <w:suppressAutoHyphens w:val="0"/>
        <w:spacing w:line="240" w:lineRule="atLeast"/>
        <w:jc w:val="center"/>
        <w:rPr>
          <w:kern w:val="0"/>
          <w:lang w:val="nl-NL" w:eastAsia="en-US" w:bidi="ar-SA"/>
        </w:rPr>
      </w:pPr>
      <w:r w:rsidRPr="00D147A7">
        <w:rPr>
          <w:kern w:val="0"/>
          <w:lang w:val="nl-NL" w:eastAsia="en-US" w:bidi="ar-SA"/>
        </w:rPr>
        <w:fldChar w:fldCharType="end"/>
      </w:r>
      <w:r w:rsidRPr="00D147A7">
        <w:rPr>
          <w:kern w:val="0"/>
          <w:lang w:val="nl-NL" w:eastAsia="en-US" w:bidi="ar-SA"/>
        </w:rPr>
        <w:t>Tabel 1: Voor- en nadelen van elektronische patiëntendossiers</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In België is de digitale bewaring van patiëntendossiers wettelijk geoorloofd</w:t>
      </w:r>
      <w:r w:rsidRPr="00D147A7">
        <w:rPr>
          <w:kern w:val="0"/>
          <w:vertAlign w:val="superscript"/>
          <w:lang w:val="nl-NL" w:eastAsia="en-US" w:bidi="ar-SA"/>
        </w:rPr>
        <w:footnoteReference w:id="138"/>
      </w:r>
      <w:r w:rsidRPr="00D147A7">
        <w:rPr>
          <w:kern w:val="0"/>
          <w:lang w:val="nl-NL" w:eastAsia="en-US" w:bidi="ar-SA"/>
        </w:rPr>
        <w:t>, op voorwaarde dat de fundamentele deontologische regels in acht genomen worden en de nodige veiligheids</w:t>
      </w:r>
      <w:r w:rsidR="00E3749F" w:rsidRPr="00D147A7">
        <w:rPr>
          <w:kern w:val="0"/>
          <w:lang w:val="nl-NL" w:eastAsia="en-US" w:bidi="ar-SA"/>
        </w:rPr>
        <w:t>-</w:t>
      </w:r>
      <w:r w:rsidRPr="00D147A7">
        <w:rPr>
          <w:kern w:val="0"/>
          <w:lang w:val="nl-NL" w:eastAsia="en-US" w:bidi="ar-SA"/>
        </w:rPr>
        <w:t>maatregelen getroffen zijn. Dit wordt ook bepleit door de Nationale Raad van de Orde der geneesheren, de werkgroep Archieven van de Telematicacommissie en het Waals Agentschap voor Telecommunicatie.</w:t>
      </w:r>
      <w:r w:rsidRPr="00D147A7">
        <w:rPr>
          <w:kern w:val="0"/>
          <w:vertAlign w:val="superscript"/>
          <w:lang w:val="nl-NL" w:eastAsia="en-US" w:bidi="ar-SA"/>
        </w:rPr>
        <w:footnoteReference w:id="139"/>
      </w:r>
      <w:r w:rsidRPr="00D147A7">
        <w:rPr>
          <w:kern w:val="0"/>
          <w:lang w:val="nl-NL" w:eastAsia="en-US" w:bidi="ar-SA"/>
        </w:rPr>
        <w:t xml:space="preserve"> De Koning kan minimumcriteria bepalen waaraan de software voor het beheer van elektronische patiëntendossiers moet beantwoorden om door de Minister van Volksgezondheid te worden goedgekeurd, maar heeft vooralsnog geen gebruik gemaakt van deze bevoegdheid.</w:t>
      </w:r>
      <w:r w:rsidRPr="00D147A7">
        <w:rPr>
          <w:kern w:val="0"/>
          <w:vertAlign w:val="superscript"/>
          <w:lang w:val="nl-NL" w:eastAsia="en-US" w:bidi="ar-SA"/>
        </w:rPr>
        <w:footnoteReference w:id="140"/>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verantwoordelijke voor de verwerking (en dus ook voor de bewaring</w:t>
      </w:r>
      <w:r w:rsidRPr="00D147A7">
        <w:rPr>
          <w:kern w:val="0"/>
          <w:vertAlign w:val="superscript"/>
          <w:lang w:val="nl-NL" w:eastAsia="en-US" w:bidi="ar-SA"/>
        </w:rPr>
        <w:footnoteReference w:id="141"/>
      </w:r>
      <w:r w:rsidRPr="00D147A7">
        <w:rPr>
          <w:kern w:val="0"/>
          <w:lang w:val="nl-NL" w:eastAsia="en-US" w:bidi="ar-SA"/>
        </w:rPr>
        <w:t>) van het patiënten</w:t>
      </w:r>
      <w:r w:rsidR="0067765F" w:rsidRPr="00D147A7">
        <w:rPr>
          <w:kern w:val="0"/>
          <w:lang w:val="nl-NL" w:eastAsia="en-US" w:bidi="ar-SA"/>
        </w:rPr>
        <w:t>-</w:t>
      </w:r>
      <w:r w:rsidRPr="00D147A7">
        <w:rPr>
          <w:kern w:val="0"/>
          <w:lang w:val="nl-NL" w:eastAsia="en-US" w:bidi="ar-SA"/>
        </w:rPr>
        <w:t>dossier geniet het alleenrecht om de vorm van het patiëntendossier te kiezen.</w:t>
      </w:r>
      <w:r w:rsidRPr="00D147A7">
        <w:rPr>
          <w:kern w:val="0"/>
          <w:vertAlign w:val="superscript"/>
          <w:lang w:val="nl-NL" w:eastAsia="en-US" w:bidi="ar-SA"/>
        </w:rPr>
        <w:footnoteReference w:id="142"/>
      </w:r>
      <w:r w:rsidRPr="00D147A7">
        <w:rPr>
          <w:kern w:val="0"/>
          <w:lang w:val="nl-NL" w:eastAsia="en-US" w:bidi="ar-SA"/>
        </w:rPr>
        <w:t xml:space="preserve"> Patiënten mogen aan hun zorgverlener meedelen welke vorm zij prefereren, maar kunnen deze voorkeur geenszins opdringen. Het zou immers absurd zijn, mochten zorgverleners die niet over de gepaste technologische middelen, kennis en/of vaardigheden beschikken er door patiënten toe verplicht kunnen worden om voor hen een elektronisch patiëntendossier aan te maken, bij te houden en te bewaren. Patiënten zouden hier bovendien niet (of nauwelijks) mee gebaat zijn, aangezien de rechten die zij m.b.t. het patiëntendossier kunnen doen gelden –</w:t>
      </w:r>
      <w:r w:rsidR="0067765F" w:rsidRPr="00D147A7">
        <w:rPr>
          <w:kern w:val="0"/>
          <w:lang w:val="nl-NL" w:eastAsia="en-US" w:bidi="ar-SA"/>
        </w:rPr>
        <w:t xml:space="preserve"> </w:t>
      </w:r>
      <w:r w:rsidRPr="00D147A7">
        <w:rPr>
          <w:kern w:val="0"/>
          <w:lang w:val="nl-NL" w:eastAsia="en-US" w:bidi="ar-SA"/>
        </w:rPr>
        <w:t>zoals het recht op inzage, afschrift, toevoeging, etc. – onafhankelijk van de vorm zijn.</w:t>
      </w:r>
      <w:r w:rsidRPr="00D147A7">
        <w:rPr>
          <w:kern w:val="0"/>
          <w:vertAlign w:val="superscript"/>
          <w:lang w:val="nl-NL" w:eastAsia="en-US" w:bidi="ar-SA"/>
        </w:rPr>
        <w:footnoteReference w:id="143"/>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Enkel in zeldzame gevallen kent de Belgische wetgever expliciet dezelfde bewijswaarde toe aan digitale en papieren documenten. Patiëntendossiers zijn één van deze uitzonderingen.</w:t>
      </w:r>
      <w:r w:rsidRPr="00D147A7">
        <w:rPr>
          <w:kern w:val="0"/>
          <w:vertAlign w:val="superscript"/>
          <w:lang w:val="nl-NL" w:eastAsia="en-US" w:bidi="ar-SA"/>
        </w:rPr>
        <w:footnoteReference w:id="144"/>
      </w:r>
      <w:r w:rsidRPr="00D147A7">
        <w:rPr>
          <w:kern w:val="0"/>
          <w:lang w:val="nl-NL" w:eastAsia="en-US" w:bidi="ar-SA"/>
        </w:rPr>
        <w:t xml:space="preserve"> Toch zijn er geen wettelijke voorwaarden voorzien waaraan elektronische gegevens moeten voldoen om als volwaardig bewijs te worden aanvaard. Hiervoor wordt veelal teruggegrepen naar de algemene regeling uit het burgerlijk wetboek</w:t>
      </w:r>
      <w:r w:rsidRPr="00D147A7">
        <w:rPr>
          <w:kern w:val="0"/>
          <w:vertAlign w:val="superscript"/>
          <w:lang w:val="nl-NL" w:eastAsia="en-US" w:bidi="ar-SA"/>
        </w:rPr>
        <w:footnoteReference w:id="145"/>
      </w:r>
      <w:r w:rsidRPr="00D147A7">
        <w:rPr>
          <w:kern w:val="0"/>
          <w:lang w:val="nl-NL" w:eastAsia="en-US" w:bidi="ar-SA"/>
        </w:rPr>
        <w:t xml:space="preserve"> en naar de wettelijke bepalingen m.b.t. de elektronische handtekening.</w:t>
      </w:r>
      <w:r w:rsidRPr="00D147A7">
        <w:rPr>
          <w:kern w:val="0"/>
          <w:vertAlign w:val="superscript"/>
          <w:lang w:val="nl-NL" w:eastAsia="en-US" w:bidi="ar-SA"/>
        </w:rPr>
        <w:footnoteReference w:id="146"/>
      </w:r>
      <w:r w:rsidRPr="00D147A7">
        <w:rPr>
          <w:kern w:val="0"/>
          <w:lang w:val="nl-NL" w:eastAsia="en-US" w:bidi="ar-SA"/>
        </w:rPr>
        <w:t xml:space="preserve"> De juridische (bewijs)waarde van documenten hing lange tijd af van de oorspronkelijkheid van de gegevensdrager. Het Belgisch bewijsrecht is immers een gesloten, hiërarchisch systeem waarin aan ondertekende papieren documenten nog steeds het meeste bewijskracht wordt toegekend. Door middel van een klassieke handtekening wordt immers de auteur van het document geïdentificeerd, de integriteit van het </w:t>
      </w:r>
      <w:r w:rsidRPr="00D147A7">
        <w:rPr>
          <w:kern w:val="0"/>
          <w:lang w:val="nl-NL" w:eastAsia="en-US" w:bidi="ar-SA"/>
        </w:rPr>
        <w:lastRenderedPageBreak/>
        <w:t>document gegarandeerd en de goedkeuring van de inhoud door de auteur verzekerd.</w:t>
      </w:r>
      <w:r w:rsidRPr="00D147A7">
        <w:rPr>
          <w:kern w:val="0"/>
          <w:vertAlign w:val="superscript"/>
          <w:lang w:val="nl-NL" w:eastAsia="en-US" w:bidi="ar-SA"/>
        </w:rPr>
        <w:footnoteReference w:id="147"/>
      </w:r>
      <w:r w:rsidRPr="00D147A7">
        <w:rPr>
          <w:kern w:val="0"/>
          <w:lang w:val="nl-NL" w:eastAsia="en-US" w:bidi="ar-SA"/>
        </w:rPr>
        <w:t xml:space="preserve"> Omdat deze drie functies niet steeds gegarandeerd blijven tijdens de digitalisatie word</w:t>
      </w:r>
      <w:r w:rsidR="0067765F" w:rsidRPr="00D147A7">
        <w:rPr>
          <w:kern w:val="0"/>
          <w:lang w:val="nl-NL" w:eastAsia="en-US" w:bidi="ar-SA"/>
        </w:rPr>
        <w:t>t aan</w:t>
      </w:r>
      <w:r w:rsidRPr="00D147A7">
        <w:rPr>
          <w:kern w:val="0"/>
          <w:lang w:val="nl-NL" w:eastAsia="en-US" w:bidi="ar-SA"/>
        </w:rPr>
        <w:t xml:space="preserve"> digitale kopieën doorgaans niet </w:t>
      </w:r>
      <w:r w:rsidR="0067765F" w:rsidRPr="00D147A7">
        <w:rPr>
          <w:kern w:val="0"/>
          <w:lang w:val="nl-NL" w:eastAsia="en-US" w:bidi="ar-SA"/>
        </w:rPr>
        <w:t xml:space="preserve">dezelfde bewijswaarde toegekend </w:t>
      </w:r>
      <w:r w:rsidRPr="00D147A7">
        <w:rPr>
          <w:kern w:val="0"/>
          <w:lang w:val="nl-NL" w:eastAsia="en-US" w:bidi="ar-SA"/>
        </w:rPr>
        <w:t xml:space="preserve">als </w:t>
      </w:r>
      <w:r w:rsidR="0067765F" w:rsidRPr="00D147A7">
        <w:rPr>
          <w:kern w:val="0"/>
          <w:lang w:val="nl-NL" w:eastAsia="en-US" w:bidi="ar-SA"/>
        </w:rPr>
        <w:t xml:space="preserve">aan de </w:t>
      </w:r>
      <w:r w:rsidRPr="00D147A7">
        <w:rPr>
          <w:kern w:val="0"/>
          <w:lang w:val="nl-NL" w:eastAsia="en-US" w:bidi="ar-SA"/>
        </w:rPr>
        <w:t>originele documenten</w:t>
      </w:r>
      <w:r w:rsidRPr="00D147A7">
        <w:rPr>
          <w:kern w:val="0"/>
          <w:vertAlign w:val="superscript"/>
          <w:lang w:val="nl-NL" w:eastAsia="en-US" w:bidi="ar-SA"/>
        </w:rPr>
        <w:footnoteReference w:id="148"/>
      </w:r>
      <w:r w:rsidRPr="00D147A7">
        <w:rPr>
          <w:kern w:val="0"/>
          <w:lang w:val="nl-NL" w:eastAsia="en-US" w:bidi="ar-SA"/>
        </w:rPr>
        <w:t>, tenzij de authenticiteit en integriteit – m.a.w. de context van de archiefbescheiden – doorheen het digitalisatieproces bewaard blijven.</w:t>
      </w:r>
      <w:r w:rsidRPr="00D147A7">
        <w:rPr>
          <w:kern w:val="0"/>
          <w:vertAlign w:val="superscript"/>
          <w:lang w:val="nl-NL" w:eastAsia="en-US" w:bidi="ar-SA"/>
        </w:rPr>
        <w:footnoteReference w:id="149"/>
      </w:r>
      <w:r w:rsidRPr="00D147A7">
        <w:rPr>
          <w:kern w:val="0"/>
          <w:lang w:val="nl-NL" w:eastAsia="en-US" w:bidi="ar-SA"/>
        </w:rPr>
        <w:t xml:space="preserve"> Als dat niet (met zekerheid) het geval is, moet het papieren origineel naast de digitale kopie bewaard worden om </w:t>
      </w:r>
      <w:r w:rsidR="0067765F" w:rsidRPr="00D147A7">
        <w:rPr>
          <w:kern w:val="0"/>
          <w:lang w:val="nl-NL" w:eastAsia="en-US" w:bidi="ar-SA"/>
        </w:rPr>
        <w:t>over</w:t>
      </w:r>
      <w:r w:rsidRPr="00D147A7">
        <w:rPr>
          <w:kern w:val="0"/>
          <w:lang w:val="nl-NL" w:eastAsia="en-US" w:bidi="ar-SA"/>
        </w:rPr>
        <w:t xml:space="preserve"> volwaardig bewijsmiddel te </w:t>
      </w:r>
      <w:r w:rsidR="0067765F" w:rsidRPr="00D147A7">
        <w:rPr>
          <w:kern w:val="0"/>
          <w:lang w:val="nl-NL" w:eastAsia="en-US" w:bidi="ar-SA"/>
        </w:rPr>
        <w:t>beschikken</w:t>
      </w:r>
      <w:r w:rsidRPr="00D147A7">
        <w:rPr>
          <w:kern w:val="0"/>
          <w:lang w:val="nl-NL" w:eastAsia="en-US" w:bidi="ar-SA"/>
        </w:rPr>
        <w:t>.</w:t>
      </w:r>
      <w:r w:rsidRPr="00D147A7">
        <w:rPr>
          <w:kern w:val="0"/>
          <w:vertAlign w:val="superscript"/>
          <w:lang w:val="nl-NL" w:eastAsia="en-US" w:bidi="ar-SA"/>
        </w:rPr>
        <w:footnoteReference w:id="150"/>
      </w:r>
      <w:r w:rsidRPr="00D147A7">
        <w:rPr>
          <w:kern w:val="0"/>
          <w:lang w:val="nl-NL" w:eastAsia="en-US" w:bidi="ar-SA"/>
        </w:rPr>
        <w:t xml:space="preserve"> Dit lijkt ook voor patiëntendossiers de meest aangewezen praktijk daar de weergave van gegevens op papier of op elke andere leesbare drager bewijskracht hebben, </w:t>
      </w:r>
      <w:r w:rsidRPr="00D147A7">
        <w:rPr>
          <w:i/>
          <w:kern w:val="0"/>
          <w:lang w:val="nl-NL" w:eastAsia="en-US" w:bidi="ar-SA"/>
        </w:rPr>
        <w:t>behoudens het bewijs van het tegendeel</w:t>
      </w:r>
      <w:r w:rsidRPr="00D147A7">
        <w:rPr>
          <w:kern w:val="0"/>
          <w:lang w:val="nl-NL" w:eastAsia="en-US" w:bidi="ar-SA"/>
        </w:rPr>
        <w:t>.</w:t>
      </w:r>
      <w:r w:rsidRPr="00D147A7">
        <w:rPr>
          <w:kern w:val="0"/>
          <w:vertAlign w:val="superscript"/>
          <w:lang w:val="nl-NL" w:eastAsia="en-US" w:bidi="ar-SA"/>
        </w:rPr>
        <w:footnoteReference w:id="151"/>
      </w:r>
      <w:r w:rsidRPr="00D147A7">
        <w:rPr>
          <w:kern w:val="0"/>
          <w:lang w:val="nl-NL" w:eastAsia="en-US" w:bidi="ar-SA"/>
        </w:rPr>
        <w:t xml:space="preserve"> Als de originelen na digitalisatie vernietigd worden, kan het tegendeel niet meer bewezen</w:t>
      </w:r>
      <w:r w:rsidR="0067765F" w:rsidRPr="00D147A7">
        <w:rPr>
          <w:kern w:val="0"/>
          <w:lang w:val="nl-NL" w:eastAsia="en-US" w:bidi="ar-SA"/>
        </w:rPr>
        <w:t xml:space="preserve"> worden</w:t>
      </w:r>
      <w:r w:rsidRPr="00D147A7">
        <w:rPr>
          <w:kern w:val="0"/>
          <w:lang w:val="nl-NL" w:eastAsia="en-US" w:bidi="ar-SA"/>
        </w:rPr>
        <w:t>. Daarom doen zorgverleners en ziekenhuizen er verstandig aan om de originele patiëntendossiers enkele jaren na het substitutie-proces bij te houden.</w:t>
      </w:r>
      <w:r w:rsidRPr="00D147A7">
        <w:rPr>
          <w:kern w:val="0"/>
          <w:vertAlign w:val="superscript"/>
          <w:lang w:val="nl-NL" w:eastAsia="en-US" w:bidi="ar-SA"/>
        </w:rPr>
        <w:footnoteReference w:id="152"/>
      </w:r>
    </w:p>
    <w:p w:rsidR="009931C7" w:rsidRPr="00D147A7" w:rsidRDefault="009931C7" w:rsidP="009931C7">
      <w:pPr>
        <w:widowControl/>
        <w:suppressAutoHyphens w:val="0"/>
        <w:spacing w:line="240" w:lineRule="atLeast"/>
        <w:jc w:val="both"/>
        <w:rPr>
          <w:smallCaps/>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4: Typologie</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Ten gevolge van de verscheidenheid aan aandoeningen en pathologieën bestaan er vele categorieën patiëntendossiers. Thierry Vansweevelt en Filip Dewallens onderscheiden de volgende soorten patiëntendossiers</w:t>
      </w:r>
      <w:r w:rsidRPr="00D147A7">
        <w:rPr>
          <w:kern w:val="0"/>
          <w:vertAlign w:val="superscript"/>
          <w:lang w:val="nl-NL" w:eastAsia="en-US" w:bidi="ar-SA"/>
        </w:rPr>
        <w:footnoteReference w:id="153"/>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medisch dossier in ziekenhuisverband</w:t>
      </w:r>
      <w:r w:rsidRPr="00D147A7">
        <w:rPr>
          <w:kern w:val="0"/>
          <w:vertAlign w:val="superscript"/>
          <w:lang w:val="nl-NL" w:eastAsia="en-US" w:bidi="ar-SA"/>
        </w:rPr>
        <w:footnoteReference w:id="154"/>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verpleegkundig dossier in ziekenhuisverband</w:t>
      </w:r>
      <w:r w:rsidRPr="00D147A7">
        <w:rPr>
          <w:kern w:val="0"/>
          <w:vertAlign w:val="superscript"/>
          <w:lang w:val="nl-NL" w:eastAsia="en-US" w:bidi="ar-SA"/>
        </w:rPr>
        <w:footnoteReference w:id="155"/>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medisch dossier buiten ziekenhuisverband</w:t>
      </w:r>
      <w:r w:rsidRPr="00D147A7">
        <w:rPr>
          <w:kern w:val="0"/>
          <w:vertAlign w:val="superscript"/>
          <w:lang w:val="nl-NL" w:eastAsia="en-US" w:bidi="ar-SA"/>
        </w:rPr>
        <w:footnoteReference w:id="156"/>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verpleegkundig dossier buiten ziekenhuisverband</w:t>
      </w:r>
      <w:r w:rsidRPr="00D147A7">
        <w:rPr>
          <w:kern w:val="0"/>
          <w:vertAlign w:val="superscript"/>
          <w:lang w:val="nl-NL" w:eastAsia="en-US" w:bidi="ar-SA"/>
        </w:rPr>
        <w:footnoteReference w:id="157"/>
      </w:r>
      <w:r w:rsidRPr="00D147A7">
        <w:rPr>
          <w:kern w:val="0"/>
          <w:lang w:val="nl-NL" w:eastAsia="en-US" w:bidi="ar-SA"/>
        </w:rPr>
        <w:t xml:space="preserve"> en het gebruikersdossier thuis</w:t>
      </w:r>
      <w:r w:rsidR="00EB5E36">
        <w:rPr>
          <w:kern w:val="0"/>
          <w:lang w:val="nl-NL" w:eastAsia="en-US" w:bidi="ar-SA"/>
        </w:rPr>
        <w:t>-</w:t>
      </w:r>
      <w:r w:rsidRPr="00D147A7">
        <w:rPr>
          <w:kern w:val="0"/>
          <w:lang w:val="nl-NL" w:eastAsia="en-US" w:bidi="ar-SA"/>
        </w:rPr>
        <w:t>verpleging</w:t>
      </w:r>
      <w:r w:rsidRPr="00D147A7">
        <w:rPr>
          <w:kern w:val="0"/>
          <w:vertAlign w:val="superscript"/>
          <w:lang w:val="nl-NL" w:eastAsia="en-US" w:bidi="ar-SA"/>
        </w:rPr>
        <w:footnoteReference w:id="158"/>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 xml:space="preserve">het </w:t>
      </w:r>
      <w:r w:rsidR="00E55649" w:rsidRPr="00D147A7">
        <w:rPr>
          <w:kern w:val="0"/>
          <w:lang w:val="nl-NL" w:eastAsia="en-US" w:bidi="ar-SA"/>
        </w:rPr>
        <w:t>A</w:t>
      </w:r>
      <w:r w:rsidRPr="00D147A7">
        <w:rPr>
          <w:kern w:val="0"/>
          <w:lang w:val="nl-NL" w:eastAsia="en-US" w:bidi="ar-SA"/>
        </w:rPr>
        <w:t xml:space="preserve">lgemeen (of </w:t>
      </w:r>
      <w:r w:rsidR="00E55649" w:rsidRPr="00D147A7">
        <w:rPr>
          <w:kern w:val="0"/>
          <w:lang w:val="nl-NL" w:eastAsia="en-US" w:bidi="ar-SA"/>
        </w:rPr>
        <w:t>G</w:t>
      </w:r>
      <w:r w:rsidRPr="00D147A7">
        <w:rPr>
          <w:kern w:val="0"/>
          <w:lang w:val="nl-NL" w:eastAsia="en-US" w:bidi="ar-SA"/>
        </w:rPr>
        <w:t xml:space="preserve">lobaal)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ossier</w:t>
      </w:r>
      <w:r w:rsidRPr="00D147A7">
        <w:rPr>
          <w:kern w:val="0"/>
          <w:vertAlign w:val="superscript"/>
          <w:lang w:val="nl-NL" w:eastAsia="en-US" w:bidi="ar-SA"/>
        </w:rPr>
        <w:footnoteReference w:id="159"/>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 xml:space="preserve">het individueel administratief </w:t>
      </w:r>
      <w:r w:rsidR="00E55649" w:rsidRPr="00D147A7">
        <w:rPr>
          <w:kern w:val="0"/>
          <w:lang w:val="nl-NL" w:eastAsia="en-US" w:bidi="ar-SA"/>
        </w:rPr>
        <w:t xml:space="preserve">dossier </w:t>
      </w:r>
      <w:r w:rsidRPr="00D147A7">
        <w:rPr>
          <w:kern w:val="0"/>
          <w:lang w:val="nl-NL" w:eastAsia="en-US" w:bidi="ar-SA"/>
        </w:rPr>
        <w:t xml:space="preserve">en </w:t>
      </w:r>
      <w:r w:rsidR="00E55649" w:rsidRPr="00D147A7">
        <w:rPr>
          <w:kern w:val="0"/>
          <w:lang w:val="nl-NL" w:eastAsia="en-US" w:bidi="ar-SA"/>
        </w:rPr>
        <w:t xml:space="preserve">het </w:t>
      </w:r>
      <w:r w:rsidRPr="00D147A7">
        <w:rPr>
          <w:kern w:val="0"/>
          <w:lang w:val="nl-NL" w:eastAsia="en-US" w:bidi="ar-SA"/>
        </w:rPr>
        <w:t>verzorgingsdossier in een rust- en verzor</w:t>
      </w:r>
      <w:r w:rsidR="00E55649" w:rsidRPr="00D147A7">
        <w:rPr>
          <w:kern w:val="0"/>
          <w:lang w:val="nl-NL" w:eastAsia="en-US" w:bidi="ar-SA"/>
        </w:rPr>
        <w:t>-</w:t>
      </w:r>
      <w:r w:rsidRPr="00D147A7">
        <w:rPr>
          <w:kern w:val="0"/>
          <w:lang w:val="nl-NL" w:eastAsia="en-US" w:bidi="ar-SA"/>
        </w:rPr>
        <w:t>gingstehuis en het geïndividualiseerde zorg- en begeleidingsplan in het woonzorg</w:t>
      </w:r>
      <w:r w:rsidR="00E55649" w:rsidRPr="00D147A7">
        <w:rPr>
          <w:kern w:val="0"/>
          <w:lang w:val="nl-NL" w:eastAsia="en-US" w:bidi="ar-SA"/>
        </w:rPr>
        <w:t>-</w:t>
      </w:r>
      <w:r w:rsidRPr="00D147A7">
        <w:rPr>
          <w:kern w:val="0"/>
          <w:lang w:val="nl-NL" w:eastAsia="en-US" w:bidi="ar-SA"/>
        </w:rPr>
        <w:t>centrum</w:t>
      </w:r>
      <w:r w:rsidRPr="00D147A7">
        <w:rPr>
          <w:kern w:val="0"/>
          <w:vertAlign w:val="superscript"/>
          <w:lang w:val="nl-NL" w:eastAsia="en-US" w:bidi="ar-SA"/>
        </w:rPr>
        <w:footnoteReference w:id="160"/>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lastRenderedPageBreak/>
        <w:t>het gebruikersdossier in een centrum voor herstelverblijf</w:t>
      </w:r>
      <w:r w:rsidRPr="00D147A7">
        <w:rPr>
          <w:kern w:val="0"/>
          <w:vertAlign w:val="superscript"/>
          <w:lang w:val="nl-NL" w:eastAsia="en-US" w:bidi="ar-SA"/>
        </w:rPr>
        <w:footnoteReference w:id="161"/>
      </w:r>
      <w:r w:rsidRPr="00D147A7">
        <w:rPr>
          <w:kern w:val="0"/>
          <w:lang w:val="nl-NL" w:eastAsia="en-US" w:bidi="ar-SA"/>
        </w:rPr>
        <w:t xml:space="preserve">; </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tandheelkundig dossier</w:t>
      </w:r>
      <w:r w:rsidRPr="00D147A7">
        <w:rPr>
          <w:kern w:val="0"/>
          <w:vertAlign w:val="superscript"/>
          <w:lang w:val="nl-NL" w:eastAsia="en-US" w:bidi="ar-SA"/>
        </w:rPr>
        <w:footnoteReference w:id="162"/>
      </w:r>
      <w:r w:rsidRPr="00D147A7">
        <w:rPr>
          <w:kern w:val="0"/>
          <w:lang w:val="nl-NL" w:eastAsia="en-US" w:bidi="ar-SA"/>
        </w:rPr>
        <w:t xml:space="preserve">; </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farmaceutisch dossier</w:t>
      </w:r>
      <w:r w:rsidRPr="00D147A7">
        <w:rPr>
          <w:kern w:val="0"/>
          <w:vertAlign w:val="superscript"/>
          <w:lang w:val="nl-NL" w:eastAsia="en-US" w:bidi="ar-SA"/>
        </w:rPr>
        <w:footnoteReference w:id="163"/>
      </w:r>
      <w:r w:rsidRPr="00D147A7">
        <w:rPr>
          <w:kern w:val="0"/>
          <w:lang w:val="nl-NL" w:eastAsia="en-US" w:bidi="ar-SA"/>
        </w:rPr>
        <w:t xml:space="preserve"> en het dossier van de voortgezette farmaceutische zorg</w:t>
      </w:r>
      <w:r w:rsidRPr="00D147A7">
        <w:rPr>
          <w:kern w:val="0"/>
          <w:vertAlign w:val="superscript"/>
          <w:lang w:val="nl-NL" w:eastAsia="en-US" w:bidi="ar-SA"/>
        </w:rPr>
        <w:footnoteReference w:id="164"/>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kinesitherapeutisch dossier</w:t>
      </w:r>
      <w:r w:rsidRPr="00D147A7">
        <w:rPr>
          <w:kern w:val="0"/>
          <w:vertAlign w:val="superscript"/>
          <w:lang w:val="nl-NL" w:eastAsia="en-US" w:bidi="ar-SA"/>
        </w:rPr>
        <w:footnoteReference w:id="165"/>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verloskundig- of zwangerschapsdossier</w:t>
      </w:r>
      <w:r w:rsidRPr="00D147A7">
        <w:rPr>
          <w:kern w:val="0"/>
          <w:vertAlign w:val="superscript"/>
          <w:lang w:val="nl-NL" w:eastAsia="en-US" w:bidi="ar-SA"/>
        </w:rPr>
        <w:footnoteReference w:id="166"/>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voedingsdossier</w:t>
      </w:r>
      <w:r w:rsidRPr="00D147A7">
        <w:rPr>
          <w:kern w:val="0"/>
          <w:vertAlign w:val="superscript"/>
          <w:lang w:val="nl-NL" w:eastAsia="en-US" w:bidi="ar-SA"/>
        </w:rPr>
        <w:footnoteReference w:id="167"/>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voetverzorgingsdossier</w:t>
      </w:r>
      <w:r w:rsidRPr="00D147A7">
        <w:rPr>
          <w:kern w:val="0"/>
          <w:vertAlign w:val="superscript"/>
          <w:lang w:val="nl-NL" w:eastAsia="en-US" w:bidi="ar-SA"/>
        </w:rPr>
        <w:footnoteReference w:id="168"/>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individuele gezondheidsdossier (GIS-dossier)</w:t>
      </w:r>
      <w:r w:rsidRPr="00D147A7">
        <w:rPr>
          <w:kern w:val="0"/>
          <w:vertAlign w:val="superscript"/>
          <w:lang w:val="nl-NL" w:eastAsia="en-US" w:bidi="ar-SA"/>
        </w:rPr>
        <w:footnoteReference w:id="169"/>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gezondheidsdossier voor bepaalde werknemers</w:t>
      </w:r>
      <w:r w:rsidRPr="00D147A7">
        <w:rPr>
          <w:kern w:val="0"/>
          <w:vertAlign w:val="superscript"/>
          <w:lang w:val="nl-NL" w:eastAsia="en-US" w:bidi="ar-SA"/>
        </w:rPr>
        <w:footnoteReference w:id="170"/>
      </w:r>
      <w:r w:rsidRPr="00D147A7">
        <w:rPr>
          <w:kern w:val="0"/>
          <w:lang w:val="nl-NL" w:eastAsia="en-US" w:bidi="ar-SA"/>
        </w:rPr>
        <w:t xml:space="preserve">; </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dossier binnen de integrale jeugdhulp</w:t>
      </w:r>
      <w:r w:rsidRPr="00D147A7">
        <w:rPr>
          <w:kern w:val="0"/>
          <w:vertAlign w:val="superscript"/>
          <w:lang w:val="nl-NL" w:eastAsia="en-US" w:bidi="ar-SA"/>
        </w:rPr>
        <w:footnoteReference w:id="171"/>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multidisciplinair leerlingendossier (of het persoonlijk medisch dossier voor bepaal</w:t>
      </w:r>
      <w:r w:rsidR="00E55649" w:rsidRPr="00D147A7">
        <w:rPr>
          <w:kern w:val="0"/>
          <w:lang w:val="nl-NL" w:eastAsia="en-US" w:bidi="ar-SA"/>
        </w:rPr>
        <w:t>-</w:t>
      </w:r>
      <w:r w:rsidRPr="00D147A7">
        <w:rPr>
          <w:kern w:val="0"/>
          <w:lang w:val="nl-NL" w:eastAsia="en-US" w:bidi="ar-SA"/>
        </w:rPr>
        <w:t>de leerlingen)</w:t>
      </w:r>
      <w:r w:rsidRPr="00D147A7">
        <w:rPr>
          <w:kern w:val="0"/>
          <w:vertAlign w:val="superscript"/>
          <w:lang w:val="nl-NL" w:eastAsia="en-US" w:bidi="ar-SA"/>
        </w:rPr>
        <w:footnoteReference w:id="172"/>
      </w:r>
      <w:r w:rsidRPr="00D147A7">
        <w:rPr>
          <w:kern w:val="0"/>
          <w:lang w:val="nl-NL" w:eastAsia="en-US" w:bidi="ar-SA"/>
        </w:rPr>
        <w:t xml:space="preserve">; </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donordossier (of wegnemingsrapport)</w:t>
      </w:r>
      <w:r w:rsidRPr="00D147A7">
        <w:rPr>
          <w:kern w:val="0"/>
          <w:vertAlign w:val="superscript"/>
          <w:lang w:val="nl-NL" w:eastAsia="en-US" w:bidi="ar-SA"/>
        </w:rPr>
        <w:footnoteReference w:id="173"/>
      </w:r>
      <w:r w:rsidRPr="00D147A7">
        <w:rPr>
          <w:kern w:val="0"/>
          <w:lang w:val="nl-NL" w:eastAsia="en-US" w:bidi="ar-SA"/>
        </w:rPr>
        <w:t>;</w:t>
      </w:r>
    </w:p>
    <w:p w:rsidR="009931C7" w:rsidRPr="00D147A7" w:rsidRDefault="009931C7" w:rsidP="009931C7">
      <w:pPr>
        <w:widowControl/>
        <w:numPr>
          <w:ilvl w:val="0"/>
          <w:numId w:val="9"/>
        </w:numPr>
        <w:suppressAutoHyphens w:val="0"/>
        <w:spacing w:line="240" w:lineRule="atLeast"/>
        <w:jc w:val="both"/>
        <w:rPr>
          <w:kern w:val="0"/>
          <w:lang w:val="nl-NL" w:eastAsia="en-US" w:bidi="ar-SA"/>
        </w:rPr>
      </w:pPr>
      <w:r w:rsidRPr="00D147A7">
        <w:rPr>
          <w:kern w:val="0"/>
          <w:lang w:val="nl-NL" w:eastAsia="en-US" w:bidi="ar-SA"/>
        </w:rPr>
        <w:t>het patiëntendossier palliatieve zorg.</w:t>
      </w:r>
      <w:r w:rsidRPr="00D147A7">
        <w:rPr>
          <w:kern w:val="0"/>
          <w:vertAlign w:val="superscript"/>
          <w:lang w:val="nl-NL" w:eastAsia="en-US" w:bidi="ar-SA"/>
        </w:rPr>
        <w:footnoteReference w:id="174"/>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Hoewel psychiatrische patiëntendossiers onder het regime van het medisch dossier in ziekenhuisverband ressorteren, dient hun bestaan apart te worden vermeld.</w:t>
      </w:r>
      <w:r w:rsidRPr="00D147A7">
        <w:rPr>
          <w:kern w:val="0"/>
          <w:vertAlign w:val="superscript"/>
          <w:lang w:val="nl-NL" w:eastAsia="en-US" w:bidi="ar-SA"/>
        </w:rPr>
        <w:footnoteReference w:id="175"/>
      </w:r>
      <w:r w:rsidRPr="00D147A7">
        <w:rPr>
          <w:kern w:val="0"/>
          <w:lang w:val="nl-NL" w:eastAsia="en-US" w:bidi="ar-SA"/>
        </w:rPr>
        <w:t xml:space="preserve"> Ook de dossiers van minderjarige patiënten zijn een buitenbeentje.</w:t>
      </w:r>
      <w:r w:rsidRPr="00D147A7">
        <w:rPr>
          <w:kern w:val="0"/>
          <w:vertAlign w:val="superscript"/>
          <w:lang w:val="nl-NL" w:eastAsia="en-US" w:bidi="ar-SA"/>
        </w:rPr>
        <w:footnoteReference w:id="176"/>
      </w:r>
      <w:r w:rsidRPr="00D147A7">
        <w:rPr>
          <w:kern w:val="0"/>
          <w:lang w:val="nl-NL" w:eastAsia="en-US" w:bidi="ar-SA"/>
        </w:rPr>
        <w:t xml:space="preserve"> Verder hebben ook specifieke gezond</w:t>
      </w:r>
      <w:r w:rsidR="00E55649" w:rsidRPr="00D147A7">
        <w:rPr>
          <w:kern w:val="0"/>
          <w:lang w:val="nl-NL" w:eastAsia="en-US" w:bidi="ar-SA"/>
        </w:rPr>
        <w:t>-</w:t>
      </w:r>
      <w:r w:rsidRPr="00D147A7">
        <w:rPr>
          <w:kern w:val="0"/>
          <w:lang w:val="nl-NL" w:eastAsia="en-US" w:bidi="ar-SA"/>
        </w:rPr>
        <w:t>heidsgegevens – zoals deze met betrekking tot genetische aandoeningen, chronische ziektes en oncologische aandoeningen – een bijzondere karakter.</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In het bestek van deze verhandeling kunnen niet al deze patiëntendossiers in beschouwing genomen worden. Ik zal mij beperken tot de analyse van het medisch en het verpleegkundig dossier – samen het patiëntendossier – in ziekenhuizen, het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ossier in huisartspraktijken en het individueel verzorgingsdossier in rust- en verzorgings</w:t>
      </w:r>
      <w:r w:rsidR="00E55649" w:rsidRPr="00D147A7">
        <w:rPr>
          <w:kern w:val="0"/>
          <w:lang w:val="nl-NL" w:eastAsia="en-US" w:bidi="ar-SA"/>
        </w:rPr>
        <w:t>tehuizen</w:t>
      </w:r>
      <w:r w:rsidRPr="00D147A7">
        <w:rPr>
          <w:kern w:val="0"/>
          <w:lang w:val="nl-NL" w:eastAsia="en-US" w:bidi="ar-SA"/>
        </w:rPr>
        <w:t xml:space="preserve">. Deze dossiers werden hierboven reeds uitgebreid beschreven. Toch moeten nog enkele zaken </w:t>
      </w:r>
      <w:r w:rsidR="00E55649" w:rsidRPr="00D147A7">
        <w:rPr>
          <w:kern w:val="0"/>
          <w:lang w:val="nl-NL" w:eastAsia="en-US" w:bidi="ar-SA"/>
        </w:rPr>
        <w:t>ver</w:t>
      </w:r>
      <w:r w:rsidR="00EB5E36">
        <w:rPr>
          <w:kern w:val="0"/>
          <w:lang w:val="nl-NL" w:eastAsia="en-US" w:bidi="ar-SA"/>
        </w:rPr>
        <w:t>-</w:t>
      </w:r>
      <w:r w:rsidR="00E55649" w:rsidRPr="00D147A7">
        <w:rPr>
          <w:kern w:val="0"/>
          <w:lang w:val="nl-NL" w:eastAsia="en-US" w:bidi="ar-SA"/>
        </w:rPr>
        <w:t xml:space="preserve">der </w:t>
      </w:r>
      <w:r w:rsidRPr="00D147A7">
        <w:rPr>
          <w:kern w:val="0"/>
          <w:lang w:val="nl-NL" w:eastAsia="en-US" w:bidi="ar-SA"/>
        </w:rPr>
        <w:t>worden uitgeklaard.</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EB5E36" w:rsidP="009931C7">
      <w:pPr>
        <w:widowControl/>
        <w:suppressAutoHyphens w:val="0"/>
        <w:spacing w:line="240" w:lineRule="atLeast"/>
        <w:jc w:val="both"/>
        <w:rPr>
          <w:kern w:val="0"/>
          <w:lang w:val="nl-NL" w:eastAsia="en-US" w:bidi="ar-SA"/>
        </w:rPr>
      </w:pPr>
      <w:r>
        <w:rPr>
          <w:kern w:val="0"/>
          <w:lang w:val="nl-NL" w:eastAsia="en-US" w:bidi="ar-SA"/>
        </w:rPr>
        <w:t>Ten eerste moeten z</w:t>
      </w:r>
      <w:r w:rsidR="009931C7" w:rsidRPr="00D147A7">
        <w:rPr>
          <w:kern w:val="0"/>
          <w:lang w:val="nl-NL" w:eastAsia="en-US" w:bidi="ar-SA"/>
        </w:rPr>
        <w:t>iekenhuizen een bijkomende keuze maken. Ofwel worden alle gezond</w:t>
      </w:r>
      <w:r>
        <w:rPr>
          <w:kern w:val="0"/>
          <w:lang w:val="nl-NL" w:eastAsia="en-US" w:bidi="ar-SA"/>
        </w:rPr>
        <w:t>-</w:t>
      </w:r>
      <w:r w:rsidR="009931C7" w:rsidRPr="00D147A7">
        <w:rPr>
          <w:kern w:val="0"/>
          <w:lang w:val="nl-NL" w:eastAsia="en-US" w:bidi="ar-SA"/>
        </w:rPr>
        <w:t>heidsgegevens van één patiënt in een uniek patiëntendossier verzameld, ofwel wordt per dienst of pathologie een afzonderlijk patiëntendossier aangelegd. Zoals hierboven reeds werd aangetoond, krijgen unieke patiëntendossiers – om organisatorische redenen (m.n. de moge</w:t>
      </w:r>
      <w:r>
        <w:rPr>
          <w:kern w:val="0"/>
          <w:lang w:val="nl-NL" w:eastAsia="en-US" w:bidi="ar-SA"/>
        </w:rPr>
        <w:t>-</w:t>
      </w:r>
      <w:r w:rsidR="009931C7" w:rsidRPr="00D147A7">
        <w:rPr>
          <w:kern w:val="0"/>
          <w:lang w:val="nl-NL" w:eastAsia="en-US" w:bidi="ar-SA"/>
        </w:rPr>
        <w:t>lijkheid om op centraal niveau te bewaren) – in de praktijk vaak de voorkeur.</w:t>
      </w:r>
      <w:r w:rsidR="009931C7" w:rsidRPr="00D147A7">
        <w:rPr>
          <w:kern w:val="0"/>
          <w:vertAlign w:val="superscript"/>
          <w:lang w:val="nl-NL" w:eastAsia="en-US" w:bidi="ar-SA"/>
        </w:rPr>
        <w:footnoteReference w:id="177"/>
      </w:r>
      <w:r w:rsidR="009931C7" w:rsidRPr="00D147A7">
        <w:rPr>
          <w:kern w:val="0"/>
          <w:lang w:val="nl-NL" w:eastAsia="en-US" w:bidi="ar-SA"/>
        </w:rPr>
        <w:t xml:space="preserve"> Bovendien is het niet ondenkbaar dat patiëntengegevens van een bepaalde pathologie of dienst een aanhou</w:t>
      </w:r>
      <w:r>
        <w:rPr>
          <w:kern w:val="0"/>
          <w:lang w:val="nl-NL" w:eastAsia="en-US" w:bidi="ar-SA"/>
        </w:rPr>
        <w:t>-</w:t>
      </w:r>
      <w:r w:rsidR="009931C7" w:rsidRPr="00D147A7">
        <w:rPr>
          <w:kern w:val="0"/>
          <w:lang w:val="nl-NL" w:eastAsia="en-US" w:bidi="ar-SA"/>
        </w:rPr>
        <w:t>dende relevantie hebben voor de zorgverlening.</w:t>
      </w:r>
      <w:r w:rsidR="009931C7" w:rsidRPr="00D147A7">
        <w:rPr>
          <w:kern w:val="0"/>
          <w:vertAlign w:val="superscript"/>
          <w:lang w:val="nl-NL" w:eastAsia="en-US" w:bidi="ar-SA"/>
        </w:rPr>
        <w:footnoteReference w:id="178"/>
      </w:r>
      <w:r w:rsidR="009931C7" w:rsidRPr="00D147A7">
        <w:rPr>
          <w:kern w:val="0"/>
          <w:lang w:val="nl-NL" w:eastAsia="en-US" w:bidi="ar-SA"/>
        </w:rPr>
        <w:t xml:space="preserve"> In digitale omgevingen kan deze proble</w:t>
      </w:r>
      <w:r>
        <w:rPr>
          <w:kern w:val="0"/>
          <w:lang w:val="nl-NL" w:eastAsia="en-US" w:bidi="ar-SA"/>
        </w:rPr>
        <w:t>-</w:t>
      </w:r>
      <w:r w:rsidR="009931C7" w:rsidRPr="00D147A7">
        <w:rPr>
          <w:kern w:val="0"/>
          <w:lang w:val="nl-NL" w:eastAsia="en-US" w:bidi="ar-SA"/>
        </w:rPr>
        <w:t xml:space="preserve">matiek ongetwijfeld overwonnen worden door middel van een overkoepelende </w:t>
      </w:r>
      <w:r w:rsidR="009931C7" w:rsidRPr="00D147A7">
        <w:rPr>
          <w:i/>
          <w:kern w:val="0"/>
          <w:lang w:val="nl-NL" w:eastAsia="en-US" w:bidi="ar-SA"/>
        </w:rPr>
        <w:t>Electronic Records Management System</w:t>
      </w:r>
      <w:r w:rsidR="00E55649" w:rsidRPr="00D147A7">
        <w:rPr>
          <w:kern w:val="0"/>
          <w:lang w:val="nl-NL" w:eastAsia="en-US" w:bidi="ar-SA"/>
        </w:rPr>
        <w:t xml:space="preserve"> (ERMS).</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Het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 xml:space="preserve">ossier wordt opgesteld, aangevuld en bewaard door de vaste huisarts van een patiënt. </w:t>
      </w:r>
      <w:r w:rsidR="00E55649" w:rsidRPr="00D147A7">
        <w:rPr>
          <w:kern w:val="0"/>
          <w:lang w:val="nl-NL" w:eastAsia="en-US" w:bidi="ar-SA"/>
        </w:rPr>
        <w:t>I</w:t>
      </w:r>
      <w:r w:rsidRPr="00D147A7">
        <w:rPr>
          <w:kern w:val="0"/>
          <w:lang w:val="nl-NL" w:eastAsia="en-US" w:bidi="ar-SA"/>
        </w:rPr>
        <w:t xml:space="preserve">n dit dossier </w:t>
      </w:r>
      <w:r w:rsidR="00E55649" w:rsidRPr="00D147A7">
        <w:rPr>
          <w:kern w:val="0"/>
          <w:lang w:val="nl-NL" w:eastAsia="en-US" w:bidi="ar-SA"/>
        </w:rPr>
        <w:t xml:space="preserve">wordt </w:t>
      </w:r>
      <w:r w:rsidRPr="00D147A7">
        <w:rPr>
          <w:kern w:val="0"/>
          <w:lang w:val="nl-NL" w:eastAsia="en-US" w:bidi="ar-SA"/>
        </w:rPr>
        <w:t xml:space="preserve">de volledige ziektegeschiedenis van de patiënt bijgehouden, </w:t>
      </w:r>
      <w:r w:rsidR="00E55649" w:rsidRPr="00D147A7">
        <w:rPr>
          <w:kern w:val="0"/>
          <w:lang w:val="nl-NL" w:eastAsia="en-US" w:bidi="ar-SA"/>
        </w:rPr>
        <w:t>zodat</w:t>
      </w:r>
      <w:r w:rsidRPr="00D147A7">
        <w:rPr>
          <w:kern w:val="0"/>
          <w:lang w:val="nl-NL" w:eastAsia="en-US" w:bidi="ar-SA"/>
        </w:rPr>
        <w:t xml:space="preserve"> huisarts</w:t>
      </w:r>
      <w:r w:rsidR="00E55649" w:rsidRPr="00D147A7">
        <w:rPr>
          <w:kern w:val="0"/>
          <w:lang w:val="nl-NL" w:eastAsia="en-US" w:bidi="ar-SA"/>
        </w:rPr>
        <w:t>en</w:t>
      </w:r>
      <w:r w:rsidRPr="00D147A7">
        <w:rPr>
          <w:kern w:val="0"/>
          <w:lang w:val="nl-NL" w:eastAsia="en-US" w:bidi="ar-SA"/>
        </w:rPr>
        <w:t xml:space="preserve"> de spil </w:t>
      </w:r>
      <w:r w:rsidR="00E55649" w:rsidRPr="00D147A7">
        <w:rPr>
          <w:kern w:val="0"/>
          <w:lang w:val="nl-NL" w:eastAsia="en-US" w:bidi="ar-SA"/>
        </w:rPr>
        <w:t>va</w:t>
      </w:r>
      <w:r w:rsidRPr="00D147A7">
        <w:rPr>
          <w:kern w:val="0"/>
          <w:lang w:val="nl-NL" w:eastAsia="en-US" w:bidi="ar-SA"/>
        </w:rPr>
        <w:t>n de zorgverlening</w:t>
      </w:r>
      <w:r w:rsidR="00E55649" w:rsidRPr="00D147A7">
        <w:rPr>
          <w:kern w:val="0"/>
          <w:lang w:val="nl-NL" w:eastAsia="en-US" w:bidi="ar-SA"/>
        </w:rPr>
        <w:t xml:space="preserve"> zijn</w:t>
      </w:r>
      <w:r w:rsidRPr="00D147A7">
        <w:rPr>
          <w:kern w:val="0"/>
          <w:lang w:val="nl-NL" w:eastAsia="en-US" w:bidi="ar-SA"/>
        </w:rPr>
        <w:t xml:space="preserve">. Omdat het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 xml:space="preserve">ossier slechts door één arts </w:t>
      </w:r>
      <w:r w:rsidR="00E55649" w:rsidRPr="00D147A7">
        <w:rPr>
          <w:kern w:val="0"/>
          <w:lang w:val="nl-NL" w:eastAsia="en-US" w:bidi="ar-SA"/>
        </w:rPr>
        <w:t xml:space="preserve">beheerd </w:t>
      </w:r>
      <w:r w:rsidRPr="00D147A7">
        <w:rPr>
          <w:kern w:val="0"/>
          <w:lang w:val="nl-NL" w:eastAsia="en-US" w:bidi="ar-SA"/>
        </w:rPr>
        <w:t>kan worden, kan de communicatie tussen zorg</w:t>
      </w:r>
      <w:r w:rsidR="0097613E">
        <w:rPr>
          <w:kern w:val="0"/>
          <w:lang w:val="nl-NL" w:eastAsia="en-US" w:bidi="ar-SA"/>
        </w:rPr>
        <w:t>-</w:t>
      </w:r>
      <w:r w:rsidRPr="00D147A7">
        <w:rPr>
          <w:kern w:val="0"/>
          <w:lang w:val="nl-NL" w:eastAsia="en-US" w:bidi="ar-SA"/>
        </w:rPr>
        <w:t>verleners veel gerichter verlopen waardoor onnodige – reeds uitgevoerde – onderzoeken ver</w:t>
      </w:r>
      <w:r w:rsidR="0097613E">
        <w:rPr>
          <w:kern w:val="0"/>
          <w:lang w:val="nl-NL" w:eastAsia="en-US" w:bidi="ar-SA"/>
        </w:rPr>
        <w:t>-</w:t>
      </w:r>
      <w:r w:rsidRPr="00D147A7">
        <w:rPr>
          <w:kern w:val="0"/>
          <w:lang w:val="nl-NL" w:eastAsia="en-US" w:bidi="ar-SA"/>
        </w:rPr>
        <w:t>meden kunnen worden.</w:t>
      </w:r>
      <w:r w:rsidRPr="00D147A7">
        <w:rPr>
          <w:kern w:val="0"/>
          <w:vertAlign w:val="superscript"/>
          <w:lang w:val="nl-NL" w:eastAsia="en-US" w:bidi="ar-SA"/>
        </w:rPr>
        <w:footnoteReference w:id="179"/>
      </w:r>
      <w:r w:rsidRPr="00D147A7">
        <w:rPr>
          <w:kern w:val="0"/>
          <w:lang w:val="nl-NL" w:eastAsia="en-US" w:bidi="ar-SA"/>
        </w:rPr>
        <w:t xml:space="preserve"> De regelgeving omtrent het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ossier werd gra</w:t>
      </w:r>
      <w:r w:rsidR="0097613E">
        <w:rPr>
          <w:kern w:val="0"/>
          <w:lang w:val="nl-NL" w:eastAsia="en-US" w:bidi="ar-SA"/>
        </w:rPr>
        <w:t>-</w:t>
      </w:r>
      <w:r w:rsidRPr="00D147A7">
        <w:rPr>
          <w:kern w:val="0"/>
          <w:lang w:val="nl-NL" w:eastAsia="en-US" w:bidi="ar-SA"/>
        </w:rPr>
        <w:t xml:space="preserve">dueel ingevoerd, waarbij de prioriteit </w:t>
      </w:r>
      <w:r w:rsidR="00E55649" w:rsidRPr="00D147A7">
        <w:rPr>
          <w:kern w:val="0"/>
          <w:lang w:val="nl-NL" w:eastAsia="en-US" w:bidi="ar-SA"/>
        </w:rPr>
        <w:t xml:space="preserve">aanvankelijk </w:t>
      </w:r>
      <w:r w:rsidRPr="00D147A7">
        <w:rPr>
          <w:kern w:val="0"/>
          <w:lang w:val="nl-NL" w:eastAsia="en-US" w:bidi="ar-SA"/>
        </w:rPr>
        <w:t>naar bepaalde doelgroepen (m.n. de vijftig</w:t>
      </w:r>
      <w:r w:rsidR="0097613E">
        <w:rPr>
          <w:kern w:val="0"/>
          <w:lang w:val="nl-NL" w:eastAsia="en-US" w:bidi="ar-SA"/>
        </w:rPr>
        <w:t>-</w:t>
      </w:r>
      <w:r w:rsidRPr="00D147A7">
        <w:rPr>
          <w:kern w:val="0"/>
          <w:lang w:val="nl-NL" w:eastAsia="en-US" w:bidi="ar-SA"/>
        </w:rPr>
        <w:t xml:space="preserve">plussers) uitging. Sinds 1 mei 2002 kan iedereen, jong en oud, het beheer van zijn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 xml:space="preserve">ossier aan een vrij te kiezen huisarts toevertrouwen. </w:t>
      </w:r>
      <w:r w:rsidR="0097613E">
        <w:rPr>
          <w:kern w:val="0"/>
          <w:lang w:val="nl-NL" w:eastAsia="en-US" w:bidi="ar-SA"/>
        </w:rPr>
        <w:t>Bij iedere huisarts</w:t>
      </w:r>
      <w:r w:rsidR="00E55649" w:rsidRPr="00D147A7">
        <w:rPr>
          <w:kern w:val="0"/>
          <w:lang w:val="nl-NL" w:eastAsia="en-US" w:bidi="ar-SA"/>
        </w:rPr>
        <w:t xml:space="preserve">visite </w:t>
      </w:r>
      <w:r w:rsidRPr="00D147A7">
        <w:rPr>
          <w:kern w:val="0"/>
          <w:lang w:val="nl-NL" w:eastAsia="en-US" w:bidi="ar-SA"/>
        </w:rPr>
        <w:t>geniet men een vermindering van 30% van het remgeld. Deze remgeldvermindering geldt ook bij huisbezoeken voor chronische zieken en patiënten vanaf 75 jaar.</w:t>
      </w:r>
      <w:r w:rsidRPr="00D147A7">
        <w:rPr>
          <w:kern w:val="0"/>
          <w:vertAlign w:val="superscript"/>
          <w:lang w:val="nl-NL" w:eastAsia="en-US" w:bidi="ar-SA"/>
        </w:rPr>
        <w:footnoteReference w:id="180"/>
      </w:r>
      <w:r w:rsidRPr="00D147A7">
        <w:rPr>
          <w:kern w:val="0"/>
          <w:lang w:val="nl-NL" w:eastAsia="en-US" w:bidi="ar-SA"/>
        </w:rPr>
        <w:t xml:space="preserve"> </w:t>
      </w:r>
      <w:r w:rsidR="00E55649" w:rsidRPr="00D147A7">
        <w:rPr>
          <w:kern w:val="0"/>
          <w:lang w:val="nl-NL" w:eastAsia="en-US" w:bidi="ar-SA"/>
        </w:rPr>
        <w:t>Sinds</w:t>
      </w:r>
      <w:r w:rsidRPr="00D147A7">
        <w:rPr>
          <w:kern w:val="0"/>
          <w:lang w:val="nl-NL" w:eastAsia="en-US" w:bidi="ar-SA"/>
        </w:rPr>
        <w:t xml:space="preserve"> 1 maart 2004 geldt </w:t>
      </w:r>
      <w:r w:rsidRPr="00D147A7">
        <w:rPr>
          <w:kern w:val="0"/>
          <w:lang w:val="nl-NL" w:eastAsia="en-US" w:bidi="ar-SA"/>
        </w:rPr>
        <w:lastRenderedPageBreak/>
        <w:t xml:space="preserve">de remgeldvermindering enkel </w:t>
      </w:r>
      <w:r w:rsidR="0097613E">
        <w:rPr>
          <w:kern w:val="0"/>
          <w:lang w:val="nl-NL" w:eastAsia="en-US" w:bidi="ar-SA"/>
        </w:rPr>
        <w:t>voor een</w:t>
      </w:r>
      <w:r w:rsidRPr="00D147A7">
        <w:rPr>
          <w:kern w:val="0"/>
          <w:lang w:val="nl-NL" w:eastAsia="en-US" w:bidi="ar-SA"/>
        </w:rPr>
        <w:t xml:space="preserve"> consultatie </w:t>
      </w:r>
      <w:r w:rsidR="0097613E">
        <w:rPr>
          <w:kern w:val="0"/>
          <w:lang w:val="nl-NL" w:eastAsia="en-US" w:bidi="ar-SA"/>
        </w:rPr>
        <w:t>bij</w:t>
      </w:r>
      <w:r w:rsidRPr="00D147A7">
        <w:rPr>
          <w:kern w:val="0"/>
          <w:lang w:val="nl-NL" w:eastAsia="en-US" w:bidi="ar-SA"/>
        </w:rPr>
        <w:t xml:space="preserve"> de huisarts die het </w:t>
      </w:r>
      <w:r w:rsidR="00E55649" w:rsidRPr="00D147A7">
        <w:rPr>
          <w:kern w:val="0"/>
          <w:lang w:val="nl-NL" w:eastAsia="en-US" w:bidi="ar-SA"/>
        </w:rPr>
        <w:t>A</w:t>
      </w:r>
      <w:r w:rsidRPr="00D147A7">
        <w:rPr>
          <w:kern w:val="0"/>
          <w:lang w:val="nl-NL" w:eastAsia="en-US" w:bidi="ar-SA"/>
        </w:rPr>
        <w:t xml:space="preserve">lgemeen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Dossier</w:t>
      </w:r>
      <w:r w:rsidRPr="00D147A7">
        <w:rPr>
          <w:kern w:val="0"/>
          <w:lang w:val="nl-NL" w:eastAsia="en-US" w:bidi="ar-SA"/>
        </w:rPr>
        <w:t xml:space="preserve"> beheert.</w:t>
      </w:r>
      <w:r w:rsidRPr="00D147A7">
        <w:rPr>
          <w:kern w:val="0"/>
          <w:vertAlign w:val="superscript"/>
          <w:lang w:val="nl-NL" w:eastAsia="en-US" w:bidi="ar-SA"/>
        </w:rPr>
        <w:footnoteReference w:id="181"/>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Het is ook noemenswaardig dat de Nationale Raad van de Orde der geneesheren het </w:t>
      </w:r>
      <w:r w:rsidR="00E55649" w:rsidRPr="00D147A7">
        <w:rPr>
          <w:kern w:val="0"/>
          <w:lang w:val="nl-NL" w:eastAsia="en-US" w:bidi="ar-SA"/>
        </w:rPr>
        <w:t>A</w:t>
      </w:r>
      <w:r w:rsidRPr="00D147A7">
        <w:rPr>
          <w:kern w:val="0"/>
          <w:lang w:val="nl-NL" w:eastAsia="en-US" w:bidi="ar-SA"/>
        </w:rPr>
        <w:t>lge</w:t>
      </w:r>
      <w:r w:rsidR="00072730">
        <w:rPr>
          <w:kern w:val="0"/>
          <w:lang w:val="nl-NL" w:eastAsia="en-US" w:bidi="ar-SA"/>
        </w:rPr>
        <w:t>-</w:t>
      </w:r>
      <w:r w:rsidRPr="00D147A7">
        <w:rPr>
          <w:kern w:val="0"/>
          <w:lang w:val="nl-NL" w:eastAsia="en-US" w:bidi="ar-SA"/>
        </w:rPr>
        <w:t xml:space="preserve">meen </w:t>
      </w:r>
      <w:r w:rsidR="00E55649" w:rsidRPr="00D147A7">
        <w:rPr>
          <w:kern w:val="0"/>
          <w:lang w:val="nl-NL" w:eastAsia="en-US" w:bidi="ar-SA"/>
        </w:rPr>
        <w:t>M</w:t>
      </w:r>
      <w:r w:rsidRPr="00D147A7">
        <w:rPr>
          <w:kern w:val="0"/>
          <w:lang w:val="nl-NL" w:eastAsia="en-US" w:bidi="ar-SA"/>
        </w:rPr>
        <w:t xml:space="preserve">edisch </w:t>
      </w:r>
      <w:r w:rsidR="00E55649" w:rsidRPr="00D147A7">
        <w:rPr>
          <w:kern w:val="0"/>
          <w:lang w:val="nl-NL" w:eastAsia="en-US" w:bidi="ar-SA"/>
        </w:rPr>
        <w:t>D</w:t>
      </w:r>
      <w:r w:rsidRPr="00D147A7">
        <w:rPr>
          <w:kern w:val="0"/>
          <w:lang w:val="nl-NL" w:eastAsia="en-US" w:bidi="ar-SA"/>
        </w:rPr>
        <w:t>ossier in twee delen opsplitst. In een centraal dossier moeten de objectieve gegevens – identificatie, achtereenvolgende diagnoses, aard van de verrichte onderzoeken –</w:t>
      </w:r>
      <w:r w:rsidR="00E55649" w:rsidRPr="00D147A7">
        <w:rPr>
          <w:kern w:val="0"/>
          <w:lang w:val="nl-NL" w:eastAsia="en-US" w:bidi="ar-SA"/>
        </w:rPr>
        <w:t xml:space="preserve"> gebundeld</w:t>
      </w:r>
      <w:r w:rsidRPr="00D147A7">
        <w:rPr>
          <w:kern w:val="0"/>
          <w:lang w:val="nl-NL" w:eastAsia="en-US" w:bidi="ar-SA"/>
        </w:rPr>
        <w:t xml:space="preserve"> worden, terwijl in het werkdossier de subjectieve gegevens (zoals aantekeningen van de huisarts</w:t>
      </w:r>
      <w:r w:rsidR="00E55649" w:rsidRPr="00D147A7">
        <w:rPr>
          <w:kern w:val="0"/>
          <w:lang w:val="nl-NL" w:eastAsia="en-US" w:bidi="ar-SA"/>
        </w:rPr>
        <w:t>)</w:t>
      </w:r>
      <w:r w:rsidRPr="00D147A7">
        <w:rPr>
          <w:kern w:val="0"/>
          <w:lang w:val="nl-NL" w:eastAsia="en-US" w:bidi="ar-SA"/>
        </w:rPr>
        <w:t xml:space="preserve"> </w:t>
      </w:r>
      <w:r w:rsidR="00E55649" w:rsidRPr="00D147A7">
        <w:rPr>
          <w:kern w:val="0"/>
          <w:lang w:val="nl-NL" w:eastAsia="en-US" w:bidi="ar-SA"/>
        </w:rPr>
        <w:t>ondergebracht moeten worden</w:t>
      </w:r>
      <w:r w:rsidRPr="00D147A7">
        <w:rPr>
          <w:kern w:val="0"/>
          <w:lang w:val="nl-NL" w:eastAsia="en-US" w:bidi="ar-SA"/>
        </w:rPr>
        <w:t>. Deze opdeling biedt artsen een waarborg voor de vertrouwelijkheid van de uiterst gevoelige gezondheidsgegevens.</w:t>
      </w:r>
      <w:r w:rsidRPr="00D147A7">
        <w:rPr>
          <w:kern w:val="0"/>
          <w:vertAlign w:val="superscript"/>
          <w:lang w:val="nl-NL" w:eastAsia="en-US" w:bidi="ar-SA"/>
        </w:rPr>
        <w:footnoteReference w:id="182"/>
      </w:r>
    </w:p>
    <w:p w:rsidR="009931C7" w:rsidRPr="00D147A7" w:rsidRDefault="009931C7" w:rsidP="009931C7">
      <w:pPr>
        <w:widowControl/>
        <w:suppressAutoHyphens w:val="0"/>
        <w:spacing w:line="240" w:lineRule="atLeast"/>
        <w:jc w:val="both"/>
        <w:rPr>
          <w:i/>
          <w:kern w:val="0"/>
          <w:lang w:val="nl-NL" w:eastAsia="nl-BE" w:bidi="ar-SA"/>
        </w:rPr>
      </w:pPr>
    </w:p>
    <w:p w:rsidR="009931C7" w:rsidRPr="00D147A7" w:rsidRDefault="009931C7" w:rsidP="009931C7">
      <w:pPr>
        <w:widowControl/>
        <w:suppressAutoHyphens w:val="0"/>
        <w:spacing w:line="240" w:lineRule="atLeast"/>
        <w:jc w:val="both"/>
        <w:rPr>
          <w:kern w:val="0"/>
          <w:lang w:val="nl-NL" w:eastAsia="nl-BE" w:bidi="ar-SA"/>
        </w:rPr>
      </w:pPr>
      <w:r w:rsidRPr="00D147A7">
        <w:rPr>
          <w:i/>
          <w:kern w:val="0"/>
          <w:lang w:val="nl-NL" w:eastAsia="nl-BE" w:bidi="ar-SA"/>
        </w:rPr>
        <w:t xml:space="preserve">In elk rust- en verzorgingstehuis wijst de beheerder een coördinerend en raadgevend arts aan. Deze is een huisarts, bij voorkeur met een bijkomende vorming in de geriatrie </w:t>
      </w:r>
      <w:r w:rsidRPr="00D147A7">
        <w:rPr>
          <w:kern w:val="0"/>
          <w:lang w:val="nl-NL" w:eastAsia="nl-BE" w:bidi="ar-SA"/>
        </w:rPr>
        <w:t>[i.e. het geneeskundig specialisme voor de behandeling van bejaarden]</w:t>
      </w:r>
      <w:r w:rsidRPr="00D147A7">
        <w:rPr>
          <w:i/>
          <w:kern w:val="0"/>
          <w:lang w:val="nl-NL" w:eastAsia="nl-BE" w:bidi="ar-SA"/>
        </w:rPr>
        <w:t xml:space="preserve"> en gerontologie</w:t>
      </w:r>
      <w:r w:rsidRPr="00D147A7">
        <w:rPr>
          <w:kern w:val="0"/>
          <w:lang w:val="nl-NL" w:eastAsia="nl-BE" w:bidi="ar-SA"/>
        </w:rPr>
        <w:t xml:space="preserve"> [ouderdoms</w:t>
      </w:r>
      <w:r w:rsidR="00E55649" w:rsidRPr="00D147A7">
        <w:rPr>
          <w:kern w:val="0"/>
          <w:lang w:val="nl-NL" w:eastAsia="nl-BE" w:bidi="ar-SA"/>
        </w:rPr>
        <w:t>-</w:t>
      </w:r>
      <w:r w:rsidRPr="00D147A7">
        <w:rPr>
          <w:kern w:val="0"/>
          <w:lang w:val="nl-NL" w:eastAsia="nl-BE" w:bidi="ar-SA"/>
        </w:rPr>
        <w:t>kunde].</w:t>
      </w:r>
      <w:r w:rsidRPr="00D147A7">
        <w:rPr>
          <w:kern w:val="0"/>
          <w:vertAlign w:val="superscript"/>
          <w:lang w:val="nl-NL" w:eastAsia="nl-BE" w:bidi="ar-SA"/>
        </w:rPr>
        <w:footnoteReference w:id="183"/>
      </w:r>
      <w:r w:rsidRPr="00D147A7">
        <w:rPr>
          <w:kern w:val="0"/>
          <w:lang w:val="nl-NL" w:eastAsia="nl-BE" w:bidi="ar-SA"/>
        </w:rPr>
        <w:t xml:space="preserve"> Deze arts heeft dus enkel een coördinerende en raadgevende functie.</w:t>
      </w:r>
      <w:r w:rsidRPr="00D147A7">
        <w:rPr>
          <w:kern w:val="0"/>
          <w:vertAlign w:val="superscript"/>
          <w:lang w:val="nl-NL" w:eastAsia="nl-BE" w:bidi="ar-SA"/>
        </w:rPr>
        <w:footnoteReference w:id="184"/>
      </w:r>
      <w:r w:rsidRPr="00D147A7">
        <w:rPr>
          <w:kern w:val="0"/>
          <w:lang w:val="nl-NL" w:eastAsia="nl-BE" w:bidi="ar-SA"/>
        </w:rPr>
        <w:t xml:space="preserve"> Hij maakt onder meer schriftelijke afspraken met de behandelende artsen die betrekking hebben op </w:t>
      </w:r>
      <w:r w:rsidRPr="00D147A7">
        <w:rPr>
          <w:i/>
          <w:kern w:val="0"/>
          <w:lang w:val="nl-NL" w:eastAsia="nl-BE" w:bidi="ar-SA"/>
        </w:rPr>
        <w:t>het bijhouden van het medisch dossier alsook de medewerking aan het bijhouden van het indivi</w:t>
      </w:r>
      <w:r w:rsidR="00E55649" w:rsidRPr="00D147A7">
        <w:rPr>
          <w:i/>
          <w:kern w:val="0"/>
          <w:lang w:val="nl-NL" w:eastAsia="nl-BE" w:bidi="ar-SA"/>
        </w:rPr>
        <w:t>-</w:t>
      </w:r>
      <w:r w:rsidRPr="00D147A7">
        <w:rPr>
          <w:i/>
          <w:kern w:val="0"/>
          <w:lang w:val="nl-NL" w:eastAsia="nl-BE" w:bidi="ar-SA"/>
        </w:rPr>
        <w:t>duele verzorgingsdossier</w:t>
      </w:r>
      <w:r w:rsidRPr="00D147A7">
        <w:rPr>
          <w:kern w:val="0"/>
          <w:lang w:val="nl-NL" w:eastAsia="nl-BE" w:bidi="ar-SA"/>
        </w:rPr>
        <w:t>.</w:t>
      </w:r>
      <w:r w:rsidRPr="00D147A7">
        <w:rPr>
          <w:kern w:val="0"/>
          <w:vertAlign w:val="superscript"/>
          <w:lang w:val="nl-NL" w:eastAsia="nl-BE" w:bidi="ar-SA"/>
        </w:rPr>
        <w:footnoteReference w:id="185"/>
      </w:r>
      <w:r w:rsidRPr="00D147A7">
        <w:rPr>
          <w:kern w:val="0"/>
          <w:lang w:val="nl-NL" w:eastAsia="nl-BE" w:bidi="ar-SA"/>
        </w:rPr>
        <w:t xml:space="preserve"> Concreet moet de coördinerend en raadgevend arts samen met de behandelende artsen de structuur van het medisch dossier bepalen, nagaan </w:t>
      </w:r>
      <w:r w:rsidRPr="00D147A7">
        <w:rPr>
          <w:kern w:val="0"/>
          <w:lang w:val="nl-NL" w:eastAsia="en-US" w:bidi="ar-SA"/>
        </w:rPr>
        <w:t>of deze dossiers daadwerkelijk worden opgemaakt, gestandaardiseerd zijn en regelmatig worden bijgewerkt.</w:t>
      </w:r>
      <w:r w:rsidRPr="00D147A7">
        <w:rPr>
          <w:kern w:val="0"/>
          <w:vertAlign w:val="superscript"/>
          <w:lang w:val="nl-NL" w:eastAsia="en-US" w:bidi="ar-SA"/>
        </w:rPr>
        <w:footnoteReference w:id="186"/>
      </w:r>
    </w:p>
    <w:p w:rsidR="009931C7" w:rsidRPr="00D147A7" w:rsidRDefault="009931C7" w:rsidP="009931C7">
      <w:pPr>
        <w:widowControl/>
        <w:suppressAutoHyphens w:val="0"/>
        <w:spacing w:line="240" w:lineRule="atLeast"/>
        <w:jc w:val="both"/>
        <w:rPr>
          <w:kern w:val="0"/>
          <w:lang w:val="nl-NL" w:eastAsia="nl-BE" w:bidi="ar-SA"/>
        </w:rPr>
      </w:pPr>
      <w:r w:rsidRPr="00D147A7">
        <w:rPr>
          <w:kern w:val="0"/>
          <w:lang w:val="nl-NL" w:eastAsia="en-US" w:bidi="ar-SA"/>
        </w:rPr>
        <w:t>Iedere arts die een bewoner van een rust- en verzorgingstehuis (RVT) behandelt, vormt door</w:t>
      </w:r>
      <w:r w:rsidR="00072730">
        <w:rPr>
          <w:kern w:val="0"/>
          <w:lang w:val="nl-NL" w:eastAsia="en-US" w:bidi="ar-SA"/>
        </w:rPr>
        <w:t>-</w:t>
      </w:r>
      <w:r w:rsidRPr="00D147A7">
        <w:rPr>
          <w:kern w:val="0"/>
          <w:lang w:val="nl-NL" w:eastAsia="en-US" w:bidi="ar-SA"/>
        </w:rPr>
        <w:t>gaans twee medische dossiers: één voor zichzelf en één voor het RVT. Daarnaast houden ook de verpleegkundigen van de RVT voor iedere bewoner een verpleegkundig dossier bij, dat sa</w:t>
      </w:r>
      <w:r w:rsidR="00072730">
        <w:rPr>
          <w:kern w:val="0"/>
          <w:lang w:val="nl-NL" w:eastAsia="en-US" w:bidi="ar-SA"/>
        </w:rPr>
        <w:t>-</w:t>
      </w:r>
      <w:r w:rsidRPr="00D147A7">
        <w:rPr>
          <w:kern w:val="0"/>
          <w:lang w:val="nl-NL" w:eastAsia="en-US" w:bidi="ar-SA"/>
        </w:rPr>
        <w:t>men met het medisch RVT-dossier gestalte geeft aan het individueel verzorgingsdossier.</w:t>
      </w:r>
      <w:r w:rsidRPr="00D147A7">
        <w:rPr>
          <w:kern w:val="0"/>
          <w:vertAlign w:val="superscript"/>
          <w:lang w:val="nl-NL" w:eastAsia="en-US" w:bidi="ar-SA"/>
        </w:rPr>
        <w:footnoteReference w:id="187"/>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p>
    <w:p w:rsidR="009931C7" w:rsidRDefault="009931C7" w:rsidP="009931C7">
      <w:pPr>
        <w:widowControl/>
        <w:suppressAutoHyphens w:val="0"/>
        <w:rPr>
          <w:bCs/>
          <w:smallCaps/>
          <w:kern w:val="0"/>
          <w:lang w:val="nl-NL" w:eastAsia="en-US" w:bidi="ar-SA"/>
        </w:rPr>
      </w:pPr>
    </w:p>
    <w:p w:rsidR="009931C7" w:rsidRPr="00D147A7" w:rsidRDefault="009931C7" w:rsidP="009931C7">
      <w:pPr>
        <w:widowControl/>
        <w:suppressAutoHyphens w:val="0"/>
        <w:spacing w:line="240" w:lineRule="atLeast"/>
        <w:jc w:val="both"/>
        <w:rPr>
          <w:bCs/>
          <w:smallCaps/>
          <w:kern w:val="0"/>
          <w:lang w:val="nl-NL" w:eastAsia="en-US" w:bidi="ar-SA"/>
        </w:rPr>
      </w:pPr>
      <w:r w:rsidRPr="00D147A7">
        <w:rPr>
          <w:bCs/>
          <w:smallCaps/>
          <w:kern w:val="0"/>
          <w:lang w:val="nl-NL" w:eastAsia="en-US" w:bidi="ar-SA"/>
        </w:rPr>
        <w:t>1.2 Nederland</w:t>
      </w:r>
    </w:p>
    <w:p w:rsidR="009931C7" w:rsidRPr="00D147A7" w:rsidRDefault="009931C7" w:rsidP="009931C7">
      <w:pPr>
        <w:widowControl/>
        <w:suppressAutoHyphens w:val="0"/>
        <w:spacing w:line="240" w:lineRule="atLeast"/>
        <w:jc w:val="both"/>
        <w:rPr>
          <w:b/>
          <w:bCs/>
          <w:smallCaps/>
          <w:kern w:val="0"/>
          <w:lang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1: Dossierplicht</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E55649" w:rsidP="009931C7">
      <w:pPr>
        <w:widowControl/>
        <w:suppressAutoHyphens w:val="0"/>
        <w:spacing w:line="240" w:lineRule="atLeast"/>
        <w:jc w:val="both"/>
        <w:rPr>
          <w:kern w:val="0"/>
          <w:lang w:val="nl-NL" w:eastAsia="en-US" w:bidi="ar-SA"/>
        </w:rPr>
      </w:pPr>
      <w:r w:rsidRPr="00D147A7">
        <w:rPr>
          <w:kern w:val="0"/>
          <w:lang w:val="nl-NL" w:eastAsia="en-US" w:bidi="ar-SA"/>
        </w:rPr>
        <w:t xml:space="preserve">Ook </w:t>
      </w:r>
      <w:r w:rsidR="009931C7" w:rsidRPr="00D147A7">
        <w:rPr>
          <w:kern w:val="0"/>
          <w:lang w:val="nl-NL" w:eastAsia="en-US" w:bidi="ar-SA"/>
        </w:rPr>
        <w:t>Nederlandse zorgverleners moeten voor iedere patiënt een dossier aanleggen</w:t>
      </w:r>
      <w:r w:rsidR="009931C7" w:rsidRPr="00D147A7">
        <w:rPr>
          <w:kern w:val="0"/>
          <w:vertAlign w:val="superscript"/>
          <w:lang w:val="nl-NL" w:eastAsia="en-US" w:bidi="ar-SA"/>
        </w:rPr>
        <w:footnoteReference w:id="188"/>
      </w:r>
      <w:r w:rsidR="009931C7" w:rsidRPr="00D147A7">
        <w:rPr>
          <w:kern w:val="0"/>
          <w:lang w:val="nl-NL" w:eastAsia="en-US" w:bidi="ar-SA"/>
        </w:rPr>
        <w:t xml:space="preserve"> en bij</w:t>
      </w:r>
      <w:r w:rsidR="0097613E">
        <w:rPr>
          <w:kern w:val="0"/>
          <w:lang w:val="nl-NL" w:eastAsia="en-US" w:bidi="ar-SA"/>
        </w:rPr>
        <w:t>-</w:t>
      </w:r>
      <w:r w:rsidR="009931C7" w:rsidRPr="00D147A7">
        <w:rPr>
          <w:kern w:val="0"/>
          <w:lang w:val="nl-NL" w:eastAsia="en-US" w:bidi="ar-SA"/>
        </w:rPr>
        <w:t>houden.</w:t>
      </w:r>
      <w:r w:rsidR="009931C7" w:rsidRPr="00D147A7">
        <w:rPr>
          <w:kern w:val="0"/>
          <w:vertAlign w:val="superscript"/>
          <w:lang w:val="nl-NL" w:eastAsia="en-US" w:bidi="ar-SA"/>
        </w:rPr>
        <w:footnoteReference w:id="189"/>
      </w:r>
      <w:r w:rsidR="009931C7" w:rsidRPr="00D147A7">
        <w:rPr>
          <w:kern w:val="0"/>
          <w:lang w:val="nl-NL" w:eastAsia="en-US" w:bidi="ar-SA"/>
        </w:rPr>
        <w:t xml:space="preserve"> In de Memorie van Toelichting bij het </w:t>
      </w:r>
      <w:r w:rsidR="0030633C" w:rsidRPr="00D147A7">
        <w:rPr>
          <w:kern w:val="0"/>
          <w:lang w:val="nl-NL" w:eastAsia="en-US" w:bidi="ar-SA"/>
        </w:rPr>
        <w:t>ontwerp van de wet</w:t>
      </w:r>
      <w:r w:rsidR="009931C7" w:rsidRPr="00D147A7">
        <w:rPr>
          <w:kern w:val="0"/>
          <w:lang w:val="nl-NL" w:eastAsia="en-US" w:bidi="ar-SA"/>
        </w:rPr>
        <w:t xml:space="preserve"> </w:t>
      </w:r>
      <w:r w:rsidR="00F84455" w:rsidRPr="00D147A7">
        <w:rPr>
          <w:kern w:val="0"/>
          <w:lang w:val="nl-NL" w:eastAsia="en-US" w:bidi="ar-SA"/>
        </w:rPr>
        <w:t>op de geneeskundige behandelingsovereenkomst (</w:t>
      </w:r>
      <w:r w:rsidR="009931C7" w:rsidRPr="00D147A7">
        <w:rPr>
          <w:kern w:val="0"/>
          <w:lang w:val="nl-NL" w:eastAsia="en-US" w:bidi="ar-SA"/>
        </w:rPr>
        <w:t>WGBO</w:t>
      </w:r>
      <w:r w:rsidR="00F84455" w:rsidRPr="00D147A7">
        <w:rPr>
          <w:kern w:val="0"/>
          <w:lang w:val="nl-NL" w:eastAsia="en-US" w:bidi="ar-SA"/>
        </w:rPr>
        <w:t>)</w:t>
      </w:r>
      <w:r w:rsidR="009931C7" w:rsidRPr="00D147A7">
        <w:rPr>
          <w:kern w:val="0"/>
          <w:lang w:val="nl-NL" w:eastAsia="en-US" w:bidi="ar-SA"/>
        </w:rPr>
        <w:t xml:space="preserve"> omschreef de Nederlandse wetgever het patiëntendos</w:t>
      </w:r>
      <w:r w:rsidR="00072730">
        <w:rPr>
          <w:kern w:val="0"/>
          <w:lang w:val="nl-NL" w:eastAsia="en-US" w:bidi="ar-SA"/>
        </w:rPr>
        <w:t>-</w:t>
      </w:r>
      <w:r w:rsidR="009931C7" w:rsidRPr="00D147A7">
        <w:rPr>
          <w:kern w:val="0"/>
          <w:lang w:val="nl-NL" w:eastAsia="en-US" w:bidi="ar-SA"/>
        </w:rPr>
        <w:t xml:space="preserve">sier als </w:t>
      </w:r>
      <w:r w:rsidR="009931C7" w:rsidRPr="00D147A7">
        <w:rPr>
          <w:i/>
          <w:iCs/>
          <w:kern w:val="0"/>
          <w:lang w:val="nl-NL" w:eastAsia="en-US" w:bidi="ar-SA"/>
        </w:rPr>
        <w:t>een verzamelbegrip, waaronder alle door hulpverleners gehanteerde vormen van re</w:t>
      </w:r>
      <w:r w:rsidR="00072730">
        <w:rPr>
          <w:i/>
          <w:iCs/>
          <w:kern w:val="0"/>
          <w:lang w:val="nl-NL" w:eastAsia="en-US" w:bidi="ar-SA"/>
        </w:rPr>
        <w:t>-</w:t>
      </w:r>
      <w:r w:rsidR="009931C7" w:rsidRPr="00D147A7">
        <w:rPr>
          <w:i/>
          <w:iCs/>
          <w:kern w:val="0"/>
          <w:lang w:val="nl-NL" w:eastAsia="en-US" w:bidi="ar-SA"/>
        </w:rPr>
        <w:lastRenderedPageBreak/>
        <w:t>gistratie van patiëntengegevens worden begrepen</w:t>
      </w:r>
      <w:r w:rsidR="009931C7" w:rsidRPr="00D147A7">
        <w:rPr>
          <w:kern w:val="0"/>
          <w:lang w:val="nl-NL" w:eastAsia="en-US" w:bidi="ar-SA"/>
        </w:rPr>
        <w:t>.</w:t>
      </w:r>
      <w:r w:rsidR="009931C7" w:rsidRPr="00D147A7">
        <w:rPr>
          <w:kern w:val="0"/>
          <w:vertAlign w:val="superscript"/>
          <w:lang w:val="nl-NL" w:eastAsia="en-US" w:bidi="ar-SA"/>
        </w:rPr>
        <w:footnoteReference w:id="190"/>
      </w:r>
      <w:r w:rsidR="009931C7" w:rsidRPr="00D147A7">
        <w:rPr>
          <w:kern w:val="0"/>
          <w:lang w:val="nl-NL" w:eastAsia="en-US" w:bidi="ar-SA"/>
        </w:rPr>
        <w:t xml:space="preserve"> Volgens deze interpretatie is het patiënt</w:t>
      </w:r>
      <w:r w:rsidR="00072730">
        <w:rPr>
          <w:kern w:val="0"/>
          <w:lang w:val="nl-NL" w:eastAsia="en-US" w:bidi="ar-SA"/>
        </w:rPr>
        <w:t>-</w:t>
      </w:r>
      <w:r w:rsidR="009931C7" w:rsidRPr="00D147A7">
        <w:rPr>
          <w:kern w:val="0"/>
          <w:lang w:val="nl-NL" w:eastAsia="en-US" w:bidi="ar-SA"/>
        </w:rPr>
        <w:t xml:space="preserve">endossier een abstract </w:t>
      </w:r>
      <w:r w:rsidR="00483505" w:rsidRPr="00D147A7">
        <w:rPr>
          <w:kern w:val="0"/>
          <w:lang w:val="nl-NL" w:eastAsia="en-US" w:bidi="ar-SA"/>
        </w:rPr>
        <w:t>gegeven</w:t>
      </w:r>
      <w:r w:rsidR="009931C7" w:rsidRPr="00D147A7">
        <w:rPr>
          <w:kern w:val="0"/>
          <w:lang w:val="nl-NL" w:eastAsia="en-US" w:bidi="ar-SA"/>
        </w:rPr>
        <w:t xml:space="preserve">. Het is geen fysiek dossier dat zich op één plaats bevindt, maar </w:t>
      </w:r>
      <w:r w:rsidR="0003154E" w:rsidRPr="00D147A7">
        <w:rPr>
          <w:kern w:val="0"/>
          <w:lang w:val="nl-NL" w:eastAsia="en-US" w:bidi="ar-SA"/>
        </w:rPr>
        <w:t>een</w:t>
      </w:r>
      <w:r w:rsidR="009931C7" w:rsidRPr="00D147A7">
        <w:rPr>
          <w:kern w:val="0"/>
          <w:lang w:val="nl-NL" w:eastAsia="en-US" w:bidi="ar-SA"/>
        </w:rPr>
        <w:t xml:space="preserve"> conglomeraat van alle dossiers die op </w:t>
      </w:r>
      <w:r w:rsidR="00483505" w:rsidRPr="00D147A7">
        <w:rPr>
          <w:kern w:val="0"/>
          <w:lang w:val="nl-NL" w:eastAsia="en-US" w:bidi="ar-SA"/>
        </w:rPr>
        <w:t>éé</w:t>
      </w:r>
      <w:r w:rsidR="009931C7" w:rsidRPr="00D147A7">
        <w:rPr>
          <w:kern w:val="0"/>
          <w:lang w:val="nl-NL" w:eastAsia="en-US" w:bidi="ar-SA"/>
        </w:rPr>
        <w:t>nzelfde patiënt betrekking hebben.</w:t>
      </w:r>
      <w:r w:rsidR="009931C7" w:rsidRPr="00D147A7">
        <w:rPr>
          <w:kern w:val="0"/>
          <w:vertAlign w:val="superscript"/>
          <w:lang w:val="nl-NL" w:eastAsia="en-US" w:bidi="ar-SA"/>
        </w:rPr>
        <w:footnoteReference w:id="191"/>
      </w:r>
      <w:r w:rsidR="009931C7" w:rsidRPr="00D147A7">
        <w:rPr>
          <w:kern w:val="0"/>
          <w:lang w:val="nl-NL" w:eastAsia="en-US" w:bidi="ar-SA"/>
        </w:rPr>
        <w:t xml:space="preserve"> De definitie van de landelijke artsenfederatie KNMG (Koninklijke Nederlandsche Maatschappij tot bevor</w:t>
      </w:r>
      <w:r w:rsidR="00072730">
        <w:rPr>
          <w:kern w:val="0"/>
          <w:lang w:val="nl-NL" w:eastAsia="en-US" w:bidi="ar-SA"/>
        </w:rPr>
        <w:t>-</w:t>
      </w:r>
      <w:r w:rsidR="009931C7" w:rsidRPr="00D147A7">
        <w:rPr>
          <w:kern w:val="0"/>
          <w:lang w:val="nl-NL" w:eastAsia="en-US" w:bidi="ar-SA"/>
        </w:rPr>
        <w:t>dering der Geneeskunst, de tegenhanger van de Nationale Raad van de Orde der geneesheren in België) is gelijkluidend.</w:t>
      </w:r>
      <w:r w:rsidR="009931C7" w:rsidRPr="00D147A7">
        <w:rPr>
          <w:kern w:val="0"/>
          <w:vertAlign w:val="superscript"/>
          <w:lang w:val="nl-NL" w:eastAsia="en-US" w:bidi="ar-SA"/>
        </w:rPr>
        <w:footnoteReference w:id="192"/>
      </w:r>
      <w:r w:rsidR="009931C7" w:rsidRPr="00D147A7">
        <w:rPr>
          <w:kern w:val="0"/>
          <w:lang w:val="nl-NL" w:eastAsia="en-US" w:bidi="ar-SA"/>
        </w:rPr>
        <w:t xml:space="preserve"> De Nederlandse Gezondheidsraad definieerde het begrip ‘medische gegevens’ als </w:t>
      </w:r>
      <w:r w:rsidR="009931C7" w:rsidRPr="00D147A7">
        <w:rPr>
          <w:i/>
          <w:kern w:val="0"/>
          <w:lang w:val="nl-NL" w:eastAsia="en-US" w:bidi="ar-SA"/>
        </w:rPr>
        <w:t>gegevens omtrent de lichamelijke en/of geestelijke gesteldheid van een individu, mede in zijn relaties tot zijn omgeving, verzameld door een beroepsbeoefenaar in de gezondheidszorg, doch gebruikt, al dan niet in de gezondheidszorg</w:t>
      </w:r>
      <w:r w:rsidR="009931C7" w:rsidRPr="00D147A7">
        <w:rPr>
          <w:kern w:val="0"/>
          <w:lang w:val="nl-NL" w:eastAsia="en-US" w:bidi="ar-SA"/>
        </w:rPr>
        <w:t>.</w:t>
      </w:r>
      <w:r w:rsidR="009931C7" w:rsidRPr="00D147A7">
        <w:rPr>
          <w:kern w:val="0"/>
          <w:vertAlign w:val="superscript"/>
          <w:lang w:val="nl-NL" w:eastAsia="en-US" w:bidi="ar-SA"/>
        </w:rPr>
        <w:footnoteReference w:id="193"/>
      </w:r>
      <w:r w:rsidR="009931C7" w:rsidRPr="00D147A7">
        <w:rPr>
          <w:kern w:val="0"/>
          <w:lang w:val="nl-NL" w:eastAsia="en-US" w:bidi="ar-SA"/>
        </w:rPr>
        <w:t xml:space="preserve"> In de r</w:t>
      </w:r>
      <w:r w:rsidR="009E75A2" w:rsidRPr="00D147A7">
        <w:rPr>
          <w:kern w:val="0"/>
          <w:lang w:val="nl-NL" w:eastAsia="en-US" w:bidi="ar-SA"/>
        </w:rPr>
        <w:t>echtsleer werd deze definitie ver</w:t>
      </w:r>
      <w:r w:rsidR="009931C7" w:rsidRPr="00D147A7">
        <w:rPr>
          <w:kern w:val="0"/>
          <w:lang w:val="nl-NL" w:eastAsia="en-US" w:bidi="ar-SA"/>
        </w:rPr>
        <w:t>oordeeld als zijnde te eng en onzorgvuldig geformuleerd.</w:t>
      </w:r>
      <w:r w:rsidR="009931C7" w:rsidRPr="00D147A7">
        <w:rPr>
          <w:kern w:val="0"/>
          <w:vertAlign w:val="superscript"/>
          <w:lang w:val="nl-NL" w:eastAsia="en-US" w:bidi="ar-SA"/>
        </w:rPr>
        <w:footnoteReference w:id="194"/>
      </w:r>
      <w:r w:rsidR="009931C7" w:rsidRPr="00D147A7">
        <w:rPr>
          <w:kern w:val="0"/>
          <w:lang w:val="nl-NL" w:eastAsia="en-US" w:bidi="ar-SA"/>
        </w:rPr>
        <w:t xml:space="preserve"> Daarom omschreef de Centrale Raad voor Volksgezondheid ‘medische gegevens’ als </w:t>
      </w:r>
      <w:r w:rsidR="009931C7" w:rsidRPr="00D147A7">
        <w:rPr>
          <w:i/>
          <w:kern w:val="0"/>
          <w:lang w:val="nl-NL" w:eastAsia="en-US" w:bidi="ar-SA"/>
        </w:rPr>
        <w:t>alle gegevens die betrekking hebben op de behandeling</w:t>
      </w:r>
      <w:r w:rsidR="009931C7" w:rsidRPr="00D147A7">
        <w:rPr>
          <w:kern w:val="0"/>
          <w:lang w:val="nl-NL" w:eastAsia="en-US" w:bidi="ar-SA"/>
        </w:rPr>
        <w:t>.</w:t>
      </w:r>
      <w:r w:rsidR="009931C7" w:rsidRPr="00D147A7">
        <w:rPr>
          <w:kern w:val="0"/>
          <w:vertAlign w:val="superscript"/>
          <w:lang w:val="nl-NL" w:eastAsia="en-US" w:bidi="ar-SA"/>
        </w:rPr>
        <w:footnoteReference w:id="195"/>
      </w:r>
      <w:r w:rsidR="009931C7" w:rsidRPr="00D147A7">
        <w:rPr>
          <w:kern w:val="0"/>
          <w:lang w:val="nl-NL" w:eastAsia="en-US" w:bidi="ar-SA"/>
        </w:rPr>
        <w:t xml:space="preserve"> Een eenduidige afbakening van het begrip ‘medische gegevens’ is </w:t>
      </w:r>
      <w:r w:rsidR="0003154E" w:rsidRPr="00D147A7">
        <w:rPr>
          <w:kern w:val="0"/>
          <w:lang w:val="nl-NL" w:eastAsia="en-US" w:bidi="ar-SA"/>
        </w:rPr>
        <w:t xml:space="preserve">met name </w:t>
      </w:r>
      <w:r w:rsidR="009931C7" w:rsidRPr="00D147A7">
        <w:rPr>
          <w:kern w:val="0"/>
          <w:lang w:val="nl-NL" w:eastAsia="en-US" w:bidi="ar-SA"/>
        </w:rPr>
        <w:t xml:space="preserve">van belang </w:t>
      </w:r>
      <w:r w:rsidR="0003154E" w:rsidRPr="00D147A7">
        <w:rPr>
          <w:kern w:val="0"/>
          <w:lang w:val="nl-NL" w:eastAsia="en-US" w:bidi="ar-SA"/>
        </w:rPr>
        <w:t>wanneer</w:t>
      </w:r>
      <w:r w:rsidR="009931C7" w:rsidRPr="00D147A7">
        <w:rPr>
          <w:kern w:val="0"/>
          <w:lang w:val="nl-NL" w:eastAsia="en-US" w:bidi="ar-SA"/>
        </w:rPr>
        <w:t xml:space="preserve"> het ‘medisch dossier’ omschreven wordt als </w:t>
      </w:r>
      <w:r w:rsidR="009931C7" w:rsidRPr="00D147A7">
        <w:rPr>
          <w:i/>
          <w:kern w:val="0"/>
          <w:lang w:val="nl-NL" w:eastAsia="en-US" w:bidi="ar-SA"/>
        </w:rPr>
        <w:t>een verzameling van medische gegevens</w:t>
      </w:r>
      <w:r w:rsidR="009931C7" w:rsidRPr="00D147A7">
        <w:rPr>
          <w:kern w:val="0"/>
          <w:lang w:val="nl-NL" w:eastAsia="en-US" w:bidi="ar-SA"/>
        </w:rPr>
        <w:t>.</w:t>
      </w:r>
      <w:r w:rsidR="009931C7" w:rsidRPr="00D147A7">
        <w:rPr>
          <w:kern w:val="0"/>
          <w:vertAlign w:val="superscript"/>
          <w:lang w:val="nl-NL" w:eastAsia="en-US" w:bidi="ar-SA"/>
        </w:rPr>
        <w:footnoteReference w:id="196"/>
      </w:r>
      <w:r w:rsidR="009931C7" w:rsidRPr="00D147A7">
        <w:rPr>
          <w:kern w:val="0"/>
          <w:lang w:val="nl-NL" w:eastAsia="en-US" w:bidi="ar-SA"/>
        </w:rPr>
        <w:t xml:space="preserve"> Het geheel van medische dossiers wordt dan aange</w:t>
      </w:r>
      <w:r w:rsidR="00072730">
        <w:rPr>
          <w:kern w:val="0"/>
          <w:lang w:val="nl-NL" w:eastAsia="en-US" w:bidi="ar-SA"/>
        </w:rPr>
        <w:t>-</w:t>
      </w:r>
      <w:r w:rsidR="009931C7" w:rsidRPr="00D147A7">
        <w:rPr>
          <w:kern w:val="0"/>
          <w:lang w:val="nl-NL" w:eastAsia="en-US" w:bidi="ar-SA"/>
        </w:rPr>
        <w:t>duid als ‘medisch archief’, waarbij onderscheid gemaakt moet worden tussen de dynamische, semi-dynamische en statische fase.</w:t>
      </w:r>
      <w:r w:rsidR="009931C7" w:rsidRPr="00D147A7">
        <w:rPr>
          <w:kern w:val="0"/>
          <w:vertAlign w:val="superscript"/>
          <w:lang w:val="nl-NL" w:eastAsia="en-US" w:bidi="ar-SA"/>
        </w:rPr>
        <w:footnoteReference w:id="197"/>
      </w:r>
      <w:r w:rsidR="009931C7" w:rsidRPr="00D147A7">
        <w:rPr>
          <w:kern w:val="0"/>
          <w:lang w:val="nl-NL" w:eastAsia="en-US" w:bidi="ar-SA"/>
        </w:rPr>
        <w:t xml:space="preserve"> Ook voor het begrip ‘elektronisch patiëntendossier’ (EPD), dat het voorwerp is van een levendig maatschappelijk debat</w:t>
      </w:r>
      <w:r w:rsidR="009931C7" w:rsidRPr="00D147A7">
        <w:rPr>
          <w:kern w:val="0"/>
          <w:vertAlign w:val="superscript"/>
          <w:lang w:val="nl-NL" w:eastAsia="en-US" w:bidi="ar-SA"/>
        </w:rPr>
        <w:footnoteReference w:id="198"/>
      </w:r>
      <w:r w:rsidR="009931C7" w:rsidRPr="00D147A7">
        <w:rPr>
          <w:kern w:val="0"/>
          <w:lang w:val="nl-NL" w:eastAsia="en-US" w:bidi="ar-SA"/>
        </w:rPr>
        <w:t>, zijn vele begripsbepa</w:t>
      </w:r>
      <w:r w:rsidR="00072730">
        <w:rPr>
          <w:kern w:val="0"/>
          <w:lang w:val="nl-NL" w:eastAsia="en-US" w:bidi="ar-SA"/>
        </w:rPr>
        <w:t>-</w:t>
      </w:r>
      <w:r w:rsidR="009931C7" w:rsidRPr="00D147A7">
        <w:rPr>
          <w:kern w:val="0"/>
          <w:lang w:val="nl-NL" w:eastAsia="en-US" w:bidi="ar-SA"/>
        </w:rPr>
        <w:t xml:space="preserve">lingen voorhanden. Een recente definitie luidt: </w:t>
      </w:r>
      <w:r w:rsidR="009931C7" w:rsidRPr="00D147A7">
        <w:rPr>
          <w:i/>
          <w:iCs/>
          <w:kern w:val="0"/>
          <w:lang w:val="nl-NL" w:eastAsia="en-US" w:bidi="ar-SA"/>
        </w:rPr>
        <w:t>Het elektronisch patiëntendossier (EPD) is een softwaretoepassing waarin medische patiëntengegevens in digitale vorm bewaard en be</w:t>
      </w:r>
      <w:r w:rsidR="00072730">
        <w:rPr>
          <w:i/>
          <w:iCs/>
          <w:kern w:val="0"/>
          <w:lang w:val="nl-NL" w:eastAsia="en-US" w:bidi="ar-SA"/>
        </w:rPr>
        <w:t>-</w:t>
      </w:r>
      <w:r w:rsidR="009931C7" w:rsidRPr="00D147A7">
        <w:rPr>
          <w:i/>
          <w:iCs/>
          <w:kern w:val="0"/>
          <w:lang w:val="nl-NL" w:eastAsia="en-US" w:bidi="ar-SA"/>
        </w:rPr>
        <w:t>schikbaar gemaakt worden. Het doel van een EPD is meestal het huidige of toekomstige zorg</w:t>
      </w:r>
      <w:r w:rsidR="00072730">
        <w:rPr>
          <w:i/>
          <w:iCs/>
          <w:kern w:val="0"/>
          <w:lang w:val="nl-NL" w:eastAsia="en-US" w:bidi="ar-SA"/>
        </w:rPr>
        <w:t>-</w:t>
      </w:r>
      <w:r w:rsidR="009931C7" w:rsidRPr="00D147A7">
        <w:rPr>
          <w:i/>
          <w:iCs/>
          <w:kern w:val="0"/>
          <w:lang w:val="nl-NL" w:eastAsia="en-US" w:bidi="ar-SA"/>
        </w:rPr>
        <w:t>proces rondom een patiënt te ondersteunen. De meeste EPD-systemen bevatten de patiënten</w:t>
      </w:r>
      <w:r w:rsidR="00072730">
        <w:rPr>
          <w:i/>
          <w:iCs/>
          <w:kern w:val="0"/>
          <w:lang w:val="nl-NL" w:eastAsia="en-US" w:bidi="ar-SA"/>
        </w:rPr>
        <w:t>-</w:t>
      </w:r>
      <w:r w:rsidR="009931C7" w:rsidRPr="00D147A7">
        <w:rPr>
          <w:i/>
          <w:iCs/>
          <w:kern w:val="0"/>
          <w:lang w:val="nl-NL" w:eastAsia="en-US" w:bidi="ar-SA"/>
        </w:rPr>
        <w:t>gegevens afkomstig van één enkele organisatie (of organisatiedeel), bijvoorbeeld een zieken</w:t>
      </w:r>
      <w:r w:rsidR="00072730">
        <w:rPr>
          <w:i/>
          <w:iCs/>
          <w:kern w:val="0"/>
          <w:lang w:val="nl-NL" w:eastAsia="en-US" w:bidi="ar-SA"/>
        </w:rPr>
        <w:t>-</w:t>
      </w:r>
      <w:r w:rsidR="009931C7" w:rsidRPr="00D147A7">
        <w:rPr>
          <w:i/>
          <w:iCs/>
          <w:kern w:val="0"/>
          <w:lang w:val="nl-NL" w:eastAsia="en-US" w:bidi="ar-SA"/>
        </w:rPr>
        <w:t>huis of een huisartsenpraktijk. Sommige EPD</w:t>
      </w:r>
      <w:r w:rsidR="0097613E">
        <w:rPr>
          <w:i/>
          <w:iCs/>
          <w:kern w:val="0"/>
          <w:lang w:val="nl-NL" w:eastAsia="en-US" w:bidi="ar-SA"/>
        </w:rPr>
        <w:t>’</w:t>
      </w:r>
      <w:r w:rsidR="009931C7" w:rsidRPr="00D147A7">
        <w:rPr>
          <w:i/>
          <w:iCs/>
          <w:kern w:val="0"/>
          <w:lang w:val="nl-NL" w:eastAsia="en-US" w:bidi="ar-SA"/>
        </w:rPr>
        <w:t>s bevatten de patiëntengegevens afkomstig uit een regio of een land.</w:t>
      </w:r>
      <w:r w:rsidR="009931C7" w:rsidRPr="00D147A7">
        <w:rPr>
          <w:kern w:val="0"/>
          <w:vertAlign w:val="superscript"/>
          <w:lang w:val="nl-NL" w:eastAsia="en-US" w:bidi="ar-SA"/>
        </w:rPr>
        <w:footnoteReference w:id="199"/>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In de wet</w:t>
      </w:r>
      <w:r w:rsidR="0003154E" w:rsidRPr="00D147A7">
        <w:rPr>
          <w:kern w:val="0"/>
          <w:lang w:val="nl-NL" w:eastAsia="en-US" w:bidi="ar-SA"/>
        </w:rPr>
        <w:t>geving</w:t>
      </w:r>
      <w:r w:rsidRPr="00D147A7">
        <w:rPr>
          <w:kern w:val="0"/>
          <w:lang w:val="nl-NL" w:eastAsia="en-US" w:bidi="ar-SA"/>
        </w:rPr>
        <w:t xml:space="preserve"> werden evenmin specifieke voorwaarden opgenomen waar de inhoud van modale patiëntendossiers aan moeten voldoen. Enkel voor dossiers van gedwongen opgeno</w:t>
      </w:r>
      <w:r w:rsidR="0003154E" w:rsidRPr="00D147A7">
        <w:rPr>
          <w:kern w:val="0"/>
          <w:lang w:val="nl-NL" w:eastAsia="en-US" w:bidi="ar-SA"/>
        </w:rPr>
        <w:t>-</w:t>
      </w:r>
      <w:r w:rsidRPr="00D147A7">
        <w:rPr>
          <w:kern w:val="0"/>
          <w:lang w:val="nl-NL" w:eastAsia="en-US" w:bidi="ar-SA"/>
        </w:rPr>
        <w:t>men patiënten in psychiatrische ziekenhuizen werd de minimale inhoud verordend. Artikel 2 § 1 van het besluit patiëntendossier</w:t>
      </w:r>
      <w:r w:rsidR="0003154E" w:rsidRPr="00D147A7">
        <w:rPr>
          <w:kern w:val="0"/>
          <w:lang w:val="nl-NL" w:eastAsia="en-US" w:bidi="ar-SA"/>
        </w:rPr>
        <w:t>s</w:t>
      </w:r>
      <w:r w:rsidRPr="00D147A7">
        <w:rPr>
          <w:kern w:val="0"/>
          <w:lang w:val="nl-NL" w:eastAsia="en-US" w:bidi="ar-SA"/>
        </w:rPr>
        <w:t xml:space="preserve"> Bopz stelt: </w:t>
      </w:r>
      <w:r w:rsidRPr="00D147A7">
        <w:rPr>
          <w:i/>
          <w:iCs/>
          <w:kern w:val="0"/>
          <w:lang w:val="nl-NL" w:eastAsia="en-US" w:bidi="ar-SA"/>
        </w:rPr>
        <w:t>Er wordt een dossier ingericht met betrekking tot de behandeling van de patiënt, waarbij in ieder geval de volgende gegevens worden vast</w:t>
      </w:r>
      <w:r w:rsidR="00072730">
        <w:rPr>
          <w:i/>
          <w:iCs/>
          <w:kern w:val="0"/>
          <w:lang w:val="nl-NL" w:eastAsia="en-US" w:bidi="ar-SA"/>
        </w:rPr>
        <w:t>-</w:t>
      </w:r>
      <w:r w:rsidRPr="00D147A7">
        <w:rPr>
          <w:i/>
          <w:iCs/>
          <w:kern w:val="0"/>
          <w:lang w:val="nl-NL" w:eastAsia="en-US" w:bidi="ar-SA"/>
        </w:rPr>
        <w:t>gesteld:</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lastRenderedPageBreak/>
        <w:t>1° het opgestelde behandelingsplan (of, indien hier geen overeenstemming werd be</w:t>
      </w:r>
      <w:r w:rsidR="0097613E">
        <w:rPr>
          <w:i/>
          <w:iCs/>
          <w:kern w:val="0"/>
          <w:lang w:val="nl-NL" w:eastAsia="en-US" w:bidi="ar-SA"/>
        </w:rPr>
        <w:t>-</w:t>
      </w:r>
      <w:r w:rsidRPr="00D147A7">
        <w:rPr>
          <w:i/>
          <w:iCs/>
          <w:kern w:val="0"/>
          <w:lang w:val="nl-NL" w:eastAsia="en-US" w:bidi="ar-SA"/>
        </w:rPr>
        <w:t>reikt, de voorstellen voor een dergelijk behandelingsplan), de voortgang per maand in de uitvoering van dit plan en de medewerking van de betrokkene aan de uitvoering van dit plan</w:t>
      </w:r>
      <w:r w:rsidRPr="00D147A7">
        <w:rPr>
          <w:i/>
          <w:iCs/>
          <w:kern w:val="0"/>
          <w:vertAlign w:val="superscript"/>
          <w:lang w:val="nl-NL" w:eastAsia="en-US" w:bidi="ar-SA"/>
        </w:rPr>
        <w:footnoteReference w:id="200"/>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i/>
          <w:iCs/>
          <w:kern w:val="0"/>
          <w:lang w:val="nl-NL" w:eastAsia="en-US" w:bidi="ar-SA"/>
        </w:rPr>
      </w:pPr>
      <w:r w:rsidRPr="00D147A7">
        <w:rPr>
          <w:i/>
          <w:iCs/>
          <w:kern w:val="0"/>
          <w:lang w:val="nl-NL" w:eastAsia="en-US" w:bidi="ar-SA"/>
        </w:rPr>
        <w:t>2° de opname- en ontslaggegevens</w:t>
      </w:r>
      <w:r w:rsidRPr="00D147A7">
        <w:rPr>
          <w:kern w:val="0"/>
          <w:lang w:val="nl-NL" w:eastAsia="en-US" w:bidi="ar-SA"/>
        </w:rPr>
        <w:t>;</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3° rapporten uitgebracht door of aan de inrichting betreffende de ten uitvoerlegging van de opgelegde maatregel van ter beschikkingstelling</w:t>
      </w:r>
      <w:r w:rsidRPr="00D147A7">
        <w:rPr>
          <w:kern w:val="0"/>
          <w:lang w:val="nl-NL" w:eastAsia="en-US" w:bidi="ar-SA"/>
        </w:rPr>
        <w:t>;</w:t>
      </w:r>
    </w:p>
    <w:p w:rsidR="009931C7" w:rsidRPr="00D147A7" w:rsidRDefault="009931C7" w:rsidP="009931C7">
      <w:pPr>
        <w:widowControl/>
        <w:suppressAutoHyphens w:val="0"/>
        <w:spacing w:line="240" w:lineRule="atLeast"/>
        <w:ind w:left="708"/>
        <w:jc w:val="both"/>
        <w:rPr>
          <w:i/>
          <w:iCs/>
          <w:kern w:val="0"/>
          <w:lang w:val="nl-NL" w:eastAsia="en-US" w:bidi="ar-SA"/>
        </w:rPr>
      </w:pPr>
      <w:r w:rsidRPr="00D147A7">
        <w:rPr>
          <w:i/>
          <w:iCs/>
          <w:kern w:val="0"/>
          <w:lang w:val="nl-NL" w:eastAsia="en-US" w:bidi="ar-SA"/>
        </w:rPr>
        <w:t>4° een recent opgemaakt, met redenen omkleed en ondertekend advies van het hoofd van de inrichting en een afschrift van de aantekeningen omtrent de lichamelijke en geestelijke gesteldheid van de ter beschikking gestelde</w:t>
      </w:r>
      <w:r w:rsidRPr="00D147A7">
        <w:rPr>
          <w:i/>
          <w:iCs/>
          <w:kern w:val="0"/>
          <w:vertAlign w:val="superscript"/>
          <w:lang w:val="nl-NL" w:eastAsia="en-US" w:bidi="ar-SA"/>
        </w:rPr>
        <w:footnoteReference w:id="201"/>
      </w:r>
      <w:r w:rsidRPr="00D147A7">
        <w:rPr>
          <w:kern w:val="0"/>
          <w:lang w:val="nl-NL" w:eastAsia="en-US" w:bidi="ar-SA"/>
        </w:rPr>
        <w:t>;</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i/>
          <w:iCs/>
          <w:kern w:val="0"/>
          <w:lang w:val="nl-NL" w:eastAsia="en-US" w:bidi="ar-SA"/>
        </w:rPr>
        <w:t xml:space="preserve">5° de gegevens omtrent de gezondheid van de patiënt en te diens aanzien uitgevoerde verrichtingen en </w:t>
      </w:r>
      <w:r w:rsidRPr="00D147A7">
        <w:rPr>
          <w:kern w:val="0"/>
          <w:lang w:val="nl-NL" w:eastAsia="en-US" w:bidi="ar-SA"/>
        </w:rPr>
        <w:t xml:space="preserve">(…) </w:t>
      </w:r>
      <w:r w:rsidRPr="00D147A7">
        <w:rPr>
          <w:i/>
          <w:iCs/>
          <w:kern w:val="0"/>
          <w:lang w:val="nl-NL" w:eastAsia="en-US" w:bidi="ar-SA"/>
        </w:rPr>
        <w:t xml:space="preserve">andere stukken, bevattende zodanige gegevens, </w:t>
      </w:r>
      <w:r w:rsidRPr="00D147A7">
        <w:rPr>
          <w:kern w:val="0"/>
          <w:lang w:val="nl-NL" w:eastAsia="en-US" w:bidi="ar-SA"/>
        </w:rPr>
        <w:t>(…)</w:t>
      </w:r>
      <w:r w:rsidRPr="00D147A7">
        <w:rPr>
          <w:i/>
          <w:iCs/>
          <w:kern w:val="0"/>
          <w:lang w:val="nl-NL" w:eastAsia="en-US" w:bidi="ar-SA"/>
        </w:rPr>
        <w:t xml:space="preserve"> voor zover dit voor een goede hulpverlening </w:t>
      </w:r>
      <w:r w:rsidRPr="00D147A7">
        <w:rPr>
          <w:kern w:val="0"/>
          <w:lang w:val="nl-NL" w:eastAsia="en-US" w:bidi="ar-SA"/>
        </w:rPr>
        <w:t>(…)</w:t>
      </w:r>
      <w:r w:rsidRPr="00D147A7">
        <w:rPr>
          <w:i/>
          <w:iCs/>
          <w:kern w:val="0"/>
          <w:lang w:val="nl-NL" w:eastAsia="en-US" w:bidi="ar-SA"/>
        </w:rPr>
        <w:t xml:space="preserve"> noodzakelijk is</w:t>
      </w:r>
      <w:r w:rsidRPr="00D147A7">
        <w:rPr>
          <w:kern w:val="0"/>
          <w:lang w:val="nl-NL" w:eastAsia="en-US" w:bidi="ar-SA"/>
        </w:rPr>
        <w:t>.</w:t>
      </w:r>
      <w:r w:rsidRPr="00D147A7">
        <w:rPr>
          <w:kern w:val="0"/>
          <w:vertAlign w:val="superscript"/>
          <w:lang w:val="nl-NL" w:eastAsia="en-US" w:bidi="ar-SA"/>
        </w:rPr>
        <w:footnoteReference w:id="202"/>
      </w:r>
    </w:p>
    <w:p w:rsidR="009931C7" w:rsidRPr="00D147A7" w:rsidRDefault="009931C7" w:rsidP="009931C7">
      <w:pPr>
        <w:widowControl/>
        <w:suppressAutoHyphens w:val="0"/>
        <w:spacing w:line="240" w:lineRule="atLeast"/>
        <w:ind w:left="708"/>
        <w:jc w:val="both"/>
        <w:rPr>
          <w:kern w:val="0"/>
          <w:lang w:val="nl-NL" w:eastAsia="en-US" w:bidi="ar-SA"/>
        </w:rPr>
      </w:pPr>
      <w:r w:rsidRPr="00D147A7">
        <w:rPr>
          <w:i/>
          <w:iCs/>
          <w:kern w:val="0"/>
          <w:lang w:val="nl-NL" w:eastAsia="en-US" w:bidi="ar-SA"/>
        </w:rPr>
        <w:t>5° een door de patiënt afgegeven verklaring met betrekking tot de in het dossier opge</w:t>
      </w:r>
      <w:r w:rsidR="00483505" w:rsidRPr="00D147A7">
        <w:rPr>
          <w:i/>
          <w:iCs/>
          <w:kern w:val="0"/>
          <w:lang w:val="nl-NL" w:eastAsia="en-US" w:bidi="ar-SA"/>
        </w:rPr>
        <w:t>-</w:t>
      </w:r>
      <w:r w:rsidRPr="00D147A7">
        <w:rPr>
          <w:i/>
          <w:iCs/>
          <w:kern w:val="0"/>
          <w:lang w:val="nl-NL" w:eastAsia="en-US" w:bidi="ar-SA"/>
        </w:rPr>
        <w:t>nomen stukken</w:t>
      </w:r>
      <w:r w:rsidRPr="00D147A7">
        <w:rPr>
          <w:kern w:val="0"/>
          <w:lang w:val="nl-NL" w:eastAsia="en-US" w:bidi="ar-SA"/>
        </w:rPr>
        <w:t>.</w:t>
      </w:r>
      <w:r w:rsidRPr="00D147A7">
        <w:rPr>
          <w:kern w:val="0"/>
          <w:vertAlign w:val="superscript"/>
          <w:lang w:val="nl-NL" w:eastAsia="en-US" w:bidi="ar-SA"/>
        </w:rPr>
        <w:footnoteReference w:id="203"/>
      </w:r>
    </w:p>
    <w:p w:rsidR="009931C7" w:rsidRPr="00D147A7" w:rsidRDefault="009931C7" w:rsidP="009931C7">
      <w:pPr>
        <w:widowControl/>
        <w:suppressAutoHyphens w:val="0"/>
        <w:spacing w:line="240" w:lineRule="atLeast"/>
        <w:jc w:val="both"/>
        <w:rPr>
          <w:i/>
          <w:iCs/>
          <w:kern w:val="0"/>
          <w:lang w:val="nl-NL" w:eastAsia="en-US" w:bidi="ar-SA"/>
        </w:rPr>
      </w:pPr>
      <w:r w:rsidRPr="00D147A7">
        <w:rPr>
          <w:kern w:val="0"/>
          <w:lang w:val="nl-NL" w:eastAsia="en-US" w:bidi="ar-SA"/>
        </w:rPr>
        <w:t>Bovendien worden patiëntendossiers</w:t>
      </w:r>
      <w:r w:rsidRPr="00D147A7">
        <w:rPr>
          <w:i/>
          <w:iCs/>
          <w:kern w:val="0"/>
          <w:lang w:val="nl-NL" w:eastAsia="en-US" w:bidi="ar-SA"/>
        </w:rPr>
        <w:t xml:space="preserve"> op zorgvuldige wijze, volgens een vaste standaardinde</w:t>
      </w:r>
      <w:r w:rsidR="00483505" w:rsidRPr="00D147A7">
        <w:rPr>
          <w:i/>
          <w:iCs/>
          <w:kern w:val="0"/>
          <w:lang w:val="nl-NL" w:eastAsia="en-US" w:bidi="ar-SA"/>
        </w:rPr>
        <w:t>-</w:t>
      </w:r>
      <w:r w:rsidRPr="00D147A7">
        <w:rPr>
          <w:i/>
          <w:iCs/>
          <w:kern w:val="0"/>
          <w:lang w:val="nl-NL" w:eastAsia="en-US" w:bidi="ar-SA"/>
        </w:rPr>
        <w:t>ling opgebouwd</w:t>
      </w:r>
      <w:r w:rsidRPr="00D147A7">
        <w:rPr>
          <w:kern w:val="0"/>
          <w:lang w:val="nl-NL" w:eastAsia="en-US" w:bidi="ar-SA"/>
        </w:rPr>
        <w:t>.</w:t>
      </w:r>
      <w:r w:rsidRPr="00D147A7">
        <w:rPr>
          <w:kern w:val="0"/>
          <w:vertAlign w:val="superscript"/>
          <w:lang w:val="nl-NL" w:eastAsia="en-US" w:bidi="ar-SA"/>
        </w:rPr>
        <w:footnoteReference w:id="204"/>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wet</w:t>
      </w:r>
      <w:r w:rsidR="0015724C" w:rsidRPr="00D147A7">
        <w:rPr>
          <w:kern w:val="0"/>
          <w:lang w:val="nl-NL" w:eastAsia="en-US" w:bidi="ar-SA"/>
        </w:rPr>
        <w:t>gever</w:t>
      </w:r>
      <w:r w:rsidRPr="00D147A7">
        <w:rPr>
          <w:kern w:val="0"/>
          <w:lang w:val="nl-NL" w:eastAsia="en-US" w:bidi="ar-SA"/>
        </w:rPr>
        <w:t xml:space="preserve"> schrijft voor dat in de overige patiëntendossiers enkel gegevens opgenomen </w:t>
      </w:r>
      <w:r w:rsidR="0003154E" w:rsidRPr="00D147A7">
        <w:rPr>
          <w:kern w:val="0"/>
          <w:lang w:val="nl-NL" w:eastAsia="en-US" w:bidi="ar-SA"/>
        </w:rPr>
        <w:t xml:space="preserve">mogen </w:t>
      </w:r>
      <w:r w:rsidRPr="00D147A7">
        <w:rPr>
          <w:kern w:val="0"/>
          <w:lang w:val="nl-NL" w:eastAsia="en-US" w:bidi="ar-SA"/>
        </w:rPr>
        <w:t>worden die noodzakelijk zijn voor een goede zorgverlening.</w:t>
      </w:r>
      <w:r w:rsidRPr="00D147A7">
        <w:rPr>
          <w:kern w:val="0"/>
          <w:vertAlign w:val="superscript"/>
          <w:lang w:val="nl-NL" w:eastAsia="en-US" w:bidi="ar-SA"/>
        </w:rPr>
        <w:footnoteReference w:id="205"/>
      </w:r>
      <w:r w:rsidRPr="00D147A7">
        <w:rPr>
          <w:kern w:val="0"/>
          <w:lang w:val="nl-NL" w:eastAsia="en-US" w:bidi="ar-SA"/>
        </w:rPr>
        <w:t xml:space="preserve"> </w:t>
      </w:r>
      <w:r w:rsidRPr="00D147A7">
        <w:rPr>
          <w:rFonts w:eastAsia="Times New Roman"/>
          <w:kern w:val="0"/>
          <w:lang w:val="nl-NL" w:eastAsia="nl-BE" w:bidi="ar-SA"/>
        </w:rPr>
        <w:t>De Nederlandse wet</w:t>
      </w:r>
      <w:r w:rsidR="0015724C" w:rsidRPr="00D147A7">
        <w:rPr>
          <w:rFonts w:eastAsia="Times New Roman"/>
          <w:kern w:val="0"/>
          <w:lang w:val="nl-NL" w:eastAsia="nl-BE" w:bidi="ar-SA"/>
        </w:rPr>
        <w:t>-</w:t>
      </w:r>
      <w:r w:rsidRPr="00D147A7">
        <w:rPr>
          <w:rFonts w:eastAsia="Times New Roman"/>
          <w:kern w:val="0"/>
          <w:lang w:val="nl-NL" w:eastAsia="nl-BE" w:bidi="ar-SA"/>
        </w:rPr>
        <w:t>gever licht deze algemene bepaling verder toe in de Memorie van Toelichting bij de WGBO.</w:t>
      </w:r>
      <w:r w:rsidRPr="00D147A7">
        <w:rPr>
          <w:kern w:val="0"/>
          <w:lang w:val="nl-NL" w:eastAsia="en-US" w:bidi="ar-SA"/>
        </w:rPr>
        <w:t xml:space="preserve"> Zo moeten in patiëntendossiers aantekeningen </w:t>
      </w:r>
      <w:r w:rsidR="00A50151" w:rsidRPr="00D147A7">
        <w:rPr>
          <w:kern w:val="0"/>
          <w:lang w:val="nl-NL" w:eastAsia="en-US" w:bidi="ar-SA"/>
        </w:rPr>
        <w:t xml:space="preserve">opgenomen worden </w:t>
      </w:r>
      <w:r w:rsidRPr="00D147A7">
        <w:rPr>
          <w:kern w:val="0"/>
          <w:lang w:val="nl-NL" w:eastAsia="en-US" w:bidi="ar-SA"/>
        </w:rPr>
        <w:t>over de gezondheid van de patiënt en de uitgevoerde behandelingen, evenals röntgenfoto’s, uitslagen van laboratorium</w:t>
      </w:r>
      <w:r w:rsidR="0015724C" w:rsidRPr="00D147A7">
        <w:rPr>
          <w:kern w:val="0"/>
          <w:lang w:val="nl-NL" w:eastAsia="en-US" w:bidi="ar-SA"/>
        </w:rPr>
        <w:t>-</w:t>
      </w:r>
      <w:r w:rsidRPr="00D147A7">
        <w:rPr>
          <w:kern w:val="0"/>
          <w:lang w:val="nl-NL" w:eastAsia="en-US" w:bidi="ar-SA"/>
        </w:rPr>
        <w:t>tests, brieven van andere zorgverleners, etc.</w:t>
      </w:r>
      <w:r w:rsidRPr="00D147A7">
        <w:rPr>
          <w:kern w:val="0"/>
          <w:vertAlign w:val="superscript"/>
          <w:lang w:val="nl-NL" w:eastAsia="en-US" w:bidi="ar-SA"/>
        </w:rPr>
        <w:footnoteReference w:id="206"/>
      </w:r>
      <w:r w:rsidRPr="00D147A7">
        <w:rPr>
          <w:kern w:val="0"/>
          <w:lang w:val="nl-NL" w:eastAsia="en-US" w:bidi="ar-SA"/>
        </w:rPr>
        <w:t xml:space="preserve"> Verder heeft ook de KNMG richtlijnen met betrekking tot de inhoud van patiëntendossiers uitgevaardigd. In patiëntendossiers moet</w:t>
      </w:r>
      <w:r w:rsidR="00483505" w:rsidRPr="00D147A7">
        <w:rPr>
          <w:kern w:val="0"/>
          <w:lang w:val="nl-NL" w:eastAsia="en-US" w:bidi="ar-SA"/>
        </w:rPr>
        <w:t xml:space="preserve"> volgens deze Neder</w:t>
      </w:r>
      <w:r w:rsidR="00A50151" w:rsidRPr="00D147A7">
        <w:rPr>
          <w:kern w:val="0"/>
          <w:lang w:val="nl-NL" w:eastAsia="en-US" w:bidi="ar-SA"/>
        </w:rPr>
        <w:t>land</w:t>
      </w:r>
      <w:r w:rsidRPr="00D147A7">
        <w:rPr>
          <w:kern w:val="0"/>
          <w:lang w:val="nl-NL" w:eastAsia="en-US" w:bidi="ar-SA"/>
        </w:rPr>
        <w:t>se artsenfederatie minstens aanwezig zijn:</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 gegevens met betrekking tot medische handelingen (de zgn. </w:t>
      </w:r>
      <w:r w:rsidRPr="00D147A7">
        <w:rPr>
          <w:iCs/>
          <w:kern w:val="0"/>
          <w:lang w:val="nl-NL" w:eastAsia="en-US" w:bidi="ar-SA"/>
        </w:rPr>
        <w:t>episodegebonden gege</w:t>
      </w:r>
      <w:r w:rsidR="00072730">
        <w:rPr>
          <w:iCs/>
          <w:kern w:val="0"/>
          <w:lang w:val="nl-NL" w:eastAsia="en-US" w:bidi="ar-SA"/>
        </w:rPr>
        <w:t>-</w:t>
      </w:r>
      <w:r w:rsidRPr="00D147A7">
        <w:rPr>
          <w:iCs/>
          <w:kern w:val="0"/>
          <w:lang w:val="nl-NL" w:eastAsia="en-US" w:bidi="ar-SA"/>
        </w:rPr>
        <w:t>vens</w:t>
      </w:r>
      <w:r w:rsidRPr="00D147A7">
        <w:rPr>
          <w:kern w:val="0"/>
          <w:lang w:val="nl-NL" w:eastAsia="en-US" w:bidi="ar-SA"/>
        </w:rPr>
        <w:t>): antecedenten, anamnese, onderzoek, diagnose, behandel- of zorgplan, corres</w:t>
      </w:r>
      <w:r w:rsidR="00072730">
        <w:rPr>
          <w:kern w:val="0"/>
          <w:lang w:val="nl-NL" w:eastAsia="en-US" w:bidi="ar-SA"/>
        </w:rPr>
        <w:t>-</w:t>
      </w:r>
      <w:r w:rsidRPr="00D147A7">
        <w:rPr>
          <w:kern w:val="0"/>
          <w:lang w:val="nl-NL" w:eastAsia="en-US" w:bidi="ar-SA"/>
        </w:rPr>
        <w:t>pondentie, behandeling, verrichtingen, begeleiding, behandelings- en verplegingsresul</w:t>
      </w:r>
      <w:r w:rsidR="00072730">
        <w:rPr>
          <w:kern w:val="0"/>
          <w:lang w:val="nl-NL" w:eastAsia="en-US" w:bidi="ar-SA"/>
        </w:rPr>
        <w:t>-</w:t>
      </w:r>
      <w:r w:rsidRPr="00D147A7">
        <w:rPr>
          <w:kern w:val="0"/>
          <w:lang w:val="nl-NL" w:eastAsia="en-US" w:bidi="ar-SA"/>
        </w:rPr>
        <w:t>taten, etc.;</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2° gegevens die bijdragen aan de continuïteit van de zorgverlening noodzakelijk: de vastlegging van een behandelepisode, problemen relevant voor de levensloopgenees</w:t>
      </w:r>
      <w:r w:rsidR="00072730">
        <w:rPr>
          <w:kern w:val="0"/>
          <w:lang w:val="nl-NL" w:eastAsia="en-US" w:bidi="ar-SA"/>
        </w:rPr>
        <w:t>-</w:t>
      </w:r>
      <w:r w:rsidRPr="00D147A7">
        <w:rPr>
          <w:kern w:val="0"/>
          <w:lang w:val="nl-NL" w:eastAsia="en-US" w:bidi="ar-SA"/>
        </w:rPr>
        <w:t>kunde (zoals bij DES-dochters</w:t>
      </w:r>
      <w:r w:rsidRPr="00D147A7">
        <w:rPr>
          <w:kern w:val="0"/>
          <w:vertAlign w:val="superscript"/>
          <w:lang w:val="nl-NL" w:eastAsia="en-US" w:bidi="ar-SA"/>
        </w:rPr>
        <w:footnoteReference w:id="207"/>
      </w:r>
      <w:r w:rsidRPr="00D147A7">
        <w:rPr>
          <w:kern w:val="0"/>
          <w:lang w:val="nl-NL" w:eastAsia="en-US" w:bidi="ar-SA"/>
        </w:rPr>
        <w:t>), etc.;</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3° gegevens die voor een patiënt ook bij volgende behandeling, onderzoek en begelei</w:t>
      </w:r>
      <w:r w:rsidR="0003154E" w:rsidRPr="00D147A7">
        <w:rPr>
          <w:kern w:val="0"/>
          <w:lang w:val="nl-NL" w:eastAsia="en-US" w:bidi="ar-SA"/>
        </w:rPr>
        <w:t>-</w:t>
      </w:r>
      <w:r w:rsidRPr="00D147A7">
        <w:rPr>
          <w:kern w:val="0"/>
          <w:lang w:val="nl-NL" w:eastAsia="en-US" w:bidi="ar-SA"/>
        </w:rPr>
        <w:t xml:space="preserve">ding relevant blijven (de zgn. </w:t>
      </w:r>
      <w:r w:rsidRPr="00D147A7">
        <w:rPr>
          <w:iCs/>
          <w:kern w:val="0"/>
          <w:lang w:val="nl-NL" w:eastAsia="en-US" w:bidi="ar-SA"/>
        </w:rPr>
        <w:t>persoonsgebonden gegevens</w:t>
      </w:r>
      <w:r w:rsidRPr="00D147A7">
        <w:rPr>
          <w:kern w:val="0"/>
          <w:lang w:val="nl-NL" w:eastAsia="en-US" w:bidi="ar-SA"/>
        </w:rPr>
        <w:t>);</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4° schriftelijke wilsverklaringen van de patiënt: de non-reanimatieverklaring, de eutha</w:t>
      </w:r>
      <w:r w:rsidR="00072730">
        <w:rPr>
          <w:kern w:val="0"/>
          <w:lang w:val="nl-NL" w:eastAsia="en-US" w:bidi="ar-SA"/>
        </w:rPr>
        <w:t>-</w:t>
      </w:r>
      <w:r w:rsidRPr="00D147A7">
        <w:rPr>
          <w:kern w:val="0"/>
          <w:lang w:val="nl-NL" w:eastAsia="en-US" w:bidi="ar-SA"/>
        </w:rPr>
        <w:t>nasieverklaring, het donorcodicil, etc.;</w:t>
      </w:r>
    </w:p>
    <w:p w:rsidR="009931C7" w:rsidRPr="00D147A7" w:rsidRDefault="009931C7" w:rsidP="00072730">
      <w:pPr>
        <w:widowControl/>
        <w:suppressAutoHyphens w:val="0"/>
        <w:spacing w:line="240" w:lineRule="atLeast"/>
        <w:ind w:firstLine="708"/>
        <w:jc w:val="both"/>
        <w:rPr>
          <w:kern w:val="0"/>
          <w:lang w:val="nl-NL" w:eastAsia="en-US" w:bidi="ar-SA"/>
        </w:rPr>
      </w:pPr>
      <w:r w:rsidRPr="00D147A7">
        <w:rPr>
          <w:kern w:val="0"/>
          <w:lang w:val="nl-NL" w:eastAsia="en-US" w:bidi="ar-SA"/>
        </w:rPr>
        <w:t>5° aantekeningen over welke informatie de patiënt heeft ontvangen.</w:t>
      </w:r>
    </w:p>
    <w:p w:rsidR="009931C7" w:rsidRPr="00D147A7" w:rsidRDefault="00E3749F"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Ook i</w:t>
      </w:r>
      <w:r w:rsidR="009931C7" w:rsidRPr="00D147A7">
        <w:rPr>
          <w:kern w:val="0"/>
          <w:lang w:val="nl-NL" w:eastAsia="en-US" w:bidi="ar-SA"/>
        </w:rPr>
        <w:t>n ziekenhuismiddens bestaat er een zekere consensus over wat minstens in een patiënt</w:t>
      </w:r>
      <w:r w:rsidRPr="00D147A7">
        <w:rPr>
          <w:kern w:val="0"/>
          <w:lang w:val="nl-NL" w:eastAsia="en-US" w:bidi="ar-SA"/>
        </w:rPr>
        <w:t>-</w:t>
      </w:r>
      <w:r w:rsidR="009931C7" w:rsidRPr="00D147A7">
        <w:rPr>
          <w:kern w:val="0"/>
          <w:lang w:val="nl-NL" w:eastAsia="en-US" w:bidi="ar-SA"/>
        </w:rPr>
        <w:t>en</w:t>
      </w:r>
      <w:r w:rsidRPr="00D147A7">
        <w:rPr>
          <w:kern w:val="0"/>
          <w:lang w:val="nl-NL" w:eastAsia="en-US" w:bidi="ar-SA"/>
        </w:rPr>
        <w:t>dossier moet worden</w:t>
      </w:r>
      <w:r w:rsidR="0015724C" w:rsidRPr="00D147A7">
        <w:rPr>
          <w:kern w:val="0"/>
          <w:lang w:val="nl-NL" w:eastAsia="en-US" w:bidi="ar-SA"/>
        </w:rPr>
        <w:t xml:space="preserve"> opgenomen</w:t>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 documenten met betrekking tot de diagnose,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2° het ingestelde behandelingsplan,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3° de ingestelde onderzoeken,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4° aantekeningen van gesprekken,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5° schriftelijke wilsverklaringen van de patiënt,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6° notities over </w:t>
      </w:r>
      <w:r w:rsidRPr="00D147A7">
        <w:rPr>
          <w:i/>
          <w:kern w:val="0"/>
          <w:lang w:val="nl-NL" w:eastAsia="en-US" w:bidi="ar-SA"/>
        </w:rPr>
        <w:t>informed consent</w:t>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7° voortgangsverslag,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8° pathologieverslag (histologie, cytologie en/of obductie),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9° operatieverslag,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10° anesthesieverslag,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11° partusverslag,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12° pre-operatieve checklist,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13° samengevatte verpleegkundige verslagen,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14° belangrijke laboratoriumuitslagen,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15° verwijs- en ontslagbrieven,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16° onderzoekuitslagen (zoals röntgenfoto’s, uitslagen van laboratoriumonderzoeken, electrocardiagrammen (ECG’s) en cardiotocogrammen (CTG’s)),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17° bevindingen van vroegere zorgverleners of geconsulteerde beroepsbeoefenaars, </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18° formulier van de spoedeisende hulp (SEH) met personalia, anamnese, diagnose en voorgenomen behandeling</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19° eventueel het door de behandelende geneesheer opgestelde consultatieverslag in</w:t>
      </w:r>
      <w:r w:rsidR="00072730">
        <w:rPr>
          <w:kern w:val="0"/>
          <w:lang w:val="nl-NL" w:eastAsia="en-US" w:bidi="ar-SA"/>
        </w:rPr>
        <w:t>-</w:t>
      </w:r>
      <w:r w:rsidRPr="00D147A7">
        <w:rPr>
          <w:kern w:val="0"/>
          <w:lang w:val="nl-NL" w:eastAsia="en-US" w:bidi="ar-SA"/>
        </w:rPr>
        <w:t xml:space="preserve">zake euthanasie,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20° eventuele aangeleverde informatie door de patiënt. </w:t>
      </w:r>
    </w:p>
    <w:p w:rsidR="009931C7" w:rsidRPr="00D147A7" w:rsidRDefault="009931C7" w:rsidP="009931C7">
      <w:pPr>
        <w:widowControl/>
        <w:suppressAutoHyphens w:val="0"/>
        <w:spacing w:line="240" w:lineRule="atLeast"/>
        <w:jc w:val="both"/>
        <w:rPr>
          <w:rFonts w:eastAsia="Times New Roman"/>
          <w:kern w:val="0"/>
          <w:lang w:val="nl-NL" w:eastAsia="nl-BE"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rFonts w:eastAsia="Times New Roman"/>
          <w:kern w:val="0"/>
          <w:lang w:val="nl-NL" w:eastAsia="nl-BE" w:bidi="ar-SA"/>
        </w:rPr>
        <w:t>Correspondentie over schadeclaims en klachten, meldingen incidenten patiëntenzorg (MIP), veilig incident melding (VIM) en meldingen aan de inspectie van calamiteiten, keuringsgege</w:t>
      </w:r>
      <w:r w:rsidR="00072730">
        <w:rPr>
          <w:rFonts w:eastAsia="Times New Roman"/>
          <w:kern w:val="0"/>
          <w:lang w:val="nl-NL" w:eastAsia="nl-BE" w:bidi="ar-SA"/>
        </w:rPr>
        <w:t>-</w:t>
      </w:r>
      <w:r w:rsidRPr="00D147A7">
        <w:rPr>
          <w:rFonts w:eastAsia="Times New Roman"/>
          <w:kern w:val="0"/>
          <w:lang w:val="nl-NL" w:eastAsia="nl-BE" w:bidi="ar-SA"/>
        </w:rPr>
        <w:t>vens en persoonlijke werkaantekeningen horen daarentegen niet in het patiëntendossier thuis.</w:t>
      </w:r>
      <w:r w:rsidRPr="00D147A7">
        <w:rPr>
          <w:rFonts w:eastAsia="Times New Roman"/>
          <w:kern w:val="0"/>
          <w:vertAlign w:val="superscript"/>
          <w:lang w:val="nl-NL" w:eastAsia="nl-BE" w:bidi="ar-SA"/>
        </w:rPr>
        <w:footnoteReference w:id="208"/>
      </w:r>
    </w:p>
    <w:p w:rsidR="009931C7" w:rsidRPr="00D147A7" w:rsidRDefault="009931C7" w:rsidP="00563687">
      <w:pPr>
        <w:widowControl/>
        <w:suppressAutoHyphens w:val="0"/>
        <w:spacing w:line="240" w:lineRule="atLeast"/>
        <w:jc w:val="both"/>
        <w:rPr>
          <w:b/>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2: Eigendom</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Vroeger werd in Nederland de eigendom van patiëntendossiers enerzijds aan zelfstandige art</w:t>
      </w:r>
      <w:r w:rsidR="00072730">
        <w:rPr>
          <w:kern w:val="0"/>
          <w:lang w:val="nl-NL" w:eastAsia="en-US" w:bidi="ar-SA"/>
        </w:rPr>
        <w:t>-</w:t>
      </w:r>
      <w:r w:rsidRPr="00D147A7">
        <w:rPr>
          <w:kern w:val="0"/>
          <w:lang w:val="nl-NL" w:eastAsia="en-US" w:bidi="ar-SA"/>
        </w:rPr>
        <w:t>sen en anderzijds aan verzorgingsinstellingen toegekend.</w:t>
      </w:r>
      <w:r w:rsidRPr="00D147A7">
        <w:rPr>
          <w:kern w:val="0"/>
          <w:vertAlign w:val="superscript"/>
          <w:lang w:val="nl-NL" w:eastAsia="en-US" w:bidi="ar-SA"/>
        </w:rPr>
        <w:footnoteReference w:id="209"/>
      </w:r>
      <w:r w:rsidRPr="00D147A7">
        <w:rPr>
          <w:kern w:val="0"/>
          <w:lang w:val="nl-NL" w:eastAsia="en-US" w:bidi="ar-SA"/>
        </w:rPr>
        <w:t xml:space="preserve"> Dat is opmerkelijk aangezien in het Nederlands recht enkel ‘stoffelijke objecten’ voor eigendom vatbaar zijn.</w:t>
      </w:r>
      <w:r w:rsidRPr="00D147A7">
        <w:rPr>
          <w:kern w:val="0"/>
          <w:vertAlign w:val="superscript"/>
          <w:lang w:val="nl-NL" w:eastAsia="en-US" w:bidi="ar-SA"/>
        </w:rPr>
        <w:footnoteReference w:id="210"/>
      </w:r>
      <w:r w:rsidRPr="00D147A7">
        <w:rPr>
          <w:kern w:val="0"/>
          <w:lang w:val="nl-NL" w:eastAsia="en-US" w:bidi="ar-SA"/>
        </w:rPr>
        <w:t xml:space="preserve"> Bovendien wordt eigendom als een absoluut recht gekwalificeerd: het impliceert een uitsluitende be</w:t>
      </w:r>
      <w:r w:rsidR="00072730">
        <w:rPr>
          <w:kern w:val="0"/>
          <w:lang w:val="nl-NL" w:eastAsia="en-US" w:bidi="ar-SA"/>
        </w:rPr>
        <w:t>-</w:t>
      </w:r>
      <w:r w:rsidRPr="00D147A7">
        <w:rPr>
          <w:kern w:val="0"/>
          <w:lang w:val="nl-NL" w:eastAsia="en-US" w:bidi="ar-SA"/>
        </w:rPr>
        <w:t>schikkingsbevoegdheid en een exclusieve positie ten opzichte van anderen. Dit leidt dus tot de conclusie dat van juridische eigendom van gezondheidsgegevens geen sprake kan zijn.</w:t>
      </w:r>
      <w:r w:rsidRPr="00D147A7">
        <w:rPr>
          <w:kern w:val="0"/>
          <w:vertAlign w:val="superscript"/>
          <w:lang w:val="nl-NL" w:eastAsia="en-US" w:bidi="ar-SA"/>
        </w:rPr>
        <w:footnoteReference w:id="211"/>
      </w:r>
      <w:r w:rsidRPr="00D147A7">
        <w:rPr>
          <w:kern w:val="0"/>
          <w:lang w:val="nl-NL" w:eastAsia="en-US" w:bidi="ar-SA"/>
        </w:rPr>
        <w:t xml:space="preserve"> Ver</w:t>
      </w:r>
      <w:r w:rsidR="00072730">
        <w:rPr>
          <w:kern w:val="0"/>
          <w:lang w:val="nl-NL" w:eastAsia="en-US" w:bidi="ar-SA"/>
        </w:rPr>
        <w:t>-</w:t>
      </w:r>
      <w:r w:rsidRPr="00D147A7">
        <w:rPr>
          <w:kern w:val="0"/>
          <w:lang w:val="nl-NL" w:eastAsia="en-US" w:bidi="ar-SA"/>
        </w:rPr>
        <w:t>helderend in dit opzicht is de uitspraak van Ernst Hirsch Ballin in zijn hoedanigheid van Mini</w:t>
      </w:r>
      <w:r w:rsidR="00072730">
        <w:rPr>
          <w:kern w:val="0"/>
          <w:lang w:val="nl-NL" w:eastAsia="en-US" w:bidi="ar-SA"/>
        </w:rPr>
        <w:t>-</w:t>
      </w:r>
      <w:r w:rsidRPr="00D147A7">
        <w:rPr>
          <w:kern w:val="0"/>
          <w:lang w:val="nl-NL" w:eastAsia="en-US" w:bidi="ar-SA"/>
        </w:rPr>
        <w:t>ster van Veiligheid en Justitie ten tijde van de parlementaire voorbereiding van de WGBO</w:t>
      </w:r>
      <w:r w:rsidRPr="00D147A7">
        <w:rPr>
          <w:kern w:val="0"/>
          <w:vertAlign w:val="superscript"/>
          <w:lang w:val="nl-NL" w:eastAsia="en-US" w:bidi="ar-SA"/>
        </w:rPr>
        <w:footnoteReference w:id="212"/>
      </w:r>
      <w:r w:rsidRPr="00D147A7">
        <w:rPr>
          <w:kern w:val="0"/>
          <w:lang w:val="nl-NL" w:eastAsia="en-US" w:bidi="ar-SA"/>
        </w:rPr>
        <w:t xml:space="preserve">: </w:t>
      </w:r>
      <w:r w:rsidRPr="00D147A7">
        <w:rPr>
          <w:i/>
          <w:iCs/>
          <w:kern w:val="0"/>
          <w:lang w:val="nl-NL" w:eastAsia="en-US" w:bidi="ar-SA"/>
        </w:rPr>
        <w:t xml:space="preserve">Wij verzetten ons </w:t>
      </w:r>
      <w:r w:rsidRPr="00D147A7">
        <w:rPr>
          <w:kern w:val="0"/>
          <w:lang w:val="nl-NL" w:eastAsia="en-US" w:bidi="ar-SA"/>
        </w:rPr>
        <w:t>(…)</w:t>
      </w:r>
      <w:r w:rsidRPr="00D147A7">
        <w:rPr>
          <w:i/>
          <w:iCs/>
          <w:kern w:val="0"/>
          <w:lang w:val="nl-NL" w:eastAsia="en-US" w:bidi="ar-SA"/>
        </w:rPr>
        <w:t xml:space="preserve"> tegen de toepassing van noties, ontleend aan het eigendomsrecht, met betrekking tot gegevens. De geregistreerde, noch de houder kunnen worden aangemerkt als «eigenaar» van persoonsgegevens. Het multiple karakter van gegevens, in de zin dat dezelfde gegevens ter beschikking kunnen staan van meerdere personen, die er feitelijk zonder mede</w:t>
      </w:r>
      <w:r w:rsidR="00072730">
        <w:rPr>
          <w:i/>
          <w:iCs/>
          <w:kern w:val="0"/>
          <w:lang w:val="nl-NL" w:eastAsia="en-US" w:bidi="ar-SA"/>
        </w:rPr>
        <w:t>-</w:t>
      </w:r>
      <w:r w:rsidRPr="00D147A7">
        <w:rPr>
          <w:i/>
          <w:iCs/>
          <w:kern w:val="0"/>
          <w:lang w:val="nl-NL" w:eastAsia="en-US" w:bidi="ar-SA"/>
        </w:rPr>
        <w:lastRenderedPageBreak/>
        <w:t>werking van de ander vrijelijk over kunnen beschikken zonder dat de ander deze daardoor komt te ontberen, staat aan een dergelijke juridische benadering in de weg. Het juridische be</w:t>
      </w:r>
      <w:r w:rsidR="00072730">
        <w:rPr>
          <w:i/>
          <w:iCs/>
          <w:kern w:val="0"/>
          <w:lang w:val="nl-NL" w:eastAsia="en-US" w:bidi="ar-SA"/>
        </w:rPr>
        <w:t>-</w:t>
      </w:r>
      <w:r w:rsidRPr="00D147A7">
        <w:rPr>
          <w:i/>
          <w:iCs/>
          <w:kern w:val="0"/>
          <w:lang w:val="nl-NL" w:eastAsia="en-US" w:bidi="ar-SA"/>
        </w:rPr>
        <w:t>grip «eigenaar» of «eigendom» is niet bruikbaar, ook niet naar analogie, in deze samen</w:t>
      </w:r>
      <w:r w:rsidR="00072730">
        <w:rPr>
          <w:i/>
          <w:iCs/>
          <w:kern w:val="0"/>
          <w:lang w:val="nl-NL" w:eastAsia="en-US" w:bidi="ar-SA"/>
        </w:rPr>
        <w:t>-</w:t>
      </w:r>
      <w:r w:rsidRPr="00D147A7">
        <w:rPr>
          <w:i/>
          <w:iCs/>
          <w:kern w:val="0"/>
          <w:lang w:val="nl-NL" w:eastAsia="en-US" w:bidi="ar-SA"/>
        </w:rPr>
        <w:t>hang</w:t>
      </w:r>
      <w:r w:rsidRPr="00D147A7">
        <w:rPr>
          <w:kern w:val="0"/>
          <w:lang w:val="nl-NL" w:eastAsia="en-US" w:bidi="ar-SA"/>
        </w:rPr>
        <w:t>.</w:t>
      </w:r>
      <w:r w:rsidRPr="00D147A7">
        <w:rPr>
          <w:kern w:val="0"/>
          <w:vertAlign w:val="superscript"/>
          <w:lang w:val="nl-NL" w:eastAsia="en-US" w:bidi="ar-SA"/>
        </w:rPr>
        <w:footnoteReference w:id="213"/>
      </w:r>
      <w:r w:rsidRPr="00D147A7">
        <w:rPr>
          <w:i/>
          <w:iCs/>
          <w:kern w:val="0"/>
          <w:lang w:val="nl-NL" w:eastAsia="en-US" w:bidi="ar-SA"/>
        </w:rPr>
        <w:t xml:space="preserve"> </w:t>
      </w:r>
      <w:r w:rsidRPr="00D147A7">
        <w:rPr>
          <w:kern w:val="0"/>
          <w:lang w:val="nl-NL" w:eastAsia="en-US" w:bidi="ar-SA"/>
        </w:rPr>
        <w:t xml:space="preserve">Niet de gezondheidsgegevens </w:t>
      </w:r>
      <w:r w:rsidRPr="00D147A7">
        <w:rPr>
          <w:i/>
          <w:iCs/>
          <w:kern w:val="0"/>
          <w:lang w:val="nl-NL" w:eastAsia="en-US" w:bidi="ar-SA"/>
        </w:rPr>
        <w:t>an sich</w:t>
      </w:r>
      <w:r w:rsidRPr="00D147A7">
        <w:rPr>
          <w:kern w:val="0"/>
          <w:lang w:val="nl-NL" w:eastAsia="en-US" w:bidi="ar-SA"/>
        </w:rPr>
        <w:t>, maar wel de gegevensdragers waarop deze ge</w:t>
      </w:r>
      <w:r w:rsidR="00072730">
        <w:rPr>
          <w:kern w:val="0"/>
          <w:lang w:val="nl-NL" w:eastAsia="en-US" w:bidi="ar-SA"/>
        </w:rPr>
        <w:t>-</w:t>
      </w:r>
      <w:r w:rsidRPr="00D147A7">
        <w:rPr>
          <w:kern w:val="0"/>
          <w:lang w:val="nl-NL" w:eastAsia="en-US" w:bidi="ar-SA"/>
        </w:rPr>
        <w:t>gevens vastgelegd zijn, kunnen het voorwerp van eigendom uitmaken. De Nederlandse wetge</w:t>
      </w:r>
      <w:r w:rsidR="00072730">
        <w:rPr>
          <w:kern w:val="0"/>
          <w:lang w:val="nl-NL" w:eastAsia="en-US" w:bidi="ar-SA"/>
        </w:rPr>
        <w:t>-</w:t>
      </w:r>
      <w:r w:rsidRPr="00D147A7">
        <w:rPr>
          <w:kern w:val="0"/>
          <w:lang w:val="nl-NL" w:eastAsia="en-US" w:bidi="ar-SA"/>
        </w:rPr>
        <w:t>ver gaat m.i. wel wat kort door de bocht door de eigenaar van gezondheidsgegevens te vereen</w:t>
      </w:r>
      <w:r w:rsidR="00072730">
        <w:rPr>
          <w:kern w:val="0"/>
          <w:lang w:val="nl-NL" w:eastAsia="en-US" w:bidi="ar-SA"/>
        </w:rPr>
        <w:t>-</w:t>
      </w:r>
      <w:r w:rsidRPr="00D147A7">
        <w:rPr>
          <w:kern w:val="0"/>
          <w:lang w:val="nl-NL" w:eastAsia="en-US" w:bidi="ar-SA"/>
        </w:rPr>
        <w:t>zelvigen met de eigenaar van de gegevensdragers (i.e. de zorgverlener).</w:t>
      </w:r>
      <w:r w:rsidRPr="00D147A7">
        <w:rPr>
          <w:kern w:val="0"/>
          <w:vertAlign w:val="superscript"/>
          <w:lang w:val="nl-NL" w:eastAsia="en-US" w:bidi="ar-SA"/>
        </w:rPr>
        <w:footnoteReference w:id="214"/>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rechten en plichten rond zeggenschap over gezondheidsgegevens zijn wel wettelijk gere</w:t>
      </w:r>
      <w:r w:rsidR="00072730">
        <w:rPr>
          <w:kern w:val="0"/>
          <w:lang w:val="nl-NL" w:eastAsia="en-US" w:bidi="ar-SA"/>
        </w:rPr>
        <w:t>-</w:t>
      </w:r>
      <w:r w:rsidRPr="00D147A7">
        <w:rPr>
          <w:kern w:val="0"/>
          <w:lang w:val="nl-NL" w:eastAsia="en-US" w:bidi="ar-SA"/>
        </w:rPr>
        <w:t>geld.</w:t>
      </w:r>
      <w:r w:rsidRPr="00D147A7">
        <w:rPr>
          <w:kern w:val="0"/>
          <w:vertAlign w:val="superscript"/>
          <w:lang w:val="nl-NL" w:eastAsia="en-US" w:bidi="ar-SA"/>
        </w:rPr>
        <w:footnoteReference w:id="215"/>
      </w:r>
      <w:r w:rsidRPr="00D147A7">
        <w:rPr>
          <w:kern w:val="0"/>
          <w:lang w:val="nl-NL" w:eastAsia="en-US" w:bidi="ar-SA"/>
        </w:rPr>
        <w:t xml:space="preserve"> Zowel patiënten, zorgverleners als verzorgingsinstellingen hebben een zekere in</w:t>
      </w:r>
      <w:r w:rsidR="00072730">
        <w:rPr>
          <w:kern w:val="0"/>
          <w:lang w:val="nl-NL" w:eastAsia="en-US" w:bidi="ar-SA"/>
        </w:rPr>
        <w:t>-</w:t>
      </w:r>
      <w:r w:rsidRPr="00D147A7">
        <w:rPr>
          <w:kern w:val="0"/>
          <w:lang w:val="nl-NL" w:eastAsia="en-US" w:bidi="ar-SA"/>
        </w:rPr>
        <w:t xml:space="preserve">spraak over gezondheidsgegevens, hoewel niemand absoluut beslissingsrecht heeft. Ook met het elektronisch patiëntendossier krijgen patiënten geen absolute controle, maar hebben </w:t>
      </w:r>
      <w:r w:rsidR="00512F99" w:rsidRPr="00D147A7">
        <w:rPr>
          <w:kern w:val="0"/>
          <w:lang w:val="nl-NL" w:eastAsia="en-US" w:bidi="ar-SA"/>
        </w:rPr>
        <w:t>‘en</w:t>
      </w:r>
      <w:r w:rsidR="00072730">
        <w:rPr>
          <w:kern w:val="0"/>
          <w:lang w:val="nl-NL" w:eastAsia="en-US" w:bidi="ar-SA"/>
        </w:rPr>
        <w:t>-</w:t>
      </w:r>
      <w:r w:rsidR="00512F99" w:rsidRPr="00D147A7">
        <w:rPr>
          <w:kern w:val="0"/>
          <w:lang w:val="nl-NL" w:eastAsia="en-US" w:bidi="ar-SA"/>
        </w:rPr>
        <w:t>kel’</w:t>
      </w:r>
      <w:r w:rsidRPr="00D147A7">
        <w:rPr>
          <w:kern w:val="0"/>
          <w:lang w:val="nl-NL" w:eastAsia="en-US" w:bidi="ar-SA"/>
        </w:rPr>
        <w:t xml:space="preserve"> meer regie over </w:t>
      </w:r>
      <w:r w:rsidR="00512F99" w:rsidRPr="00D147A7">
        <w:rPr>
          <w:kern w:val="0"/>
          <w:lang w:val="nl-NL" w:eastAsia="en-US" w:bidi="ar-SA"/>
        </w:rPr>
        <w:t>de hen betreffende</w:t>
      </w:r>
      <w:r w:rsidRPr="00D147A7">
        <w:rPr>
          <w:kern w:val="0"/>
          <w:lang w:val="nl-NL" w:eastAsia="en-US" w:bidi="ar-SA"/>
        </w:rPr>
        <w:t xml:space="preserve"> gezondheidsgegevens. De belangrijkste rechten van patiënten worden in de Wet bescherming persoonsgegevens (Wbp), in de WGBO en binnen</w:t>
      </w:r>
      <w:r w:rsidR="00072730">
        <w:rPr>
          <w:kern w:val="0"/>
          <w:lang w:val="nl-NL" w:eastAsia="en-US" w:bidi="ar-SA"/>
        </w:rPr>
        <w:t>-</w:t>
      </w:r>
      <w:r w:rsidRPr="00D147A7">
        <w:rPr>
          <w:kern w:val="0"/>
          <w:lang w:val="nl-NL" w:eastAsia="en-US" w:bidi="ar-SA"/>
        </w:rPr>
        <w:t>kort ook in de Wet cliëntenrechten zorg behandeld.</w:t>
      </w:r>
      <w:r w:rsidRPr="00D147A7">
        <w:rPr>
          <w:kern w:val="0"/>
          <w:vertAlign w:val="superscript"/>
          <w:lang w:val="nl-NL" w:eastAsia="en-US" w:bidi="ar-SA"/>
        </w:rPr>
        <w:footnoteReference w:id="216"/>
      </w:r>
      <w:r w:rsidRPr="00D147A7">
        <w:rPr>
          <w:kern w:val="0"/>
          <w:lang w:val="nl-NL" w:eastAsia="en-US" w:bidi="ar-SA"/>
        </w:rPr>
        <w:t xml:space="preserve"> De inspraak van zorgverleners komt rechtstreeks voort uit hun professionele verantwoordelijkheden, met name hun dossier- en zorgplicht. In de praktijk komen de zeggenschapsrechten van patiënten niet altijd overeen met die van de zorgverleners. Patiënten kunnen hun artsen bijvoorbeeld verzoeken om gegevens uit hun patiëntendossier te vernietigen.</w:t>
      </w:r>
      <w:r w:rsidRPr="00D147A7">
        <w:rPr>
          <w:kern w:val="0"/>
          <w:vertAlign w:val="superscript"/>
          <w:lang w:val="nl-NL" w:eastAsia="en-US" w:bidi="ar-SA"/>
        </w:rPr>
        <w:footnoteReference w:id="217"/>
      </w:r>
      <w:r w:rsidRPr="00D147A7">
        <w:rPr>
          <w:kern w:val="0"/>
          <w:lang w:val="nl-NL" w:eastAsia="en-US" w:bidi="ar-SA"/>
        </w:rPr>
        <w:t xml:space="preserve"> In beginsel moet binnen de drie maanden aan dit verzoek gehoor gegeven worden, tenzij</w:t>
      </w:r>
      <w:r w:rsidR="00512F99" w:rsidRPr="00D147A7">
        <w:rPr>
          <w:kern w:val="0"/>
          <w:lang w:val="nl-NL" w:eastAsia="en-US" w:bidi="ar-SA"/>
        </w:rPr>
        <w:t>:</w:t>
      </w:r>
      <w:r w:rsidRPr="00D147A7">
        <w:rPr>
          <w:kern w:val="0"/>
          <w:lang w:val="nl-NL" w:eastAsia="en-US" w:bidi="ar-SA"/>
        </w:rPr>
        <w:t xml:space="preserve"> de vernietiging in strijd is met een bepaling uit de Wet Bopz of de Archiefwet; een ander dan de patiënt een aanmerkelijk belang heeft bij het bewaren van de gegevens; of de vernietiging de goede zorgverlening in de weg staat.</w:t>
      </w:r>
      <w:r w:rsidRPr="00D147A7">
        <w:rPr>
          <w:kern w:val="0"/>
          <w:vertAlign w:val="superscript"/>
          <w:lang w:val="nl-NL" w:eastAsia="en-US" w:bidi="ar-SA"/>
        </w:rPr>
        <w:footnoteReference w:id="218"/>
      </w:r>
      <w:r w:rsidRPr="00D147A7">
        <w:rPr>
          <w:kern w:val="0"/>
          <w:lang w:val="nl-NL" w:eastAsia="en-US" w:bidi="ar-SA"/>
        </w:rPr>
        <w:t xml:space="preserve"> Welk belang bij een botsing van zeggenschapsrechten prevaleert, moet door de zorgverlener worden afgewogen.</w:t>
      </w:r>
      <w:r w:rsidRPr="00D147A7">
        <w:rPr>
          <w:kern w:val="0"/>
          <w:vertAlign w:val="superscript"/>
          <w:lang w:val="nl-NL" w:eastAsia="en-US" w:bidi="ar-SA"/>
        </w:rPr>
        <w:footnoteReference w:id="219"/>
      </w:r>
    </w:p>
    <w:p w:rsidR="00512F99" w:rsidRPr="00D147A7" w:rsidRDefault="00512F99"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plicht tot bewaring van een patiëntendossier eindigt niet (automatisch) bij het einde van de behandelingsovereenkomst. Een patiënt kan besluiten om de behandelingsovereenkomst te beëindigen. Uit de </w:t>
      </w:r>
      <w:r w:rsidRPr="00D147A7">
        <w:rPr>
          <w:i/>
          <w:iCs/>
          <w:kern w:val="0"/>
          <w:lang w:val="nl-NL" w:eastAsia="en-US" w:bidi="ar-SA"/>
        </w:rPr>
        <w:t>zorg van een goed hulpverlener</w:t>
      </w:r>
      <w:r w:rsidRPr="00D147A7">
        <w:rPr>
          <w:kern w:val="0"/>
          <w:lang w:val="nl-NL" w:eastAsia="en-US" w:bidi="ar-SA"/>
        </w:rPr>
        <w:t xml:space="preserve"> volgt dat de ‘oude’ arts het originele pa</w:t>
      </w:r>
      <w:r w:rsidR="00072730">
        <w:rPr>
          <w:kern w:val="0"/>
          <w:lang w:val="nl-NL" w:eastAsia="en-US" w:bidi="ar-SA"/>
        </w:rPr>
        <w:t>-</w:t>
      </w:r>
      <w:r w:rsidRPr="00D147A7">
        <w:rPr>
          <w:kern w:val="0"/>
          <w:lang w:val="nl-NL" w:eastAsia="en-US" w:bidi="ar-SA"/>
        </w:rPr>
        <w:lastRenderedPageBreak/>
        <w:t xml:space="preserve">tiëntendossier </w:t>
      </w:r>
      <w:r w:rsidR="00512F99" w:rsidRPr="00D147A7">
        <w:rPr>
          <w:kern w:val="0"/>
          <w:lang w:val="nl-NL" w:eastAsia="en-US" w:bidi="ar-SA"/>
        </w:rPr>
        <w:t xml:space="preserve">integraal </w:t>
      </w:r>
      <w:r w:rsidRPr="00D147A7">
        <w:rPr>
          <w:kern w:val="0"/>
          <w:lang w:val="nl-NL" w:eastAsia="en-US" w:bidi="ar-SA"/>
        </w:rPr>
        <w:t xml:space="preserve">ter beschikking stelt </w:t>
      </w:r>
      <w:r w:rsidR="00512F99" w:rsidRPr="00D147A7">
        <w:rPr>
          <w:kern w:val="0"/>
          <w:lang w:val="nl-NL" w:eastAsia="en-US" w:bidi="ar-SA"/>
        </w:rPr>
        <w:t>v</w:t>
      </w:r>
      <w:r w:rsidRPr="00D147A7">
        <w:rPr>
          <w:kern w:val="0"/>
          <w:lang w:val="nl-NL" w:eastAsia="en-US" w:bidi="ar-SA"/>
        </w:rPr>
        <w:t>an de arts die de behandeling voortzet of over</w:t>
      </w:r>
      <w:r w:rsidR="00072730">
        <w:rPr>
          <w:kern w:val="0"/>
          <w:lang w:val="nl-NL" w:eastAsia="en-US" w:bidi="ar-SA"/>
        </w:rPr>
        <w:t>-</w:t>
      </w:r>
      <w:r w:rsidRPr="00D147A7">
        <w:rPr>
          <w:kern w:val="0"/>
          <w:lang w:val="nl-NL" w:eastAsia="en-US" w:bidi="ar-SA"/>
        </w:rPr>
        <w:t>neemt.</w:t>
      </w:r>
      <w:r w:rsidRPr="00D147A7">
        <w:rPr>
          <w:kern w:val="0"/>
          <w:vertAlign w:val="superscript"/>
          <w:lang w:val="nl-NL" w:eastAsia="en-US" w:bidi="ar-SA"/>
        </w:rPr>
        <w:footnoteReference w:id="220"/>
      </w:r>
      <w:r w:rsidRPr="00D147A7">
        <w:rPr>
          <w:kern w:val="0"/>
          <w:lang w:val="nl-NL" w:eastAsia="en-US" w:bidi="ar-SA"/>
        </w:rPr>
        <w:t xml:space="preserve"> Omdat aan de bewaring van dossiers altijd kosten verbonden zijn, wordt het zorg</w:t>
      </w:r>
      <w:r w:rsidR="00072730">
        <w:rPr>
          <w:kern w:val="0"/>
          <w:lang w:val="nl-NL" w:eastAsia="en-US" w:bidi="ar-SA"/>
        </w:rPr>
        <w:t>-</w:t>
      </w:r>
      <w:r w:rsidRPr="00D147A7">
        <w:rPr>
          <w:kern w:val="0"/>
          <w:lang w:val="nl-NL" w:eastAsia="en-US" w:bidi="ar-SA"/>
        </w:rPr>
        <w:t>verleners afgeraden om afschriften in plaats van de originelen over te dragen. Het moet wel opgemerkt worden dat de zorgverlener dan alle bewijsstukken uit handen geeft die zijn ver</w:t>
      </w:r>
      <w:r w:rsidR="00072730">
        <w:rPr>
          <w:kern w:val="0"/>
          <w:lang w:val="nl-NL" w:eastAsia="en-US" w:bidi="ar-SA"/>
        </w:rPr>
        <w:t>-</w:t>
      </w:r>
      <w:r w:rsidRPr="00D147A7">
        <w:rPr>
          <w:kern w:val="0"/>
          <w:lang w:val="nl-NL" w:eastAsia="en-US" w:bidi="ar-SA"/>
        </w:rPr>
        <w:t>dediging in rechte kunnen ondersteunen. Hoewel zorgverleners verder ook aanbevolen wor</w:t>
      </w:r>
      <w:r w:rsidR="00072730">
        <w:rPr>
          <w:kern w:val="0"/>
          <w:lang w:val="nl-NL" w:eastAsia="en-US" w:bidi="ar-SA"/>
        </w:rPr>
        <w:t>-</w:t>
      </w:r>
      <w:r w:rsidRPr="00D147A7">
        <w:rPr>
          <w:kern w:val="0"/>
          <w:lang w:val="nl-NL" w:eastAsia="en-US" w:bidi="ar-SA"/>
        </w:rPr>
        <w:t>den om patiëntendossiers integraal over te dragen, hebben patiënten de mogelijkheid om – teneinde met een ‘propere lei’ bij de nieuwe arts van start te kunnen gaan – slechts delen van hun dossier te laten overdragen.</w:t>
      </w:r>
      <w:r w:rsidRPr="00D147A7">
        <w:rPr>
          <w:kern w:val="0"/>
          <w:vertAlign w:val="superscript"/>
          <w:lang w:val="nl-NL" w:eastAsia="en-US" w:bidi="ar-SA"/>
        </w:rPr>
        <w:footnoteReference w:id="221"/>
      </w:r>
      <w:r w:rsidRPr="00D147A7">
        <w:rPr>
          <w:kern w:val="0"/>
          <w:lang w:val="nl-NL" w:eastAsia="en-US" w:bidi="ar-SA"/>
        </w:rPr>
        <w:t xml:space="preserve"> Het is aangewezen dat de ‘oude’ arts bij iedere dossier</w:t>
      </w:r>
      <w:r w:rsidR="00072730">
        <w:rPr>
          <w:kern w:val="0"/>
          <w:lang w:val="nl-NL" w:eastAsia="en-US" w:bidi="ar-SA"/>
        </w:rPr>
        <w:t>-</w:t>
      </w:r>
      <w:r w:rsidRPr="00D147A7">
        <w:rPr>
          <w:kern w:val="0"/>
          <w:lang w:val="nl-NL" w:eastAsia="en-US" w:bidi="ar-SA"/>
        </w:rPr>
        <w:t>overdracht een afzonderlijke aantekening maakt en een ontvangstbevestiging laat onderteken</w:t>
      </w:r>
      <w:r w:rsidR="00072730">
        <w:rPr>
          <w:kern w:val="0"/>
          <w:lang w:val="nl-NL" w:eastAsia="en-US" w:bidi="ar-SA"/>
        </w:rPr>
        <w:t>-</w:t>
      </w:r>
      <w:r w:rsidRPr="00D147A7">
        <w:rPr>
          <w:kern w:val="0"/>
          <w:lang w:val="nl-NL" w:eastAsia="en-US" w:bidi="ar-SA"/>
        </w:rPr>
        <w:t>en.</w:t>
      </w:r>
      <w:r w:rsidRPr="00D147A7">
        <w:rPr>
          <w:kern w:val="0"/>
          <w:vertAlign w:val="superscript"/>
          <w:lang w:val="nl-NL" w:eastAsia="en-US" w:bidi="ar-SA"/>
        </w:rPr>
        <w:footnoteReference w:id="222"/>
      </w:r>
      <w:r w:rsidRPr="00D147A7">
        <w:rPr>
          <w:kern w:val="0"/>
          <w:lang w:val="nl-NL" w:eastAsia="en-US" w:bidi="ar-SA"/>
        </w:rPr>
        <w:t xml:space="preserve"> Alvorens de overdracht van een dossier kan plaatsvinden, moet de patiënt expliciet zijn toestemming verlenen. Stemt de patiënt niet in met deze overdracht, dan blijft de ‘oude’ arts verantwoordelijk voor het desbetreffende patiëntendossier.</w:t>
      </w:r>
      <w:r w:rsidRPr="00D147A7">
        <w:rPr>
          <w:kern w:val="0"/>
          <w:vertAlign w:val="superscript"/>
          <w:lang w:val="nl-NL" w:eastAsia="en-US" w:bidi="ar-SA"/>
        </w:rPr>
        <w:footnoteReference w:id="223"/>
      </w:r>
      <w:r w:rsidRPr="00D147A7">
        <w:rPr>
          <w:kern w:val="0"/>
          <w:lang w:val="nl-NL" w:eastAsia="en-US" w:bidi="ar-SA"/>
        </w:rPr>
        <w:t xml:space="preserve"> Het dossier wordt in geen geval aan de patiënt meegegeven.</w:t>
      </w:r>
      <w:r w:rsidRPr="00D147A7">
        <w:rPr>
          <w:kern w:val="0"/>
          <w:vertAlign w:val="superscript"/>
          <w:lang w:val="nl-NL" w:eastAsia="en-US" w:bidi="ar-SA"/>
        </w:rPr>
        <w:footnoteReference w:id="224"/>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behandelingsovereenkomst kan ook beëindigd worden omdat de arts niet langer zijn be</w:t>
      </w:r>
      <w:r w:rsidR="00072730">
        <w:rPr>
          <w:kern w:val="0"/>
          <w:lang w:val="nl-NL" w:eastAsia="en-US" w:bidi="ar-SA"/>
        </w:rPr>
        <w:t>-</w:t>
      </w:r>
      <w:r w:rsidRPr="00D147A7">
        <w:rPr>
          <w:kern w:val="0"/>
          <w:lang w:val="nl-NL" w:eastAsia="en-US" w:bidi="ar-SA"/>
        </w:rPr>
        <w:t>roep uitoefent.</w:t>
      </w:r>
      <w:r w:rsidRPr="00D147A7">
        <w:rPr>
          <w:kern w:val="0"/>
          <w:vertAlign w:val="superscript"/>
          <w:lang w:val="nl-NL" w:eastAsia="en-US" w:bidi="ar-SA"/>
        </w:rPr>
        <w:footnoteReference w:id="225"/>
      </w:r>
      <w:r w:rsidRPr="00D147A7">
        <w:rPr>
          <w:kern w:val="0"/>
          <w:lang w:val="nl-NL" w:eastAsia="en-US" w:bidi="ar-SA"/>
        </w:rPr>
        <w:t xml:space="preserve"> De opvolger neemt dan de verantwoordelijkheid voor de patiëntendossiers over, mits de betrokken patiënt hiermee akkoord gaat. Iedere patiënt moet geruime tijd voor de overdracht van een praktijk ingelicht worden. Bij gebrek aan opvolging blijft de verant</w:t>
      </w:r>
      <w:r w:rsidR="00072730">
        <w:rPr>
          <w:kern w:val="0"/>
          <w:lang w:val="nl-NL" w:eastAsia="en-US" w:bidi="ar-SA"/>
        </w:rPr>
        <w:t>-</w:t>
      </w:r>
      <w:r w:rsidRPr="00D147A7">
        <w:rPr>
          <w:kern w:val="0"/>
          <w:lang w:val="nl-NL" w:eastAsia="en-US" w:bidi="ar-SA"/>
        </w:rPr>
        <w:t>woordelijkheid voor de patiëntendossiers bij de ‘oude’ arts berusten. Patiënten moeten even</w:t>
      </w:r>
      <w:r w:rsidR="00563687">
        <w:rPr>
          <w:kern w:val="0"/>
          <w:lang w:val="nl-NL" w:eastAsia="en-US" w:bidi="ar-SA"/>
        </w:rPr>
        <w:t>-</w:t>
      </w:r>
      <w:r w:rsidRPr="00D147A7">
        <w:rPr>
          <w:kern w:val="0"/>
          <w:lang w:val="nl-NL" w:eastAsia="en-US" w:bidi="ar-SA"/>
        </w:rPr>
        <w:t>eens op de hoogte gesteld worden wanneer hun arts overlijdt. Als voor een overleden arts geen opvolger kan gevonden worden, moeten de niet opgehaalde patiëntendossiers –</w:t>
      </w:r>
      <w:r w:rsidR="00512F99" w:rsidRPr="00D147A7">
        <w:rPr>
          <w:kern w:val="0"/>
          <w:lang w:val="nl-NL" w:eastAsia="en-US" w:bidi="ar-SA"/>
        </w:rPr>
        <w:t xml:space="preserve"> </w:t>
      </w:r>
      <w:r w:rsidRPr="00D147A7">
        <w:rPr>
          <w:kern w:val="0"/>
          <w:lang w:val="nl-NL" w:eastAsia="en-US" w:bidi="ar-SA"/>
        </w:rPr>
        <w:t>op kost</w:t>
      </w:r>
      <w:r w:rsidR="00563687">
        <w:rPr>
          <w:kern w:val="0"/>
          <w:lang w:val="nl-NL" w:eastAsia="en-US" w:bidi="ar-SA"/>
        </w:rPr>
        <w:t>-</w:t>
      </w:r>
      <w:r w:rsidRPr="00D147A7">
        <w:rPr>
          <w:kern w:val="0"/>
          <w:lang w:val="nl-NL" w:eastAsia="en-US" w:bidi="ar-SA"/>
        </w:rPr>
        <w:t>en van de erfgenamen van de overleden arts</w:t>
      </w:r>
      <w:r w:rsidR="00512F99" w:rsidRPr="00D147A7">
        <w:rPr>
          <w:kern w:val="0"/>
          <w:lang w:val="nl-NL" w:eastAsia="en-US" w:bidi="ar-SA"/>
        </w:rPr>
        <w:t xml:space="preserve"> </w:t>
      </w:r>
      <w:r w:rsidRPr="00D147A7">
        <w:rPr>
          <w:kern w:val="0"/>
          <w:lang w:val="nl-NL" w:eastAsia="en-US" w:bidi="ar-SA"/>
        </w:rPr>
        <w:t>– naar een vaste bewaarplaats gebracht worden.</w:t>
      </w:r>
    </w:p>
    <w:p w:rsidR="00512F99" w:rsidRPr="00D147A7" w:rsidRDefault="00512F99" w:rsidP="009931C7">
      <w:pPr>
        <w:widowControl/>
        <w:suppressAutoHyphens w:val="0"/>
        <w:spacing w:line="240" w:lineRule="atLeast"/>
        <w:ind w:firstLine="360"/>
        <w:jc w:val="both"/>
        <w:rPr>
          <w:b/>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3: Vormvereisten</w:t>
      </w:r>
    </w:p>
    <w:p w:rsidR="009931C7" w:rsidRPr="00D147A7" w:rsidRDefault="009931C7" w:rsidP="00E5322C">
      <w:pPr>
        <w:widowControl/>
        <w:suppressAutoHyphens w:val="0"/>
        <w:spacing w:line="240" w:lineRule="atLeast"/>
        <w:jc w:val="both"/>
        <w:rPr>
          <w:kern w:val="0"/>
          <w:highlight w:val="black"/>
          <w:lang w:val="nl-NL" w:eastAsia="en-US" w:bidi="ar-SA"/>
        </w:rPr>
      </w:pPr>
    </w:p>
    <w:p w:rsidR="009931C7" w:rsidRPr="00424188"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Ook bij onze Noorderburen worden patiëntendossiers almaar meer digitaal aangemaakt.</w:t>
      </w:r>
      <w:r w:rsidRPr="00D147A7">
        <w:rPr>
          <w:kern w:val="0"/>
          <w:vertAlign w:val="superscript"/>
          <w:lang w:val="nl-NL" w:eastAsia="en-US" w:bidi="ar-SA"/>
        </w:rPr>
        <w:footnoteReference w:id="226"/>
      </w:r>
      <w:r w:rsidRPr="00D147A7">
        <w:rPr>
          <w:kern w:val="0"/>
          <w:lang w:val="nl-NL" w:eastAsia="en-US" w:bidi="ar-SA"/>
        </w:rPr>
        <w:t xml:space="preserve"> Bovendien wordt in de Nederlandse wetgeving expliciet de mogelijkheid voorzien om de ge</w:t>
      </w:r>
      <w:r w:rsidR="00072730">
        <w:rPr>
          <w:kern w:val="0"/>
          <w:lang w:val="nl-NL" w:eastAsia="en-US" w:bidi="ar-SA"/>
        </w:rPr>
        <w:t>-</w:t>
      </w:r>
      <w:r w:rsidRPr="00D147A7">
        <w:rPr>
          <w:kern w:val="0"/>
          <w:lang w:val="nl-NL" w:eastAsia="en-US" w:bidi="ar-SA"/>
        </w:rPr>
        <w:t>gevensdrager van archiefbescheiden te vervangen (of substitueren</w:t>
      </w:r>
      <w:r w:rsidRPr="00D147A7">
        <w:rPr>
          <w:kern w:val="0"/>
          <w:vertAlign w:val="superscript"/>
          <w:lang w:val="nl-NL" w:eastAsia="en-US" w:bidi="ar-SA"/>
        </w:rPr>
        <w:footnoteReference w:id="227"/>
      </w:r>
      <w:r w:rsidRPr="00D147A7">
        <w:rPr>
          <w:kern w:val="0"/>
          <w:lang w:val="nl-NL" w:eastAsia="en-US" w:bidi="ar-SA"/>
        </w:rPr>
        <w:t>).</w:t>
      </w:r>
      <w:r w:rsidRPr="00D147A7">
        <w:rPr>
          <w:kern w:val="0"/>
          <w:vertAlign w:val="superscript"/>
          <w:lang w:val="nl-NL" w:eastAsia="en-US" w:bidi="ar-SA"/>
        </w:rPr>
        <w:footnoteReference w:id="228"/>
      </w:r>
      <w:r w:rsidRPr="00D147A7">
        <w:rPr>
          <w:kern w:val="0"/>
          <w:lang w:val="nl-NL" w:eastAsia="en-US" w:bidi="ar-SA"/>
        </w:rPr>
        <w:t xml:space="preserve"> Deze bepaling is ver</w:t>
      </w:r>
      <w:r w:rsidR="00072730">
        <w:rPr>
          <w:kern w:val="0"/>
          <w:lang w:val="nl-NL" w:eastAsia="en-US" w:bidi="ar-SA"/>
        </w:rPr>
        <w:t>-</w:t>
      </w:r>
      <w:r w:rsidRPr="00D147A7">
        <w:rPr>
          <w:kern w:val="0"/>
          <w:lang w:val="nl-NL" w:eastAsia="en-US" w:bidi="ar-SA"/>
        </w:rPr>
        <w:t xml:space="preserve">vat in de Archiefwet en is </w:t>
      </w:r>
      <w:r w:rsidR="0015724C" w:rsidRPr="00D147A7">
        <w:rPr>
          <w:kern w:val="0"/>
          <w:lang w:val="nl-NL" w:eastAsia="en-US" w:bidi="ar-SA"/>
        </w:rPr>
        <w:t xml:space="preserve">enkel op publiekrechtelijke instellingen van toepassing. </w:t>
      </w:r>
      <w:r w:rsidR="003D7D00">
        <w:rPr>
          <w:kern w:val="0"/>
          <w:lang w:val="nl-NL" w:eastAsia="en-US" w:bidi="ar-SA"/>
        </w:rPr>
        <w:t>De bepa-lingen van de archiefwet zijn op</w:t>
      </w:r>
      <w:r w:rsidR="0015724C" w:rsidRPr="00D147A7">
        <w:rPr>
          <w:kern w:val="0"/>
          <w:lang w:val="nl-NL" w:eastAsia="en-US" w:bidi="ar-SA"/>
        </w:rPr>
        <w:t xml:space="preserve"> </w:t>
      </w:r>
      <w:r w:rsidR="003D7D00">
        <w:rPr>
          <w:kern w:val="0"/>
          <w:lang w:val="nl-NL" w:eastAsia="en-US" w:bidi="ar-SA"/>
        </w:rPr>
        <w:t>zes</w:t>
      </w:r>
      <w:r w:rsidR="0015724C" w:rsidRPr="00D147A7">
        <w:rPr>
          <w:kern w:val="0"/>
          <w:lang w:val="nl-NL" w:eastAsia="en-US" w:bidi="ar-SA"/>
        </w:rPr>
        <w:t xml:space="preserve"> van de </w:t>
      </w:r>
      <w:r w:rsidR="003D7D00">
        <w:rPr>
          <w:kern w:val="0"/>
          <w:lang w:val="nl-NL" w:eastAsia="en-US" w:bidi="ar-SA"/>
        </w:rPr>
        <w:t>acht</w:t>
      </w:r>
      <w:r w:rsidR="0015724C" w:rsidRPr="00D147A7">
        <w:rPr>
          <w:kern w:val="0"/>
          <w:lang w:val="nl-NL" w:eastAsia="en-US" w:bidi="ar-SA"/>
        </w:rPr>
        <w:t xml:space="preserve"> </w:t>
      </w:r>
      <w:r w:rsidRPr="00D147A7">
        <w:rPr>
          <w:kern w:val="0"/>
          <w:lang w:val="nl-NL" w:eastAsia="en-US" w:bidi="ar-SA"/>
        </w:rPr>
        <w:t>Universitaire Medische Centra</w:t>
      </w:r>
      <w:r w:rsidR="003D7D00">
        <w:rPr>
          <w:kern w:val="0"/>
          <w:lang w:val="nl-NL" w:eastAsia="en-US" w:bidi="ar-SA"/>
        </w:rPr>
        <w:t xml:space="preserve"> van toepas-sing</w:t>
      </w:r>
      <w:r w:rsidR="003D7D00">
        <w:rPr>
          <w:rStyle w:val="Voetnootmarkering"/>
          <w:kern w:val="0"/>
          <w:lang w:val="nl-NL" w:eastAsia="en-US" w:bidi="ar-SA"/>
        </w:rPr>
        <w:footnoteReference w:id="229"/>
      </w:r>
      <w:r w:rsidR="003D7D00">
        <w:rPr>
          <w:kern w:val="0"/>
          <w:lang w:val="nl-NL" w:eastAsia="en-US" w:bidi="ar-SA"/>
        </w:rPr>
        <w:t xml:space="preserve"> en op de </w:t>
      </w:r>
      <w:r w:rsidR="003D7D00" w:rsidRPr="00424188">
        <w:rPr>
          <w:kern w:val="0"/>
          <w:lang w:val="nl-NL" w:eastAsia="en-US" w:bidi="ar-SA"/>
        </w:rPr>
        <w:t>door provincies en gemeenten aangelegde medische dossiers</w:t>
      </w:r>
      <w:r w:rsidRPr="00424188">
        <w:rPr>
          <w:kern w:val="0"/>
          <w:vertAlign w:val="superscript"/>
          <w:lang w:val="nl-NL" w:eastAsia="en-US" w:bidi="ar-SA"/>
        </w:rPr>
        <w:footnoteReference w:id="230"/>
      </w:r>
      <w:r w:rsidR="003D7D00" w:rsidRPr="00424188">
        <w:rPr>
          <w:kern w:val="0"/>
          <w:lang w:val="nl-NL" w:eastAsia="en-US" w:bidi="ar-SA"/>
        </w:rPr>
        <w:t>,</w:t>
      </w:r>
      <w:r w:rsidR="0015724C" w:rsidRPr="00424188">
        <w:rPr>
          <w:kern w:val="0"/>
          <w:lang w:val="nl-NL" w:eastAsia="en-US" w:bidi="ar-SA"/>
        </w:rPr>
        <w:t xml:space="preserve"> </w:t>
      </w:r>
      <w:r w:rsidRPr="00424188">
        <w:rPr>
          <w:kern w:val="0"/>
          <w:lang w:val="nl-NL" w:eastAsia="en-US" w:bidi="ar-SA"/>
        </w:rPr>
        <w:t>maar k</w:t>
      </w:r>
      <w:r w:rsidR="003D7D00" w:rsidRPr="00424188">
        <w:rPr>
          <w:kern w:val="0"/>
          <w:lang w:val="nl-NL" w:eastAsia="en-US" w:bidi="ar-SA"/>
        </w:rPr>
        <w:t>unnen</w:t>
      </w:r>
      <w:r w:rsidRPr="00424188">
        <w:rPr>
          <w:kern w:val="0"/>
          <w:lang w:val="nl-NL" w:eastAsia="en-US" w:bidi="ar-SA"/>
        </w:rPr>
        <w:t xml:space="preserve"> ook als richtlijn voor overige </w:t>
      </w:r>
      <w:r w:rsidR="00795B82" w:rsidRPr="00424188">
        <w:rPr>
          <w:kern w:val="0"/>
          <w:lang w:val="nl-NL" w:eastAsia="en-US" w:bidi="ar-SA"/>
        </w:rPr>
        <w:t>verzorgingsinstellingen</w:t>
      </w:r>
      <w:r w:rsidRPr="00424188">
        <w:rPr>
          <w:kern w:val="0"/>
          <w:lang w:val="nl-NL" w:eastAsia="en-US" w:bidi="ar-SA"/>
        </w:rPr>
        <w:t xml:space="preserve"> en individuele zorgverleners</w:t>
      </w:r>
      <w:r w:rsidR="003D7D00" w:rsidRPr="00424188">
        <w:rPr>
          <w:kern w:val="0"/>
          <w:lang w:val="nl-NL" w:eastAsia="en-US" w:bidi="ar-SA"/>
        </w:rPr>
        <w:t xml:space="preserve"> dienen</w:t>
      </w:r>
      <w:r w:rsidRPr="00424188">
        <w:rPr>
          <w:kern w:val="0"/>
          <w:lang w:val="nl-NL" w:eastAsia="en-US" w:bidi="ar-SA"/>
        </w:rPr>
        <w:t xml:space="preserve">. </w:t>
      </w:r>
      <w:r w:rsidR="003D7D00" w:rsidRPr="00424188">
        <w:rPr>
          <w:kern w:val="0"/>
          <w:lang w:val="nl-NL" w:eastAsia="en-US" w:bidi="ar-SA"/>
        </w:rPr>
        <w:t>Openbare ziekenhuizen hebben – i.t.t. priv</w:t>
      </w:r>
      <w:r w:rsidR="0015724C" w:rsidRPr="00424188">
        <w:rPr>
          <w:kern w:val="0"/>
          <w:lang w:val="nl-NL" w:eastAsia="en-US" w:bidi="ar-SA"/>
        </w:rPr>
        <w:t>aatrechtelijke verzorgingsinstellingen en individu</w:t>
      </w:r>
      <w:r w:rsidR="003D7D00" w:rsidRPr="00424188">
        <w:rPr>
          <w:kern w:val="0"/>
          <w:lang w:val="nl-NL" w:eastAsia="en-US" w:bidi="ar-SA"/>
        </w:rPr>
        <w:t>-</w:t>
      </w:r>
      <w:r w:rsidR="0015724C" w:rsidRPr="00424188">
        <w:rPr>
          <w:kern w:val="0"/>
          <w:lang w:val="nl-NL" w:eastAsia="en-US" w:bidi="ar-SA"/>
        </w:rPr>
        <w:t>ele zorgverleners</w:t>
      </w:r>
      <w:r w:rsidR="003D7D00" w:rsidRPr="00424188">
        <w:rPr>
          <w:kern w:val="0"/>
          <w:lang w:val="nl-NL" w:eastAsia="en-US" w:bidi="ar-SA"/>
        </w:rPr>
        <w:t xml:space="preserve"> </w:t>
      </w:r>
      <w:r w:rsidR="00E5322C" w:rsidRPr="00424188">
        <w:rPr>
          <w:kern w:val="0"/>
          <w:lang w:val="nl-NL" w:eastAsia="en-US" w:bidi="ar-SA"/>
        </w:rPr>
        <w:t>–</w:t>
      </w:r>
      <w:r w:rsidRPr="00424188">
        <w:rPr>
          <w:kern w:val="0"/>
          <w:lang w:val="nl-NL" w:eastAsia="en-US" w:bidi="ar-SA"/>
        </w:rPr>
        <w:t xml:space="preserve"> </w:t>
      </w:r>
      <w:r w:rsidR="003D7D00" w:rsidRPr="00424188">
        <w:rPr>
          <w:kern w:val="0"/>
          <w:lang w:val="nl-NL" w:eastAsia="en-US" w:bidi="ar-SA"/>
        </w:rPr>
        <w:t>de</w:t>
      </w:r>
      <w:r w:rsidRPr="00424188">
        <w:rPr>
          <w:kern w:val="0"/>
          <w:lang w:val="nl-NL" w:eastAsia="en-US" w:bidi="ar-SA"/>
        </w:rPr>
        <w:t xml:space="preserve"> toestemming van het Nationaal Archief nodig om de gegevensdrager </w:t>
      </w:r>
      <w:r w:rsidRPr="00424188">
        <w:rPr>
          <w:kern w:val="0"/>
          <w:lang w:val="nl-NL" w:eastAsia="en-US" w:bidi="ar-SA"/>
        </w:rPr>
        <w:lastRenderedPageBreak/>
        <w:t xml:space="preserve">van patiëntendossiers te vervangen. </w:t>
      </w:r>
      <w:r w:rsidR="003D7D00" w:rsidRPr="00424188">
        <w:rPr>
          <w:kern w:val="0"/>
          <w:lang w:val="nl-NL" w:eastAsia="en-US" w:bidi="ar-SA"/>
        </w:rPr>
        <w:t>Als</w:t>
      </w:r>
      <w:r w:rsidRPr="00424188">
        <w:rPr>
          <w:kern w:val="0"/>
          <w:lang w:val="nl-NL" w:eastAsia="en-US" w:bidi="ar-SA"/>
        </w:rPr>
        <w:t xml:space="preserve"> dit fiat bekomen</w:t>
      </w:r>
      <w:r w:rsidR="003D7D00" w:rsidRPr="00424188">
        <w:rPr>
          <w:kern w:val="0"/>
          <w:lang w:val="nl-NL" w:eastAsia="en-US" w:bidi="ar-SA"/>
        </w:rPr>
        <w:t xml:space="preserve"> wordt</w:t>
      </w:r>
      <w:r w:rsidRPr="00424188">
        <w:rPr>
          <w:kern w:val="0"/>
          <w:lang w:val="nl-NL" w:eastAsia="en-US" w:bidi="ar-SA"/>
        </w:rPr>
        <w:t xml:space="preserve">, </w:t>
      </w:r>
      <w:r w:rsidR="003D7D00" w:rsidRPr="00424188">
        <w:rPr>
          <w:kern w:val="0"/>
          <w:lang w:val="nl-NL" w:eastAsia="en-US" w:bidi="ar-SA"/>
        </w:rPr>
        <w:t>moeten de originele beschei-</w:t>
      </w:r>
      <w:r w:rsidRPr="00424188">
        <w:rPr>
          <w:kern w:val="0"/>
          <w:lang w:val="nl-NL" w:eastAsia="en-US" w:bidi="ar-SA"/>
        </w:rPr>
        <w:t xml:space="preserve">den na afloop </w:t>
      </w:r>
      <w:r w:rsidR="003D7D00" w:rsidRPr="00424188">
        <w:rPr>
          <w:kern w:val="0"/>
          <w:lang w:val="nl-NL" w:eastAsia="en-US" w:bidi="ar-SA"/>
        </w:rPr>
        <w:t>definitief</w:t>
      </w:r>
      <w:r w:rsidRPr="00424188">
        <w:rPr>
          <w:kern w:val="0"/>
          <w:lang w:val="nl-NL" w:eastAsia="en-US" w:bidi="ar-SA"/>
        </w:rPr>
        <w:t xml:space="preserve"> vernietig</w:t>
      </w:r>
      <w:r w:rsidR="003D7D00" w:rsidRPr="00424188">
        <w:rPr>
          <w:kern w:val="0"/>
          <w:lang w:val="nl-NL" w:eastAsia="en-US" w:bidi="ar-SA"/>
        </w:rPr>
        <w:t>d worden</w:t>
      </w:r>
      <w:r w:rsidRPr="00424188">
        <w:rPr>
          <w:kern w:val="0"/>
          <w:lang w:val="nl-NL" w:eastAsia="en-US" w:bidi="ar-SA"/>
        </w:rPr>
        <w:t>.</w:t>
      </w:r>
      <w:r w:rsidRPr="00424188">
        <w:rPr>
          <w:kern w:val="0"/>
          <w:vertAlign w:val="superscript"/>
          <w:lang w:val="nl-NL" w:eastAsia="en-US" w:bidi="ar-SA"/>
        </w:rPr>
        <w:footnoteReference w:id="231"/>
      </w:r>
      <w:r w:rsidRPr="00424188">
        <w:rPr>
          <w:kern w:val="0"/>
          <w:lang w:val="nl-NL" w:eastAsia="en-US" w:bidi="ar-SA"/>
        </w:rPr>
        <w:t xml:space="preserve"> </w:t>
      </w:r>
      <w:r w:rsidR="003D7D00" w:rsidRPr="00424188">
        <w:rPr>
          <w:kern w:val="0"/>
          <w:lang w:val="nl-NL" w:eastAsia="en-US" w:bidi="ar-SA"/>
        </w:rPr>
        <w:t>Anders</w:t>
      </w:r>
      <w:r w:rsidRPr="00424188">
        <w:rPr>
          <w:kern w:val="0"/>
          <w:lang w:val="nl-NL" w:eastAsia="en-US" w:bidi="ar-SA"/>
        </w:rPr>
        <w:t xml:space="preserve"> betreft het immers geen vervanging. </w:t>
      </w:r>
    </w:p>
    <w:p w:rsidR="009931C7" w:rsidRPr="00D147A7" w:rsidRDefault="009931C7" w:rsidP="009931C7">
      <w:pPr>
        <w:widowControl/>
        <w:suppressAutoHyphens w:val="0"/>
        <w:spacing w:line="240" w:lineRule="atLeast"/>
        <w:jc w:val="both"/>
        <w:rPr>
          <w:i/>
          <w:kern w:val="0"/>
          <w:lang w:val="nl-NL" w:eastAsia="en-US" w:bidi="ar-SA"/>
        </w:rPr>
      </w:pPr>
    </w:p>
    <w:p w:rsidR="00BC7A08" w:rsidRPr="00BC7A08" w:rsidRDefault="009931C7" w:rsidP="00BC7A08">
      <w:pPr>
        <w:pStyle w:val="Geenafstand"/>
        <w:jc w:val="both"/>
        <w:rPr>
          <w:rFonts w:ascii="Times New Roman" w:hAnsi="Times New Roman" w:cs="Times New Roman"/>
          <w:sz w:val="24"/>
          <w:szCs w:val="24"/>
        </w:rPr>
      </w:pPr>
      <w:r w:rsidRPr="00BC7A08">
        <w:rPr>
          <w:rFonts w:ascii="Times New Roman" w:hAnsi="Times New Roman" w:cs="Times New Roman"/>
          <w:i/>
          <w:sz w:val="24"/>
          <w:szCs w:val="24"/>
          <w:lang w:val="nl-NL"/>
        </w:rPr>
        <w:t>De overheidsorganen zijn verplicht de onder hen berustende archiefbescheiden in goede, ge</w:t>
      </w:r>
      <w:r w:rsidR="003D7D00" w:rsidRPr="00BC7A08">
        <w:rPr>
          <w:rFonts w:ascii="Times New Roman" w:hAnsi="Times New Roman" w:cs="Times New Roman"/>
          <w:i/>
          <w:sz w:val="24"/>
          <w:szCs w:val="24"/>
          <w:lang w:val="nl-NL"/>
        </w:rPr>
        <w:t>-</w:t>
      </w:r>
      <w:r w:rsidRPr="00BC7A08">
        <w:rPr>
          <w:rFonts w:ascii="Times New Roman" w:hAnsi="Times New Roman" w:cs="Times New Roman"/>
          <w:i/>
          <w:sz w:val="24"/>
          <w:szCs w:val="24"/>
          <w:lang w:val="nl-NL"/>
        </w:rPr>
        <w:t>ordende en toegankelijke staat te brengen en te bewaren</w:t>
      </w:r>
      <w:r w:rsidRPr="00BC7A08">
        <w:rPr>
          <w:rFonts w:ascii="Times New Roman" w:hAnsi="Times New Roman" w:cs="Times New Roman"/>
          <w:sz w:val="24"/>
          <w:szCs w:val="24"/>
          <w:lang w:val="nl-NL"/>
        </w:rPr>
        <w:t>. Als substitutie een antwoord biedt aan het gebrek aan opslagruimte en/of de toegankelijkheid van (</w:t>
      </w:r>
      <w:r w:rsidR="009B762A" w:rsidRPr="00BC7A08">
        <w:rPr>
          <w:rFonts w:ascii="Times New Roman" w:hAnsi="Times New Roman" w:cs="Times New Roman"/>
          <w:sz w:val="24"/>
          <w:szCs w:val="24"/>
          <w:lang w:val="nl-NL"/>
        </w:rPr>
        <w:t>publiekrechtelijke</w:t>
      </w:r>
      <w:r w:rsidRPr="00BC7A08">
        <w:rPr>
          <w:rFonts w:ascii="Times New Roman" w:hAnsi="Times New Roman" w:cs="Times New Roman"/>
          <w:sz w:val="24"/>
          <w:szCs w:val="24"/>
          <w:lang w:val="nl-NL"/>
        </w:rPr>
        <w:t>) zieken</w:t>
      </w:r>
      <w:r w:rsidR="009B762A" w:rsidRPr="00BC7A08">
        <w:rPr>
          <w:rFonts w:ascii="Times New Roman" w:hAnsi="Times New Roman" w:cs="Times New Roman"/>
          <w:sz w:val="24"/>
          <w:szCs w:val="24"/>
          <w:lang w:val="nl-NL"/>
        </w:rPr>
        <w:t>-</w:t>
      </w:r>
      <w:r w:rsidRPr="00BC7A08">
        <w:rPr>
          <w:rFonts w:ascii="Times New Roman" w:hAnsi="Times New Roman" w:cs="Times New Roman"/>
          <w:sz w:val="24"/>
          <w:szCs w:val="24"/>
          <w:lang w:val="nl-NL"/>
        </w:rPr>
        <w:t>huisarchieven bevorderd, is het geoorloofd om patiëntendossiers te digitaliseren.</w:t>
      </w:r>
      <w:r w:rsidRPr="00BC7A08">
        <w:rPr>
          <w:rFonts w:ascii="Times New Roman" w:hAnsi="Times New Roman" w:cs="Times New Roman"/>
          <w:sz w:val="24"/>
          <w:szCs w:val="24"/>
          <w:vertAlign w:val="superscript"/>
          <w:lang w:val="nl-NL"/>
        </w:rPr>
        <w:footnoteReference w:id="232"/>
      </w:r>
      <w:r w:rsidR="009B762A" w:rsidRPr="00BC7A08">
        <w:rPr>
          <w:rFonts w:ascii="Times New Roman" w:hAnsi="Times New Roman" w:cs="Times New Roman"/>
          <w:sz w:val="24"/>
          <w:szCs w:val="24"/>
          <w:lang w:val="nl-NL"/>
        </w:rPr>
        <w:t xml:space="preserve"> </w:t>
      </w:r>
      <w:r w:rsidRPr="00BC7A08">
        <w:rPr>
          <w:rFonts w:ascii="Times New Roman" w:hAnsi="Times New Roman" w:cs="Times New Roman"/>
          <w:bCs/>
          <w:sz w:val="24"/>
          <w:szCs w:val="24"/>
          <w:lang w:val="nl-NL"/>
        </w:rPr>
        <w:t>Reproduc</w:t>
      </w:r>
      <w:r w:rsidR="009B762A" w:rsidRPr="00BC7A08">
        <w:rPr>
          <w:rFonts w:ascii="Times New Roman" w:hAnsi="Times New Roman" w:cs="Times New Roman"/>
          <w:bCs/>
          <w:sz w:val="24"/>
          <w:szCs w:val="24"/>
          <w:lang w:val="nl-NL"/>
        </w:rPr>
        <w:t>-</w:t>
      </w:r>
      <w:r w:rsidRPr="00BC7A08">
        <w:rPr>
          <w:rFonts w:ascii="Times New Roman" w:hAnsi="Times New Roman" w:cs="Times New Roman"/>
          <w:bCs/>
          <w:sz w:val="24"/>
          <w:szCs w:val="24"/>
          <w:lang w:val="nl-NL"/>
        </w:rPr>
        <w:t>ties worden dan archiefbescheiden in de zin van de Archiefwet, waardoor ze aan alle eisen van de archiefwetgeving moeten voldoen.</w:t>
      </w:r>
      <w:r w:rsidRPr="00BC7A08">
        <w:rPr>
          <w:rFonts w:ascii="Times New Roman" w:hAnsi="Times New Roman" w:cs="Times New Roman"/>
          <w:bCs/>
          <w:sz w:val="24"/>
          <w:szCs w:val="24"/>
          <w:vertAlign w:val="superscript"/>
          <w:lang w:val="nl-NL"/>
        </w:rPr>
        <w:footnoteReference w:id="233"/>
      </w:r>
      <w:r w:rsidRPr="00BC7A08">
        <w:rPr>
          <w:rFonts w:ascii="Times New Roman" w:hAnsi="Times New Roman" w:cs="Times New Roman"/>
          <w:bCs/>
          <w:sz w:val="24"/>
          <w:szCs w:val="24"/>
          <w:lang w:val="nl-NL"/>
        </w:rPr>
        <w:t xml:space="preserve"> </w:t>
      </w:r>
      <w:r w:rsidRPr="00BC7A08">
        <w:rPr>
          <w:rFonts w:ascii="Times New Roman" w:hAnsi="Times New Roman" w:cs="Times New Roman"/>
          <w:sz w:val="24"/>
          <w:szCs w:val="24"/>
          <w:lang w:val="nl-NL"/>
        </w:rPr>
        <w:t>Zo moeten de gegevens uit de originele beschei</w:t>
      </w:r>
      <w:r w:rsidR="003D7D00" w:rsidRPr="00BC7A08">
        <w:rPr>
          <w:rFonts w:ascii="Times New Roman" w:hAnsi="Times New Roman" w:cs="Times New Roman"/>
          <w:sz w:val="24"/>
          <w:szCs w:val="24"/>
          <w:lang w:val="nl-NL"/>
        </w:rPr>
        <w:t>-</w:t>
      </w:r>
      <w:r w:rsidRPr="00BC7A08">
        <w:rPr>
          <w:rFonts w:ascii="Times New Roman" w:hAnsi="Times New Roman" w:cs="Times New Roman"/>
          <w:sz w:val="24"/>
          <w:szCs w:val="24"/>
          <w:lang w:val="nl-NL"/>
        </w:rPr>
        <w:t>den juist en volledig weergeven worden</w:t>
      </w:r>
      <w:r w:rsidRPr="00BC7A08">
        <w:rPr>
          <w:rFonts w:ascii="Times New Roman" w:hAnsi="Times New Roman" w:cs="Times New Roman"/>
          <w:sz w:val="24"/>
          <w:szCs w:val="24"/>
          <w:vertAlign w:val="superscript"/>
          <w:lang w:val="nl-NL"/>
        </w:rPr>
        <w:footnoteReference w:id="234"/>
      </w:r>
      <w:r w:rsidRPr="00BC7A08">
        <w:rPr>
          <w:rFonts w:ascii="Times New Roman" w:hAnsi="Times New Roman" w:cs="Times New Roman"/>
          <w:sz w:val="24"/>
          <w:szCs w:val="24"/>
          <w:lang w:val="nl-NL"/>
        </w:rPr>
        <w:t xml:space="preserve"> en moeten op hun beurt in goede, geordende en toegankelijke staat </w:t>
      </w:r>
      <w:r w:rsidR="009B762A" w:rsidRPr="00BC7A08">
        <w:rPr>
          <w:rFonts w:ascii="Times New Roman" w:hAnsi="Times New Roman" w:cs="Times New Roman"/>
          <w:sz w:val="24"/>
          <w:szCs w:val="24"/>
          <w:lang w:val="nl-NL"/>
        </w:rPr>
        <w:t xml:space="preserve">bewaard </w:t>
      </w:r>
      <w:r w:rsidRPr="00BC7A08">
        <w:rPr>
          <w:rFonts w:ascii="Times New Roman" w:hAnsi="Times New Roman" w:cs="Times New Roman"/>
          <w:sz w:val="24"/>
          <w:szCs w:val="24"/>
          <w:lang w:val="nl-NL"/>
        </w:rPr>
        <w:t>worden.</w:t>
      </w:r>
      <w:r w:rsidRPr="00BC7A08">
        <w:rPr>
          <w:rFonts w:ascii="Times New Roman" w:hAnsi="Times New Roman" w:cs="Times New Roman"/>
          <w:sz w:val="24"/>
          <w:szCs w:val="24"/>
          <w:vertAlign w:val="superscript"/>
          <w:lang w:val="nl-NL"/>
        </w:rPr>
        <w:footnoteReference w:id="235"/>
      </w:r>
      <w:r w:rsidRPr="00BC7A08">
        <w:rPr>
          <w:rFonts w:ascii="Times New Roman" w:hAnsi="Times New Roman" w:cs="Times New Roman"/>
          <w:sz w:val="24"/>
          <w:szCs w:val="24"/>
          <w:lang w:val="nl-NL"/>
        </w:rPr>
        <w:t xml:space="preserve"> De belangrijkste hindernis die overwonnen moet wor</w:t>
      </w:r>
      <w:r w:rsidR="003D7D00" w:rsidRPr="00BC7A08">
        <w:rPr>
          <w:rFonts w:ascii="Times New Roman" w:hAnsi="Times New Roman" w:cs="Times New Roman"/>
          <w:sz w:val="24"/>
          <w:szCs w:val="24"/>
          <w:lang w:val="nl-NL"/>
        </w:rPr>
        <w:t>-</w:t>
      </w:r>
      <w:r w:rsidRPr="00BC7A08">
        <w:rPr>
          <w:rFonts w:ascii="Times New Roman" w:hAnsi="Times New Roman" w:cs="Times New Roman"/>
          <w:sz w:val="24"/>
          <w:szCs w:val="24"/>
          <w:lang w:val="nl-NL"/>
        </w:rPr>
        <w:t>den, heeft betrekking op de bewijswaarde.</w:t>
      </w:r>
      <w:r w:rsidR="009D1055" w:rsidRPr="00BC7A08">
        <w:rPr>
          <w:rFonts w:ascii="Times New Roman" w:hAnsi="Times New Roman" w:cs="Times New Roman"/>
          <w:sz w:val="24"/>
          <w:szCs w:val="24"/>
          <w:lang w:val="nl-NL"/>
        </w:rPr>
        <w:t xml:space="preserve"> In tegenstelling tot in België en Frankrijk is het Nederlandse </w:t>
      </w:r>
      <w:r w:rsidR="00BC7A08" w:rsidRPr="00BC7A08">
        <w:rPr>
          <w:rFonts w:ascii="Times New Roman" w:hAnsi="Times New Roman" w:cs="Times New Roman"/>
          <w:sz w:val="24"/>
          <w:szCs w:val="24"/>
          <w:lang w:val="nl-NL"/>
        </w:rPr>
        <w:t xml:space="preserve">(burgerlijke) </w:t>
      </w:r>
      <w:r w:rsidR="009D1055" w:rsidRPr="00BC7A08">
        <w:rPr>
          <w:rFonts w:ascii="Times New Roman" w:hAnsi="Times New Roman" w:cs="Times New Roman"/>
          <w:sz w:val="24"/>
          <w:szCs w:val="24"/>
          <w:lang w:val="nl-NL"/>
        </w:rPr>
        <w:t>bewijsrecht geen gesloten systeem</w:t>
      </w:r>
      <w:r w:rsidR="00BC7A08" w:rsidRPr="00BC7A08">
        <w:rPr>
          <w:rFonts w:ascii="Times New Roman" w:hAnsi="Times New Roman" w:cs="Times New Roman"/>
          <w:sz w:val="24"/>
          <w:szCs w:val="24"/>
          <w:lang w:val="nl-NL"/>
        </w:rPr>
        <w:t>.</w:t>
      </w:r>
      <w:r w:rsidR="009D1055" w:rsidRPr="00BC7A08">
        <w:rPr>
          <w:rStyle w:val="Voetnootmarkering"/>
          <w:rFonts w:ascii="Times New Roman" w:hAnsi="Times New Roman" w:cs="Times New Roman"/>
          <w:sz w:val="24"/>
          <w:szCs w:val="24"/>
          <w:lang w:val="nl-NL"/>
        </w:rPr>
        <w:footnoteReference w:id="236"/>
      </w:r>
      <w:r w:rsidR="009D1055" w:rsidRPr="00BC7A08">
        <w:rPr>
          <w:rFonts w:ascii="Times New Roman" w:hAnsi="Times New Roman" w:cs="Times New Roman"/>
          <w:sz w:val="24"/>
          <w:szCs w:val="24"/>
          <w:lang w:val="nl-NL"/>
        </w:rPr>
        <w:t xml:space="preserve"> </w:t>
      </w:r>
      <w:r w:rsidR="00BC7A08" w:rsidRPr="00BC7A08">
        <w:rPr>
          <w:rFonts w:ascii="Times New Roman" w:hAnsi="Times New Roman" w:cs="Times New Roman"/>
          <w:sz w:val="24"/>
          <w:szCs w:val="24"/>
        </w:rPr>
        <w:t>Op 1 april 1988 werd het voor het laatst ingrijpend herzien.</w:t>
      </w:r>
      <w:r w:rsidR="00BC7A08" w:rsidRPr="00BC7A08">
        <w:rPr>
          <w:rStyle w:val="Voetnootmarkering"/>
          <w:rFonts w:ascii="Times New Roman" w:hAnsi="Times New Roman" w:cs="Times New Roman"/>
          <w:sz w:val="24"/>
          <w:szCs w:val="24"/>
        </w:rPr>
        <w:footnoteReference w:id="237"/>
      </w:r>
      <w:r w:rsidR="00BC7A08" w:rsidRPr="00BC7A08">
        <w:rPr>
          <w:rFonts w:ascii="Times New Roman" w:hAnsi="Times New Roman" w:cs="Times New Roman"/>
          <w:sz w:val="24"/>
          <w:szCs w:val="24"/>
        </w:rPr>
        <w:t xml:space="preserve"> De bepalingen m.b.t. het materiële bewijsrecht werden grotendeels van boek 5 van het (oud) Burgerlijk Wetboek naar boek I van het Wetboek van (Burgerlijke) Rechtsvordering overgeheveld.</w:t>
      </w:r>
      <w:r w:rsidR="00BC7A08" w:rsidRPr="00BC7A08">
        <w:rPr>
          <w:rStyle w:val="Voetnootmarkering"/>
          <w:rFonts w:ascii="Times New Roman" w:hAnsi="Times New Roman" w:cs="Times New Roman"/>
          <w:sz w:val="24"/>
          <w:szCs w:val="24"/>
        </w:rPr>
        <w:footnoteReference w:id="238"/>
      </w:r>
      <w:r w:rsidR="00BC7A08" w:rsidRPr="00BC7A08">
        <w:rPr>
          <w:rFonts w:ascii="Times New Roman" w:hAnsi="Times New Roman" w:cs="Times New Roman"/>
          <w:sz w:val="24"/>
          <w:szCs w:val="24"/>
        </w:rPr>
        <w:t xml:space="preserve"> Daarnaast werd ook tal van inhoudelijke wij-zigingen doorgevoerd om de bewijsvoering bij de tijd te brengen, al werd hier (jammer ge-noeg) met geen woord over de bewijskracht van elektronische documenten gerept. Nog steeds worden akten als </w:t>
      </w:r>
      <w:r w:rsidR="00BC7A08" w:rsidRPr="00BC7A08">
        <w:rPr>
          <w:rFonts w:ascii="Times New Roman" w:hAnsi="Times New Roman" w:cs="Times New Roman"/>
          <w:i/>
          <w:sz w:val="24"/>
          <w:szCs w:val="24"/>
        </w:rPr>
        <w:t>ondertekende geschriften, bestemd om tot bewijs te dienen</w:t>
      </w:r>
      <w:r w:rsidR="00BC7A08" w:rsidRPr="00BC7A08">
        <w:rPr>
          <w:rStyle w:val="Voetnootmarkering"/>
          <w:rFonts w:ascii="Times New Roman" w:hAnsi="Times New Roman" w:cs="Times New Roman"/>
          <w:sz w:val="24"/>
          <w:szCs w:val="24"/>
        </w:rPr>
        <w:footnoteReference w:id="239"/>
      </w:r>
      <w:r w:rsidR="00BC7A08" w:rsidRPr="00BC7A08">
        <w:rPr>
          <w:rFonts w:ascii="Times New Roman" w:hAnsi="Times New Roman" w:cs="Times New Roman"/>
          <w:sz w:val="24"/>
          <w:szCs w:val="24"/>
        </w:rPr>
        <w:t xml:space="preserve"> gedefinieerd, waarbij </w:t>
      </w:r>
      <w:r w:rsidR="00BC7A08" w:rsidRPr="00BC7A08">
        <w:rPr>
          <w:rFonts w:ascii="Times New Roman" w:hAnsi="Times New Roman" w:cs="Times New Roman"/>
          <w:i/>
          <w:sz w:val="24"/>
          <w:szCs w:val="24"/>
        </w:rPr>
        <w:t xml:space="preserve">de kracht van het schriftelijke bewijs </w:t>
      </w:r>
      <w:r w:rsidR="00BC7A08" w:rsidRPr="00BC7A08">
        <w:rPr>
          <w:rFonts w:ascii="Times New Roman" w:hAnsi="Times New Roman" w:cs="Times New Roman"/>
          <w:sz w:val="24"/>
          <w:szCs w:val="24"/>
        </w:rPr>
        <w:t xml:space="preserve">(…) </w:t>
      </w:r>
      <w:r w:rsidR="00BC7A08" w:rsidRPr="00BC7A08">
        <w:rPr>
          <w:rFonts w:ascii="Times New Roman" w:hAnsi="Times New Roman" w:cs="Times New Roman"/>
          <w:i/>
          <w:sz w:val="24"/>
          <w:szCs w:val="24"/>
        </w:rPr>
        <w:t>in de oorspronkelijke akte gelegen</w:t>
      </w:r>
      <w:r w:rsidR="00BC7A08" w:rsidRPr="00BC7A08">
        <w:rPr>
          <w:rFonts w:ascii="Times New Roman" w:hAnsi="Times New Roman" w:cs="Times New Roman"/>
          <w:sz w:val="24"/>
          <w:szCs w:val="24"/>
        </w:rPr>
        <w:t xml:space="preserve"> [is].</w:t>
      </w:r>
      <w:r w:rsidR="00BC7A08" w:rsidRPr="00BC7A08">
        <w:rPr>
          <w:rStyle w:val="Voetnootmarkering"/>
          <w:rFonts w:ascii="Times New Roman" w:hAnsi="Times New Roman" w:cs="Times New Roman"/>
          <w:sz w:val="24"/>
          <w:szCs w:val="24"/>
        </w:rPr>
        <w:footnoteReference w:id="240"/>
      </w:r>
      <w:r w:rsidR="00BC7A08" w:rsidRPr="00BC7A08">
        <w:rPr>
          <w:rFonts w:ascii="Times New Roman" w:hAnsi="Times New Roman" w:cs="Times New Roman"/>
          <w:sz w:val="24"/>
          <w:szCs w:val="24"/>
        </w:rPr>
        <w:t xml:space="preserve"> Bij akten kunnen verschillende soorten bewijskracht onderscheiden worden: de uitwendige bewijskracht (in hoeverre gaat een archiefstuk – behoudens het bewijs van het tegendeel – door als akte?), de formele bewijskracht (wordt de verklaring in de akte door de onderteke-naar bevestigd?) en de materiële bewijskracht (strookt de verklaring van de ondertekenaar in de akte met de waarheid?). Aan de vragen omtrent de formele en materiële bewijskracht gaat de vraag naar de echtheid van een handtekening (uitwendige bewijskracht) vooraf.</w:t>
      </w:r>
      <w:r w:rsidR="00BC7A08" w:rsidRPr="00BC7A08">
        <w:rPr>
          <w:rStyle w:val="Voetnootmarkering"/>
          <w:rFonts w:ascii="Times New Roman" w:hAnsi="Times New Roman" w:cs="Times New Roman"/>
          <w:sz w:val="24"/>
          <w:szCs w:val="24"/>
        </w:rPr>
        <w:footnoteReference w:id="241"/>
      </w:r>
    </w:p>
    <w:p w:rsidR="00BC7A08" w:rsidRPr="00BC7A08" w:rsidRDefault="00BC7A08" w:rsidP="00BC7A08">
      <w:pPr>
        <w:pStyle w:val="Geenafstand"/>
        <w:jc w:val="both"/>
        <w:rPr>
          <w:rFonts w:ascii="Times New Roman" w:hAnsi="Times New Roman" w:cs="Times New Roman"/>
          <w:sz w:val="24"/>
          <w:szCs w:val="24"/>
        </w:rPr>
      </w:pPr>
      <w:r w:rsidRPr="00BC7A08">
        <w:rPr>
          <w:rFonts w:ascii="Times New Roman" w:hAnsi="Times New Roman" w:cs="Times New Roman"/>
          <w:sz w:val="24"/>
          <w:szCs w:val="24"/>
        </w:rPr>
        <w:t>Op 1 januari 2002 traden nieuwe wijzigingen van het burgerlijk procesrecht in werking</w:t>
      </w:r>
      <w:r w:rsidRPr="00BC7A08">
        <w:rPr>
          <w:rStyle w:val="Voetnootmarkering"/>
          <w:rFonts w:ascii="Times New Roman" w:hAnsi="Times New Roman" w:cs="Times New Roman"/>
          <w:sz w:val="24"/>
          <w:szCs w:val="24"/>
        </w:rPr>
        <w:footnoteReference w:id="242"/>
      </w:r>
      <w:r w:rsidRPr="00BC7A08">
        <w:rPr>
          <w:rFonts w:ascii="Times New Roman" w:hAnsi="Times New Roman" w:cs="Times New Roman"/>
          <w:sz w:val="24"/>
          <w:szCs w:val="24"/>
        </w:rPr>
        <w:t>, die de rechtspraktijk nauwelijks nauwelijks beïnvloedden. Toch doet de uitbreiding van de para</w:t>
      </w:r>
      <w:r w:rsidR="0045602A">
        <w:rPr>
          <w:rFonts w:ascii="Times New Roman" w:hAnsi="Times New Roman" w:cs="Times New Roman"/>
          <w:sz w:val="24"/>
          <w:szCs w:val="24"/>
        </w:rPr>
        <w:t>-</w:t>
      </w:r>
      <w:r w:rsidRPr="00BC7A08">
        <w:rPr>
          <w:rFonts w:ascii="Times New Roman" w:hAnsi="Times New Roman" w:cs="Times New Roman"/>
          <w:sz w:val="24"/>
          <w:szCs w:val="24"/>
        </w:rPr>
        <w:t xml:space="preserve">graaf over schriftelijk bewijs met de hiernavolgende bepaling de wenkbrauwen fronsen: </w:t>
      </w:r>
      <w:r w:rsidRPr="00BC7A08">
        <w:rPr>
          <w:rFonts w:ascii="Times New Roman" w:hAnsi="Times New Roman" w:cs="Times New Roman"/>
          <w:i/>
          <w:sz w:val="24"/>
          <w:szCs w:val="24"/>
        </w:rPr>
        <w:t>De rechter kan in de loop van een geding, op verzoek of ambtshalve, aan partijen of aan een van hen de openlegging bevelen van de boeken, bescheiden en geschriften, die zij ingevolge de wet moeten houden, maken of bewaren</w:t>
      </w:r>
      <w:r w:rsidRPr="00BC7A08">
        <w:rPr>
          <w:rFonts w:ascii="Times New Roman" w:hAnsi="Times New Roman" w:cs="Times New Roman"/>
          <w:sz w:val="24"/>
          <w:szCs w:val="24"/>
        </w:rPr>
        <w:t>.</w:t>
      </w:r>
      <w:r w:rsidRPr="00BC7A08">
        <w:rPr>
          <w:rStyle w:val="Voetnootmarkering"/>
          <w:rFonts w:ascii="Times New Roman" w:hAnsi="Times New Roman" w:cs="Times New Roman"/>
          <w:sz w:val="24"/>
          <w:szCs w:val="24"/>
        </w:rPr>
        <w:footnoteReference w:id="243"/>
      </w:r>
      <w:r w:rsidRPr="00BC7A08">
        <w:rPr>
          <w:rFonts w:ascii="Times New Roman" w:hAnsi="Times New Roman" w:cs="Times New Roman"/>
          <w:sz w:val="24"/>
          <w:szCs w:val="24"/>
        </w:rPr>
        <w:t xml:space="preserve"> Volgens de Memorie van Toelichting bij het eerde</w:t>
      </w:r>
      <w:r w:rsidR="0045602A">
        <w:rPr>
          <w:rFonts w:ascii="Times New Roman" w:hAnsi="Times New Roman" w:cs="Times New Roman"/>
          <w:sz w:val="24"/>
          <w:szCs w:val="24"/>
        </w:rPr>
        <w:t>-</w:t>
      </w:r>
      <w:r w:rsidRPr="00BC7A08">
        <w:rPr>
          <w:rFonts w:ascii="Times New Roman" w:hAnsi="Times New Roman" w:cs="Times New Roman"/>
          <w:sz w:val="24"/>
          <w:szCs w:val="24"/>
        </w:rPr>
        <w:t xml:space="preserve">re ontwerp van wetswijziging betreft het hier een ‘gemoderniseerde’ weergave van het oude </w:t>
      </w:r>
      <w:r w:rsidRPr="00BC7A08">
        <w:rPr>
          <w:rFonts w:ascii="Times New Roman" w:hAnsi="Times New Roman" w:cs="Times New Roman"/>
          <w:sz w:val="24"/>
          <w:szCs w:val="24"/>
        </w:rPr>
        <w:lastRenderedPageBreak/>
        <w:t>artikel 8 Wetboek van Koophandel</w:t>
      </w:r>
      <w:r w:rsidRPr="00BC7A08">
        <w:rPr>
          <w:rStyle w:val="Voetnootmarkering"/>
          <w:rFonts w:ascii="Times New Roman" w:hAnsi="Times New Roman" w:cs="Times New Roman"/>
          <w:sz w:val="24"/>
          <w:szCs w:val="24"/>
        </w:rPr>
        <w:footnoteReference w:id="244"/>
      </w:r>
      <w:r w:rsidRPr="00BC7A08">
        <w:rPr>
          <w:rFonts w:ascii="Times New Roman" w:hAnsi="Times New Roman" w:cs="Times New Roman"/>
          <w:sz w:val="24"/>
          <w:szCs w:val="24"/>
        </w:rPr>
        <w:t>, dat naar het Wetboek van (Burgerlijke) Rechtsvorde-ring wordt overgebracht. Toch heeft de wetgever het woord ‘geschriften’ niet door ‘andere gegevensdragers’ vervangen, zoals hij dat wel deed tijdens de revisie van de boekhoud- en be-waarplicht voor rechtspersonen en bedrijfs- en beroepsbeoefenaars in het Burgerlijk Wetboek.</w:t>
      </w:r>
      <w:r w:rsidR="00F12CF6">
        <w:rPr>
          <w:rStyle w:val="Voetnootmarkering"/>
          <w:rFonts w:ascii="Times New Roman" w:hAnsi="Times New Roman" w:cs="Times New Roman"/>
          <w:sz w:val="24"/>
          <w:szCs w:val="24"/>
        </w:rPr>
        <w:footnoteReference w:id="245"/>
      </w:r>
      <w:r w:rsidRPr="00BC7A08">
        <w:rPr>
          <w:rFonts w:ascii="Times New Roman" w:hAnsi="Times New Roman" w:cs="Times New Roman"/>
          <w:sz w:val="24"/>
          <w:szCs w:val="24"/>
        </w:rPr>
        <w:t xml:space="preserve"> Toen werd het woordgebruik aangepast omdat er onduidelijkheid bestond over de vraag of de term ‘geschriften’ – evenals de termen ‘boeken’ en ‘bescheiden’ – ook op elek</w:t>
      </w:r>
      <w:r w:rsidR="00F12CF6">
        <w:rPr>
          <w:rFonts w:ascii="Times New Roman" w:hAnsi="Times New Roman" w:cs="Times New Roman"/>
          <w:sz w:val="24"/>
          <w:szCs w:val="24"/>
        </w:rPr>
        <w:t>-</w:t>
      </w:r>
      <w:r w:rsidRPr="00BC7A08">
        <w:rPr>
          <w:rFonts w:ascii="Times New Roman" w:hAnsi="Times New Roman" w:cs="Times New Roman"/>
          <w:sz w:val="24"/>
          <w:szCs w:val="24"/>
        </w:rPr>
        <w:t>tronische gegevensdragers slaan. Aanvankelijk had het woord ‘geschrift’ betrekking op het leesbaar (manueel) schrijven van leestekens op een min of meer duurzaam medium zoals pa</w:t>
      </w:r>
      <w:r w:rsidR="00F12CF6">
        <w:rPr>
          <w:rFonts w:ascii="Times New Roman" w:hAnsi="Times New Roman" w:cs="Times New Roman"/>
          <w:sz w:val="24"/>
          <w:szCs w:val="24"/>
        </w:rPr>
        <w:t>-</w:t>
      </w:r>
      <w:r w:rsidRPr="00BC7A08">
        <w:rPr>
          <w:rFonts w:ascii="Times New Roman" w:hAnsi="Times New Roman" w:cs="Times New Roman"/>
          <w:sz w:val="24"/>
          <w:szCs w:val="24"/>
        </w:rPr>
        <w:t>pier. Daardoor heeft papier als gegevensdrager zeer lang een sleutelfunctie binnen het traditio</w:t>
      </w:r>
      <w:r w:rsidR="00F12CF6">
        <w:rPr>
          <w:rFonts w:ascii="Times New Roman" w:hAnsi="Times New Roman" w:cs="Times New Roman"/>
          <w:sz w:val="24"/>
          <w:szCs w:val="24"/>
        </w:rPr>
        <w:t>-</w:t>
      </w:r>
      <w:r w:rsidRPr="00BC7A08">
        <w:rPr>
          <w:rFonts w:ascii="Times New Roman" w:hAnsi="Times New Roman" w:cs="Times New Roman"/>
          <w:sz w:val="24"/>
          <w:szCs w:val="24"/>
        </w:rPr>
        <w:t>nele rechtsverkeer vervuld. De hamvraag luidt of ook elektronische documenten als ‘ge</w:t>
      </w:r>
      <w:r w:rsidR="00F12CF6">
        <w:rPr>
          <w:rFonts w:ascii="Times New Roman" w:hAnsi="Times New Roman" w:cs="Times New Roman"/>
          <w:sz w:val="24"/>
          <w:szCs w:val="24"/>
        </w:rPr>
        <w:t>-</w:t>
      </w:r>
      <w:r w:rsidRPr="00BC7A08">
        <w:rPr>
          <w:rFonts w:ascii="Times New Roman" w:hAnsi="Times New Roman" w:cs="Times New Roman"/>
          <w:sz w:val="24"/>
          <w:szCs w:val="24"/>
        </w:rPr>
        <w:t>schrift’ gekwalificeerd kunnen worden. Uit de behandeling van de Wet elektronische handte</w:t>
      </w:r>
      <w:r w:rsidR="00F12CF6">
        <w:rPr>
          <w:rFonts w:ascii="Times New Roman" w:hAnsi="Times New Roman" w:cs="Times New Roman"/>
          <w:sz w:val="24"/>
          <w:szCs w:val="24"/>
        </w:rPr>
        <w:t>-</w:t>
      </w:r>
      <w:r w:rsidRPr="00BC7A08">
        <w:rPr>
          <w:rFonts w:ascii="Times New Roman" w:hAnsi="Times New Roman" w:cs="Times New Roman"/>
          <w:sz w:val="24"/>
          <w:szCs w:val="24"/>
        </w:rPr>
        <w:t>keningen in de Eerste Kamer kan inderdaad worden afgeleid dat een ‘geschrift’ ook een elek</w:t>
      </w:r>
      <w:r w:rsidR="00F12CF6">
        <w:rPr>
          <w:rFonts w:ascii="Times New Roman" w:hAnsi="Times New Roman" w:cs="Times New Roman"/>
          <w:sz w:val="24"/>
          <w:szCs w:val="24"/>
        </w:rPr>
        <w:t>-</w:t>
      </w:r>
      <w:r w:rsidRPr="00BC7A08">
        <w:rPr>
          <w:rFonts w:ascii="Times New Roman" w:hAnsi="Times New Roman" w:cs="Times New Roman"/>
          <w:sz w:val="24"/>
          <w:szCs w:val="24"/>
        </w:rPr>
        <w:t>tronisch document kan zijn.</w:t>
      </w:r>
      <w:r w:rsidRPr="00BC7A08">
        <w:rPr>
          <w:rStyle w:val="Voetnootmarkering"/>
          <w:rFonts w:ascii="Times New Roman" w:hAnsi="Times New Roman" w:cs="Times New Roman"/>
          <w:sz w:val="24"/>
          <w:szCs w:val="24"/>
        </w:rPr>
        <w:footnoteReference w:id="246"/>
      </w:r>
      <w:r w:rsidRPr="00BC7A08">
        <w:rPr>
          <w:rFonts w:ascii="Times New Roman" w:hAnsi="Times New Roman" w:cs="Times New Roman"/>
          <w:sz w:val="24"/>
          <w:szCs w:val="24"/>
        </w:rPr>
        <w:t xml:space="preserve"> Als voorwaarde werd wel gesteld dat er enige mate van duur</w:t>
      </w:r>
      <w:r w:rsidR="00F12CF6">
        <w:rPr>
          <w:rFonts w:ascii="Times New Roman" w:hAnsi="Times New Roman" w:cs="Times New Roman"/>
          <w:sz w:val="24"/>
          <w:szCs w:val="24"/>
        </w:rPr>
        <w:t>-</w:t>
      </w:r>
      <w:r w:rsidRPr="00BC7A08">
        <w:rPr>
          <w:rFonts w:ascii="Times New Roman" w:hAnsi="Times New Roman" w:cs="Times New Roman"/>
          <w:sz w:val="24"/>
          <w:szCs w:val="24"/>
        </w:rPr>
        <w:t>zaamheid kan worden toegekend aan (de drager van) het bestand.</w:t>
      </w:r>
      <w:r w:rsidRPr="00BC7A08">
        <w:rPr>
          <w:rStyle w:val="Voetnootmarkering"/>
          <w:rFonts w:ascii="Times New Roman" w:hAnsi="Times New Roman" w:cs="Times New Roman"/>
          <w:sz w:val="24"/>
          <w:szCs w:val="24"/>
        </w:rPr>
        <w:footnoteReference w:id="247"/>
      </w:r>
    </w:p>
    <w:p w:rsidR="002E01DF" w:rsidRDefault="002E01DF"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Substitutie </w:t>
      </w:r>
      <w:r w:rsidR="00127B10">
        <w:rPr>
          <w:kern w:val="0"/>
          <w:lang w:val="nl-NL" w:eastAsia="en-US" w:bidi="ar-SA"/>
        </w:rPr>
        <w:t>impliceert dus</w:t>
      </w:r>
      <w:r w:rsidRPr="00D147A7">
        <w:rPr>
          <w:kern w:val="0"/>
          <w:lang w:val="nl-NL" w:eastAsia="en-US" w:bidi="ar-SA"/>
        </w:rPr>
        <w:t xml:space="preserve"> niet automatisch de vernietiging van bewijsmateriaal. Vaak zijn de originele gegevensdragers immers makkelijker te vervalsen dan microfilms en niet herschrijf</w:t>
      </w:r>
      <w:r w:rsidR="00BC7A08">
        <w:rPr>
          <w:kern w:val="0"/>
          <w:lang w:val="nl-NL" w:eastAsia="en-US" w:bidi="ar-SA"/>
        </w:rPr>
        <w:t>-</w:t>
      </w:r>
      <w:r w:rsidRPr="00D147A7">
        <w:rPr>
          <w:kern w:val="0"/>
          <w:lang w:val="nl-NL" w:eastAsia="en-US" w:bidi="ar-SA"/>
        </w:rPr>
        <w:t xml:space="preserve">bare, digitale bestandsformaten (zoals PDF/A). Bescheiden moeten wel op kwalitatieve wijze gesubstitueerd werden en op </w:t>
      </w:r>
      <w:r w:rsidR="00E5322C" w:rsidRPr="00D147A7">
        <w:rPr>
          <w:kern w:val="0"/>
          <w:lang w:val="nl-NL" w:eastAsia="en-US" w:bidi="ar-SA"/>
        </w:rPr>
        <w:t xml:space="preserve">een </w:t>
      </w:r>
      <w:r w:rsidRPr="00D147A7">
        <w:rPr>
          <w:kern w:val="0"/>
          <w:lang w:val="nl-NL" w:eastAsia="en-US" w:bidi="ar-SA"/>
        </w:rPr>
        <w:t xml:space="preserve">zodanige wijze dat de authenticiteit </w:t>
      </w:r>
      <w:r w:rsidR="00E5322C" w:rsidRPr="00D147A7">
        <w:rPr>
          <w:kern w:val="0"/>
          <w:lang w:val="nl-NL" w:eastAsia="en-US" w:bidi="ar-SA"/>
        </w:rPr>
        <w:t xml:space="preserve">ervan </w:t>
      </w:r>
      <w:r w:rsidRPr="00D147A7">
        <w:rPr>
          <w:kern w:val="0"/>
          <w:lang w:val="nl-NL" w:eastAsia="en-US" w:bidi="ar-SA"/>
        </w:rPr>
        <w:t>niet in twijfel ge</w:t>
      </w:r>
      <w:r w:rsidR="00BC7A08">
        <w:rPr>
          <w:kern w:val="0"/>
          <w:lang w:val="nl-NL" w:eastAsia="en-US" w:bidi="ar-SA"/>
        </w:rPr>
        <w:t>-</w:t>
      </w:r>
      <w:r w:rsidRPr="00D147A7">
        <w:rPr>
          <w:kern w:val="0"/>
          <w:lang w:val="nl-NL" w:eastAsia="en-US" w:bidi="ar-SA"/>
        </w:rPr>
        <w:t xml:space="preserve">trokken </w:t>
      </w:r>
      <w:r w:rsidR="00E5322C" w:rsidRPr="00D147A7">
        <w:rPr>
          <w:kern w:val="0"/>
          <w:lang w:val="nl-NL" w:eastAsia="en-US" w:bidi="ar-SA"/>
        </w:rPr>
        <w:t xml:space="preserve">kan </w:t>
      </w:r>
      <w:r w:rsidRPr="00D147A7">
        <w:rPr>
          <w:kern w:val="0"/>
          <w:lang w:val="nl-NL" w:eastAsia="en-US" w:bidi="ar-SA"/>
        </w:rPr>
        <w:t>word</w:t>
      </w:r>
      <w:r w:rsidR="00E5322C" w:rsidRPr="00D147A7">
        <w:rPr>
          <w:kern w:val="0"/>
          <w:lang w:val="nl-NL" w:eastAsia="en-US" w:bidi="ar-SA"/>
        </w:rPr>
        <w:t>en</w:t>
      </w:r>
      <w:r w:rsidRPr="00D147A7">
        <w:rPr>
          <w:kern w:val="0"/>
          <w:lang w:val="nl-NL" w:eastAsia="en-US" w:bidi="ar-SA"/>
        </w:rPr>
        <w:t>. Daarom doen zorgverleners en ziekenhuizen er verstandig aan om pa</w:t>
      </w:r>
      <w:r w:rsidR="00BC7A08">
        <w:rPr>
          <w:kern w:val="0"/>
          <w:lang w:val="nl-NL" w:eastAsia="en-US" w:bidi="ar-SA"/>
        </w:rPr>
        <w:t>-</w:t>
      </w:r>
      <w:r w:rsidRPr="00D147A7">
        <w:rPr>
          <w:kern w:val="0"/>
          <w:lang w:val="nl-NL" w:eastAsia="en-US" w:bidi="ar-SA"/>
        </w:rPr>
        <w:t>tiëntendossiers pas een redelijke termijn (zoals vijf jaar) na de substitutie te vernietigen.</w:t>
      </w:r>
      <w:r w:rsidRPr="00D147A7">
        <w:rPr>
          <w:kern w:val="0"/>
          <w:vertAlign w:val="superscript"/>
          <w:lang w:val="nl-NL" w:eastAsia="en-US" w:bidi="ar-SA"/>
        </w:rPr>
        <w:footnoteReference w:id="248"/>
      </w:r>
    </w:p>
    <w:p w:rsidR="009931C7" w:rsidRPr="00D147A7" w:rsidRDefault="00D87E2F" w:rsidP="009931C7">
      <w:pPr>
        <w:widowControl/>
        <w:suppressAutoHyphens w:val="0"/>
        <w:spacing w:line="240" w:lineRule="atLeast"/>
        <w:jc w:val="both"/>
        <w:rPr>
          <w:kern w:val="0"/>
          <w:lang w:val="nl-NL" w:eastAsia="en-US" w:bidi="ar-SA"/>
        </w:rPr>
      </w:pPr>
      <w:r w:rsidRPr="00D147A7">
        <w:rPr>
          <w:kern w:val="0"/>
          <w:lang w:val="nl-NL" w:eastAsia="en-US" w:bidi="ar-SA"/>
        </w:rPr>
        <w:t>O</w:t>
      </w:r>
      <w:r w:rsidR="009931C7" w:rsidRPr="00D147A7">
        <w:rPr>
          <w:kern w:val="0"/>
          <w:lang w:val="nl-NL" w:eastAsia="en-US" w:bidi="ar-SA"/>
        </w:rPr>
        <w:t>m de authenticiteit en de integriteit van een archiefstuk tijdens het substitutieproces te be</w:t>
      </w:r>
      <w:r w:rsidR="009D1055">
        <w:rPr>
          <w:kern w:val="0"/>
          <w:lang w:val="nl-NL" w:eastAsia="en-US" w:bidi="ar-SA"/>
        </w:rPr>
        <w:t>-</w:t>
      </w:r>
      <w:r w:rsidR="009931C7" w:rsidRPr="00D147A7">
        <w:rPr>
          <w:kern w:val="0"/>
          <w:lang w:val="nl-NL" w:eastAsia="en-US" w:bidi="ar-SA"/>
        </w:rPr>
        <w:t>waren</w:t>
      </w:r>
      <w:r w:rsidRPr="00D147A7">
        <w:rPr>
          <w:kern w:val="0"/>
          <w:lang w:val="nl-NL" w:eastAsia="en-US" w:bidi="ar-SA"/>
        </w:rPr>
        <w:t xml:space="preserve">, moet </w:t>
      </w:r>
      <w:r w:rsidR="009931C7" w:rsidRPr="00D147A7">
        <w:rPr>
          <w:kern w:val="0"/>
          <w:lang w:val="nl-NL" w:eastAsia="en-US" w:bidi="ar-SA"/>
        </w:rPr>
        <w:t>de procedure van de vervanging beschreven worden én moeten er technische me</w:t>
      </w:r>
      <w:r w:rsidR="009D1055">
        <w:rPr>
          <w:kern w:val="0"/>
          <w:lang w:val="nl-NL" w:eastAsia="en-US" w:bidi="ar-SA"/>
        </w:rPr>
        <w:t>-</w:t>
      </w:r>
      <w:r w:rsidR="009931C7" w:rsidRPr="00D147A7">
        <w:rPr>
          <w:kern w:val="0"/>
          <w:lang w:val="nl-NL" w:eastAsia="en-US" w:bidi="ar-SA"/>
        </w:rPr>
        <w:t>tadata aan de digitale reproductie worden toegevoegd.</w:t>
      </w:r>
      <w:r w:rsidR="009931C7" w:rsidRPr="00D147A7">
        <w:rPr>
          <w:kern w:val="0"/>
          <w:vertAlign w:val="superscript"/>
          <w:lang w:val="nl-NL" w:eastAsia="en-US" w:bidi="ar-SA"/>
        </w:rPr>
        <w:footnoteReference w:id="249"/>
      </w:r>
      <w:r w:rsidR="009931C7" w:rsidRPr="00D147A7">
        <w:rPr>
          <w:kern w:val="0"/>
          <w:lang w:val="nl-NL" w:eastAsia="en-US" w:bidi="ar-SA"/>
        </w:rPr>
        <w:t xml:space="preserve"> In het bijzonder moeten </w:t>
      </w:r>
      <w:r w:rsidRPr="00D147A7">
        <w:rPr>
          <w:kern w:val="0"/>
          <w:lang w:val="nl-NL" w:eastAsia="en-US" w:bidi="ar-SA"/>
        </w:rPr>
        <w:t>de</w:t>
      </w:r>
      <w:r w:rsidR="009931C7" w:rsidRPr="00D147A7">
        <w:rPr>
          <w:kern w:val="0"/>
          <w:lang w:val="nl-NL" w:eastAsia="en-US" w:bidi="ar-SA"/>
        </w:rPr>
        <w:t xml:space="preserve"> maatre</w:t>
      </w:r>
      <w:r w:rsidR="009D1055">
        <w:rPr>
          <w:kern w:val="0"/>
          <w:lang w:val="nl-NL" w:eastAsia="en-US" w:bidi="ar-SA"/>
        </w:rPr>
        <w:t>-</w:t>
      </w:r>
      <w:r w:rsidR="009931C7" w:rsidRPr="00D147A7">
        <w:rPr>
          <w:kern w:val="0"/>
          <w:lang w:val="nl-NL" w:eastAsia="en-US" w:bidi="ar-SA"/>
        </w:rPr>
        <w:t>gelen vastgelegd worden die getroffen werden om de gegevensdragers van archiefbescheiden op ‘behoorlijke wijze’ – i.e. zonder informatieverlies – te substitueren. Omdat gescande docu</w:t>
      </w:r>
      <w:r w:rsidR="009D1055">
        <w:rPr>
          <w:kern w:val="0"/>
          <w:lang w:val="nl-NL" w:eastAsia="en-US" w:bidi="ar-SA"/>
        </w:rPr>
        <w:t>-</w:t>
      </w:r>
      <w:r w:rsidR="009931C7" w:rsidRPr="00D147A7">
        <w:rPr>
          <w:kern w:val="0"/>
          <w:lang w:val="nl-NL" w:eastAsia="en-US" w:bidi="ar-SA"/>
        </w:rPr>
        <w:t xml:space="preserve">menten ‘statisch’ (en daarom niet altijd even makkelijk raadpleegbaar) zijn, is </w:t>
      </w:r>
      <w:r w:rsidRPr="00D147A7">
        <w:rPr>
          <w:kern w:val="0"/>
          <w:lang w:val="nl-NL" w:eastAsia="en-US" w:bidi="ar-SA"/>
        </w:rPr>
        <w:t xml:space="preserve">het </w:t>
      </w:r>
      <w:r w:rsidR="009931C7" w:rsidRPr="00D147A7">
        <w:rPr>
          <w:kern w:val="0"/>
          <w:lang w:val="nl-NL" w:eastAsia="en-US" w:bidi="ar-SA"/>
        </w:rPr>
        <w:t>ook aange</w:t>
      </w:r>
      <w:r w:rsidR="009D1055">
        <w:rPr>
          <w:kern w:val="0"/>
          <w:lang w:val="nl-NL" w:eastAsia="en-US" w:bidi="ar-SA"/>
        </w:rPr>
        <w:t>-</w:t>
      </w:r>
      <w:r w:rsidR="009931C7" w:rsidRPr="00D147A7">
        <w:rPr>
          <w:kern w:val="0"/>
          <w:lang w:val="nl-NL" w:eastAsia="en-US" w:bidi="ar-SA"/>
        </w:rPr>
        <w:t>wezen om belangrijke informatie over de geschiedenis van het document (</w:t>
      </w:r>
      <w:r w:rsidR="009931C7" w:rsidRPr="00D147A7">
        <w:rPr>
          <w:i/>
          <w:kern w:val="0"/>
          <w:lang w:val="nl-NL" w:eastAsia="en-US" w:bidi="ar-SA"/>
        </w:rPr>
        <w:t>event history</w:t>
      </w:r>
      <w:r w:rsidR="009931C7" w:rsidRPr="00D147A7">
        <w:rPr>
          <w:kern w:val="0"/>
          <w:lang w:val="nl-NL" w:eastAsia="en-US" w:bidi="ar-SA"/>
        </w:rPr>
        <w:t>) in de vorm van technische metadata aan het elektronisch patiëntendossier toe te voegen. Er moet o.m. worden aangegeven wanneer het digitale document ontstaan is (authenticiteit) en welke wijzigingen het document heeft ondergaan (integriteit). De</w:t>
      </w:r>
      <w:r w:rsidRPr="00D147A7">
        <w:rPr>
          <w:kern w:val="0"/>
          <w:lang w:val="nl-NL" w:eastAsia="en-US" w:bidi="ar-SA"/>
        </w:rPr>
        <w:t>ze</w:t>
      </w:r>
      <w:r w:rsidR="009931C7" w:rsidRPr="00D147A7">
        <w:rPr>
          <w:kern w:val="0"/>
          <w:lang w:val="nl-NL" w:eastAsia="en-US" w:bidi="ar-SA"/>
        </w:rPr>
        <w:t xml:space="preserve"> combinatie biedt een zekere ga</w:t>
      </w:r>
      <w:r w:rsidR="009D1055">
        <w:rPr>
          <w:kern w:val="0"/>
          <w:lang w:val="nl-NL" w:eastAsia="en-US" w:bidi="ar-SA"/>
        </w:rPr>
        <w:t>-</w:t>
      </w:r>
      <w:r w:rsidR="009931C7" w:rsidRPr="00D147A7">
        <w:rPr>
          <w:kern w:val="0"/>
          <w:lang w:val="nl-NL" w:eastAsia="en-US" w:bidi="ar-SA"/>
        </w:rPr>
        <w:t>rantie van authenticiteit. Een andere bijdrage om de authenticiteit van gereproduceerde pa</w:t>
      </w:r>
      <w:r w:rsidR="009D1055">
        <w:rPr>
          <w:kern w:val="0"/>
          <w:lang w:val="nl-NL" w:eastAsia="en-US" w:bidi="ar-SA"/>
        </w:rPr>
        <w:t>-</w:t>
      </w:r>
      <w:r w:rsidR="009931C7" w:rsidRPr="00D147A7">
        <w:rPr>
          <w:kern w:val="0"/>
          <w:lang w:val="nl-NL" w:eastAsia="en-US" w:bidi="ar-SA"/>
        </w:rPr>
        <w:t>tiëntendossiers te garanderen, is het uitbesteden van (systematische) digitaliseringsopera</w:t>
      </w:r>
      <w:r w:rsidR="009D1055">
        <w:rPr>
          <w:kern w:val="0"/>
          <w:lang w:val="nl-NL" w:eastAsia="en-US" w:bidi="ar-SA"/>
        </w:rPr>
        <w:t>-</w:t>
      </w:r>
      <w:r w:rsidR="009931C7" w:rsidRPr="00D147A7">
        <w:rPr>
          <w:kern w:val="0"/>
          <w:lang w:val="nl-NL" w:eastAsia="en-US" w:bidi="ar-SA"/>
        </w:rPr>
        <w:t>ties.</w:t>
      </w:r>
      <w:r w:rsidR="009931C7" w:rsidRPr="00D147A7">
        <w:rPr>
          <w:kern w:val="0"/>
          <w:vertAlign w:val="superscript"/>
          <w:lang w:val="nl-NL" w:eastAsia="en-US" w:bidi="ar-SA"/>
        </w:rPr>
        <w:footnoteReference w:id="250"/>
      </w:r>
      <w:r w:rsidR="009931C7" w:rsidRPr="00D147A7">
        <w:rPr>
          <w:kern w:val="0"/>
          <w:lang w:val="nl-NL" w:eastAsia="en-US" w:bidi="ar-SA"/>
        </w:rPr>
        <w:t xml:space="preserve"> Dat is op zich geen voldoende waarborg, maar kan in combinatie met </w:t>
      </w:r>
      <w:r w:rsidRPr="00D147A7">
        <w:rPr>
          <w:kern w:val="0"/>
          <w:lang w:val="nl-NL" w:eastAsia="en-US" w:bidi="ar-SA"/>
        </w:rPr>
        <w:t>de</w:t>
      </w:r>
      <w:r w:rsidR="009931C7" w:rsidRPr="00D147A7">
        <w:rPr>
          <w:kern w:val="0"/>
          <w:lang w:val="nl-NL" w:eastAsia="en-US" w:bidi="ar-SA"/>
        </w:rPr>
        <w:t xml:space="preserve"> voorgaande </w:t>
      </w:r>
      <w:r w:rsidRPr="00D147A7">
        <w:rPr>
          <w:kern w:val="0"/>
          <w:lang w:val="nl-NL" w:eastAsia="en-US" w:bidi="ar-SA"/>
        </w:rPr>
        <w:t xml:space="preserve">elementen </w:t>
      </w:r>
      <w:r w:rsidR="009931C7" w:rsidRPr="00D147A7">
        <w:rPr>
          <w:kern w:val="0"/>
          <w:lang w:val="nl-NL" w:eastAsia="en-US" w:bidi="ar-SA"/>
        </w:rPr>
        <w:t>bijdragen aan een kwalitatieve substitutie.</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Bovendien moeten zorgdragers v</w:t>
      </w:r>
      <w:r w:rsidR="00353B4E" w:rsidRPr="00D147A7">
        <w:rPr>
          <w:kern w:val="0"/>
          <w:lang w:val="nl-NL" w:eastAsia="en-US" w:bidi="ar-SA"/>
        </w:rPr>
        <w:t>an</w:t>
      </w:r>
      <w:r w:rsidRPr="00D147A7">
        <w:rPr>
          <w:kern w:val="0"/>
          <w:lang w:val="nl-NL" w:eastAsia="en-US" w:bidi="ar-SA"/>
        </w:rPr>
        <w:t xml:space="preserve"> iedere </w:t>
      </w:r>
      <w:r w:rsidR="00353B4E" w:rsidRPr="00D147A7">
        <w:rPr>
          <w:kern w:val="0"/>
          <w:lang w:val="nl-NL" w:eastAsia="en-US" w:bidi="ar-SA"/>
        </w:rPr>
        <w:t>subsititutie</w:t>
      </w:r>
      <w:r w:rsidRPr="00D147A7">
        <w:rPr>
          <w:kern w:val="0"/>
          <w:lang w:val="nl-NL" w:eastAsia="en-US" w:bidi="ar-SA"/>
        </w:rPr>
        <w:t xml:space="preserve"> een verklaring opmaken, </w:t>
      </w:r>
      <w:r w:rsidRPr="00D147A7">
        <w:rPr>
          <w:i/>
          <w:kern w:val="0"/>
          <w:lang w:val="nl-NL" w:eastAsia="en-US" w:bidi="ar-SA"/>
        </w:rPr>
        <w:t>die</w:t>
      </w:r>
      <w:r w:rsidRPr="00D147A7">
        <w:rPr>
          <w:kern w:val="0"/>
          <w:lang w:val="nl-NL" w:eastAsia="en-US" w:bidi="ar-SA"/>
        </w:rPr>
        <w:t xml:space="preserve"> </w:t>
      </w:r>
      <w:r w:rsidRPr="00D147A7">
        <w:rPr>
          <w:i/>
          <w:kern w:val="0"/>
          <w:lang w:val="nl-NL" w:eastAsia="en-US" w:bidi="ar-SA"/>
        </w:rPr>
        <w:t>ten</w:t>
      </w:r>
      <w:r w:rsidRPr="00D147A7">
        <w:rPr>
          <w:kern w:val="0"/>
          <w:lang w:val="nl-NL" w:eastAsia="en-US" w:bidi="ar-SA"/>
        </w:rPr>
        <w:t xml:space="preserve"> </w:t>
      </w:r>
      <w:r w:rsidRPr="00D147A7">
        <w:rPr>
          <w:i/>
          <w:kern w:val="0"/>
          <w:lang w:val="nl-NL" w:eastAsia="en-US" w:bidi="ar-SA"/>
        </w:rPr>
        <w:t>minste</w:t>
      </w:r>
      <w:r w:rsidRPr="00D147A7">
        <w:rPr>
          <w:kern w:val="0"/>
          <w:lang w:val="nl-NL" w:eastAsia="en-US" w:bidi="ar-SA"/>
        </w:rPr>
        <w:t xml:space="preserve"> </w:t>
      </w:r>
      <w:r w:rsidRPr="00D147A7">
        <w:rPr>
          <w:i/>
          <w:kern w:val="0"/>
          <w:lang w:val="nl-NL" w:eastAsia="en-US" w:bidi="ar-SA"/>
        </w:rPr>
        <w:t>een</w:t>
      </w:r>
      <w:r w:rsidRPr="00D147A7">
        <w:rPr>
          <w:kern w:val="0"/>
          <w:lang w:val="nl-NL" w:eastAsia="en-US" w:bidi="ar-SA"/>
        </w:rPr>
        <w:t xml:space="preserve"> </w:t>
      </w:r>
      <w:r w:rsidRPr="00D147A7">
        <w:rPr>
          <w:i/>
          <w:kern w:val="0"/>
          <w:lang w:val="nl-NL" w:eastAsia="en-US" w:bidi="ar-SA"/>
        </w:rPr>
        <w:t>specificatie</w:t>
      </w:r>
      <w:r w:rsidRPr="00D147A7">
        <w:rPr>
          <w:kern w:val="0"/>
          <w:lang w:val="nl-NL" w:eastAsia="en-US" w:bidi="ar-SA"/>
        </w:rPr>
        <w:t xml:space="preserve"> </w:t>
      </w:r>
      <w:r w:rsidRPr="00D147A7">
        <w:rPr>
          <w:i/>
          <w:kern w:val="0"/>
          <w:lang w:val="nl-NL" w:eastAsia="en-US" w:bidi="ar-SA"/>
        </w:rPr>
        <w:t>van</w:t>
      </w:r>
      <w:r w:rsidRPr="00D147A7">
        <w:rPr>
          <w:kern w:val="0"/>
          <w:lang w:val="nl-NL" w:eastAsia="en-US" w:bidi="ar-SA"/>
        </w:rPr>
        <w:t xml:space="preserve"> </w:t>
      </w:r>
      <w:r w:rsidRPr="00D147A7">
        <w:rPr>
          <w:i/>
          <w:kern w:val="0"/>
          <w:lang w:val="nl-NL" w:eastAsia="en-US" w:bidi="ar-SA"/>
        </w:rPr>
        <w:t>de vernietigde, vervangen of vervreemde archiefbescheiden bevat, alsme</w:t>
      </w:r>
      <w:r w:rsidR="009D1055">
        <w:rPr>
          <w:i/>
          <w:kern w:val="0"/>
          <w:lang w:val="nl-NL" w:eastAsia="en-US" w:bidi="ar-SA"/>
        </w:rPr>
        <w:t>-</w:t>
      </w:r>
      <w:r w:rsidRPr="00D147A7">
        <w:rPr>
          <w:i/>
          <w:kern w:val="0"/>
          <w:lang w:val="nl-NL" w:eastAsia="en-US" w:bidi="ar-SA"/>
        </w:rPr>
        <w:t>de aangeeft op grond</w:t>
      </w:r>
      <w:r w:rsidRPr="00D147A7">
        <w:rPr>
          <w:kern w:val="0"/>
          <w:lang w:val="nl-NL" w:eastAsia="en-US" w:bidi="ar-SA"/>
        </w:rPr>
        <w:t xml:space="preserve"> </w:t>
      </w:r>
      <w:r w:rsidRPr="00D147A7">
        <w:rPr>
          <w:i/>
          <w:kern w:val="0"/>
          <w:lang w:val="nl-NL" w:eastAsia="en-US" w:bidi="ar-SA"/>
        </w:rPr>
        <w:t>waarvan</w:t>
      </w:r>
      <w:r w:rsidRPr="00D147A7">
        <w:rPr>
          <w:kern w:val="0"/>
          <w:lang w:val="nl-NL" w:eastAsia="en-US" w:bidi="ar-SA"/>
        </w:rPr>
        <w:t xml:space="preserve"> </w:t>
      </w:r>
      <w:r w:rsidRPr="00D147A7">
        <w:rPr>
          <w:i/>
          <w:kern w:val="0"/>
          <w:lang w:val="nl-NL" w:eastAsia="en-US" w:bidi="ar-SA"/>
        </w:rPr>
        <w:t>en</w:t>
      </w:r>
      <w:r w:rsidRPr="00D147A7">
        <w:rPr>
          <w:kern w:val="0"/>
          <w:lang w:val="nl-NL" w:eastAsia="en-US" w:bidi="ar-SA"/>
        </w:rPr>
        <w:t xml:space="preserve"> </w:t>
      </w:r>
      <w:r w:rsidRPr="00D147A7">
        <w:rPr>
          <w:i/>
          <w:kern w:val="0"/>
          <w:lang w:val="nl-NL" w:eastAsia="en-US" w:bidi="ar-SA"/>
        </w:rPr>
        <w:t>op</w:t>
      </w:r>
      <w:r w:rsidRPr="00D147A7">
        <w:rPr>
          <w:kern w:val="0"/>
          <w:lang w:val="nl-NL" w:eastAsia="en-US" w:bidi="ar-SA"/>
        </w:rPr>
        <w:t xml:space="preserve"> </w:t>
      </w:r>
      <w:r w:rsidRPr="00D147A7">
        <w:rPr>
          <w:i/>
          <w:kern w:val="0"/>
          <w:lang w:val="nl-NL" w:eastAsia="en-US" w:bidi="ar-SA"/>
        </w:rPr>
        <w:t>welke</w:t>
      </w:r>
      <w:r w:rsidRPr="00D147A7">
        <w:rPr>
          <w:kern w:val="0"/>
          <w:lang w:val="nl-NL" w:eastAsia="en-US" w:bidi="ar-SA"/>
        </w:rPr>
        <w:t xml:space="preserve"> </w:t>
      </w:r>
      <w:r w:rsidRPr="00D147A7">
        <w:rPr>
          <w:i/>
          <w:kern w:val="0"/>
          <w:lang w:val="nl-NL" w:eastAsia="en-US" w:bidi="ar-SA"/>
        </w:rPr>
        <w:t>wijze</w:t>
      </w:r>
      <w:r w:rsidRPr="00D147A7">
        <w:rPr>
          <w:kern w:val="0"/>
          <w:lang w:val="nl-NL" w:eastAsia="en-US" w:bidi="ar-SA"/>
        </w:rPr>
        <w:t xml:space="preserve"> </w:t>
      </w:r>
      <w:r w:rsidRPr="00D147A7">
        <w:rPr>
          <w:i/>
          <w:kern w:val="0"/>
          <w:lang w:val="nl-NL" w:eastAsia="en-US" w:bidi="ar-SA"/>
        </w:rPr>
        <w:t>de</w:t>
      </w:r>
      <w:r w:rsidRPr="00D147A7">
        <w:rPr>
          <w:kern w:val="0"/>
          <w:lang w:val="nl-NL" w:eastAsia="en-US" w:bidi="ar-SA"/>
        </w:rPr>
        <w:t xml:space="preserve"> (…) </w:t>
      </w:r>
      <w:r w:rsidRPr="00D147A7">
        <w:rPr>
          <w:i/>
          <w:kern w:val="0"/>
          <w:lang w:val="nl-NL" w:eastAsia="en-US" w:bidi="ar-SA"/>
        </w:rPr>
        <w:t>vervanging</w:t>
      </w:r>
      <w:r w:rsidRPr="00D147A7">
        <w:rPr>
          <w:kern w:val="0"/>
          <w:lang w:val="nl-NL" w:eastAsia="en-US" w:bidi="ar-SA"/>
        </w:rPr>
        <w:t xml:space="preserve"> (…) </w:t>
      </w:r>
      <w:r w:rsidRPr="00D147A7">
        <w:rPr>
          <w:i/>
          <w:kern w:val="0"/>
          <w:lang w:val="nl-NL" w:eastAsia="en-US" w:bidi="ar-SA"/>
        </w:rPr>
        <w:t>is</w:t>
      </w:r>
      <w:r w:rsidRPr="00D147A7">
        <w:rPr>
          <w:kern w:val="0"/>
          <w:lang w:val="nl-NL" w:eastAsia="en-US" w:bidi="ar-SA"/>
        </w:rPr>
        <w:t xml:space="preserve"> </w:t>
      </w:r>
      <w:r w:rsidRPr="00D147A7">
        <w:rPr>
          <w:i/>
          <w:kern w:val="0"/>
          <w:lang w:val="nl-NL" w:eastAsia="en-US" w:bidi="ar-SA"/>
        </w:rPr>
        <w:t>geschied.</w:t>
      </w:r>
      <w:r w:rsidRPr="00D147A7">
        <w:rPr>
          <w:kern w:val="0"/>
          <w:lang w:val="nl-NL" w:eastAsia="en-US" w:bidi="ar-SA"/>
        </w:rPr>
        <w:t xml:space="preserve"> </w:t>
      </w:r>
      <w:r w:rsidRPr="00D147A7">
        <w:rPr>
          <w:i/>
          <w:kern w:val="0"/>
          <w:lang w:val="nl-NL" w:eastAsia="en-US" w:bidi="ar-SA"/>
        </w:rPr>
        <w:t>Een</w:t>
      </w:r>
      <w:r w:rsidRPr="00D147A7">
        <w:rPr>
          <w:kern w:val="0"/>
          <w:lang w:val="nl-NL" w:eastAsia="en-US" w:bidi="ar-SA"/>
        </w:rPr>
        <w:t xml:space="preserve"> </w:t>
      </w:r>
      <w:r w:rsidRPr="00D147A7">
        <w:rPr>
          <w:i/>
          <w:kern w:val="0"/>
          <w:lang w:val="nl-NL" w:eastAsia="en-US" w:bidi="ar-SA"/>
        </w:rPr>
        <w:t>ex</w:t>
      </w:r>
      <w:r w:rsidR="009D1055">
        <w:rPr>
          <w:i/>
          <w:kern w:val="0"/>
          <w:lang w:val="nl-NL" w:eastAsia="en-US" w:bidi="ar-SA"/>
        </w:rPr>
        <w:t>-</w:t>
      </w:r>
      <w:r w:rsidRPr="00D147A7">
        <w:rPr>
          <w:i/>
          <w:kern w:val="0"/>
          <w:lang w:val="nl-NL" w:eastAsia="en-US" w:bidi="ar-SA"/>
        </w:rPr>
        <w:t>emplaar</w:t>
      </w:r>
      <w:r w:rsidRPr="00D147A7">
        <w:rPr>
          <w:kern w:val="0"/>
          <w:lang w:val="nl-NL" w:eastAsia="en-US" w:bidi="ar-SA"/>
        </w:rPr>
        <w:t xml:space="preserve"> </w:t>
      </w:r>
      <w:r w:rsidRPr="00D147A7">
        <w:rPr>
          <w:i/>
          <w:kern w:val="0"/>
          <w:lang w:val="nl-NL" w:eastAsia="en-US" w:bidi="ar-SA"/>
        </w:rPr>
        <w:t>van</w:t>
      </w:r>
      <w:r w:rsidRPr="00D147A7">
        <w:rPr>
          <w:kern w:val="0"/>
          <w:lang w:val="nl-NL" w:eastAsia="en-US" w:bidi="ar-SA"/>
        </w:rPr>
        <w:t xml:space="preserve"> </w:t>
      </w:r>
      <w:r w:rsidRPr="00D147A7">
        <w:rPr>
          <w:i/>
          <w:kern w:val="0"/>
          <w:lang w:val="nl-NL" w:eastAsia="en-US" w:bidi="ar-SA"/>
        </w:rPr>
        <w:t>deze</w:t>
      </w:r>
      <w:r w:rsidRPr="00D147A7">
        <w:rPr>
          <w:kern w:val="0"/>
          <w:lang w:val="nl-NL" w:eastAsia="en-US" w:bidi="ar-SA"/>
        </w:rPr>
        <w:t xml:space="preserve"> </w:t>
      </w:r>
      <w:r w:rsidRPr="00D147A7">
        <w:rPr>
          <w:i/>
          <w:kern w:val="0"/>
          <w:lang w:val="nl-NL" w:eastAsia="en-US" w:bidi="ar-SA"/>
        </w:rPr>
        <w:t>verklaring</w:t>
      </w:r>
      <w:r w:rsidRPr="00D147A7">
        <w:rPr>
          <w:kern w:val="0"/>
          <w:lang w:val="nl-NL" w:eastAsia="en-US" w:bidi="ar-SA"/>
        </w:rPr>
        <w:t xml:space="preserve"> </w:t>
      </w:r>
      <w:r w:rsidRPr="00D147A7">
        <w:rPr>
          <w:i/>
          <w:kern w:val="0"/>
          <w:lang w:val="nl-NL" w:eastAsia="en-US" w:bidi="ar-SA"/>
        </w:rPr>
        <w:t>wordt bewaard door het overheidsorgaan waaronder de archief</w:t>
      </w:r>
      <w:r w:rsidR="009D1055">
        <w:rPr>
          <w:i/>
          <w:kern w:val="0"/>
          <w:lang w:val="nl-NL" w:eastAsia="en-US" w:bidi="ar-SA"/>
        </w:rPr>
        <w:t>-</w:t>
      </w:r>
      <w:r w:rsidRPr="00D147A7">
        <w:rPr>
          <w:i/>
          <w:kern w:val="0"/>
          <w:lang w:val="nl-NL" w:eastAsia="en-US" w:bidi="ar-SA"/>
        </w:rPr>
        <w:lastRenderedPageBreak/>
        <w:t>bescheiden zouden berusten, indien</w:t>
      </w:r>
      <w:r w:rsidRPr="00D147A7">
        <w:rPr>
          <w:kern w:val="0"/>
          <w:lang w:val="nl-NL" w:eastAsia="en-US" w:bidi="ar-SA"/>
        </w:rPr>
        <w:t xml:space="preserve"> </w:t>
      </w:r>
      <w:r w:rsidRPr="00D147A7">
        <w:rPr>
          <w:i/>
          <w:kern w:val="0"/>
          <w:lang w:val="nl-NL" w:eastAsia="en-US" w:bidi="ar-SA"/>
        </w:rPr>
        <w:t>zij</w:t>
      </w:r>
      <w:r w:rsidRPr="00D147A7">
        <w:rPr>
          <w:kern w:val="0"/>
          <w:lang w:val="nl-NL" w:eastAsia="en-US" w:bidi="ar-SA"/>
        </w:rPr>
        <w:t xml:space="preserve"> </w:t>
      </w:r>
      <w:r w:rsidRPr="00D147A7">
        <w:rPr>
          <w:i/>
          <w:kern w:val="0"/>
          <w:lang w:val="nl-NL" w:eastAsia="en-US" w:bidi="ar-SA"/>
        </w:rPr>
        <w:t>niet</w:t>
      </w:r>
      <w:r w:rsidRPr="00D147A7">
        <w:rPr>
          <w:kern w:val="0"/>
          <w:lang w:val="nl-NL" w:eastAsia="en-US" w:bidi="ar-SA"/>
        </w:rPr>
        <w:t xml:space="preserve"> </w:t>
      </w:r>
      <w:r w:rsidRPr="00D147A7">
        <w:rPr>
          <w:i/>
          <w:kern w:val="0"/>
          <w:lang w:val="nl-NL" w:eastAsia="en-US" w:bidi="ar-SA"/>
        </w:rPr>
        <w:t>waren</w:t>
      </w:r>
      <w:r w:rsidRPr="00D147A7">
        <w:rPr>
          <w:kern w:val="0"/>
          <w:lang w:val="nl-NL" w:eastAsia="en-US" w:bidi="ar-SA"/>
        </w:rPr>
        <w:t xml:space="preserve"> (…) </w:t>
      </w:r>
      <w:r w:rsidRPr="00D147A7">
        <w:rPr>
          <w:i/>
          <w:kern w:val="0"/>
          <w:lang w:val="nl-NL" w:eastAsia="en-US" w:bidi="ar-SA"/>
        </w:rPr>
        <w:t>vervangen</w:t>
      </w:r>
      <w:r w:rsidRPr="00D147A7">
        <w:rPr>
          <w:kern w:val="0"/>
          <w:lang w:val="nl-NL" w:eastAsia="en-US" w:bidi="ar-SA"/>
        </w:rPr>
        <w:t xml:space="preserve"> (…).</w:t>
      </w:r>
      <w:r w:rsidRPr="00D147A7">
        <w:rPr>
          <w:kern w:val="0"/>
          <w:vertAlign w:val="superscript"/>
          <w:lang w:val="nl-NL" w:eastAsia="en-US" w:bidi="ar-SA"/>
        </w:rPr>
        <w:footnoteReference w:id="251"/>
      </w:r>
      <w:r w:rsidRPr="00D147A7">
        <w:rPr>
          <w:kern w:val="0"/>
          <w:lang w:val="nl-NL" w:eastAsia="en-US" w:bidi="ar-SA"/>
        </w:rPr>
        <w:t xml:space="preserve"> Hetzelfde geldt overigens ook voor de migratie en conversie van digitale bescheiden.</w:t>
      </w:r>
      <w:r w:rsidRPr="00D147A7">
        <w:rPr>
          <w:kern w:val="0"/>
          <w:vertAlign w:val="superscript"/>
          <w:lang w:val="nl-NL" w:eastAsia="en-US" w:bidi="ar-SA"/>
        </w:rPr>
        <w:footnoteReference w:id="252"/>
      </w:r>
      <w:r w:rsidRPr="00D147A7">
        <w:rPr>
          <w:kern w:val="0"/>
          <w:lang w:val="nl-NL" w:eastAsia="en-US" w:bidi="ar-SA"/>
        </w:rPr>
        <w:t xml:space="preserve"> </w:t>
      </w:r>
    </w:p>
    <w:p w:rsidR="009931C7" w:rsidRPr="00D147A7" w:rsidRDefault="009931C7" w:rsidP="009931C7">
      <w:pPr>
        <w:widowControl/>
        <w:suppressAutoHyphens w:val="0"/>
        <w:spacing w:line="240" w:lineRule="atLeast"/>
        <w:jc w:val="both"/>
        <w:rPr>
          <w:kern w:val="0"/>
          <w:highlight w:val="black"/>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4: Typologie</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Hoewel in Nederland evenveel soorten patiëntendossiers bestaan als in België, worden ze in de Nederlandse wetgeving veelal over dezelfde kam geschoren. Dit uit zich onder meer in de algemene bewaartermijn van patiëntendossiers.</w:t>
      </w:r>
      <w:r w:rsidRPr="00D147A7">
        <w:rPr>
          <w:kern w:val="0"/>
          <w:vertAlign w:val="superscript"/>
          <w:lang w:val="nl-NL" w:eastAsia="en-US" w:bidi="ar-SA"/>
        </w:rPr>
        <w:footnoteReference w:id="253"/>
      </w:r>
      <w:r w:rsidRPr="00D147A7">
        <w:rPr>
          <w:kern w:val="0"/>
          <w:lang w:val="nl-NL" w:eastAsia="en-US" w:bidi="ar-SA"/>
        </w:rPr>
        <w:t xml:space="preserve"> De enkele uitzonderingen die door de wetgever erkend worden, zijn medische keuringsgegevens, patiëntendossiers in psychiatrische ziekenhuizen, bepaalde documenten uit patiëntendossiers van Universitaire Medische Centra, medische gegevens in het kader van de jeugdzorg en resultaten van het gezondheidsonderzoek van werknemers die aan bepaalde gevaarlijke stoffen </w:t>
      </w:r>
      <w:r w:rsidR="00304F3B" w:rsidRPr="00D147A7">
        <w:rPr>
          <w:kern w:val="0"/>
          <w:lang w:val="nl-NL" w:eastAsia="en-US" w:bidi="ar-SA"/>
        </w:rPr>
        <w:t>worden</w:t>
      </w:r>
      <w:r w:rsidRPr="00D147A7">
        <w:rPr>
          <w:kern w:val="0"/>
          <w:lang w:val="nl-NL" w:eastAsia="en-US" w:bidi="ar-SA"/>
        </w:rPr>
        <w:t xml:space="preserve"> blootgesteld. Wat Nederland betreft, worden de dossiers van huisartsen enerzijds en van ziekenhuizen anderzijds bestu</w:t>
      </w:r>
      <w:r w:rsidR="00304F3B" w:rsidRPr="00D147A7">
        <w:rPr>
          <w:kern w:val="0"/>
          <w:lang w:val="nl-NL" w:eastAsia="en-US" w:bidi="ar-SA"/>
        </w:rPr>
        <w:t>-</w:t>
      </w:r>
      <w:r w:rsidRPr="00D147A7">
        <w:rPr>
          <w:kern w:val="0"/>
          <w:lang w:val="nl-NL" w:eastAsia="en-US" w:bidi="ar-SA"/>
        </w:rPr>
        <w:t>deerd.</w:t>
      </w:r>
    </w:p>
    <w:p w:rsidR="009931C7" w:rsidRPr="00D147A7" w:rsidRDefault="009931C7" w:rsidP="009931C7">
      <w:pPr>
        <w:widowControl/>
        <w:suppressAutoHyphens w:val="0"/>
        <w:spacing w:line="240" w:lineRule="atLeast"/>
        <w:jc w:val="both"/>
        <w:rPr>
          <w:smallCaps/>
          <w:kern w:val="0"/>
          <w:lang w:val="nl-NL" w:eastAsia="en-US" w:bidi="ar-SA"/>
        </w:rPr>
      </w:pPr>
    </w:p>
    <w:p w:rsidR="009931C7" w:rsidRPr="00D147A7" w:rsidRDefault="009931C7" w:rsidP="009931C7">
      <w:pPr>
        <w:widowControl/>
        <w:suppressAutoHyphens w:val="0"/>
        <w:spacing w:line="240" w:lineRule="atLeast"/>
        <w:jc w:val="both"/>
        <w:rPr>
          <w:bCs/>
          <w:smallCaps/>
          <w:kern w:val="0"/>
          <w:lang w:val="nl-NL" w:eastAsia="en-US" w:bidi="ar-SA"/>
        </w:rPr>
      </w:pPr>
    </w:p>
    <w:p w:rsidR="009931C7" w:rsidRPr="00D147A7" w:rsidRDefault="009931C7" w:rsidP="009931C7">
      <w:pPr>
        <w:widowControl/>
        <w:numPr>
          <w:ilvl w:val="1"/>
          <w:numId w:val="12"/>
        </w:numPr>
        <w:suppressAutoHyphens w:val="0"/>
        <w:spacing w:line="240" w:lineRule="atLeast"/>
        <w:jc w:val="both"/>
        <w:rPr>
          <w:bCs/>
          <w:smallCaps/>
          <w:kern w:val="0"/>
          <w:lang w:val="nl-NL" w:eastAsia="en-US" w:bidi="ar-SA"/>
        </w:rPr>
      </w:pPr>
      <w:r w:rsidRPr="00D147A7">
        <w:rPr>
          <w:bCs/>
          <w:smallCaps/>
          <w:kern w:val="0"/>
          <w:lang w:val="nl-NL" w:eastAsia="en-US" w:bidi="ar-SA"/>
        </w:rPr>
        <w:t>Frankrijk</w:t>
      </w:r>
    </w:p>
    <w:p w:rsidR="009931C7" w:rsidRPr="00D147A7" w:rsidRDefault="009931C7" w:rsidP="009931C7">
      <w:pPr>
        <w:widowControl/>
        <w:suppressAutoHyphens w:val="0"/>
        <w:spacing w:line="240" w:lineRule="atLeast"/>
        <w:ind w:left="360"/>
        <w:jc w:val="both"/>
        <w:rPr>
          <w:bCs/>
          <w:smallCaps/>
          <w:kern w:val="0"/>
          <w:lang w:val="nl-NL" w:eastAsia="en-US" w:bidi="ar-SA"/>
        </w:rPr>
      </w:pP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t>Hoofdstuk 1: Dossierplicht</w:t>
      </w:r>
    </w:p>
    <w:p w:rsidR="009931C7" w:rsidRPr="00D147A7" w:rsidRDefault="009931C7" w:rsidP="009931C7">
      <w:pPr>
        <w:widowControl/>
        <w:suppressAutoHyphens w:val="0"/>
        <w:spacing w:line="240" w:lineRule="atLeast"/>
        <w:ind w:firstLine="360"/>
        <w:jc w:val="both"/>
        <w:rPr>
          <w:b/>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Ook in Frankrijk hebben zorgverleners een wettelijke dossierplicht.</w:t>
      </w:r>
      <w:r w:rsidRPr="00D147A7">
        <w:rPr>
          <w:kern w:val="0"/>
          <w:vertAlign w:val="superscript"/>
          <w:lang w:val="nl-NL" w:eastAsia="en-US" w:bidi="ar-SA"/>
        </w:rPr>
        <w:footnoteReference w:id="254"/>
      </w:r>
      <w:r w:rsidRPr="00D147A7">
        <w:rPr>
          <w:kern w:val="0"/>
          <w:lang w:val="nl-NL" w:eastAsia="en-US" w:bidi="ar-SA"/>
        </w:rPr>
        <w:t xml:space="preserve"> Voor alle patiënten die in een privaat- of publiekrechtelijke verzorgingsinstellingen opgenomen </w:t>
      </w:r>
      <w:r w:rsidR="00304F3B" w:rsidRPr="00D147A7">
        <w:rPr>
          <w:kern w:val="0"/>
          <w:lang w:val="nl-NL" w:eastAsia="en-US" w:bidi="ar-SA"/>
        </w:rPr>
        <w:t xml:space="preserve">worden </w:t>
      </w:r>
      <w:r w:rsidRPr="00D147A7">
        <w:rPr>
          <w:kern w:val="0"/>
          <w:lang w:val="nl-NL" w:eastAsia="en-US" w:bidi="ar-SA"/>
        </w:rPr>
        <w:t>of er op con</w:t>
      </w:r>
      <w:r w:rsidR="00304F3B" w:rsidRPr="00D147A7">
        <w:rPr>
          <w:kern w:val="0"/>
          <w:lang w:val="nl-NL" w:eastAsia="en-US" w:bidi="ar-SA"/>
        </w:rPr>
        <w:t>-</w:t>
      </w:r>
      <w:r w:rsidRPr="00D147A7">
        <w:rPr>
          <w:kern w:val="0"/>
          <w:lang w:val="nl-NL" w:eastAsia="en-US" w:bidi="ar-SA"/>
        </w:rPr>
        <w:t>sultatie komen, wordt een afzonderlijk patiëntendossier aangelegd.</w:t>
      </w:r>
      <w:r w:rsidRPr="00D147A7">
        <w:rPr>
          <w:kern w:val="0"/>
          <w:vertAlign w:val="superscript"/>
          <w:lang w:val="nl-NL" w:eastAsia="en-US" w:bidi="ar-SA"/>
        </w:rPr>
        <w:footnoteReference w:id="255"/>
      </w:r>
      <w:r w:rsidRPr="00D147A7">
        <w:rPr>
          <w:kern w:val="0"/>
          <w:lang w:val="nl-NL" w:eastAsia="en-US" w:bidi="ar-SA"/>
        </w:rPr>
        <w:t xml:space="preserve"> Daarbij kunnen admini</w:t>
      </w:r>
      <w:r w:rsidR="00304F3B" w:rsidRPr="00D147A7">
        <w:rPr>
          <w:kern w:val="0"/>
          <w:lang w:val="nl-NL" w:eastAsia="en-US" w:bidi="ar-SA"/>
        </w:rPr>
        <w:t>-</w:t>
      </w:r>
      <w:r w:rsidRPr="00D147A7">
        <w:rPr>
          <w:kern w:val="0"/>
          <w:lang w:val="nl-NL" w:eastAsia="en-US" w:bidi="ar-SA"/>
        </w:rPr>
        <w:t>stratieve van medische gegevens onderscheiden</w:t>
      </w:r>
      <w:r w:rsidR="00304F3B" w:rsidRPr="00D147A7">
        <w:rPr>
          <w:kern w:val="0"/>
          <w:lang w:val="nl-NL" w:eastAsia="en-US" w:bidi="ar-SA"/>
        </w:rPr>
        <w:t xml:space="preserve"> worden</w:t>
      </w:r>
      <w:r w:rsidRPr="00D147A7">
        <w:rPr>
          <w:kern w:val="0"/>
          <w:lang w:val="nl-NL" w:eastAsia="en-US" w:bidi="ar-SA"/>
        </w:rPr>
        <w:t>.</w:t>
      </w:r>
      <w:r w:rsidRPr="00D147A7">
        <w:rPr>
          <w:kern w:val="0"/>
          <w:vertAlign w:val="superscript"/>
          <w:lang w:val="nl-NL" w:eastAsia="en-US" w:bidi="ar-SA"/>
        </w:rPr>
        <w:footnoteReference w:id="256"/>
      </w:r>
      <w:r w:rsidRPr="00D147A7">
        <w:rPr>
          <w:kern w:val="0"/>
          <w:lang w:val="nl-NL" w:eastAsia="en-US" w:bidi="ar-SA"/>
        </w:rPr>
        <w:t xml:space="preserve"> Een patiëntendossier in zieken</w:t>
      </w:r>
      <w:r w:rsidR="00304F3B" w:rsidRPr="00D147A7">
        <w:rPr>
          <w:kern w:val="0"/>
          <w:lang w:val="nl-NL" w:eastAsia="en-US" w:bidi="ar-SA"/>
        </w:rPr>
        <w:t>-</w:t>
      </w:r>
      <w:r w:rsidRPr="00D147A7">
        <w:rPr>
          <w:kern w:val="0"/>
          <w:lang w:val="nl-NL" w:eastAsia="en-US" w:bidi="ar-SA"/>
        </w:rPr>
        <w:t>huisverband kan uit zowel een hospitalisatie- als een consultatiedossier bestaan. Beide deel</w:t>
      </w:r>
      <w:r w:rsidR="00304F3B" w:rsidRPr="00D147A7">
        <w:rPr>
          <w:kern w:val="0"/>
          <w:lang w:val="nl-NL" w:eastAsia="en-US" w:bidi="ar-SA"/>
        </w:rPr>
        <w:t>-</w:t>
      </w:r>
      <w:r w:rsidRPr="00D147A7">
        <w:rPr>
          <w:kern w:val="0"/>
          <w:lang w:val="nl-NL" w:eastAsia="en-US" w:bidi="ar-SA"/>
        </w:rPr>
        <w:t>dossiers bevatten essentiële gezondheidsgegevens en mogen geenszins van elkaar onder</w:t>
      </w:r>
      <w:r w:rsidR="00304F3B" w:rsidRPr="00D147A7">
        <w:rPr>
          <w:kern w:val="0"/>
          <w:lang w:val="nl-NL" w:eastAsia="en-US" w:bidi="ar-SA"/>
        </w:rPr>
        <w:t>-</w:t>
      </w:r>
      <w:r w:rsidRPr="00D147A7">
        <w:rPr>
          <w:kern w:val="0"/>
          <w:lang w:val="nl-NL" w:eastAsia="en-US" w:bidi="ar-SA"/>
        </w:rPr>
        <w:t>scheiden worden.</w:t>
      </w:r>
      <w:r w:rsidRPr="00D147A7">
        <w:rPr>
          <w:kern w:val="0"/>
          <w:vertAlign w:val="superscript"/>
          <w:lang w:val="nl-NL" w:eastAsia="en-US" w:bidi="ar-SA"/>
        </w:rPr>
        <w:footnoteReference w:id="257"/>
      </w:r>
      <w:r w:rsidRPr="00D147A7">
        <w:rPr>
          <w:kern w:val="0"/>
          <w:lang w:val="nl-NL" w:eastAsia="en-US" w:bidi="ar-SA"/>
        </w:rPr>
        <w:t xml:space="preserve"> Bovendien bestaat elk deeldossier uit een medisch dossier (inclusief het transfusiedossier) en een verpleegkundig dossier.</w:t>
      </w:r>
      <w:r w:rsidRPr="00D147A7">
        <w:rPr>
          <w:kern w:val="0"/>
          <w:vertAlign w:val="superscript"/>
          <w:lang w:val="nl-NL" w:eastAsia="en-US" w:bidi="ar-SA"/>
        </w:rPr>
        <w:footnoteReference w:id="258"/>
      </w:r>
    </w:p>
    <w:p w:rsidR="009931C7" w:rsidRPr="00D147A7" w:rsidRDefault="009931C7" w:rsidP="009931C7">
      <w:pPr>
        <w:widowControl/>
        <w:suppressAutoHyphens w:val="0"/>
        <w:spacing w:line="240" w:lineRule="atLeast"/>
        <w:jc w:val="both"/>
        <w:rPr>
          <w:kern w:val="0"/>
          <w:lang w:val="nl-NL" w:eastAsia="en-US" w:bidi="ar-SA"/>
        </w:rPr>
      </w:pPr>
      <w:r w:rsidRPr="00D147A7">
        <w:rPr>
          <w:rFonts w:eastAsia="Times New Roman"/>
          <w:kern w:val="0"/>
          <w:sz w:val="23"/>
          <w:szCs w:val="23"/>
          <w:lang w:val="nl-NL" w:eastAsia="nl-BE" w:bidi="ar-SA"/>
        </w:rPr>
        <w:t xml:space="preserve">Het is de taak van de rechter om toe te zien of verzorgingsinstellingen de bepalingen van de </w:t>
      </w:r>
      <w:r w:rsidRPr="00D147A7">
        <w:rPr>
          <w:rFonts w:eastAsia="Times New Roman"/>
          <w:i/>
          <w:iCs/>
          <w:kern w:val="0"/>
          <w:sz w:val="23"/>
          <w:szCs w:val="23"/>
          <w:lang w:val="nl-NL" w:eastAsia="nl-BE" w:bidi="ar-SA"/>
        </w:rPr>
        <w:t xml:space="preserve">code de la santé publique </w:t>
      </w:r>
      <w:r w:rsidRPr="00D147A7">
        <w:rPr>
          <w:rFonts w:eastAsia="Times New Roman"/>
          <w:kern w:val="0"/>
          <w:sz w:val="23"/>
          <w:szCs w:val="23"/>
          <w:lang w:val="nl-NL" w:eastAsia="nl-BE" w:bidi="ar-SA"/>
        </w:rPr>
        <w:t xml:space="preserve">respecteren. Het verlies van (delen van) een patiëntendossier wordt als een </w:t>
      </w:r>
      <w:r w:rsidRPr="00D147A7">
        <w:rPr>
          <w:rFonts w:eastAsia="Times New Roman"/>
          <w:kern w:val="0"/>
          <w:sz w:val="23"/>
          <w:szCs w:val="23"/>
          <w:lang w:val="nl-NL" w:eastAsia="nl-BE" w:bidi="ar-SA"/>
        </w:rPr>
        <w:lastRenderedPageBreak/>
        <w:t xml:space="preserve">fout </w:t>
      </w:r>
      <w:r w:rsidR="00A732E9" w:rsidRPr="00D147A7">
        <w:rPr>
          <w:rFonts w:eastAsia="Times New Roman"/>
          <w:kern w:val="0"/>
          <w:sz w:val="23"/>
          <w:szCs w:val="23"/>
          <w:lang w:val="nl-NL" w:eastAsia="nl-BE" w:bidi="ar-SA"/>
        </w:rPr>
        <w:t>gekwalificeerd</w:t>
      </w:r>
      <w:r w:rsidRPr="00D147A7">
        <w:rPr>
          <w:rFonts w:eastAsia="Times New Roman"/>
          <w:kern w:val="0"/>
          <w:sz w:val="23"/>
          <w:szCs w:val="23"/>
          <w:lang w:val="nl-NL" w:eastAsia="nl-BE" w:bidi="ar-SA"/>
        </w:rPr>
        <w:t>.</w:t>
      </w:r>
      <w:r w:rsidRPr="00D147A7">
        <w:rPr>
          <w:rFonts w:eastAsia="Times New Roman"/>
          <w:kern w:val="0"/>
          <w:sz w:val="23"/>
          <w:szCs w:val="23"/>
          <w:vertAlign w:val="superscript"/>
          <w:lang w:val="nl-NL" w:eastAsia="nl-BE" w:bidi="ar-SA"/>
        </w:rPr>
        <w:footnoteReference w:id="259"/>
      </w:r>
      <w:r w:rsidRPr="00D147A7">
        <w:rPr>
          <w:rFonts w:eastAsia="Times New Roman"/>
          <w:kern w:val="0"/>
          <w:sz w:val="23"/>
          <w:szCs w:val="23"/>
          <w:lang w:val="nl-NL" w:eastAsia="nl-BE" w:bidi="ar-SA"/>
        </w:rPr>
        <w:t xml:space="preserve"> </w:t>
      </w:r>
      <w:r w:rsidRPr="00D147A7">
        <w:rPr>
          <w:kern w:val="0"/>
          <w:lang w:val="nl-NL" w:eastAsia="en-US" w:bidi="ar-SA"/>
        </w:rPr>
        <w:t>Hoewel zorgverleners verantwoordelijk zijn voor de goede bewaring van de door hen gevormde patiëntendossiers</w:t>
      </w:r>
      <w:r w:rsidRPr="00D147A7">
        <w:rPr>
          <w:kern w:val="0"/>
          <w:vertAlign w:val="superscript"/>
          <w:lang w:eastAsia="en-US" w:bidi="ar-SA"/>
        </w:rPr>
        <w:footnoteReference w:id="260"/>
      </w:r>
      <w:r w:rsidRPr="00D147A7">
        <w:rPr>
          <w:kern w:val="0"/>
          <w:lang w:eastAsia="en-US" w:bidi="ar-SA"/>
        </w:rPr>
        <w:t>, zijn het de verzorgingsinstellingen die aan</w:t>
      </w:r>
      <w:r w:rsidR="00996374">
        <w:rPr>
          <w:kern w:val="0"/>
          <w:lang w:eastAsia="en-US" w:bidi="ar-SA"/>
        </w:rPr>
        <w:t>-</w:t>
      </w:r>
      <w:r w:rsidRPr="00D147A7">
        <w:rPr>
          <w:kern w:val="0"/>
          <w:lang w:eastAsia="en-US" w:bidi="ar-SA"/>
        </w:rPr>
        <w:t>sprakelijk gesteld worden wanneer (een deel van) een patiëntendossier niet meer terugge</w:t>
      </w:r>
      <w:r w:rsidR="00996374">
        <w:rPr>
          <w:kern w:val="0"/>
          <w:lang w:eastAsia="en-US" w:bidi="ar-SA"/>
        </w:rPr>
        <w:t>-</w:t>
      </w:r>
      <w:r w:rsidRPr="00D147A7">
        <w:rPr>
          <w:kern w:val="0"/>
          <w:lang w:eastAsia="en-US" w:bidi="ar-SA"/>
        </w:rPr>
        <w:t xml:space="preserve">vonden kan worden. </w:t>
      </w:r>
      <w:r w:rsidRPr="00D147A7">
        <w:rPr>
          <w:kern w:val="0"/>
          <w:lang w:val="nl-NL" w:eastAsia="en-US" w:bidi="ar-SA"/>
        </w:rPr>
        <w:t>Aanvankelijk gold de bewaarplicht enkel voor openbare verzorgingsin</w:t>
      </w:r>
      <w:r w:rsidR="00996374">
        <w:rPr>
          <w:kern w:val="0"/>
          <w:lang w:val="nl-NL" w:eastAsia="en-US" w:bidi="ar-SA"/>
        </w:rPr>
        <w:t>-</w:t>
      </w:r>
      <w:r w:rsidRPr="00D147A7">
        <w:rPr>
          <w:kern w:val="0"/>
          <w:lang w:val="nl-NL" w:eastAsia="en-US" w:bidi="ar-SA"/>
        </w:rPr>
        <w:t>stellingen.</w:t>
      </w:r>
      <w:r w:rsidRPr="00D147A7">
        <w:rPr>
          <w:kern w:val="0"/>
          <w:vertAlign w:val="superscript"/>
          <w:lang w:val="nl-NL" w:eastAsia="en-US" w:bidi="ar-SA"/>
        </w:rPr>
        <w:footnoteReference w:id="261"/>
      </w:r>
      <w:r w:rsidRPr="00D147A7">
        <w:rPr>
          <w:kern w:val="0"/>
          <w:lang w:val="nl-NL" w:eastAsia="en-US" w:bidi="ar-SA"/>
        </w:rPr>
        <w:t xml:space="preserve"> </w:t>
      </w:r>
      <w:r w:rsidRPr="00D147A7">
        <w:rPr>
          <w:kern w:val="0"/>
          <w:lang w:eastAsia="en-US" w:bidi="ar-SA"/>
        </w:rPr>
        <w:t>Een praktijkvoorbeeld toont echter aan dat ook zorgverleners in privaatrechte</w:t>
      </w:r>
      <w:r w:rsidR="00996374">
        <w:rPr>
          <w:kern w:val="0"/>
          <w:lang w:eastAsia="en-US" w:bidi="ar-SA"/>
        </w:rPr>
        <w:t>-</w:t>
      </w:r>
      <w:r w:rsidRPr="00D147A7">
        <w:rPr>
          <w:kern w:val="0"/>
          <w:lang w:eastAsia="en-US" w:bidi="ar-SA"/>
        </w:rPr>
        <w:t xml:space="preserve">lijke verzorgingsinstellingen verplicht zijn om </w:t>
      </w:r>
      <w:r w:rsidR="00A732E9" w:rsidRPr="00D147A7">
        <w:rPr>
          <w:kern w:val="0"/>
          <w:lang w:eastAsia="en-US" w:bidi="ar-SA"/>
        </w:rPr>
        <w:t xml:space="preserve">op zorgvuldige wijze </w:t>
      </w:r>
      <w:r w:rsidRPr="00D147A7">
        <w:rPr>
          <w:kern w:val="0"/>
          <w:lang w:eastAsia="en-US" w:bidi="ar-SA"/>
        </w:rPr>
        <w:t xml:space="preserve">hun patiëntendossiers te bewaren. De Franse Nationale Raad van de Orde der geneesheren wees op 21 december 2000 een chirurg uit een privaatrechtelijk ziekenhuis terecht omdat hij </w:t>
      </w:r>
      <w:r w:rsidRPr="00D147A7">
        <w:rPr>
          <w:kern w:val="0"/>
          <w:lang w:val="nl-NL" w:eastAsia="en-US" w:bidi="ar-SA"/>
        </w:rPr>
        <w:t>zijn operatieverslagen zelf bijhield in plaats van ze aan de dossiers van de desbetreffende patiënten toe te voegen.</w:t>
      </w:r>
      <w:r w:rsidRPr="00D147A7">
        <w:rPr>
          <w:kern w:val="0"/>
          <w:vertAlign w:val="superscript"/>
          <w:lang w:val="nl-NL" w:eastAsia="en-US" w:bidi="ar-SA"/>
        </w:rPr>
        <w:footnoteReference w:id="262"/>
      </w:r>
      <w:r w:rsidRPr="00D147A7">
        <w:rPr>
          <w:kern w:val="0"/>
          <w:lang w:val="nl-NL" w:eastAsia="en-US" w:bidi="ar-SA"/>
        </w:rPr>
        <w:t xml:space="preserve"> </w:t>
      </w:r>
      <w:r w:rsidRPr="00D147A7">
        <w:rPr>
          <w:kern w:val="0"/>
          <w:lang w:eastAsia="en-US" w:bidi="ar-SA"/>
        </w:rPr>
        <w:t xml:space="preserve">In een arrest van 28 april 2003 werd deze </w:t>
      </w:r>
      <w:r w:rsidR="00304F3B" w:rsidRPr="00D147A7">
        <w:rPr>
          <w:kern w:val="0"/>
          <w:lang w:eastAsia="en-US" w:bidi="ar-SA"/>
        </w:rPr>
        <w:t>veroordeling</w:t>
      </w:r>
      <w:r w:rsidRPr="00D147A7">
        <w:rPr>
          <w:kern w:val="0"/>
          <w:lang w:eastAsia="en-US" w:bidi="ar-SA"/>
        </w:rPr>
        <w:t xml:space="preserve"> door de Raad van State</w:t>
      </w:r>
      <w:r w:rsidR="00304F3B" w:rsidRPr="00D147A7">
        <w:rPr>
          <w:kern w:val="0"/>
          <w:lang w:eastAsia="en-US" w:bidi="ar-SA"/>
        </w:rPr>
        <w:t xml:space="preserve"> bekrachtigd</w:t>
      </w:r>
      <w:r w:rsidRPr="00D147A7">
        <w:rPr>
          <w:kern w:val="0"/>
          <w:lang w:val="nl-NL" w:eastAsia="en-US" w:bidi="ar-SA"/>
        </w:rPr>
        <w:t>.</w:t>
      </w:r>
      <w:r w:rsidRPr="00D147A7">
        <w:rPr>
          <w:kern w:val="0"/>
          <w:vertAlign w:val="superscript"/>
          <w:lang w:val="nl-NL" w:eastAsia="en-US" w:bidi="ar-SA"/>
        </w:rPr>
        <w:footnoteReference w:id="263"/>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rFonts w:eastAsia="Times New Roman"/>
          <w:kern w:val="0"/>
          <w:lang w:val="nl-NL" w:eastAsia="nl-BE" w:bidi="ar-SA"/>
        </w:rPr>
      </w:pPr>
      <w:r w:rsidRPr="00D147A7">
        <w:rPr>
          <w:kern w:val="0"/>
          <w:lang w:val="nl-NL" w:eastAsia="en-US" w:bidi="ar-SA"/>
        </w:rPr>
        <w:t xml:space="preserve">Omdat ook in de Franse wetgeving het begrip ‘patiëntendossier’ niet gedefinieerd werd, moet hiervoor teruggegrepen worden naar de rechtsleer. </w:t>
      </w:r>
      <w:r w:rsidRPr="00D147A7">
        <w:rPr>
          <w:kern w:val="0"/>
          <w:lang w:val="fr-BE" w:eastAsia="en-US" w:bidi="ar-SA"/>
        </w:rPr>
        <w:t>François Kohler en Eliane Toussaint om</w:t>
      </w:r>
      <w:r w:rsidR="00996374">
        <w:rPr>
          <w:kern w:val="0"/>
          <w:lang w:val="fr-BE" w:eastAsia="en-US" w:bidi="ar-SA"/>
        </w:rPr>
        <w:t>-</w:t>
      </w:r>
      <w:r w:rsidRPr="00D147A7">
        <w:rPr>
          <w:kern w:val="0"/>
          <w:lang w:val="fr-BE" w:eastAsia="en-US" w:bidi="ar-SA"/>
        </w:rPr>
        <w:t xml:space="preserve">schrijven het ‘patiëntendossier’ als </w:t>
      </w:r>
      <w:r w:rsidRPr="00D147A7">
        <w:rPr>
          <w:i/>
          <w:iCs/>
          <w:kern w:val="0"/>
          <w:lang w:val="fr-BE" w:eastAsia="en-US" w:bidi="ar-SA"/>
        </w:rPr>
        <w:t>l’ensemble des informations médicales, soignantes, socia</w:t>
      </w:r>
      <w:r w:rsidR="00996374">
        <w:rPr>
          <w:i/>
          <w:iCs/>
          <w:kern w:val="0"/>
          <w:lang w:val="fr-BE" w:eastAsia="en-US" w:bidi="ar-SA"/>
        </w:rPr>
        <w:t>-</w:t>
      </w:r>
      <w:r w:rsidRPr="00D147A7">
        <w:rPr>
          <w:i/>
          <w:iCs/>
          <w:kern w:val="0"/>
          <w:lang w:val="fr-BE" w:eastAsia="en-US" w:bidi="ar-SA"/>
        </w:rPr>
        <w:t>les et administratives, qui permettent d’assurer la prise en charge harmonieuse et coordonnée d’un patient en termes de soins et de santé par les différents professionnels qui en assurent la prise en charge. C’est à partir du dossier que l’on assure la traçabilité de la démarche de prise en charge et c’est à partir de vues différentes des données qu’il contient que l’on éla</w:t>
      </w:r>
      <w:r w:rsidR="00996374">
        <w:rPr>
          <w:i/>
          <w:iCs/>
          <w:kern w:val="0"/>
          <w:lang w:val="fr-BE" w:eastAsia="en-US" w:bidi="ar-SA"/>
        </w:rPr>
        <w:t>-</w:t>
      </w:r>
      <w:r w:rsidRPr="00D147A7">
        <w:rPr>
          <w:i/>
          <w:iCs/>
          <w:kern w:val="0"/>
          <w:lang w:val="fr-BE" w:eastAsia="en-US" w:bidi="ar-SA"/>
        </w:rPr>
        <w:t xml:space="preserve">bore des bilans d’activité et des travaux de recherche. </w:t>
      </w:r>
      <w:r w:rsidRPr="00D147A7">
        <w:rPr>
          <w:i/>
          <w:iCs/>
          <w:kern w:val="0"/>
          <w:lang w:eastAsia="en-US" w:bidi="ar-SA"/>
        </w:rPr>
        <w:t>Enfin, les dossiers servent à l’en</w:t>
      </w:r>
      <w:r w:rsidR="00996374">
        <w:rPr>
          <w:i/>
          <w:iCs/>
          <w:kern w:val="0"/>
          <w:lang w:eastAsia="en-US" w:bidi="ar-SA"/>
        </w:rPr>
        <w:t>-</w:t>
      </w:r>
      <w:r w:rsidRPr="00D147A7">
        <w:rPr>
          <w:i/>
          <w:iCs/>
          <w:kern w:val="0"/>
          <w:lang w:eastAsia="en-US" w:bidi="ar-SA"/>
        </w:rPr>
        <w:t>seignemen</w:t>
      </w:r>
      <w:r w:rsidRPr="00D147A7">
        <w:rPr>
          <w:kern w:val="0"/>
          <w:lang w:eastAsia="en-US" w:bidi="ar-SA"/>
        </w:rPr>
        <w:t>t.</w:t>
      </w:r>
      <w:r w:rsidRPr="00D147A7">
        <w:rPr>
          <w:kern w:val="0"/>
          <w:vertAlign w:val="superscript"/>
          <w:lang w:val="en-US" w:eastAsia="en-US" w:bidi="ar-SA"/>
        </w:rPr>
        <w:footnoteReference w:id="264"/>
      </w:r>
      <w:r w:rsidRPr="00D147A7">
        <w:rPr>
          <w:kern w:val="0"/>
          <w:lang w:eastAsia="en-US" w:bidi="ar-SA"/>
        </w:rPr>
        <w:t xml:space="preserve"> </w:t>
      </w:r>
      <w:r w:rsidRPr="00D147A7">
        <w:rPr>
          <w:rFonts w:eastAsia="Times New Roman"/>
          <w:kern w:val="0"/>
          <w:lang w:val="nl-NL" w:eastAsia="nl-BE" w:bidi="ar-SA"/>
        </w:rPr>
        <w:t>Door het gebrek aan een wettelijke definitie van het begrip ‘patiëntendossier’ houdt de patiënt een aantal documenten, waaronder het gezondheidsboekje en het zwanger</w:t>
      </w:r>
      <w:r w:rsidR="00996374">
        <w:rPr>
          <w:rFonts w:eastAsia="Times New Roman"/>
          <w:kern w:val="0"/>
          <w:lang w:val="nl-NL" w:eastAsia="nl-BE" w:bidi="ar-SA"/>
        </w:rPr>
        <w:t>-</w:t>
      </w:r>
      <w:r w:rsidRPr="00D147A7">
        <w:rPr>
          <w:rFonts w:eastAsia="Times New Roman"/>
          <w:kern w:val="0"/>
          <w:lang w:val="nl-NL" w:eastAsia="nl-BE" w:bidi="ar-SA"/>
        </w:rPr>
        <w:t xml:space="preserve">schapsboekje, zelf bij. Het elektronisch patiëntendossier, waarin alle gezondheidsgegevens van </w:t>
      </w:r>
      <w:r w:rsidR="00A732E9" w:rsidRPr="00D147A7">
        <w:rPr>
          <w:rFonts w:eastAsia="Times New Roman"/>
          <w:kern w:val="0"/>
          <w:lang w:val="nl-NL" w:eastAsia="nl-BE" w:bidi="ar-SA"/>
        </w:rPr>
        <w:t>éé</w:t>
      </w:r>
      <w:r w:rsidRPr="00D147A7">
        <w:rPr>
          <w:rFonts w:eastAsia="Times New Roman"/>
          <w:kern w:val="0"/>
          <w:lang w:val="nl-NL" w:eastAsia="nl-BE" w:bidi="ar-SA"/>
        </w:rPr>
        <w:t xml:space="preserve">n patiënt </w:t>
      </w:r>
      <w:r w:rsidR="00A732E9" w:rsidRPr="00D147A7">
        <w:rPr>
          <w:rFonts w:eastAsia="Times New Roman"/>
          <w:kern w:val="0"/>
          <w:lang w:val="nl-NL" w:eastAsia="nl-BE" w:bidi="ar-SA"/>
        </w:rPr>
        <w:t>gebundeld</w:t>
      </w:r>
      <w:r w:rsidRPr="00D147A7">
        <w:rPr>
          <w:rFonts w:eastAsia="Times New Roman"/>
          <w:kern w:val="0"/>
          <w:lang w:val="nl-NL" w:eastAsia="nl-BE" w:bidi="ar-SA"/>
        </w:rPr>
        <w:t xml:space="preserve"> worden, komt aan dit probleem tegemoet.</w:t>
      </w:r>
      <w:r w:rsidRPr="00D147A7">
        <w:rPr>
          <w:rFonts w:eastAsia="Times New Roman"/>
          <w:kern w:val="0"/>
          <w:vertAlign w:val="superscript"/>
          <w:lang w:val="nl-NL" w:eastAsia="nl-BE" w:bidi="ar-SA"/>
        </w:rPr>
        <w:footnoteReference w:id="265"/>
      </w:r>
      <w:r w:rsidRPr="00D147A7">
        <w:rPr>
          <w:rFonts w:eastAsia="Times New Roman"/>
          <w:kern w:val="0"/>
          <w:lang w:val="nl-NL" w:eastAsia="nl-BE" w:bidi="ar-SA"/>
        </w:rPr>
        <w:t xml:space="preserve"> </w:t>
      </w:r>
    </w:p>
    <w:p w:rsidR="009931C7" w:rsidRPr="00D147A7" w:rsidRDefault="009931C7" w:rsidP="009931C7">
      <w:pPr>
        <w:widowControl/>
        <w:suppressAutoHyphens w:val="0"/>
        <w:spacing w:line="240" w:lineRule="atLeast"/>
        <w:jc w:val="both"/>
        <w:rPr>
          <w:rFonts w:eastAsia="Times New Roman"/>
          <w:kern w:val="0"/>
          <w:lang w:val="nl-NL" w:eastAsia="nl-BE"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eastAsia="en-US" w:bidi="ar-SA"/>
        </w:rPr>
        <w:lastRenderedPageBreak/>
        <w:t>In Frankrijk werd de minimale inhoud van patiëntendossiers in verzorgingsinstellingen ge</w:t>
      </w:r>
      <w:r w:rsidR="00996374">
        <w:rPr>
          <w:kern w:val="0"/>
          <w:lang w:eastAsia="en-US" w:bidi="ar-SA"/>
        </w:rPr>
        <w:t>-</w:t>
      </w:r>
      <w:r w:rsidRPr="00D147A7">
        <w:rPr>
          <w:kern w:val="0"/>
          <w:lang w:eastAsia="en-US" w:bidi="ar-SA"/>
        </w:rPr>
        <w:t>normaliseerd.</w:t>
      </w:r>
      <w:r w:rsidRPr="00D147A7">
        <w:rPr>
          <w:kern w:val="0"/>
          <w:vertAlign w:val="superscript"/>
          <w:lang w:eastAsia="en-US" w:bidi="ar-SA"/>
        </w:rPr>
        <w:footnoteReference w:id="266"/>
      </w:r>
      <w:r w:rsidRPr="00D147A7">
        <w:rPr>
          <w:kern w:val="0"/>
          <w:lang w:eastAsia="en-US" w:bidi="ar-SA"/>
        </w:rPr>
        <w:t xml:space="preserve"> Bovendien zijn enkele vormvereisten vastgelegd waaraan alle documenten van het patiëntendossier moeten voldoen. Zo moet ieder afzonderlijk document de naam van de patiënt, de naam van archiefvormer en de datum van creatie vermelden.</w:t>
      </w:r>
      <w:r w:rsidRPr="00D147A7">
        <w:rPr>
          <w:kern w:val="0"/>
          <w:vertAlign w:val="superscript"/>
          <w:lang w:eastAsia="en-US" w:bidi="ar-SA"/>
        </w:rPr>
        <w:footnoteReference w:id="267"/>
      </w:r>
      <w:r w:rsidRPr="00D147A7">
        <w:rPr>
          <w:kern w:val="0"/>
          <w:lang w:eastAsia="en-US" w:bidi="ar-SA"/>
        </w:rPr>
        <w:t xml:space="preserve"> </w:t>
      </w:r>
      <w:r w:rsidRPr="00D147A7">
        <w:rPr>
          <w:kern w:val="0"/>
          <w:lang w:val="nl-NL" w:eastAsia="en-US" w:bidi="ar-SA"/>
        </w:rPr>
        <w:t>Alle documen</w:t>
      </w:r>
      <w:r w:rsidR="00996374">
        <w:rPr>
          <w:kern w:val="0"/>
          <w:lang w:val="nl-NL" w:eastAsia="en-US" w:bidi="ar-SA"/>
        </w:rPr>
        <w:t>-</w:t>
      </w:r>
      <w:r w:rsidRPr="00D147A7">
        <w:rPr>
          <w:kern w:val="0"/>
          <w:lang w:val="nl-NL" w:eastAsia="en-US" w:bidi="ar-SA"/>
        </w:rPr>
        <w:t xml:space="preserve">ten die in deze patiëntendossiers aanwezig moeten zijn, worden opgesomd in artikel R. 1112-2 van de </w:t>
      </w:r>
      <w:r w:rsidRPr="00D147A7">
        <w:rPr>
          <w:i/>
          <w:iCs/>
          <w:kern w:val="0"/>
          <w:lang w:val="nl-NL" w:eastAsia="en-US" w:bidi="ar-SA"/>
        </w:rPr>
        <w:t>code de la santé publique</w:t>
      </w:r>
      <w:r w:rsidRPr="00D147A7">
        <w:rPr>
          <w:kern w:val="0"/>
          <w:lang w:val="nl-NL" w:eastAsia="en-US" w:bidi="ar-SA"/>
        </w:rPr>
        <w:t>.</w:t>
      </w:r>
      <w:r w:rsidRPr="00D147A7">
        <w:rPr>
          <w:rFonts w:eastAsia="Times New Roman"/>
          <w:kern w:val="0"/>
          <w:sz w:val="23"/>
          <w:szCs w:val="23"/>
          <w:vertAlign w:val="superscript"/>
          <w:lang w:val="nl-NL" w:eastAsia="nl-BE" w:bidi="ar-SA"/>
        </w:rPr>
        <w:footnoteReference w:id="268"/>
      </w:r>
      <w:r w:rsidRPr="00D147A7">
        <w:rPr>
          <w:kern w:val="0"/>
          <w:lang w:val="nl-NL" w:eastAsia="en-US" w:bidi="ar-SA"/>
        </w:rPr>
        <w:t xml:space="preserve"> Deze lijst wordt verder aangevuld </w:t>
      </w:r>
      <w:r w:rsidRPr="00D147A7">
        <w:rPr>
          <w:rFonts w:eastAsia="Times New Roman"/>
          <w:kern w:val="0"/>
          <w:sz w:val="23"/>
          <w:szCs w:val="23"/>
          <w:lang w:val="nl-NL" w:eastAsia="nl-BE" w:bidi="ar-SA"/>
        </w:rPr>
        <w:t>door verschillende ar</w:t>
      </w:r>
      <w:r w:rsidR="00996374">
        <w:rPr>
          <w:rFonts w:eastAsia="Times New Roman"/>
          <w:kern w:val="0"/>
          <w:sz w:val="23"/>
          <w:szCs w:val="23"/>
          <w:lang w:val="nl-NL" w:eastAsia="nl-BE" w:bidi="ar-SA"/>
        </w:rPr>
        <w:t>-</w:t>
      </w:r>
      <w:r w:rsidRPr="00D147A7">
        <w:rPr>
          <w:rFonts w:eastAsia="Times New Roman"/>
          <w:kern w:val="0"/>
          <w:sz w:val="23"/>
          <w:szCs w:val="23"/>
          <w:lang w:val="nl-NL" w:eastAsia="nl-BE" w:bidi="ar-SA"/>
        </w:rPr>
        <w:t xml:space="preserve">tikelen </w:t>
      </w:r>
      <w:r w:rsidR="00A732E9" w:rsidRPr="00D147A7">
        <w:rPr>
          <w:rFonts w:eastAsia="Times New Roman"/>
          <w:kern w:val="0"/>
          <w:sz w:val="23"/>
          <w:szCs w:val="23"/>
          <w:lang w:val="nl-NL" w:eastAsia="nl-BE" w:bidi="ar-SA"/>
        </w:rPr>
        <w:t>i</w:t>
      </w:r>
      <w:r w:rsidRPr="00D147A7">
        <w:rPr>
          <w:rFonts w:eastAsia="Times New Roman"/>
          <w:kern w:val="0"/>
          <w:sz w:val="23"/>
          <w:szCs w:val="23"/>
          <w:lang w:val="nl-NL" w:eastAsia="nl-BE" w:bidi="ar-SA"/>
        </w:rPr>
        <w:t xml:space="preserve">n </w:t>
      </w:r>
      <w:r w:rsidR="00A732E9" w:rsidRPr="00D147A7">
        <w:rPr>
          <w:rFonts w:eastAsia="Times New Roman"/>
          <w:kern w:val="0"/>
          <w:sz w:val="23"/>
          <w:szCs w:val="23"/>
          <w:lang w:val="nl-NL" w:eastAsia="nl-BE" w:bidi="ar-SA"/>
        </w:rPr>
        <w:t>da</w:t>
      </w:r>
      <w:r w:rsidRPr="00D147A7">
        <w:rPr>
          <w:rFonts w:eastAsia="Times New Roman"/>
          <w:kern w:val="0"/>
          <w:sz w:val="23"/>
          <w:szCs w:val="23"/>
          <w:lang w:val="nl-NL" w:eastAsia="nl-BE" w:bidi="ar-SA"/>
        </w:rPr>
        <w:t>tzelfde wetboek.</w:t>
      </w:r>
      <w:r w:rsidRPr="00D147A7">
        <w:rPr>
          <w:rFonts w:eastAsia="Times New Roman"/>
          <w:kern w:val="0"/>
          <w:sz w:val="23"/>
          <w:szCs w:val="23"/>
          <w:vertAlign w:val="superscript"/>
          <w:lang w:val="nl-NL" w:eastAsia="nl-BE" w:bidi="ar-SA"/>
        </w:rPr>
        <w:footnoteReference w:id="269"/>
      </w:r>
      <w:r w:rsidRPr="00D147A7">
        <w:rPr>
          <w:rFonts w:eastAsia="Times New Roman"/>
          <w:kern w:val="0"/>
          <w:sz w:val="23"/>
          <w:szCs w:val="23"/>
          <w:lang w:val="nl-NL" w:eastAsia="nl-BE" w:bidi="ar-SA"/>
        </w:rPr>
        <w:t xml:space="preserve"> </w:t>
      </w:r>
      <w:r w:rsidRPr="00D147A7">
        <w:rPr>
          <w:kern w:val="0"/>
          <w:lang w:eastAsia="en-US" w:bidi="ar-SA"/>
        </w:rPr>
        <w:t xml:space="preserve">In Franse verzorgingsinstellingen bestaat het patiëntendossier uit drie delen. </w:t>
      </w:r>
      <w:r w:rsidRPr="00D147A7">
        <w:rPr>
          <w:kern w:val="0"/>
          <w:lang w:val="nl-NL" w:eastAsia="en-US" w:bidi="ar-SA"/>
        </w:rPr>
        <w:t xml:space="preserve">De eerste component bevat </w:t>
      </w:r>
      <w:r w:rsidR="00A732E9" w:rsidRPr="00D147A7">
        <w:rPr>
          <w:kern w:val="0"/>
          <w:lang w:val="nl-NL" w:eastAsia="en-US" w:bidi="ar-SA"/>
        </w:rPr>
        <w:t>gegevens</w:t>
      </w:r>
      <w:r w:rsidRPr="00D147A7">
        <w:rPr>
          <w:kern w:val="0"/>
          <w:lang w:val="nl-NL" w:eastAsia="en-US" w:bidi="ar-SA"/>
        </w:rPr>
        <w:t xml:space="preserve"> die tijdens consultaties, bij het onthaal op de spoeddienst </w:t>
      </w:r>
      <w:r w:rsidR="00A732E9" w:rsidRPr="00D147A7">
        <w:rPr>
          <w:kern w:val="0"/>
          <w:lang w:val="nl-NL" w:eastAsia="en-US" w:bidi="ar-SA"/>
        </w:rPr>
        <w:t>en/</w:t>
      </w:r>
      <w:r w:rsidRPr="00D147A7">
        <w:rPr>
          <w:kern w:val="0"/>
          <w:lang w:val="nl-NL" w:eastAsia="en-US" w:bidi="ar-SA"/>
        </w:rPr>
        <w:t>of tijdens ziekenhuisopnames en -verblijven opgetekend</w:t>
      </w:r>
      <w:r w:rsidR="00A732E9" w:rsidRPr="00D147A7">
        <w:rPr>
          <w:kern w:val="0"/>
          <w:lang w:val="nl-NL" w:eastAsia="en-US" w:bidi="ar-SA"/>
        </w:rPr>
        <w:t xml:space="preserve"> werden</w:t>
      </w:r>
      <w:r w:rsidRPr="00D147A7">
        <w:rPr>
          <w:kern w:val="0"/>
          <w:lang w:val="nl-NL" w:eastAsia="en-US" w:bidi="ar-SA"/>
        </w:rPr>
        <w:t>. De huidi</w:t>
      </w:r>
      <w:r w:rsidR="00996374">
        <w:rPr>
          <w:kern w:val="0"/>
          <w:lang w:val="nl-NL" w:eastAsia="en-US" w:bidi="ar-SA"/>
        </w:rPr>
        <w:t>-</w:t>
      </w:r>
      <w:r w:rsidRPr="00D147A7">
        <w:rPr>
          <w:kern w:val="0"/>
          <w:lang w:val="nl-NL" w:eastAsia="en-US" w:bidi="ar-SA"/>
        </w:rPr>
        <w:t>ge wetgeving somt 17 documenten op die in dit onderdeel van het patiënten</w:t>
      </w:r>
      <w:r w:rsidR="000F5CF6" w:rsidRPr="00D147A7">
        <w:rPr>
          <w:kern w:val="0"/>
          <w:lang w:val="nl-NL" w:eastAsia="en-US" w:bidi="ar-SA"/>
        </w:rPr>
        <w:t>-</w:t>
      </w:r>
      <w:r w:rsidRPr="00D147A7">
        <w:rPr>
          <w:kern w:val="0"/>
          <w:lang w:val="nl-NL" w:eastAsia="en-US" w:bidi="ar-SA"/>
        </w:rPr>
        <w:t>dossier thuisho</w:t>
      </w:r>
      <w:r w:rsidR="00996374">
        <w:rPr>
          <w:kern w:val="0"/>
          <w:lang w:val="nl-NL" w:eastAsia="en-US" w:bidi="ar-SA"/>
        </w:rPr>
        <w:t>-</w:t>
      </w:r>
      <w:r w:rsidRPr="00D147A7">
        <w:rPr>
          <w:kern w:val="0"/>
          <w:lang w:val="nl-NL" w:eastAsia="en-US" w:bidi="ar-SA"/>
        </w:rPr>
        <w:t>ren:</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 de verwijsbrief van de dokter die </w:t>
      </w:r>
      <w:r w:rsidR="000F5CF6" w:rsidRPr="00D147A7">
        <w:rPr>
          <w:kern w:val="0"/>
          <w:lang w:val="nl-NL" w:eastAsia="en-US" w:bidi="ar-SA"/>
        </w:rPr>
        <w:t>aan de basis van</w:t>
      </w:r>
      <w:r w:rsidRPr="00D147A7">
        <w:rPr>
          <w:kern w:val="0"/>
          <w:lang w:val="nl-NL" w:eastAsia="en-US" w:bidi="ar-SA"/>
        </w:rPr>
        <w:t xml:space="preserve"> de consultatie of opname</w:t>
      </w:r>
      <w:r w:rsidR="000F5CF6" w:rsidRPr="00D147A7">
        <w:rPr>
          <w:kern w:val="0"/>
          <w:lang w:val="nl-NL" w:eastAsia="en-US" w:bidi="ar-SA"/>
        </w:rPr>
        <w:t xml:space="preserve"> ligt</w:t>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2° de reden(en) van de ziekenhuisopname;</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lastRenderedPageBreak/>
        <w:t>3° de medische voorgeschiedenis en risicofactoren;</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4° de bevindingen van de eerste klinische evaluatie;</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5° de zorgverlening die tijdens de inschrijving voorzien werd en de verstrekte inlich</w:t>
      </w:r>
      <w:r w:rsidR="000F5CF6" w:rsidRPr="00D147A7">
        <w:rPr>
          <w:kern w:val="0"/>
          <w:lang w:val="nl-NL" w:eastAsia="en-US" w:bidi="ar-SA"/>
        </w:rPr>
        <w:t>-</w:t>
      </w:r>
      <w:r w:rsidRPr="00D147A7">
        <w:rPr>
          <w:kern w:val="0"/>
          <w:lang w:val="nl-NL" w:eastAsia="en-US" w:bidi="ar-SA"/>
        </w:rPr>
        <w:t>tingen;</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6° de aard van de zorgverlening en de verstrekte inlichtingen bij externe consultaties of tijdens een bezoek aan de spoedafdeling;</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7° informatie over de zorgverlening in de loop van het ziekenhuisverblijf: klinische toestand, ontvangen zorgverlening, paraklinische onderzoeken (medische beeldvorm</w:t>
      </w:r>
      <w:r w:rsidR="000F5CF6" w:rsidRPr="00D147A7">
        <w:rPr>
          <w:kern w:val="0"/>
          <w:lang w:val="nl-NL" w:eastAsia="en-US" w:bidi="ar-SA"/>
        </w:rPr>
        <w:t>-</w:t>
      </w:r>
      <w:r w:rsidRPr="00D147A7">
        <w:rPr>
          <w:kern w:val="0"/>
          <w:lang w:val="nl-NL" w:eastAsia="en-US" w:bidi="ar-SA"/>
        </w:rPr>
        <w:t>ing in het bijzonder);</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8° informatie over de medische behandeling</w:t>
      </w:r>
      <w:r w:rsidRPr="00D147A7">
        <w:rPr>
          <w:kern w:val="0"/>
          <w:vertAlign w:val="superscript"/>
          <w:lang w:val="nl-NL" w:eastAsia="en-US" w:bidi="ar-SA"/>
        </w:rPr>
        <w:footnoteReference w:id="270"/>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9° het anesthesiedossier;</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10° het operatie- en/of bevallingsverslag;</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11° de schriftelijke toestemming van de patiënt voor situaties waar een dergelijke toe</w:t>
      </w:r>
      <w:r w:rsidR="000F5CF6" w:rsidRPr="00D147A7">
        <w:rPr>
          <w:kern w:val="0"/>
          <w:lang w:val="nl-NL" w:eastAsia="en-US" w:bidi="ar-SA"/>
        </w:rPr>
        <w:t>-</w:t>
      </w:r>
      <w:r w:rsidRPr="00D147A7">
        <w:rPr>
          <w:kern w:val="0"/>
          <w:lang w:val="nl-NL" w:eastAsia="en-US" w:bidi="ar-SA"/>
        </w:rPr>
        <w:t>stemming vereist is op grond van wet- of regelgeving;</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12° aantekeningen over de transfusies die de patiënt heeft ontvangen en, indien van toepassing, een kopie van het transfusieformulier</w:t>
      </w:r>
      <w:r w:rsidRPr="00D147A7">
        <w:rPr>
          <w:kern w:val="0"/>
          <w:vertAlign w:val="superscript"/>
          <w:lang w:val="nl-NL" w:eastAsia="en-US" w:bidi="ar-SA"/>
        </w:rPr>
        <w:footnoteReference w:id="271"/>
      </w:r>
      <w:r w:rsidRPr="00D147A7">
        <w:rPr>
          <w:kern w:val="0"/>
          <w:lang w:val="nl-NL" w:eastAsia="en-US" w:bidi="ar-SA"/>
        </w:rPr>
        <w:t>;</w:t>
      </w:r>
    </w:p>
    <w:p w:rsidR="009931C7" w:rsidRPr="00D147A7" w:rsidRDefault="00304F3B" w:rsidP="009931C7">
      <w:pPr>
        <w:widowControl/>
        <w:suppressAutoHyphens w:val="0"/>
        <w:spacing w:line="240" w:lineRule="atLeast"/>
        <w:ind w:left="708"/>
        <w:jc w:val="both"/>
        <w:rPr>
          <w:kern w:val="0"/>
          <w:lang w:val="nl-NL" w:eastAsia="en-US" w:bidi="ar-SA"/>
        </w:rPr>
      </w:pPr>
      <w:r w:rsidRPr="00D147A7">
        <w:rPr>
          <w:kern w:val="0"/>
          <w:lang w:val="nl-NL" w:eastAsia="en-US" w:bidi="ar-SA"/>
        </w:rPr>
        <w:t xml:space="preserve">13° </w:t>
      </w:r>
      <w:r w:rsidR="009931C7" w:rsidRPr="00D147A7">
        <w:rPr>
          <w:kern w:val="0"/>
          <w:lang w:val="nl-NL" w:eastAsia="en-US" w:bidi="ar-SA"/>
        </w:rPr>
        <w:t xml:space="preserve">medische voorschriften, </w:t>
      </w:r>
      <w:r w:rsidR="000F5CF6" w:rsidRPr="00D147A7">
        <w:rPr>
          <w:kern w:val="0"/>
          <w:lang w:val="nl-NL" w:eastAsia="en-US" w:bidi="ar-SA"/>
        </w:rPr>
        <w:t>bijwerkingen</w:t>
      </w:r>
      <w:r w:rsidR="009931C7" w:rsidRPr="00D147A7">
        <w:rPr>
          <w:kern w:val="0"/>
          <w:lang w:val="nl-NL" w:eastAsia="en-US" w:bidi="ar-SA"/>
        </w:rPr>
        <w:t xml:space="preserve"> van geneesmiddelen en complementaire onderzoeken;</w:t>
      </w:r>
    </w:p>
    <w:p w:rsidR="009931C7" w:rsidRPr="00D147A7" w:rsidRDefault="009931C7" w:rsidP="009931C7">
      <w:pPr>
        <w:widowControl/>
        <w:suppressAutoHyphens w:val="0"/>
        <w:spacing w:line="240" w:lineRule="atLeast"/>
        <w:ind w:left="708"/>
        <w:jc w:val="both"/>
        <w:rPr>
          <w:kern w:val="0"/>
          <w:lang w:val="nl-NL" w:eastAsia="en-US" w:bidi="ar-SA"/>
        </w:rPr>
      </w:pPr>
      <w:r w:rsidRPr="00D147A7">
        <w:rPr>
          <w:kern w:val="0"/>
          <w:lang w:val="nl-NL" w:eastAsia="en-US" w:bidi="ar-SA"/>
        </w:rPr>
        <w:t>14° het verpleegkundig dossier of, bij gebrek daaraan</w:t>
      </w:r>
      <w:r w:rsidR="000F5CF6" w:rsidRPr="00D147A7">
        <w:rPr>
          <w:kern w:val="0"/>
          <w:lang w:val="nl-NL" w:eastAsia="en-US" w:bidi="ar-SA"/>
        </w:rPr>
        <w:t>,</w:t>
      </w:r>
      <w:r w:rsidRPr="00D147A7">
        <w:rPr>
          <w:kern w:val="0"/>
          <w:lang w:val="nl-NL" w:eastAsia="en-US" w:bidi="ar-SA"/>
        </w:rPr>
        <w:t xml:space="preserve"> informatie met betrekking tot de verpleegkundige zorgverlening;</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 xml:space="preserve">15° informatie over de </w:t>
      </w:r>
      <w:r w:rsidR="000F5CF6" w:rsidRPr="00D147A7">
        <w:rPr>
          <w:kern w:val="0"/>
          <w:lang w:val="nl-NL" w:eastAsia="en-US" w:bidi="ar-SA"/>
        </w:rPr>
        <w:t>door</w:t>
      </w:r>
      <w:r w:rsidRPr="00D147A7">
        <w:rPr>
          <w:kern w:val="0"/>
          <w:lang w:val="nl-NL" w:eastAsia="en-US" w:bidi="ar-SA"/>
        </w:rPr>
        <w:t xml:space="preserve"> andere beroepsbeoefenaars</w:t>
      </w:r>
      <w:r w:rsidR="000F5CF6" w:rsidRPr="00D147A7">
        <w:rPr>
          <w:kern w:val="0"/>
          <w:lang w:val="nl-NL" w:eastAsia="en-US" w:bidi="ar-SA"/>
        </w:rPr>
        <w:t xml:space="preserve"> verleende zorgen</w:t>
      </w:r>
      <w:r w:rsidRPr="00D147A7">
        <w:rPr>
          <w:kern w:val="0"/>
          <w:lang w:val="nl-NL" w:eastAsia="en-US" w:bidi="ar-SA"/>
        </w:rPr>
        <w: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16° de briefwisseling tussen beroepsbeoefenaars;</w:t>
      </w:r>
    </w:p>
    <w:p w:rsidR="009931C7" w:rsidRPr="00D147A7" w:rsidRDefault="009931C7" w:rsidP="00304F3B">
      <w:pPr>
        <w:widowControl/>
        <w:suppressAutoHyphens w:val="0"/>
        <w:spacing w:line="240" w:lineRule="atLeast"/>
        <w:ind w:left="708"/>
        <w:jc w:val="both"/>
        <w:rPr>
          <w:kern w:val="0"/>
          <w:lang w:val="nl-NL" w:eastAsia="en-US" w:bidi="ar-SA"/>
        </w:rPr>
      </w:pPr>
      <w:r w:rsidRPr="00D147A7">
        <w:rPr>
          <w:kern w:val="0"/>
          <w:lang w:val="nl-NL" w:eastAsia="en-US" w:bidi="ar-SA"/>
        </w:rPr>
        <w:t>17° de wilsverklaringen</w:t>
      </w:r>
      <w:r w:rsidRPr="00D147A7">
        <w:rPr>
          <w:kern w:val="0"/>
          <w:vertAlign w:val="superscript"/>
          <w:lang w:val="nl-NL" w:eastAsia="en-US" w:bidi="ar-SA"/>
        </w:rPr>
        <w:footnoteReference w:id="272"/>
      </w:r>
      <w:r w:rsidRPr="00D147A7">
        <w:rPr>
          <w:i/>
          <w:iCs/>
          <w:kern w:val="0"/>
          <w:lang w:val="nl-NL" w:eastAsia="en-US" w:bidi="ar-SA"/>
        </w:rPr>
        <w:t xml:space="preserve"> </w:t>
      </w:r>
      <w:r w:rsidRPr="00D147A7">
        <w:rPr>
          <w:kern w:val="0"/>
          <w:lang w:val="nl-NL" w:eastAsia="en-US" w:bidi="ar-SA"/>
        </w:rPr>
        <w:t xml:space="preserve">of, in voorkomend geval, </w:t>
      </w:r>
      <w:r w:rsidR="00304F3B" w:rsidRPr="00D147A7">
        <w:rPr>
          <w:kern w:val="0"/>
          <w:lang w:val="nl-NL" w:eastAsia="en-US" w:bidi="ar-SA"/>
        </w:rPr>
        <w:t xml:space="preserve">de vermelding van hun bestaan </w:t>
      </w:r>
      <w:r w:rsidRPr="00D147A7">
        <w:rPr>
          <w:kern w:val="0"/>
          <w:lang w:val="nl-NL" w:eastAsia="en-US" w:bidi="ar-SA"/>
        </w:rPr>
        <w:t>en de gegevens van de</w:t>
      </w:r>
      <w:r w:rsidR="00304F3B" w:rsidRPr="00D147A7">
        <w:rPr>
          <w:kern w:val="0"/>
          <w:lang w:val="nl-NL" w:eastAsia="en-US" w:bidi="ar-SA"/>
        </w:rPr>
        <w:t xml:space="preserve"> persoon die hierover beschikt.</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Het tweede onderdeel van </w:t>
      </w:r>
      <w:r w:rsidR="000F5CF6" w:rsidRPr="00D147A7">
        <w:rPr>
          <w:kern w:val="0"/>
          <w:lang w:val="nl-NL" w:eastAsia="en-US" w:bidi="ar-SA"/>
        </w:rPr>
        <w:t>het</w:t>
      </w:r>
      <w:r w:rsidRPr="00D147A7">
        <w:rPr>
          <w:kern w:val="0"/>
          <w:lang w:val="nl-NL" w:eastAsia="en-US" w:bidi="ar-SA"/>
        </w:rPr>
        <w:t xml:space="preserve"> patiëntendossier in </w:t>
      </w:r>
      <w:r w:rsidR="000F5CF6" w:rsidRPr="00D147A7">
        <w:rPr>
          <w:kern w:val="0"/>
          <w:lang w:val="nl-NL" w:eastAsia="en-US" w:bidi="ar-SA"/>
        </w:rPr>
        <w:t>een verzorgingsinstelling</w:t>
      </w:r>
      <w:r w:rsidRPr="00D147A7">
        <w:rPr>
          <w:kern w:val="0"/>
          <w:lang w:val="nl-NL" w:eastAsia="en-US" w:bidi="ar-SA"/>
        </w:rPr>
        <w:t xml:space="preserve"> </w:t>
      </w:r>
      <w:r w:rsidR="000F5CF6" w:rsidRPr="00D147A7">
        <w:rPr>
          <w:kern w:val="0"/>
          <w:lang w:val="nl-NL" w:eastAsia="en-US" w:bidi="ar-SA"/>
        </w:rPr>
        <w:t>bestaat uit</w:t>
      </w:r>
      <w:r w:rsidRPr="00D147A7">
        <w:rPr>
          <w:kern w:val="0"/>
          <w:lang w:val="nl-NL" w:eastAsia="en-US" w:bidi="ar-SA"/>
        </w:rPr>
        <w:t xml:space="preserve"> infor</w:t>
      </w:r>
      <w:r w:rsidR="00996374">
        <w:rPr>
          <w:kern w:val="0"/>
          <w:lang w:val="nl-NL" w:eastAsia="en-US" w:bidi="ar-SA"/>
        </w:rPr>
        <w:t>-</w:t>
      </w:r>
      <w:r w:rsidRPr="00D147A7">
        <w:rPr>
          <w:kern w:val="0"/>
          <w:lang w:val="nl-NL" w:eastAsia="en-US" w:bidi="ar-SA"/>
        </w:rPr>
        <w:t>matie die aan het einde van een ziekenhuisverblijf opgetekend</w:t>
      </w:r>
      <w:r w:rsidR="000F5CF6" w:rsidRPr="00D147A7">
        <w:rPr>
          <w:kern w:val="0"/>
          <w:lang w:val="nl-NL" w:eastAsia="en-US" w:bidi="ar-SA"/>
        </w:rPr>
        <w:t xml:space="preserve"> werd</w:t>
      </w:r>
      <w:r w:rsidRPr="00D147A7">
        <w:rPr>
          <w:kern w:val="0"/>
          <w:lang w:val="nl-NL" w:eastAsia="en-US" w:bidi="ar-SA"/>
        </w:rPr>
        <w:t>. Dit gedeelte bevat</w:t>
      </w:r>
      <w:r w:rsidR="000F5CF6" w:rsidRPr="00D147A7">
        <w:rPr>
          <w:kern w:val="0"/>
          <w:lang w:val="nl-NL" w:eastAsia="en-US" w:bidi="ar-SA"/>
        </w:rPr>
        <w:t xml:space="preserve"> m.n.</w:t>
      </w:r>
      <w:r w:rsidRPr="00D147A7">
        <w:rPr>
          <w:kern w:val="0"/>
          <w:lang w:val="nl-NL" w:eastAsia="en-US" w:bidi="ar-SA"/>
        </w:rPr>
        <w:t xml:space="preserve">: </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1° het hospitalisatieverslag en de ontslagbrief;</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2° (de kopieën van) het ontslagbesluit;</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3° de omstandigheden van het ontslag;</w:t>
      </w:r>
    </w:p>
    <w:p w:rsidR="009931C7" w:rsidRPr="00D147A7" w:rsidRDefault="009931C7" w:rsidP="009931C7">
      <w:pPr>
        <w:widowControl/>
        <w:suppressAutoHyphens w:val="0"/>
        <w:spacing w:line="240" w:lineRule="atLeast"/>
        <w:ind w:firstLine="708"/>
        <w:jc w:val="both"/>
        <w:rPr>
          <w:kern w:val="0"/>
          <w:lang w:val="nl-NL" w:eastAsia="en-US" w:bidi="ar-SA"/>
        </w:rPr>
      </w:pPr>
      <w:r w:rsidRPr="00D147A7">
        <w:rPr>
          <w:kern w:val="0"/>
          <w:lang w:val="nl-NL" w:eastAsia="en-US" w:bidi="ar-SA"/>
        </w:rPr>
        <w:t>4° de contactgegevens van de verpleegkundigen.</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Het </w:t>
      </w:r>
      <w:r w:rsidR="000F5CF6" w:rsidRPr="00D147A7">
        <w:rPr>
          <w:kern w:val="0"/>
          <w:lang w:val="nl-NL" w:eastAsia="en-US" w:bidi="ar-SA"/>
        </w:rPr>
        <w:t xml:space="preserve">derde en </w:t>
      </w:r>
      <w:r w:rsidRPr="00D147A7">
        <w:rPr>
          <w:kern w:val="0"/>
          <w:lang w:val="nl-NL" w:eastAsia="en-US" w:bidi="ar-SA"/>
        </w:rPr>
        <w:t xml:space="preserve">laatste deel bevat de </w:t>
      </w:r>
      <w:r w:rsidR="000F5CF6" w:rsidRPr="00D147A7">
        <w:rPr>
          <w:kern w:val="0"/>
          <w:lang w:val="nl-NL" w:eastAsia="en-US" w:bidi="ar-SA"/>
        </w:rPr>
        <w:t>van (niet bij de therapeutische behandeling betrokken zijn</w:t>
      </w:r>
      <w:r w:rsidR="00996374">
        <w:rPr>
          <w:kern w:val="0"/>
          <w:lang w:val="nl-NL" w:eastAsia="en-US" w:bidi="ar-SA"/>
        </w:rPr>
        <w:t>-</w:t>
      </w:r>
      <w:r w:rsidR="000F5CF6" w:rsidRPr="00D147A7">
        <w:rPr>
          <w:kern w:val="0"/>
          <w:lang w:val="nl-NL" w:eastAsia="en-US" w:bidi="ar-SA"/>
        </w:rPr>
        <w:t xml:space="preserve">de) derden verkregen </w:t>
      </w:r>
      <w:r w:rsidRPr="00D147A7">
        <w:rPr>
          <w:kern w:val="0"/>
          <w:lang w:val="nl-NL" w:eastAsia="en-US" w:bidi="ar-SA"/>
        </w:rPr>
        <w:t xml:space="preserve">informatie en </w:t>
      </w:r>
      <w:r w:rsidR="00304F3B" w:rsidRPr="00D147A7">
        <w:rPr>
          <w:kern w:val="0"/>
          <w:lang w:val="nl-NL" w:eastAsia="en-US" w:bidi="ar-SA"/>
        </w:rPr>
        <w:t>de identificatiegegevens</w:t>
      </w:r>
      <w:r w:rsidRPr="00D147A7">
        <w:rPr>
          <w:kern w:val="0"/>
          <w:lang w:val="nl-NL" w:eastAsia="en-US" w:bidi="ar-SA"/>
        </w:rPr>
        <w:t xml:space="preserve"> over deze derden.</w:t>
      </w:r>
    </w:p>
    <w:p w:rsidR="000F5CF6" w:rsidRPr="00D147A7" w:rsidRDefault="000F5CF6"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Omdat deze lijst niet restrictief is, kan aan een patiëntendossier nog tal van andere documen</w:t>
      </w:r>
      <w:r w:rsidR="00996374">
        <w:rPr>
          <w:kern w:val="0"/>
          <w:lang w:val="nl-NL" w:eastAsia="en-US" w:bidi="ar-SA"/>
        </w:rPr>
        <w:t>-</w:t>
      </w:r>
      <w:r w:rsidRPr="00D147A7">
        <w:rPr>
          <w:kern w:val="0"/>
          <w:lang w:val="nl-NL" w:eastAsia="en-US" w:bidi="ar-SA"/>
        </w:rPr>
        <w:t xml:space="preserve">ten </w:t>
      </w:r>
      <w:r w:rsidR="00304F3B" w:rsidRPr="00D147A7">
        <w:rPr>
          <w:kern w:val="0"/>
          <w:lang w:val="nl-NL" w:eastAsia="en-US" w:bidi="ar-SA"/>
        </w:rPr>
        <w:t xml:space="preserve">worden </w:t>
      </w:r>
      <w:r w:rsidRPr="00D147A7">
        <w:rPr>
          <w:kern w:val="0"/>
          <w:lang w:val="nl-NL" w:eastAsia="en-US" w:bidi="ar-SA"/>
        </w:rPr>
        <w:t>toegevoegd</w:t>
      </w:r>
      <w:r w:rsidR="00304F3B" w:rsidRPr="00D147A7">
        <w:rPr>
          <w:kern w:val="0"/>
          <w:lang w:val="nl-NL" w:eastAsia="en-US" w:bidi="ar-SA"/>
        </w:rPr>
        <w:t>, zoals</w:t>
      </w:r>
      <w:r w:rsidRPr="00D147A7">
        <w:rPr>
          <w:kern w:val="0"/>
          <w:lang w:val="nl-NL" w:eastAsia="en-US" w:bidi="ar-SA"/>
        </w:rPr>
        <w:t xml:space="preserve"> kopieën van doktersattesten, het autopsieverslag, het transfu</w:t>
      </w:r>
      <w:r w:rsidR="00996374">
        <w:rPr>
          <w:kern w:val="0"/>
          <w:lang w:val="nl-NL" w:eastAsia="en-US" w:bidi="ar-SA"/>
        </w:rPr>
        <w:t>-</w:t>
      </w:r>
      <w:r w:rsidRPr="00D147A7">
        <w:rPr>
          <w:kern w:val="0"/>
          <w:lang w:val="nl-NL" w:eastAsia="en-US" w:bidi="ar-SA"/>
        </w:rPr>
        <w:t>siedossier, schriftelijke toestemmingen van de patiënt, etc.</w:t>
      </w:r>
      <w:r w:rsidRPr="00D147A7">
        <w:rPr>
          <w:kern w:val="0"/>
          <w:vertAlign w:val="superscript"/>
          <w:lang w:val="nl-NL" w:eastAsia="en-US" w:bidi="ar-SA"/>
        </w:rPr>
        <w:footnoteReference w:id="273"/>
      </w:r>
    </w:p>
    <w:p w:rsidR="009931C7" w:rsidRPr="00D147A7" w:rsidRDefault="009931C7" w:rsidP="009931C7">
      <w:pPr>
        <w:widowControl/>
        <w:suppressAutoHyphens w:val="0"/>
        <w:spacing w:line="240" w:lineRule="atLeast"/>
        <w:jc w:val="both"/>
        <w:rPr>
          <w:rFonts w:eastAsia="Times New Roman"/>
          <w:color w:val="000000"/>
          <w:kern w:val="0"/>
          <w:sz w:val="23"/>
          <w:szCs w:val="23"/>
          <w:lang w:eastAsia="nl-BE" w:bidi="ar-SA"/>
        </w:rPr>
      </w:pPr>
    </w:p>
    <w:p w:rsidR="009931C7" w:rsidRPr="00D147A7" w:rsidRDefault="009931C7" w:rsidP="009931C7">
      <w:pPr>
        <w:widowControl/>
        <w:suppressAutoHyphens w:val="0"/>
        <w:spacing w:line="240" w:lineRule="atLeast"/>
        <w:jc w:val="both"/>
        <w:rPr>
          <w:rFonts w:eastAsia="Times New Roman"/>
          <w:color w:val="000000"/>
          <w:kern w:val="0"/>
          <w:sz w:val="23"/>
          <w:szCs w:val="23"/>
          <w:lang w:eastAsia="nl-BE" w:bidi="ar-SA"/>
        </w:rPr>
      </w:pPr>
      <w:r w:rsidRPr="00D147A7">
        <w:rPr>
          <w:rFonts w:eastAsia="Times New Roman"/>
          <w:color w:val="000000"/>
          <w:kern w:val="0"/>
          <w:sz w:val="23"/>
          <w:szCs w:val="23"/>
          <w:lang w:eastAsia="nl-BE" w:bidi="ar-SA"/>
        </w:rPr>
        <w:lastRenderedPageBreak/>
        <w:t xml:space="preserve">Artikel R. 4127-45 van de </w:t>
      </w:r>
      <w:r w:rsidRPr="00D147A7">
        <w:rPr>
          <w:rFonts w:eastAsia="Times New Roman"/>
          <w:i/>
          <w:iCs/>
          <w:color w:val="000000"/>
          <w:kern w:val="0"/>
          <w:sz w:val="23"/>
          <w:szCs w:val="23"/>
          <w:lang w:eastAsia="nl-BE" w:bidi="ar-SA"/>
        </w:rPr>
        <w:t>code de la santé publique</w:t>
      </w:r>
      <w:r w:rsidRPr="00D147A7">
        <w:rPr>
          <w:rFonts w:eastAsia="Times New Roman"/>
          <w:color w:val="000000"/>
          <w:kern w:val="0"/>
          <w:sz w:val="23"/>
          <w:szCs w:val="23"/>
          <w:lang w:eastAsia="nl-BE" w:bidi="ar-SA"/>
        </w:rPr>
        <w:t xml:space="preserve"> regelt de dossierplicht van huisartsen. </w:t>
      </w:r>
      <w:r w:rsidRPr="00D147A7">
        <w:rPr>
          <w:rFonts w:eastAsia="Times New Roman"/>
          <w:color w:val="000000"/>
          <w:kern w:val="0"/>
          <w:sz w:val="23"/>
          <w:szCs w:val="23"/>
          <w:lang w:val="fr-BE" w:eastAsia="nl-BE" w:bidi="ar-SA"/>
        </w:rPr>
        <w:t xml:space="preserve">De aanhef van dit artikel luidt: </w:t>
      </w:r>
      <w:r w:rsidRPr="00D147A7">
        <w:rPr>
          <w:rFonts w:eastAsia="Times New Roman"/>
          <w:i/>
          <w:iCs/>
          <w:color w:val="000000"/>
          <w:kern w:val="0"/>
          <w:sz w:val="23"/>
          <w:szCs w:val="23"/>
          <w:lang w:val="fr-BE" w:eastAsia="nl-BE" w:bidi="ar-SA"/>
        </w:rPr>
        <w:t>Indépendamment du dossier de suivi médical prévu par la loi, le mé</w:t>
      </w:r>
      <w:r w:rsidR="00996374">
        <w:rPr>
          <w:rFonts w:eastAsia="Times New Roman"/>
          <w:i/>
          <w:iCs/>
          <w:color w:val="000000"/>
          <w:kern w:val="0"/>
          <w:sz w:val="23"/>
          <w:szCs w:val="23"/>
          <w:lang w:val="fr-BE" w:eastAsia="nl-BE" w:bidi="ar-SA"/>
        </w:rPr>
        <w:t>-</w:t>
      </w:r>
      <w:r w:rsidRPr="00D147A7">
        <w:rPr>
          <w:rFonts w:eastAsia="Times New Roman"/>
          <w:i/>
          <w:iCs/>
          <w:color w:val="000000"/>
          <w:kern w:val="0"/>
          <w:sz w:val="23"/>
          <w:szCs w:val="23"/>
          <w:lang w:val="fr-BE" w:eastAsia="nl-BE" w:bidi="ar-SA"/>
        </w:rPr>
        <w:t>decin doit tenir pour chaque patient une fiche d'observation qui lui est personnelle</w:t>
      </w:r>
      <w:r w:rsidRPr="00D147A7">
        <w:rPr>
          <w:rFonts w:eastAsia="Times New Roman"/>
          <w:color w:val="000000"/>
          <w:kern w:val="0"/>
          <w:sz w:val="23"/>
          <w:szCs w:val="23"/>
          <w:lang w:val="fr-BE" w:eastAsia="nl-BE" w:bidi="ar-SA"/>
        </w:rPr>
        <w:t>.</w:t>
      </w:r>
      <w:r w:rsidRPr="00D147A7">
        <w:rPr>
          <w:rFonts w:eastAsia="Times New Roman"/>
          <w:color w:val="000000"/>
          <w:kern w:val="0"/>
          <w:sz w:val="23"/>
          <w:szCs w:val="23"/>
          <w:vertAlign w:val="superscript"/>
          <w:lang w:eastAsia="nl-BE" w:bidi="ar-SA"/>
        </w:rPr>
        <w:footnoteReference w:id="274"/>
      </w:r>
      <w:r w:rsidRPr="00D147A7">
        <w:rPr>
          <w:rFonts w:eastAsia="Times New Roman"/>
          <w:color w:val="000000"/>
          <w:kern w:val="0"/>
          <w:sz w:val="23"/>
          <w:szCs w:val="23"/>
          <w:lang w:val="fr-BE" w:eastAsia="nl-BE" w:bidi="ar-SA"/>
        </w:rPr>
        <w:t xml:space="preserve"> </w:t>
      </w:r>
      <w:r w:rsidRPr="00D147A7">
        <w:rPr>
          <w:rFonts w:eastAsia="Times New Roman"/>
          <w:color w:val="000000"/>
          <w:kern w:val="0"/>
          <w:sz w:val="23"/>
          <w:szCs w:val="23"/>
          <w:lang w:eastAsia="nl-BE" w:bidi="ar-SA"/>
        </w:rPr>
        <w:t xml:space="preserve">Het eerste patiëntendossier, het </w:t>
      </w:r>
      <w:r w:rsidRPr="00D147A7">
        <w:rPr>
          <w:rFonts w:eastAsia="Times New Roman"/>
          <w:i/>
          <w:iCs/>
          <w:color w:val="000000"/>
          <w:kern w:val="0"/>
          <w:sz w:val="23"/>
          <w:szCs w:val="23"/>
          <w:lang w:eastAsia="nl-BE" w:bidi="ar-SA"/>
        </w:rPr>
        <w:t>dossier de suivi médical</w:t>
      </w:r>
      <w:r w:rsidRPr="00D147A7">
        <w:rPr>
          <w:rFonts w:eastAsia="Times New Roman"/>
          <w:color w:val="000000"/>
          <w:kern w:val="0"/>
          <w:sz w:val="23"/>
          <w:szCs w:val="23"/>
          <w:lang w:eastAsia="nl-BE" w:bidi="ar-SA"/>
        </w:rPr>
        <w:t>, werd in 1994 ingevoerd</w:t>
      </w:r>
      <w:r w:rsidRPr="00D147A7">
        <w:rPr>
          <w:rFonts w:eastAsia="Times New Roman"/>
          <w:kern w:val="0"/>
          <w:sz w:val="23"/>
          <w:szCs w:val="23"/>
          <w:vertAlign w:val="superscript"/>
          <w:lang w:val="nl-NL" w:eastAsia="nl-BE" w:bidi="ar-SA"/>
        </w:rPr>
        <w:footnoteReference w:id="275"/>
      </w:r>
      <w:r w:rsidRPr="00D147A7">
        <w:rPr>
          <w:rFonts w:eastAsia="Times New Roman"/>
          <w:kern w:val="0"/>
          <w:sz w:val="23"/>
          <w:szCs w:val="23"/>
          <w:lang w:val="nl-NL" w:eastAsia="nl-BE" w:bidi="ar-SA"/>
        </w:rPr>
        <w:t xml:space="preserve"> maar is inmiddels weer teruggeschroefd.</w:t>
      </w:r>
      <w:r w:rsidRPr="00D147A7">
        <w:rPr>
          <w:rFonts w:eastAsia="Times New Roman"/>
          <w:kern w:val="0"/>
          <w:sz w:val="23"/>
          <w:szCs w:val="23"/>
          <w:vertAlign w:val="superscript"/>
          <w:lang w:val="nl-NL" w:eastAsia="nl-BE" w:bidi="ar-SA"/>
        </w:rPr>
        <w:footnoteReference w:id="276"/>
      </w:r>
      <w:r w:rsidRPr="00D147A7">
        <w:rPr>
          <w:rFonts w:eastAsia="Times New Roman"/>
          <w:color w:val="000000"/>
          <w:kern w:val="0"/>
          <w:sz w:val="23"/>
          <w:szCs w:val="23"/>
          <w:lang w:eastAsia="nl-BE" w:bidi="ar-SA"/>
        </w:rPr>
        <w:t xml:space="preserve"> </w:t>
      </w:r>
      <w:r w:rsidRPr="00D147A7">
        <w:rPr>
          <w:kern w:val="0"/>
          <w:lang w:val="nl-NL" w:eastAsia="en-US" w:bidi="ar-SA"/>
        </w:rPr>
        <w:t xml:space="preserve">In plaats daarvan moeten Franse huisartsen voor iedere behandelde patiënt een persoonlijk </w:t>
      </w:r>
      <w:r w:rsidRPr="00D147A7">
        <w:rPr>
          <w:rFonts w:eastAsia="Times New Roman"/>
          <w:i/>
          <w:iCs/>
          <w:color w:val="000000"/>
          <w:kern w:val="0"/>
          <w:sz w:val="23"/>
          <w:szCs w:val="23"/>
          <w:lang w:val="nl-NL" w:eastAsia="nl-BE" w:bidi="ar-SA"/>
        </w:rPr>
        <w:t>fiche</w:t>
      </w:r>
      <w:r w:rsidRPr="00D147A7">
        <w:rPr>
          <w:rFonts w:eastAsia="Times New Roman"/>
          <w:color w:val="000000"/>
          <w:kern w:val="0"/>
          <w:sz w:val="23"/>
          <w:szCs w:val="23"/>
          <w:lang w:val="nl-NL" w:eastAsia="nl-BE" w:bidi="ar-SA"/>
        </w:rPr>
        <w:t xml:space="preserve"> </w:t>
      </w:r>
      <w:r w:rsidRPr="00D147A7">
        <w:rPr>
          <w:rFonts w:eastAsia="Times New Roman"/>
          <w:i/>
          <w:iCs/>
          <w:color w:val="000000"/>
          <w:kern w:val="0"/>
          <w:sz w:val="23"/>
          <w:szCs w:val="23"/>
          <w:lang w:val="nl-NL" w:eastAsia="nl-BE" w:bidi="ar-SA"/>
        </w:rPr>
        <w:t>d’observation</w:t>
      </w:r>
      <w:r w:rsidRPr="00D147A7">
        <w:rPr>
          <w:rFonts w:eastAsia="Times New Roman"/>
          <w:color w:val="000000"/>
          <w:kern w:val="0"/>
          <w:sz w:val="23"/>
          <w:szCs w:val="23"/>
          <w:lang w:eastAsia="nl-BE" w:bidi="ar-SA"/>
        </w:rPr>
        <w:t xml:space="preserve"> opstellen.</w:t>
      </w:r>
      <w:r w:rsidRPr="00D147A7">
        <w:rPr>
          <w:rFonts w:eastAsia="Times New Roman"/>
          <w:color w:val="000000"/>
          <w:kern w:val="0"/>
          <w:sz w:val="23"/>
          <w:szCs w:val="23"/>
          <w:vertAlign w:val="superscript"/>
          <w:lang w:eastAsia="nl-BE" w:bidi="ar-SA"/>
        </w:rPr>
        <w:footnoteReference w:id="277"/>
      </w:r>
      <w:r w:rsidRPr="00D147A7">
        <w:rPr>
          <w:rFonts w:eastAsia="Times New Roman"/>
          <w:color w:val="000000"/>
          <w:kern w:val="0"/>
          <w:sz w:val="23"/>
          <w:szCs w:val="23"/>
          <w:lang w:eastAsia="nl-BE" w:bidi="ar-SA"/>
        </w:rPr>
        <w:t xml:space="preserve"> Deze formulieren zijn in feite de bouwstenen van het </w:t>
      </w:r>
      <w:r w:rsidR="00304F3B" w:rsidRPr="00D147A7">
        <w:rPr>
          <w:rFonts w:eastAsia="Times New Roman"/>
          <w:color w:val="000000"/>
          <w:kern w:val="0"/>
          <w:sz w:val="23"/>
          <w:szCs w:val="23"/>
          <w:lang w:eastAsia="nl-BE" w:bidi="ar-SA"/>
        </w:rPr>
        <w:t>A</w:t>
      </w:r>
      <w:r w:rsidRPr="00D147A7">
        <w:rPr>
          <w:rFonts w:eastAsia="Times New Roman"/>
          <w:color w:val="000000"/>
          <w:kern w:val="0"/>
          <w:sz w:val="23"/>
          <w:szCs w:val="23"/>
          <w:lang w:eastAsia="nl-BE" w:bidi="ar-SA"/>
        </w:rPr>
        <w:t xml:space="preserve">lgemeen </w:t>
      </w:r>
      <w:r w:rsidR="00304F3B" w:rsidRPr="00D147A7">
        <w:rPr>
          <w:rFonts w:eastAsia="Times New Roman"/>
          <w:color w:val="000000"/>
          <w:kern w:val="0"/>
          <w:sz w:val="23"/>
          <w:szCs w:val="23"/>
          <w:lang w:eastAsia="nl-BE" w:bidi="ar-SA"/>
        </w:rPr>
        <w:t>M</w:t>
      </w:r>
      <w:r w:rsidRPr="00D147A7">
        <w:rPr>
          <w:rFonts w:eastAsia="Times New Roman"/>
          <w:color w:val="000000"/>
          <w:kern w:val="0"/>
          <w:sz w:val="23"/>
          <w:szCs w:val="23"/>
          <w:lang w:eastAsia="nl-BE" w:bidi="ar-SA"/>
        </w:rPr>
        <w:t xml:space="preserve">edisch </w:t>
      </w:r>
      <w:r w:rsidR="00304F3B" w:rsidRPr="00D147A7">
        <w:rPr>
          <w:rFonts w:eastAsia="Times New Roman"/>
          <w:color w:val="000000"/>
          <w:kern w:val="0"/>
          <w:sz w:val="23"/>
          <w:szCs w:val="23"/>
          <w:lang w:eastAsia="nl-BE" w:bidi="ar-SA"/>
        </w:rPr>
        <w:t>D</w:t>
      </w:r>
      <w:r w:rsidRPr="00D147A7">
        <w:rPr>
          <w:rFonts w:eastAsia="Times New Roman"/>
          <w:color w:val="000000"/>
          <w:kern w:val="0"/>
          <w:sz w:val="23"/>
          <w:szCs w:val="23"/>
          <w:lang w:eastAsia="nl-BE" w:bidi="ar-SA"/>
        </w:rPr>
        <w:t>ossier. Omdat de wetgever voor deze observatieformulieren geen specifieke inhoudelijke vereisten en vormvoorschriften voorzien heeft</w:t>
      </w:r>
      <w:r w:rsidRPr="00D147A7">
        <w:rPr>
          <w:rFonts w:eastAsia="Times New Roman"/>
          <w:color w:val="000000"/>
          <w:kern w:val="0"/>
          <w:sz w:val="23"/>
          <w:szCs w:val="23"/>
          <w:vertAlign w:val="superscript"/>
          <w:lang w:eastAsia="nl-BE" w:bidi="ar-SA"/>
        </w:rPr>
        <w:footnoteReference w:id="278"/>
      </w:r>
      <w:r w:rsidRPr="00D147A7">
        <w:rPr>
          <w:rFonts w:eastAsia="Times New Roman"/>
          <w:color w:val="000000"/>
          <w:kern w:val="0"/>
          <w:sz w:val="23"/>
          <w:szCs w:val="23"/>
          <w:lang w:eastAsia="nl-BE" w:bidi="ar-SA"/>
        </w:rPr>
        <w:t>, is het aangewezen dat huisartsen conform de richtlijnen voor verzorgingsinstellingen handelen.</w:t>
      </w:r>
      <w:r w:rsidRPr="00D147A7">
        <w:rPr>
          <w:rFonts w:eastAsia="Times New Roman"/>
          <w:color w:val="000000"/>
          <w:kern w:val="0"/>
          <w:sz w:val="23"/>
          <w:szCs w:val="23"/>
          <w:vertAlign w:val="superscript"/>
          <w:lang w:eastAsia="nl-BE" w:bidi="ar-SA"/>
        </w:rPr>
        <w:footnoteReference w:id="279"/>
      </w:r>
    </w:p>
    <w:p w:rsidR="009931C7" w:rsidRPr="00D147A7" w:rsidRDefault="009931C7" w:rsidP="009931C7">
      <w:pPr>
        <w:widowControl/>
        <w:suppressAutoHyphens w:val="0"/>
        <w:spacing w:line="240" w:lineRule="atLeast"/>
        <w:jc w:val="both"/>
        <w:rPr>
          <w:rFonts w:eastAsia="Times New Roman"/>
          <w:color w:val="000000"/>
          <w:kern w:val="0"/>
          <w:sz w:val="23"/>
          <w:szCs w:val="23"/>
          <w:lang w:eastAsia="nl-BE" w:bidi="ar-SA"/>
        </w:rPr>
      </w:pPr>
    </w:p>
    <w:p w:rsidR="009931C7" w:rsidRPr="00D147A7" w:rsidRDefault="009931C7" w:rsidP="009931C7">
      <w:pPr>
        <w:widowControl/>
        <w:suppressAutoHyphens w:val="0"/>
        <w:spacing w:line="240" w:lineRule="atLeast"/>
        <w:jc w:val="both"/>
        <w:rPr>
          <w:rFonts w:eastAsia="Times New Roman"/>
          <w:color w:val="000000"/>
          <w:kern w:val="0"/>
          <w:sz w:val="23"/>
          <w:szCs w:val="23"/>
          <w:lang w:eastAsia="nl-BE" w:bidi="ar-SA"/>
        </w:rPr>
      </w:pPr>
      <w:r w:rsidRPr="00D147A7">
        <w:rPr>
          <w:rFonts w:eastAsia="Times New Roman"/>
          <w:color w:val="000000"/>
          <w:kern w:val="0"/>
          <w:sz w:val="23"/>
          <w:szCs w:val="23"/>
          <w:lang w:eastAsia="nl-BE" w:bidi="ar-SA"/>
        </w:rPr>
        <w:t xml:space="preserve">Tot slot moet opgemerkt worden dat alle zorgverleners bij iedere handeling en raadpleging de diagnostische en therapeutische gegevens in het elektronisch patiëntendossier </w:t>
      </w:r>
      <w:r w:rsidR="00304F3B" w:rsidRPr="00D147A7">
        <w:rPr>
          <w:rFonts w:eastAsia="Times New Roman"/>
          <w:color w:val="000000"/>
          <w:kern w:val="0"/>
          <w:sz w:val="23"/>
          <w:szCs w:val="23"/>
          <w:lang w:eastAsia="nl-BE" w:bidi="ar-SA"/>
        </w:rPr>
        <w:t xml:space="preserve">moeten </w:t>
      </w:r>
      <w:r w:rsidRPr="00D147A7">
        <w:rPr>
          <w:rFonts w:eastAsia="Times New Roman"/>
          <w:color w:val="000000"/>
          <w:kern w:val="0"/>
          <w:sz w:val="23"/>
          <w:szCs w:val="23"/>
          <w:lang w:eastAsia="nl-BE" w:bidi="ar-SA"/>
        </w:rPr>
        <w:t xml:space="preserve">opnemen die noodzakelijk zijn voor de coördinatie van de zorgverlening. Ook </w:t>
      </w:r>
      <w:r w:rsidR="00C5223F" w:rsidRPr="00D147A7">
        <w:rPr>
          <w:rFonts w:eastAsia="Times New Roman"/>
          <w:color w:val="000000"/>
          <w:kern w:val="0"/>
          <w:sz w:val="23"/>
          <w:szCs w:val="23"/>
          <w:lang w:eastAsia="nl-BE" w:bidi="ar-SA"/>
        </w:rPr>
        <w:t>een</w:t>
      </w:r>
      <w:r w:rsidRPr="00D147A7">
        <w:rPr>
          <w:rFonts w:eastAsia="Times New Roman"/>
          <w:color w:val="000000"/>
          <w:kern w:val="0"/>
          <w:sz w:val="23"/>
          <w:szCs w:val="23"/>
          <w:lang w:eastAsia="nl-BE" w:bidi="ar-SA"/>
        </w:rPr>
        <w:t xml:space="preserve"> samenvatting van de bel</w:t>
      </w:r>
      <w:r w:rsidR="00996374">
        <w:rPr>
          <w:rFonts w:eastAsia="Times New Roman"/>
          <w:color w:val="000000"/>
          <w:kern w:val="0"/>
          <w:sz w:val="23"/>
          <w:szCs w:val="23"/>
          <w:lang w:eastAsia="nl-BE" w:bidi="ar-SA"/>
        </w:rPr>
        <w:t>-</w:t>
      </w:r>
      <w:r w:rsidRPr="00D147A7">
        <w:rPr>
          <w:rFonts w:eastAsia="Times New Roman"/>
          <w:color w:val="000000"/>
          <w:kern w:val="0"/>
          <w:sz w:val="23"/>
          <w:szCs w:val="23"/>
          <w:lang w:eastAsia="nl-BE" w:bidi="ar-SA"/>
        </w:rPr>
        <w:t>angrijkste informatie van een ziekenhuisopname wordt in dit patiëntendossier opgenomen.</w:t>
      </w:r>
      <w:r w:rsidRPr="00D147A7">
        <w:rPr>
          <w:rFonts w:eastAsia="Times New Roman"/>
          <w:color w:val="000000"/>
          <w:kern w:val="0"/>
          <w:sz w:val="23"/>
          <w:szCs w:val="23"/>
          <w:vertAlign w:val="superscript"/>
          <w:lang w:eastAsia="nl-BE" w:bidi="ar-SA"/>
        </w:rPr>
        <w:footnoteReference w:id="280"/>
      </w:r>
    </w:p>
    <w:p w:rsidR="00304F3B" w:rsidRPr="00996374" w:rsidRDefault="00304F3B" w:rsidP="000F7D93">
      <w:pPr>
        <w:pStyle w:val="Geenafstand"/>
        <w:rPr>
          <w:rFonts w:ascii="Times New Roman" w:hAnsi="Times New Roman" w:cs="Times New Roman"/>
        </w:rPr>
      </w:pPr>
    </w:p>
    <w:p w:rsidR="009931C7" w:rsidRPr="00D147A7" w:rsidRDefault="009931C7" w:rsidP="009931C7">
      <w:pPr>
        <w:widowControl/>
        <w:suppressAutoHyphens w:val="0"/>
        <w:spacing w:line="240" w:lineRule="atLeast"/>
        <w:ind w:firstLine="360"/>
        <w:jc w:val="both"/>
        <w:rPr>
          <w:b/>
          <w:kern w:val="0"/>
          <w:lang w:eastAsia="en-US" w:bidi="ar-SA"/>
        </w:rPr>
      </w:pPr>
      <w:r w:rsidRPr="00D147A7">
        <w:rPr>
          <w:b/>
          <w:kern w:val="0"/>
          <w:lang w:val="nl-NL" w:eastAsia="en-US" w:bidi="ar-SA"/>
        </w:rPr>
        <w:t>Hoofdstuk 2: Eigendom</w:t>
      </w:r>
    </w:p>
    <w:p w:rsidR="009931C7" w:rsidRPr="00D147A7" w:rsidRDefault="009931C7" w:rsidP="009931C7">
      <w:pPr>
        <w:widowControl/>
        <w:suppressAutoHyphens w:val="0"/>
        <w:spacing w:line="240" w:lineRule="atLeast"/>
        <w:jc w:val="both"/>
        <w:rPr>
          <w:kern w:val="0"/>
          <w:lang w:eastAsia="en-US" w:bidi="ar-SA"/>
        </w:rPr>
      </w:pP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eastAsia="en-US" w:bidi="ar-SA"/>
        </w:rPr>
        <w:t xml:space="preserve">In Frankrijk kunnen, wat de eigendom van patiëntendossiers betreft, twee fasen van elkaar </w:t>
      </w:r>
      <w:r w:rsidR="00C5223F" w:rsidRPr="00D147A7">
        <w:rPr>
          <w:kern w:val="0"/>
          <w:lang w:eastAsia="en-US" w:bidi="ar-SA"/>
        </w:rPr>
        <w:t xml:space="preserve">worden </w:t>
      </w:r>
      <w:r w:rsidRPr="00D147A7">
        <w:rPr>
          <w:kern w:val="0"/>
          <w:lang w:eastAsia="en-US" w:bidi="ar-SA"/>
        </w:rPr>
        <w:t>onderscheiden.</w:t>
      </w:r>
      <w:r w:rsidRPr="00D147A7">
        <w:rPr>
          <w:kern w:val="0"/>
          <w:vertAlign w:val="superscript"/>
          <w:lang w:eastAsia="en-US" w:bidi="ar-SA"/>
        </w:rPr>
        <w:footnoteReference w:id="281"/>
      </w:r>
      <w:r w:rsidRPr="00D147A7">
        <w:rPr>
          <w:kern w:val="0"/>
          <w:lang w:eastAsia="en-US" w:bidi="ar-SA"/>
        </w:rPr>
        <w:t xml:space="preserve"> Aanvankelijk had de wetgever het eigendomsrecht van patiënten</w:t>
      </w:r>
      <w:r w:rsidR="00C5223F" w:rsidRPr="00D147A7">
        <w:rPr>
          <w:kern w:val="0"/>
          <w:lang w:eastAsia="en-US" w:bidi="ar-SA"/>
        </w:rPr>
        <w:t>-</w:t>
      </w:r>
      <w:r w:rsidRPr="00D147A7">
        <w:rPr>
          <w:kern w:val="0"/>
          <w:lang w:eastAsia="en-US" w:bidi="ar-SA"/>
        </w:rPr>
        <w:t>dossiers niet genormeerd. Tijdens deze eerste fase werd d</w:t>
      </w:r>
      <w:r w:rsidRPr="00D147A7">
        <w:rPr>
          <w:kern w:val="0"/>
          <w:lang w:val="nl-NL" w:eastAsia="en-US" w:bidi="ar-SA"/>
        </w:rPr>
        <w:t xml:space="preserve">e eigendom van deze dossiers onder het credo </w:t>
      </w:r>
      <w:r w:rsidRPr="00D147A7">
        <w:rPr>
          <w:i/>
          <w:iCs/>
          <w:kern w:val="0"/>
          <w:lang w:val="nl-NL" w:eastAsia="en-US" w:bidi="ar-SA"/>
        </w:rPr>
        <w:t>possessor ergo dominus</w:t>
      </w:r>
      <w:r w:rsidRPr="00D147A7">
        <w:rPr>
          <w:kern w:val="0"/>
          <w:lang w:val="nl-NL" w:eastAsia="en-US" w:bidi="ar-SA"/>
        </w:rPr>
        <w:t xml:space="preserve"> aan de archiefvormers (</w:t>
      </w:r>
      <w:r w:rsidRPr="00D147A7">
        <w:rPr>
          <w:i/>
          <w:iCs/>
          <w:kern w:val="0"/>
          <w:lang w:val="nl-NL" w:eastAsia="en-US" w:bidi="ar-SA"/>
        </w:rPr>
        <w:t>in casu</w:t>
      </w:r>
      <w:r w:rsidRPr="00D147A7">
        <w:rPr>
          <w:kern w:val="0"/>
          <w:lang w:val="nl-NL" w:eastAsia="en-US" w:bidi="ar-SA"/>
        </w:rPr>
        <w:t xml:space="preserve"> de zelfstandige zorgverle</w:t>
      </w:r>
      <w:r w:rsidR="00996374">
        <w:rPr>
          <w:kern w:val="0"/>
          <w:lang w:val="nl-NL" w:eastAsia="en-US" w:bidi="ar-SA"/>
        </w:rPr>
        <w:t>-</w:t>
      </w:r>
      <w:r w:rsidRPr="00D147A7">
        <w:rPr>
          <w:kern w:val="0"/>
          <w:lang w:val="nl-NL" w:eastAsia="en-US" w:bidi="ar-SA"/>
        </w:rPr>
        <w:t>ners en verzorgingsinstellingen) toegekend.</w:t>
      </w:r>
      <w:r w:rsidRPr="00D147A7">
        <w:rPr>
          <w:kern w:val="0"/>
          <w:vertAlign w:val="superscript"/>
          <w:lang w:val="nl-NL" w:eastAsia="en-US" w:bidi="ar-SA"/>
        </w:rPr>
        <w:footnoteReference w:id="282"/>
      </w:r>
      <w:r w:rsidRPr="00D147A7">
        <w:rPr>
          <w:kern w:val="0"/>
          <w:lang w:val="nl-NL" w:eastAsia="en-US" w:bidi="ar-SA"/>
        </w:rPr>
        <w:t xml:space="preserve"> </w:t>
      </w:r>
      <w:r w:rsidRPr="00D147A7">
        <w:rPr>
          <w:kern w:val="0"/>
          <w:lang w:val="fr-BE" w:eastAsia="en-US" w:bidi="ar-SA"/>
        </w:rPr>
        <w:t>Hiervan getuigt de rondzendbrief van 1 febru</w:t>
      </w:r>
      <w:r w:rsidR="00996374">
        <w:rPr>
          <w:kern w:val="0"/>
          <w:lang w:val="fr-BE" w:eastAsia="en-US" w:bidi="ar-SA"/>
        </w:rPr>
        <w:t>-</w:t>
      </w:r>
      <w:r w:rsidRPr="00D147A7">
        <w:rPr>
          <w:kern w:val="0"/>
          <w:lang w:val="fr-BE" w:eastAsia="en-US" w:bidi="ar-SA"/>
        </w:rPr>
        <w:t xml:space="preserve">ari 1944, </w:t>
      </w:r>
      <w:r w:rsidR="000F7D93" w:rsidRPr="00D147A7">
        <w:rPr>
          <w:kern w:val="0"/>
          <w:lang w:val="fr-BE" w:eastAsia="en-US" w:bidi="ar-SA"/>
        </w:rPr>
        <w:t>waarin gesteld werd</w:t>
      </w:r>
      <w:r w:rsidRPr="00D147A7">
        <w:rPr>
          <w:kern w:val="0"/>
          <w:lang w:val="fr-BE" w:eastAsia="en-US" w:bidi="ar-SA"/>
        </w:rPr>
        <w:t xml:space="preserve"> dat </w:t>
      </w:r>
      <w:r w:rsidRPr="00D147A7">
        <w:rPr>
          <w:i/>
          <w:iCs/>
          <w:kern w:val="0"/>
          <w:lang w:val="fr-BE" w:eastAsia="en-US" w:bidi="ar-SA"/>
        </w:rPr>
        <w:t>le dossier médical demeure la propriété de l’établissement; il est conservé dans le service sous la responsabilité du médecin-chef</w:t>
      </w:r>
      <w:r w:rsidRPr="00D147A7">
        <w:rPr>
          <w:kern w:val="0"/>
          <w:lang w:val="fr-BE" w:eastAsia="en-US" w:bidi="ar-SA"/>
        </w:rPr>
        <w:t>.</w:t>
      </w:r>
      <w:r w:rsidRPr="00D147A7">
        <w:rPr>
          <w:kern w:val="0"/>
          <w:vertAlign w:val="superscript"/>
          <w:lang w:val="fr-BE" w:eastAsia="en-US" w:bidi="ar-SA"/>
        </w:rPr>
        <w:footnoteReference w:id="283"/>
      </w:r>
      <w:r w:rsidRPr="00D147A7">
        <w:rPr>
          <w:kern w:val="0"/>
          <w:lang w:val="fr-BE" w:eastAsia="en-US" w:bidi="ar-SA"/>
        </w:rPr>
        <w:t xml:space="preserve"> </w:t>
      </w:r>
    </w:p>
    <w:p w:rsidR="009931C7" w:rsidRPr="00D147A7" w:rsidRDefault="009931C7" w:rsidP="009931C7">
      <w:pPr>
        <w:widowControl/>
        <w:suppressAutoHyphens w:val="0"/>
        <w:spacing w:line="240" w:lineRule="atLeast"/>
        <w:jc w:val="both"/>
        <w:rPr>
          <w:kern w:val="0"/>
          <w:lang w:val="fr-BE" w:eastAsia="en-US" w:bidi="ar-SA"/>
        </w:rPr>
      </w:pPr>
    </w:p>
    <w:p w:rsidR="009931C7" w:rsidRPr="00D147A7" w:rsidRDefault="009931C7" w:rsidP="009931C7">
      <w:pPr>
        <w:widowControl/>
        <w:suppressAutoHyphens w:val="0"/>
        <w:spacing w:line="240" w:lineRule="atLeast"/>
        <w:jc w:val="both"/>
        <w:rPr>
          <w:kern w:val="0"/>
          <w:lang w:val="fr-FR" w:eastAsia="en-US" w:bidi="ar-SA"/>
        </w:rPr>
      </w:pPr>
      <w:r w:rsidRPr="00D147A7">
        <w:rPr>
          <w:kern w:val="0"/>
          <w:lang w:eastAsia="en-US" w:bidi="ar-SA"/>
        </w:rPr>
        <w:t>In 1994 kende de wetgever het eigendomsrecht expliciet aan de patiënt toe</w:t>
      </w:r>
      <w:r w:rsidR="000F7D93" w:rsidRPr="00D147A7">
        <w:rPr>
          <w:kern w:val="0"/>
          <w:lang w:eastAsia="en-US" w:bidi="ar-SA"/>
        </w:rPr>
        <w:t>;</w:t>
      </w:r>
      <w:r w:rsidRPr="00D147A7">
        <w:rPr>
          <w:kern w:val="0"/>
          <w:lang w:eastAsia="en-US" w:bidi="ar-SA"/>
        </w:rPr>
        <w:t xml:space="preserve"> een bepaling die inmiddels weer </w:t>
      </w:r>
      <w:r w:rsidR="000F7D93" w:rsidRPr="00D147A7">
        <w:rPr>
          <w:kern w:val="0"/>
          <w:lang w:eastAsia="en-US" w:bidi="ar-SA"/>
        </w:rPr>
        <w:t xml:space="preserve">is </w:t>
      </w:r>
      <w:r w:rsidRPr="00D147A7">
        <w:rPr>
          <w:kern w:val="0"/>
          <w:lang w:eastAsia="en-US" w:bidi="ar-SA"/>
        </w:rPr>
        <w:t>ingetrokken.</w:t>
      </w:r>
      <w:r w:rsidRPr="00D147A7">
        <w:rPr>
          <w:kern w:val="0"/>
          <w:vertAlign w:val="superscript"/>
          <w:lang w:val="fr-BE" w:eastAsia="en-US" w:bidi="ar-SA"/>
        </w:rPr>
        <w:footnoteReference w:id="284"/>
      </w:r>
      <w:r w:rsidRPr="00D147A7">
        <w:rPr>
          <w:kern w:val="0"/>
          <w:lang w:eastAsia="en-US" w:bidi="ar-SA"/>
        </w:rPr>
        <w:t xml:space="preserve"> Toch is deze cesuur niet onbeduidend aangezien ze i</w:t>
      </w:r>
      <w:r w:rsidRPr="00D147A7">
        <w:rPr>
          <w:kern w:val="0"/>
          <w:lang w:val="nl-NL" w:eastAsia="en-US" w:bidi="ar-SA"/>
        </w:rPr>
        <w:t xml:space="preserve">n de opkomst van de zogenaamde </w:t>
      </w:r>
      <w:r w:rsidR="00C5223F" w:rsidRPr="00D147A7">
        <w:rPr>
          <w:kern w:val="0"/>
          <w:lang w:val="nl-NL" w:eastAsia="en-US" w:bidi="ar-SA"/>
        </w:rPr>
        <w:t>‘</w:t>
      </w:r>
      <w:r w:rsidRPr="00D147A7">
        <w:rPr>
          <w:kern w:val="0"/>
          <w:lang w:val="nl-NL" w:eastAsia="en-US" w:bidi="ar-SA"/>
        </w:rPr>
        <w:t>gezondheidsdemocratie</w:t>
      </w:r>
      <w:r w:rsidR="00C5223F" w:rsidRPr="00D147A7">
        <w:rPr>
          <w:kern w:val="0"/>
          <w:lang w:val="nl-NL" w:eastAsia="en-US" w:bidi="ar-SA"/>
        </w:rPr>
        <w:t>’</w:t>
      </w:r>
      <w:r w:rsidRPr="00D147A7">
        <w:rPr>
          <w:kern w:val="0"/>
          <w:lang w:val="nl-NL" w:eastAsia="en-US" w:bidi="ar-SA"/>
        </w:rPr>
        <w:t xml:space="preserve"> </w:t>
      </w:r>
      <w:r w:rsidRPr="00D147A7">
        <w:rPr>
          <w:kern w:val="0"/>
          <w:lang w:eastAsia="en-US" w:bidi="ar-SA"/>
        </w:rPr>
        <w:t>kadert</w:t>
      </w:r>
      <w:r w:rsidRPr="00D147A7">
        <w:rPr>
          <w:kern w:val="0"/>
          <w:vertAlign w:val="superscript"/>
          <w:lang w:val="nl-NL" w:eastAsia="en-US" w:bidi="ar-SA"/>
        </w:rPr>
        <w:footnoteReference w:id="285"/>
      </w:r>
      <w:r w:rsidRPr="00D147A7">
        <w:rPr>
          <w:kern w:val="0"/>
          <w:lang w:val="nl-NL" w:eastAsia="en-US" w:bidi="ar-SA"/>
        </w:rPr>
        <w:t xml:space="preserve"> waarin patiënt</w:t>
      </w:r>
      <w:r w:rsidR="000F7D93" w:rsidRPr="00D147A7">
        <w:rPr>
          <w:kern w:val="0"/>
          <w:lang w:val="nl-NL" w:eastAsia="en-US" w:bidi="ar-SA"/>
        </w:rPr>
        <w:t>en</w:t>
      </w:r>
      <w:r w:rsidRPr="00D147A7">
        <w:rPr>
          <w:kern w:val="0"/>
          <w:lang w:val="nl-NL" w:eastAsia="en-US" w:bidi="ar-SA"/>
        </w:rPr>
        <w:t xml:space="preserve"> steeds meer </w:t>
      </w:r>
      <w:r w:rsidRPr="00D147A7">
        <w:rPr>
          <w:kern w:val="0"/>
          <w:lang w:val="nl-NL" w:eastAsia="en-US" w:bidi="ar-SA"/>
        </w:rPr>
        <w:lastRenderedPageBreak/>
        <w:t>als medespeler</w:t>
      </w:r>
      <w:r w:rsidR="000F7D93" w:rsidRPr="00D147A7">
        <w:rPr>
          <w:kern w:val="0"/>
          <w:lang w:val="nl-NL" w:eastAsia="en-US" w:bidi="ar-SA"/>
        </w:rPr>
        <w:t>s</w:t>
      </w:r>
      <w:r w:rsidRPr="00D147A7">
        <w:rPr>
          <w:kern w:val="0"/>
          <w:lang w:val="nl-NL" w:eastAsia="en-US" w:bidi="ar-SA"/>
        </w:rPr>
        <w:t xml:space="preserve"> van </w:t>
      </w:r>
      <w:r w:rsidR="000F7D93" w:rsidRPr="00D147A7">
        <w:rPr>
          <w:kern w:val="0"/>
          <w:lang w:val="nl-NL" w:eastAsia="en-US" w:bidi="ar-SA"/>
        </w:rPr>
        <w:t>hun</w:t>
      </w:r>
      <w:r w:rsidRPr="00D147A7">
        <w:rPr>
          <w:kern w:val="0"/>
          <w:lang w:val="nl-NL" w:eastAsia="en-US" w:bidi="ar-SA"/>
        </w:rPr>
        <w:t xml:space="preserve"> gezondheid word</w:t>
      </w:r>
      <w:r w:rsidR="000F7D93" w:rsidRPr="00D147A7">
        <w:rPr>
          <w:kern w:val="0"/>
          <w:lang w:val="nl-NL" w:eastAsia="en-US" w:bidi="ar-SA"/>
        </w:rPr>
        <w:t>en</w:t>
      </w:r>
      <w:r w:rsidRPr="00D147A7">
        <w:rPr>
          <w:kern w:val="0"/>
          <w:lang w:val="nl-NL" w:eastAsia="en-US" w:bidi="ar-SA"/>
        </w:rPr>
        <w:t xml:space="preserve"> erkend.</w:t>
      </w:r>
      <w:r w:rsidRPr="00D147A7">
        <w:rPr>
          <w:kern w:val="0"/>
          <w:vertAlign w:val="superscript"/>
          <w:lang w:val="nl-NL" w:eastAsia="en-US" w:bidi="ar-SA"/>
        </w:rPr>
        <w:footnoteReference w:id="286"/>
      </w:r>
      <w:r w:rsidRPr="00D147A7">
        <w:rPr>
          <w:kern w:val="0"/>
          <w:lang w:val="nl-NL" w:eastAsia="en-US" w:bidi="ar-SA"/>
        </w:rPr>
        <w:t xml:space="preserve"> Hoewel sommigen het patiënten</w:t>
      </w:r>
      <w:r w:rsidR="00C5223F" w:rsidRPr="00D147A7">
        <w:rPr>
          <w:kern w:val="0"/>
          <w:lang w:val="nl-NL" w:eastAsia="en-US" w:bidi="ar-SA"/>
        </w:rPr>
        <w:t>-</w:t>
      </w:r>
      <w:r w:rsidRPr="00D147A7">
        <w:rPr>
          <w:kern w:val="0"/>
          <w:lang w:val="nl-NL" w:eastAsia="en-US" w:bidi="ar-SA"/>
        </w:rPr>
        <w:t>dos</w:t>
      </w:r>
      <w:r w:rsidR="00996374">
        <w:rPr>
          <w:kern w:val="0"/>
          <w:lang w:val="nl-NL" w:eastAsia="en-US" w:bidi="ar-SA"/>
        </w:rPr>
        <w:t>-</w:t>
      </w:r>
      <w:r w:rsidRPr="00D147A7">
        <w:rPr>
          <w:kern w:val="0"/>
          <w:lang w:val="nl-NL" w:eastAsia="en-US" w:bidi="ar-SA"/>
        </w:rPr>
        <w:t>sier als gedeelde eigendom van zorgverlener en patiënt beoordelen</w:t>
      </w:r>
      <w:r w:rsidRPr="00D147A7">
        <w:rPr>
          <w:kern w:val="0"/>
          <w:vertAlign w:val="superscript"/>
          <w:lang w:val="nl-NL" w:eastAsia="en-US" w:bidi="ar-SA"/>
        </w:rPr>
        <w:footnoteReference w:id="287"/>
      </w:r>
      <w:r w:rsidRPr="00D147A7">
        <w:rPr>
          <w:kern w:val="0"/>
          <w:lang w:val="nl-NL" w:eastAsia="en-US" w:bidi="ar-SA"/>
        </w:rPr>
        <w:t xml:space="preserve">, is het rationeler om het patiëntendossier </w:t>
      </w:r>
      <w:r w:rsidR="00AC68DA" w:rsidRPr="00D147A7">
        <w:rPr>
          <w:kern w:val="0"/>
          <w:lang w:val="nl-NL" w:eastAsia="en-US" w:bidi="ar-SA"/>
        </w:rPr>
        <w:t>als een ‘</w:t>
      </w:r>
      <w:r w:rsidR="000F7D93" w:rsidRPr="00D147A7">
        <w:rPr>
          <w:kern w:val="0"/>
          <w:lang w:val="nl-NL" w:eastAsia="en-US" w:bidi="ar-SA"/>
        </w:rPr>
        <w:t xml:space="preserve">niet voor eigendom </w:t>
      </w:r>
      <w:r w:rsidR="00AC68DA" w:rsidRPr="00D147A7">
        <w:rPr>
          <w:kern w:val="0"/>
          <w:lang w:val="nl-NL" w:eastAsia="en-US" w:bidi="ar-SA"/>
        </w:rPr>
        <w:t>ontvankelijk’</w:t>
      </w:r>
      <w:r w:rsidR="000F7D93" w:rsidRPr="00D147A7">
        <w:rPr>
          <w:kern w:val="0"/>
          <w:lang w:val="nl-NL" w:eastAsia="en-US" w:bidi="ar-SA"/>
        </w:rPr>
        <w:t xml:space="preserve"> </w:t>
      </w:r>
      <w:r w:rsidR="00AC68DA" w:rsidRPr="00D147A7">
        <w:rPr>
          <w:kern w:val="0"/>
          <w:lang w:val="nl-NL" w:eastAsia="en-US" w:bidi="ar-SA"/>
        </w:rPr>
        <w:t xml:space="preserve">iets </w:t>
      </w:r>
      <w:r w:rsidR="000F7D93" w:rsidRPr="00D147A7">
        <w:rPr>
          <w:kern w:val="0"/>
          <w:lang w:val="nl-NL" w:eastAsia="en-US" w:bidi="ar-SA"/>
        </w:rPr>
        <w:t xml:space="preserve">te </w:t>
      </w:r>
      <w:r w:rsidR="00AC68DA" w:rsidRPr="00D147A7">
        <w:rPr>
          <w:kern w:val="0"/>
          <w:lang w:val="nl-NL" w:eastAsia="en-US" w:bidi="ar-SA"/>
        </w:rPr>
        <w:t>beschouwen</w:t>
      </w:r>
      <w:r w:rsidRPr="00D147A7">
        <w:rPr>
          <w:kern w:val="0"/>
          <w:lang w:val="nl-NL" w:eastAsia="en-US" w:bidi="ar-SA"/>
        </w:rPr>
        <w:t>. Wel zijn zelf</w:t>
      </w:r>
      <w:r w:rsidR="00996374">
        <w:rPr>
          <w:kern w:val="0"/>
          <w:lang w:val="nl-NL" w:eastAsia="en-US" w:bidi="ar-SA"/>
        </w:rPr>
        <w:t>-</w:t>
      </w:r>
      <w:r w:rsidRPr="00D147A7">
        <w:rPr>
          <w:kern w:val="0"/>
          <w:lang w:val="nl-NL" w:eastAsia="en-US" w:bidi="ar-SA"/>
        </w:rPr>
        <w:t>standige zorgverleners en privaat- en publiekrechtelijke verzorgingsinstellingen</w:t>
      </w:r>
      <w:r w:rsidR="00C5223F" w:rsidRPr="00D147A7">
        <w:rPr>
          <w:kern w:val="0"/>
          <w:lang w:val="nl-NL" w:eastAsia="en-US" w:bidi="ar-SA"/>
        </w:rPr>
        <w:t xml:space="preserve"> –</w:t>
      </w:r>
      <w:r w:rsidRPr="00D147A7">
        <w:rPr>
          <w:kern w:val="0"/>
          <w:lang w:val="nl-NL" w:eastAsia="en-US" w:bidi="ar-SA"/>
        </w:rPr>
        <w:t xml:space="preserve"> m.a.w. de verantwoordelijken voor de bewaring van de patiëntendossiers</w:t>
      </w:r>
      <w:r w:rsidR="00C5223F" w:rsidRPr="00D147A7">
        <w:rPr>
          <w:kern w:val="0"/>
          <w:lang w:val="nl-NL" w:eastAsia="en-US" w:bidi="ar-SA"/>
        </w:rPr>
        <w:t xml:space="preserve"> –</w:t>
      </w:r>
      <w:r w:rsidRPr="00D147A7">
        <w:rPr>
          <w:kern w:val="0"/>
          <w:lang w:val="nl-NL" w:eastAsia="en-US" w:bidi="ar-SA"/>
        </w:rPr>
        <w:t xml:space="preserve"> de eigenaars van de gege</w:t>
      </w:r>
      <w:r w:rsidR="00996374">
        <w:rPr>
          <w:kern w:val="0"/>
          <w:lang w:val="nl-NL" w:eastAsia="en-US" w:bidi="ar-SA"/>
        </w:rPr>
        <w:t>-</w:t>
      </w:r>
      <w:r w:rsidRPr="00D147A7">
        <w:rPr>
          <w:kern w:val="0"/>
          <w:lang w:val="nl-NL" w:eastAsia="en-US" w:bidi="ar-SA"/>
        </w:rPr>
        <w:t xml:space="preserve">vensdragers waarop gezondheidsgegevens worden opgetekend. </w:t>
      </w:r>
      <w:r w:rsidRPr="00D147A7">
        <w:rPr>
          <w:kern w:val="0"/>
          <w:lang w:val="fr-FR" w:eastAsia="en-US" w:bidi="ar-SA"/>
        </w:rPr>
        <w:t xml:space="preserve">De voorzitter van de </w:t>
      </w:r>
      <w:r w:rsidR="00C5223F" w:rsidRPr="00D147A7">
        <w:rPr>
          <w:kern w:val="0"/>
          <w:lang w:val="fr-FR" w:eastAsia="en-US" w:bidi="ar-SA"/>
        </w:rPr>
        <w:t xml:space="preserve">Franse </w:t>
      </w:r>
      <w:r w:rsidRPr="00D147A7">
        <w:rPr>
          <w:kern w:val="0"/>
          <w:lang w:val="fr-FR" w:eastAsia="en-US" w:bidi="ar-SA"/>
        </w:rPr>
        <w:t xml:space="preserve">Nationale Raad van de Orde der geneesheren schreef </w:t>
      </w:r>
      <w:r w:rsidR="000F7D93" w:rsidRPr="00D147A7">
        <w:rPr>
          <w:kern w:val="0"/>
          <w:lang w:val="fr-FR" w:eastAsia="en-US" w:bidi="ar-SA"/>
        </w:rPr>
        <w:t xml:space="preserve">reeds </w:t>
      </w:r>
      <w:r w:rsidRPr="00D147A7">
        <w:rPr>
          <w:kern w:val="0"/>
          <w:lang w:val="fr-FR" w:eastAsia="en-US" w:bidi="ar-SA"/>
        </w:rPr>
        <w:t xml:space="preserve">in 1990: </w:t>
      </w:r>
      <w:r w:rsidR="000F7D93" w:rsidRPr="00D147A7">
        <w:rPr>
          <w:kern w:val="0"/>
          <w:lang w:val="fr-FR" w:eastAsia="en-US" w:bidi="ar-SA"/>
        </w:rPr>
        <w:t>(</w:t>
      </w:r>
      <w:r w:rsidRPr="00D147A7">
        <w:rPr>
          <w:kern w:val="0"/>
          <w:lang w:val="fr-FR" w:eastAsia="en-US" w:bidi="ar-SA"/>
        </w:rPr>
        <w:t>…</w:t>
      </w:r>
      <w:r w:rsidR="000F7D93" w:rsidRPr="00D147A7">
        <w:rPr>
          <w:kern w:val="0"/>
          <w:lang w:val="fr-FR" w:eastAsia="en-US" w:bidi="ar-SA"/>
        </w:rPr>
        <w:t xml:space="preserve">) </w:t>
      </w:r>
      <w:r w:rsidRPr="00D147A7">
        <w:rPr>
          <w:i/>
          <w:iCs/>
          <w:kern w:val="0"/>
          <w:lang w:val="fr-FR" w:eastAsia="en-US" w:bidi="ar-SA"/>
        </w:rPr>
        <w:t>touchant à la ques</w:t>
      </w:r>
      <w:r w:rsidR="00996374">
        <w:rPr>
          <w:i/>
          <w:iCs/>
          <w:kern w:val="0"/>
          <w:lang w:val="fr-FR" w:eastAsia="en-US" w:bidi="ar-SA"/>
        </w:rPr>
        <w:t>-</w:t>
      </w:r>
      <w:r w:rsidRPr="00D147A7">
        <w:rPr>
          <w:i/>
          <w:iCs/>
          <w:kern w:val="0"/>
          <w:lang w:val="fr-FR" w:eastAsia="en-US" w:bidi="ar-SA"/>
        </w:rPr>
        <w:t>tion fortement controversée sur le plan doctrinal de la propriété du dossier, l’Ordre pour sa part estime que personne n’est propriétaire du dossier: ni le malade qui peut, dans son inté</w:t>
      </w:r>
      <w:r w:rsidR="00996374">
        <w:rPr>
          <w:i/>
          <w:iCs/>
          <w:kern w:val="0"/>
          <w:lang w:val="fr-FR" w:eastAsia="en-US" w:bidi="ar-SA"/>
        </w:rPr>
        <w:t>-</w:t>
      </w:r>
      <w:r w:rsidRPr="00D147A7">
        <w:rPr>
          <w:i/>
          <w:iCs/>
          <w:kern w:val="0"/>
          <w:lang w:val="fr-FR" w:eastAsia="en-US" w:bidi="ar-SA"/>
        </w:rPr>
        <w:t>rêt, être tenu dans l’ignorance de certains éléments du dossier; ni l’hôpital, organisme admi</w:t>
      </w:r>
      <w:r w:rsidR="00996374">
        <w:rPr>
          <w:i/>
          <w:iCs/>
          <w:kern w:val="0"/>
          <w:lang w:val="fr-FR" w:eastAsia="en-US" w:bidi="ar-SA"/>
        </w:rPr>
        <w:t>-</w:t>
      </w:r>
      <w:r w:rsidRPr="00D147A7">
        <w:rPr>
          <w:i/>
          <w:iCs/>
          <w:kern w:val="0"/>
          <w:lang w:val="fr-FR" w:eastAsia="en-US" w:bidi="ar-SA"/>
        </w:rPr>
        <w:t>nistratif, qui ne peut avoir connaissance de renseignements médicaux; ni le médecin qui, tenu au secret professionnel, ne peut en disposer à son gré</w:t>
      </w:r>
      <w:r w:rsidRPr="00D147A7">
        <w:rPr>
          <w:kern w:val="0"/>
          <w:lang w:val="fr-FR" w:eastAsia="en-US" w:bidi="ar-SA"/>
        </w:rPr>
        <w:t>.</w:t>
      </w:r>
      <w:r w:rsidRPr="00D147A7">
        <w:rPr>
          <w:kern w:val="0"/>
          <w:vertAlign w:val="superscript"/>
          <w:lang w:val="fr-FR" w:eastAsia="en-US" w:bidi="ar-SA"/>
        </w:rPr>
        <w:footnoteReference w:id="288"/>
      </w:r>
      <w:r w:rsidRPr="00D147A7">
        <w:rPr>
          <w:kern w:val="0"/>
          <w:lang w:val="fr-FR" w:eastAsia="en-US" w:bidi="ar-SA"/>
        </w:rPr>
        <w:t xml:space="preserve"> </w:t>
      </w:r>
    </w:p>
    <w:p w:rsidR="009931C7" w:rsidRPr="00D147A7" w:rsidRDefault="009931C7" w:rsidP="009931C7">
      <w:pPr>
        <w:widowControl/>
        <w:suppressAutoHyphens w:val="0"/>
        <w:spacing w:line="240" w:lineRule="atLeast"/>
        <w:jc w:val="both"/>
        <w:rPr>
          <w:kern w:val="0"/>
          <w:lang w:val="fr-FR"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Wat de eigendom van patiëntendossiers in publiekrechtelijke verzorgingsinstellingen betreft, moet het antwoord in de </w:t>
      </w:r>
      <w:r w:rsidRPr="00D147A7">
        <w:rPr>
          <w:i/>
          <w:iCs/>
          <w:kern w:val="0"/>
          <w:lang w:val="nl-NL" w:eastAsia="en-US" w:bidi="ar-SA"/>
        </w:rPr>
        <w:t xml:space="preserve">code du patrimoine </w:t>
      </w:r>
      <w:r w:rsidRPr="00D147A7">
        <w:rPr>
          <w:kern w:val="0"/>
          <w:lang w:val="nl-NL" w:eastAsia="en-US" w:bidi="ar-SA"/>
        </w:rPr>
        <w:t>gezocht worden.</w:t>
      </w:r>
      <w:r w:rsidRPr="00D147A7">
        <w:rPr>
          <w:kern w:val="0"/>
          <w:vertAlign w:val="superscript"/>
          <w:lang w:val="fr-BE" w:eastAsia="en-US" w:bidi="ar-SA"/>
        </w:rPr>
        <w:footnoteReference w:id="289"/>
      </w:r>
      <w:r w:rsidRPr="00D147A7">
        <w:rPr>
          <w:kern w:val="0"/>
          <w:lang w:val="nl-NL" w:eastAsia="en-US" w:bidi="ar-SA"/>
        </w:rPr>
        <w:t xml:space="preserve"> Openbare besturen en diens</w:t>
      </w:r>
      <w:r w:rsidR="00996374">
        <w:rPr>
          <w:kern w:val="0"/>
          <w:lang w:val="nl-NL" w:eastAsia="en-US" w:bidi="ar-SA"/>
        </w:rPr>
        <w:t>-</w:t>
      </w:r>
      <w:r w:rsidRPr="00D147A7">
        <w:rPr>
          <w:kern w:val="0"/>
          <w:lang w:val="nl-NL" w:eastAsia="en-US" w:bidi="ar-SA"/>
        </w:rPr>
        <w:t>ten (</w:t>
      </w:r>
      <w:r w:rsidR="00AC68DA" w:rsidRPr="00D147A7">
        <w:rPr>
          <w:kern w:val="0"/>
          <w:lang w:val="nl-NL" w:eastAsia="en-US" w:bidi="ar-SA"/>
        </w:rPr>
        <w:t>met inbegrip van publiekrechtelijke</w:t>
      </w:r>
      <w:r w:rsidRPr="00D147A7">
        <w:rPr>
          <w:kern w:val="0"/>
          <w:lang w:val="nl-NL" w:eastAsia="en-US" w:bidi="ar-SA"/>
        </w:rPr>
        <w:t xml:space="preserve"> verzorgingsinstellingen) worden niet in het bezit ge</w:t>
      </w:r>
      <w:r w:rsidR="00996374">
        <w:rPr>
          <w:kern w:val="0"/>
          <w:lang w:val="nl-NL" w:eastAsia="en-US" w:bidi="ar-SA"/>
        </w:rPr>
        <w:t>-</w:t>
      </w:r>
      <w:r w:rsidRPr="00D147A7">
        <w:rPr>
          <w:kern w:val="0"/>
          <w:lang w:val="nl-NL" w:eastAsia="en-US" w:bidi="ar-SA"/>
        </w:rPr>
        <w:t>steld van de door hen geproduceerde archiefbescheiden; zij hebben enkel het recht om ‘hun’ – niet voor verjaring vatbare – archieven terug te vorderen. Desalniettemin worden alle direc</w:t>
      </w:r>
      <w:r w:rsidR="00996374">
        <w:rPr>
          <w:kern w:val="0"/>
          <w:lang w:val="nl-NL" w:eastAsia="en-US" w:bidi="ar-SA"/>
        </w:rPr>
        <w:t>-</w:t>
      </w:r>
      <w:r w:rsidRPr="00D147A7">
        <w:rPr>
          <w:kern w:val="0"/>
          <w:lang w:val="nl-NL" w:eastAsia="en-US" w:bidi="ar-SA"/>
        </w:rPr>
        <w:t>teurs van publiekrechtelijke verzorgingsinstellingen verantwoordelijk gesteld voor de bewa</w:t>
      </w:r>
      <w:r w:rsidR="00996374">
        <w:rPr>
          <w:kern w:val="0"/>
          <w:lang w:val="nl-NL" w:eastAsia="en-US" w:bidi="ar-SA"/>
        </w:rPr>
        <w:t>-</w:t>
      </w:r>
      <w:r w:rsidRPr="00D147A7">
        <w:rPr>
          <w:kern w:val="0"/>
          <w:lang w:val="nl-NL" w:eastAsia="en-US" w:bidi="ar-SA"/>
        </w:rPr>
        <w:t>ring van de medische en administratieve archieven van hun instelling.</w:t>
      </w:r>
      <w:r w:rsidRPr="00D147A7">
        <w:rPr>
          <w:kern w:val="0"/>
          <w:vertAlign w:val="superscript"/>
          <w:lang w:val="nl-NL" w:eastAsia="en-US" w:bidi="ar-SA"/>
        </w:rPr>
        <w:footnoteReference w:id="290"/>
      </w:r>
      <w:r w:rsidRPr="00D147A7">
        <w:rPr>
          <w:kern w:val="0"/>
          <w:lang w:val="nl-NL" w:eastAsia="en-US" w:bidi="ar-SA"/>
        </w:rPr>
        <w:t xml:space="preserve"> We kunnen dus con</w:t>
      </w:r>
      <w:r w:rsidR="00996374">
        <w:rPr>
          <w:kern w:val="0"/>
          <w:lang w:val="nl-NL" w:eastAsia="en-US" w:bidi="ar-SA"/>
        </w:rPr>
        <w:t>-</w:t>
      </w:r>
      <w:r w:rsidRPr="00D147A7">
        <w:rPr>
          <w:kern w:val="0"/>
          <w:lang w:val="nl-NL" w:eastAsia="en-US" w:bidi="ar-SA"/>
        </w:rPr>
        <w:t xml:space="preserve">cluderen dat (de wettelijke vertegenwoordiger) van de instelling verantwoordelijk is voor de bewaarde </w:t>
      </w:r>
      <w:r w:rsidR="00AC68DA" w:rsidRPr="00D147A7">
        <w:rPr>
          <w:kern w:val="0"/>
          <w:lang w:val="nl-NL" w:eastAsia="en-US" w:bidi="ar-SA"/>
        </w:rPr>
        <w:t>patiëntendossiers</w:t>
      </w:r>
      <w:r w:rsidRPr="00D147A7">
        <w:rPr>
          <w:kern w:val="0"/>
          <w:lang w:val="nl-NL" w:eastAsia="en-US" w:bidi="ar-SA"/>
        </w:rPr>
        <w:t xml:space="preserve">, maar </w:t>
      </w:r>
      <w:r w:rsidR="00AC68DA" w:rsidRPr="00D147A7">
        <w:rPr>
          <w:kern w:val="0"/>
          <w:lang w:val="nl-NL" w:eastAsia="en-US" w:bidi="ar-SA"/>
        </w:rPr>
        <w:t>hi</w:t>
      </w:r>
      <w:r w:rsidRPr="00D147A7">
        <w:rPr>
          <w:kern w:val="0"/>
          <w:lang w:val="nl-NL" w:eastAsia="en-US" w:bidi="ar-SA"/>
        </w:rPr>
        <w:t>er geen eigenaar van is. Deze situatie vloeit voort uit een hoofdverplichting: de bewaring van archieven.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rFonts w:eastAsia="Times New Roman"/>
          <w:kern w:val="0"/>
          <w:lang w:val="nl-NL" w:eastAsia="nl-BE" w:bidi="ar-SA"/>
        </w:rPr>
      </w:pPr>
      <w:r w:rsidRPr="00D147A7">
        <w:rPr>
          <w:kern w:val="0"/>
          <w:lang w:val="nl-NL" w:eastAsia="en-US" w:bidi="ar-SA"/>
        </w:rPr>
        <w:t>Voor elektronische patiëntendossiers</w:t>
      </w:r>
      <w:r w:rsidR="00C5223F" w:rsidRPr="00D147A7">
        <w:rPr>
          <w:kern w:val="0"/>
          <w:lang w:val="nl-NL" w:eastAsia="en-US" w:bidi="ar-SA"/>
        </w:rPr>
        <w:t>,</w:t>
      </w:r>
      <w:r w:rsidRPr="00D147A7">
        <w:rPr>
          <w:kern w:val="0"/>
          <w:lang w:val="nl-NL" w:eastAsia="en-US" w:bidi="ar-SA"/>
        </w:rPr>
        <w:t xml:space="preserve"> die in Frankrijk als </w:t>
      </w:r>
      <w:r w:rsidRPr="00D147A7">
        <w:rPr>
          <w:i/>
          <w:iCs/>
          <w:kern w:val="0"/>
          <w:lang w:val="nl-NL" w:eastAsia="en-US" w:bidi="ar-SA"/>
        </w:rPr>
        <w:t>dossiers médicaux personnels</w:t>
      </w:r>
      <w:r w:rsidRPr="00D147A7">
        <w:rPr>
          <w:kern w:val="0"/>
          <w:lang w:val="nl-NL" w:eastAsia="en-US" w:bidi="ar-SA"/>
        </w:rPr>
        <w:t xml:space="preserve"> aan</w:t>
      </w:r>
      <w:r w:rsidR="00996374">
        <w:rPr>
          <w:kern w:val="0"/>
          <w:lang w:val="nl-NL" w:eastAsia="en-US" w:bidi="ar-SA"/>
        </w:rPr>
        <w:t>-</w:t>
      </w:r>
      <w:r w:rsidRPr="00D147A7">
        <w:rPr>
          <w:kern w:val="0"/>
          <w:lang w:val="nl-NL" w:eastAsia="en-US" w:bidi="ar-SA"/>
        </w:rPr>
        <w:t>geduid</w:t>
      </w:r>
      <w:r w:rsidR="00AC68DA" w:rsidRPr="00D147A7">
        <w:rPr>
          <w:kern w:val="0"/>
          <w:lang w:val="nl-NL" w:eastAsia="en-US" w:bidi="ar-SA"/>
        </w:rPr>
        <w:t xml:space="preserve"> worden</w:t>
      </w:r>
      <w:r w:rsidRPr="00D147A7">
        <w:rPr>
          <w:kern w:val="0"/>
          <w:lang w:val="nl-NL" w:eastAsia="en-US" w:bidi="ar-SA"/>
        </w:rPr>
        <w:t>, wordt een andere politiek gevoerd. Hier worden patiënten wel wettelijk er</w:t>
      </w:r>
      <w:r w:rsidR="00996374">
        <w:rPr>
          <w:kern w:val="0"/>
          <w:lang w:val="nl-NL" w:eastAsia="en-US" w:bidi="ar-SA"/>
        </w:rPr>
        <w:t>-</w:t>
      </w:r>
      <w:r w:rsidRPr="00D147A7">
        <w:rPr>
          <w:kern w:val="0"/>
          <w:lang w:val="nl-NL" w:eastAsia="en-US" w:bidi="ar-SA"/>
        </w:rPr>
        <w:t xml:space="preserve">kend als eigenaars van hun </w:t>
      </w:r>
      <w:r w:rsidRPr="00D147A7">
        <w:rPr>
          <w:i/>
          <w:iCs/>
          <w:kern w:val="0"/>
          <w:lang w:val="nl-NL" w:eastAsia="en-US" w:bidi="ar-SA"/>
        </w:rPr>
        <w:t>dossier médical personnel</w:t>
      </w:r>
      <w:r w:rsidRPr="00D147A7">
        <w:rPr>
          <w:kern w:val="0"/>
          <w:lang w:val="nl-NL" w:eastAsia="en-US" w:bidi="ar-SA"/>
        </w:rPr>
        <w:t>.</w:t>
      </w:r>
      <w:r w:rsidRPr="00D147A7">
        <w:rPr>
          <w:kern w:val="0"/>
          <w:vertAlign w:val="superscript"/>
          <w:lang w:val="nl-NL" w:eastAsia="en-US" w:bidi="ar-SA"/>
        </w:rPr>
        <w:footnoteReference w:id="291"/>
      </w:r>
      <w:r w:rsidRPr="00D147A7">
        <w:rPr>
          <w:kern w:val="0"/>
          <w:lang w:val="nl-NL" w:eastAsia="en-US" w:bidi="ar-SA"/>
        </w:rPr>
        <w:t xml:space="preserve"> </w:t>
      </w:r>
      <w:r w:rsidRPr="00D147A7">
        <w:rPr>
          <w:rFonts w:eastAsia="Times New Roman"/>
          <w:kern w:val="0"/>
          <w:lang w:val="nl-NL" w:eastAsia="nl-BE" w:bidi="ar-SA"/>
        </w:rPr>
        <w:t>De toegangsprocedure voor beroeps</w:t>
      </w:r>
      <w:r w:rsidR="00996374">
        <w:rPr>
          <w:rFonts w:eastAsia="Times New Roman"/>
          <w:kern w:val="0"/>
          <w:lang w:val="nl-NL" w:eastAsia="nl-BE" w:bidi="ar-SA"/>
        </w:rPr>
        <w:t>-</w:t>
      </w:r>
      <w:r w:rsidRPr="00D147A7">
        <w:rPr>
          <w:rFonts w:eastAsia="Times New Roman"/>
          <w:kern w:val="0"/>
          <w:lang w:val="nl-NL" w:eastAsia="nl-BE" w:bidi="ar-SA"/>
        </w:rPr>
        <w:t>beoefenaars tot patiëntendossiers wordt geïnverteerd.</w:t>
      </w:r>
      <w:r w:rsidRPr="00D147A7">
        <w:rPr>
          <w:rFonts w:eastAsia="Times New Roman"/>
          <w:kern w:val="0"/>
          <w:vertAlign w:val="superscript"/>
          <w:lang w:val="nl-NL" w:eastAsia="nl-BE" w:bidi="ar-SA"/>
        </w:rPr>
        <w:footnoteReference w:id="292"/>
      </w:r>
      <w:r w:rsidRPr="00D147A7">
        <w:rPr>
          <w:rFonts w:eastAsia="Times New Roman"/>
          <w:kern w:val="0"/>
          <w:lang w:val="nl-NL" w:eastAsia="nl-BE" w:bidi="ar-SA"/>
        </w:rPr>
        <w:t xml:space="preserve"> Alvorens een zorgverlener een pa</w:t>
      </w:r>
      <w:r w:rsidR="00996374">
        <w:rPr>
          <w:rFonts w:eastAsia="Times New Roman"/>
          <w:kern w:val="0"/>
          <w:lang w:val="nl-NL" w:eastAsia="nl-BE" w:bidi="ar-SA"/>
        </w:rPr>
        <w:t>-</w:t>
      </w:r>
      <w:r w:rsidRPr="00D147A7">
        <w:rPr>
          <w:rFonts w:eastAsia="Times New Roman"/>
          <w:kern w:val="0"/>
          <w:lang w:val="nl-NL" w:eastAsia="nl-BE" w:bidi="ar-SA"/>
        </w:rPr>
        <w:t>tiëntendossier kan raadplegen, moet hij daar uitdrukkelijk de toestemming van de patiënt voor verkregen hebben.</w:t>
      </w:r>
      <w:r w:rsidRPr="00D147A7">
        <w:rPr>
          <w:rFonts w:eastAsia="Times New Roman"/>
          <w:kern w:val="0"/>
          <w:vertAlign w:val="superscript"/>
          <w:lang w:val="nl-NL" w:eastAsia="nl-BE" w:bidi="ar-SA"/>
        </w:rPr>
        <w:footnoteReference w:id="293"/>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Wat is in Frankrijk het lot van het patiëntendossier wanneer de behandelingsovereenkomst be</w:t>
      </w:r>
      <w:r w:rsidR="00996374">
        <w:rPr>
          <w:kern w:val="0"/>
          <w:lang w:val="nl-NL" w:eastAsia="en-US" w:bidi="ar-SA"/>
        </w:rPr>
        <w:t>-</w:t>
      </w:r>
      <w:r w:rsidRPr="00D147A7">
        <w:rPr>
          <w:kern w:val="0"/>
          <w:lang w:val="nl-NL" w:eastAsia="en-US" w:bidi="ar-SA"/>
        </w:rPr>
        <w:t>ëindigd</w:t>
      </w:r>
      <w:r w:rsidR="00AC68DA" w:rsidRPr="00D147A7">
        <w:rPr>
          <w:kern w:val="0"/>
          <w:lang w:val="nl-NL" w:eastAsia="en-US" w:bidi="ar-SA"/>
        </w:rPr>
        <w:t xml:space="preserve"> wordt</w:t>
      </w:r>
      <w:r w:rsidRPr="00D147A7">
        <w:rPr>
          <w:kern w:val="0"/>
          <w:lang w:val="nl-NL" w:eastAsia="en-US" w:bidi="ar-SA"/>
        </w:rPr>
        <w:t>?</w:t>
      </w:r>
      <w:r w:rsidRPr="00D147A7">
        <w:rPr>
          <w:kern w:val="0"/>
          <w:vertAlign w:val="superscript"/>
          <w:lang w:val="nl-NL" w:eastAsia="en-US" w:bidi="ar-SA"/>
        </w:rPr>
        <w:footnoteReference w:id="294"/>
      </w:r>
      <w:r w:rsidRPr="00D147A7">
        <w:rPr>
          <w:kern w:val="0"/>
          <w:lang w:val="nl-NL" w:eastAsia="en-US" w:bidi="ar-SA"/>
        </w:rPr>
        <w:t xml:space="preserve"> Een eerste mogelijkheid is dat een patiënt de behandeling afbreekt. Iedere patiënt kan immers vrij zijn </w:t>
      </w:r>
      <w:r w:rsidR="00AC68DA" w:rsidRPr="00D147A7">
        <w:rPr>
          <w:kern w:val="0"/>
          <w:lang w:val="nl-NL" w:eastAsia="en-US" w:bidi="ar-SA"/>
        </w:rPr>
        <w:t xml:space="preserve">of haar </w:t>
      </w:r>
      <w:r w:rsidRPr="00D147A7">
        <w:rPr>
          <w:kern w:val="0"/>
          <w:lang w:val="nl-NL" w:eastAsia="en-US" w:bidi="ar-SA"/>
        </w:rPr>
        <w:t>zorgverlener kiezen</w:t>
      </w:r>
      <w:r w:rsidR="00AC68DA" w:rsidRPr="00D147A7">
        <w:rPr>
          <w:kern w:val="0"/>
          <w:lang w:val="nl-NL" w:eastAsia="en-US" w:bidi="ar-SA"/>
        </w:rPr>
        <w:t>;</w:t>
      </w:r>
      <w:r w:rsidRPr="00D147A7">
        <w:rPr>
          <w:kern w:val="0"/>
          <w:lang w:val="nl-NL" w:eastAsia="en-US" w:bidi="ar-SA"/>
        </w:rPr>
        <w:t xml:space="preserve"> </w:t>
      </w:r>
      <w:r w:rsidR="00AC68DA" w:rsidRPr="00D147A7">
        <w:rPr>
          <w:kern w:val="0"/>
          <w:lang w:val="nl-NL" w:eastAsia="en-US" w:bidi="ar-SA"/>
        </w:rPr>
        <w:t>een</w:t>
      </w:r>
      <w:r w:rsidRPr="00D147A7">
        <w:rPr>
          <w:kern w:val="0"/>
          <w:lang w:val="nl-NL" w:eastAsia="en-US" w:bidi="ar-SA"/>
        </w:rPr>
        <w:t xml:space="preserve"> keuze </w:t>
      </w:r>
      <w:r w:rsidR="00AC68DA" w:rsidRPr="00D147A7">
        <w:rPr>
          <w:kern w:val="0"/>
          <w:lang w:val="nl-NL" w:eastAsia="en-US" w:bidi="ar-SA"/>
        </w:rPr>
        <w:t xml:space="preserve">die </w:t>
      </w:r>
      <w:r w:rsidRPr="00D147A7">
        <w:rPr>
          <w:kern w:val="0"/>
          <w:lang w:val="nl-NL" w:eastAsia="en-US" w:bidi="ar-SA"/>
        </w:rPr>
        <w:t xml:space="preserve">te allen tijde </w:t>
      </w:r>
      <w:r w:rsidR="00AC68DA" w:rsidRPr="00D147A7">
        <w:rPr>
          <w:kern w:val="0"/>
          <w:lang w:val="nl-NL" w:eastAsia="en-US" w:bidi="ar-SA"/>
        </w:rPr>
        <w:t>kan wor</w:t>
      </w:r>
      <w:r w:rsidR="00996374">
        <w:rPr>
          <w:kern w:val="0"/>
          <w:lang w:val="nl-NL" w:eastAsia="en-US" w:bidi="ar-SA"/>
        </w:rPr>
        <w:t>-</w:t>
      </w:r>
      <w:r w:rsidR="00AC68DA" w:rsidRPr="00D147A7">
        <w:rPr>
          <w:kern w:val="0"/>
          <w:lang w:val="nl-NL" w:eastAsia="en-US" w:bidi="ar-SA"/>
        </w:rPr>
        <w:lastRenderedPageBreak/>
        <w:t xml:space="preserve">den </w:t>
      </w:r>
      <w:r w:rsidRPr="00D147A7">
        <w:rPr>
          <w:kern w:val="0"/>
          <w:lang w:val="nl-NL" w:eastAsia="en-US" w:bidi="ar-SA"/>
        </w:rPr>
        <w:t xml:space="preserve">herzien. Op verzoek van de patiënt moet de initiële zorgverlener, teneinde de continuïteit van de zorgverlening te garanderen, het dossier </w:t>
      </w:r>
      <w:r w:rsidR="00AC68DA" w:rsidRPr="00D147A7">
        <w:rPr>
          <w:kern w:val="0"/>
          <w:lang w:val="nl-NL" w:eastAsia="en-US" w:bidi="ar-SA"/>
        </w:rPr>
        <w:t xml:space="preserve">in kwestie </w:t>
      </w:r>
      <w:r w:rsidRPr="00D147A7">
        <w:rPr>
          <w:kern w:val="0"/>
          <w:lang w:val="nl-NL" w:eastAsia="en-US" w:bidi="ar-SA"/>
        </w:rPr>
        <w:t>aan de collega bezorgen die de ver</w:t>
      </w:r>
      <w:r w:rsidR="00996374">
        <w:rPr>
          <w:kern w:val="0"/>
          <w:lang w:val="nl-NL" w:eastAsia="en-US" w:bidi="ar-SA"/>
        </w:rPr>
        <w:t>-</w:t>
      </w:r>
      <w:r w:rsidRPr="00D147A7">
        <w:rPr>
          <w:kern w:val="0"/>
          <w:lang w:val="nl-NL" w:eastAsia="en-US" w:bidi="ar-SA"/>
        </w:rPr>
        <w:t>zorging zal voortzetten.</w:t>
      </w:r>
      <w:r w:rsidRPr="00D147A7">
        <w:rPr>
          <w:kern w:val="0"/>
          <w:vertAlign w:val="superscript"/>
          <w:lang w:val="nl-NL" w:eastAsia="en-US" w:bidi="ar-SA"/>
        </w:rPr>
        <w:footnoteReference w:id="295"/>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De behandelingsovereenkomst kan ook afgebroken worden als d</w:t>
      </w:r>
      <w:r w:rsidR="00C5223F" w:rsidRPr="00D147A7">
        <w:rPr>
          <w:kern w:val="0"/>
          <w:lang w:val="nl-NL" w:eastAsia="en-US" w:bidi="ar-SA"/>
        </w:rPr>
        <w:t xml:space="preserve">e zorgverlener zijn of </w:t>
      </w:r>
      <w:r w:rsidRPr="00D147A7">
        <w:rPr>
          <w:kern w:val="0"/>
          <w:lang w:val="nl-NL" w:eastAsia="en-US" w:bidi="ar-SA"/>
        </w:rPr>
        <w:t xml:space="preserve">haar werkzaamheden </w:t>
      </w:r>
      <w:r w:rsidR="00AC68DA" w:rsidRPr="00D147A7">
        <w:rPr>
          <w:kern w:val="0"/>
          <w:lang w:val="nl-NL" w:eastAsia="en-US" w:bidi="ar-SA"/>
        </w:rPr>
        <w:t xml:space="preserve">niet langer </w:t>
      </w:r>
      <w:r w:rsidRPr="00D147A7">
        <w:rPr>
          <w:kern w:val="0"/>
          <w:lang w:val="nl-NL" w:eastAsia="en-US" w:bidi="ar-SA"/>
        </w:rPr>
        <w:t>uitoefent. Als artsen (al dan niet met bedrieglijk opzet) de door hen gevormde patiëntendossiers verduisteren bij het verlaten van een openbare verzorgings</w:t>
      </w:r>
      <w:r w:rsidR="00C5223F" w:rsidRPr="00D147A7">
        <w:rPr>
          <w:kern w:val="0"/>
          <w:lang w:val="nl-NL" w:eastAsia="en-US" w:bidi="ar-SA"/>
        </w:rPr>
        <w:t>-</w:t>
      </w:r>
      <w:r w:rsidRPr="00D147A7">
        <w:rPr>
          <w:kern w:val="0"/>
          <w:lang w:val="nl-NL" w:eastAsia="en-US" w:bidi="ar-SA"/>
        </w:rPr>
        <w:t>instelling, worden zij bestraft met een gevangenisstraf van één jaar en</w:t>
      </w:r>
      <w:r w:rsidR="00E8240F" w:rsidRPr="00D147A7">
        <w:rPr>
          <w:kern w:val="0"/>
          <w:lang w:val="nl-NL" w:eastAsia="en-US" w:bidi="ar-SA"/>
        </w:rPr>
        <w:t>/of</w:t>
      </w:r>
      <w:r w:rsidRPr="00D147A7">
        <w:rPr>
          <w:kern w:val="0"/>
          <w:lang w:val="nl-NL" w:eastAsia="en-US" w:bidi="ar-SA"/>
        </w:rPr>
        <w:t xml:space="preserve"> een geldboete van € 3.750.</w:t>
      </w:r>
      <w:r w:rsidRPr="00D147A7">
        <w:rPr>
          <w:kern w:val="0"/>
          <w:vertAlign w:val="superscript"/>
          <w:lang w:val="nl-NL" w:eastAsia="en-US" w:bidi="ar-SA"/>
        </w:rPr>
        <w:footnoteReference w:id="296"/>
      </w:r>
      <w:r w:rsidRPr="00D147A7">
        <w:rPr>
          <w:kern w:val="0"/>
          <w:lang w:val="nl-NL" w:eastAsia="en-US" w:bidi="ar-SA"/>
        </w:rPr>
        <w:t xml:space="preserve"> </w:t>
      </w:r>
    </w:p>
    <w:p w:rsidR="009931C7" w:rsidRPr="00D147A7" w:rsidRDefault="009931C7" w:rsidP="00C5223F">
      <w:pPr>
        <w:widowControl/>
        <w:suppressAutoHyphens w:val="0"/>
        <w:spacing w:line="240" w:lineRule="atLeast"/>
        <w:jc w:val="both"/>
        <w:rPr>
          <w:kern w:val="0"/>
          <w:lang w:val="nl-NL" w:eastAsia="en-US" w:bidi="ar-SA"/>
        </w:rPr>
      </w:pPr>
      <w:r w:rsidRPr="00D147A7">
        <w:rPr>
          <w:kern w:val="0"/>
          <w:lang w:val="nl-NL" w:eastAsia="en-US" w:bidi="ar-SA"/>
        </w:rPr>
        <w:t>Alvorens artsen op pensioen gaan, dienen zij de nodige maatregelen te treffen om de continuï</w:t>
      </w:r>
      <w:r w:rsidR="00996374">
        <w:rPr>
          <w:kern w:val="0"/>
          <w:lang w:val="nl-NL" w:eastAsia="en-US" w:bidi="ar-SA"/>
        </w:rPr>
        <w:t>-</w:t>
      </w:r>
      <w:r w:rsidRPr="00D147A7">
        <w:rPr>
          <w:kern w:val="0"/>
          <w:lang w:val="nl-NL" w:eastAsia="en-US" w:bidi="ar-SA"/>
        </w:rPr>
        <w:t>teit van de zorgverlening niet in het gedrang te brengen.</w:t>
      </w:r>
      <w:r w:rsidRPr="00D147A7">
        <w:rPr>
          <w:kern w:val="0"/>
          <w:vertAlign w:val="superscript"/>
          <w:lang w:val="nl-NL" w:eastAsia="en-US" w:bidi="ar-SA"/>
        </w:rPr>
        <w:footnoteReference w:id="297"/>
      </w:r>
      <w:r w:rsidRPr="00D147A7">
        <w:rPr>
          <w:kern w:val="0"/>
          <w:lang w:val="nl-NL" w:eastAsia="en-US" w:bidi="ar-SA"/>
        </w:rPr>
        <w:t xml:space="preserve"> </w:t>
      </w:r>
      <w:r w:rsidR="00863BBE" w:rsidRPr="00D147A7">
        <w:rPr>
          <w:kern w:val="0"/>
          <w:lang w:val="nl-NL" w:eastAsia="en-US" w:bidi="ar-SA"/>
        </w:rPr>
        <w:t>Eerst en</w:t>
      </w:r>
      <w:r w:rsidRPr="00D147A7">
        <w:rPr>
          <w:kern w:val="0"/>
          <w:lang w:val="nl-NL" w:eastAsia="en-US" w:bidi="ar-SA"/>
        </w:rPr>
        <w:t xml:space="preserve"> vooral </w:t>
      </w:r>
      <w:r w:rsidR="00863BBE" w:rsidRPr="00D147A7">
        <w:rPr>
          <w:kern w:val="0"/>
          <w:lang w:val="nl-NL" w:eastAsia="en-US" w:bidi="ar-SA"/>
        </w:rPr>
        <w:t xml:space="preserve">moeten </w:t>
      </w:r>
      <w:r w:rsidRPr="00D147A7">
        <w:rPr>
          <w:kern w:val="0"/>
          <w:lang w:val="nl-NL" w:eastAsia="en-US" w:bidi="ar-SA"/>
        </w:rPr>
        <w:t>de patiënt</w:t>
      </w:r>
      <w:r w:rsidR="00996374">
        <w:rPr>
          <w:kern w:val="0"/>
          <w:lang w:val="nl-NL" w:eastAsia="en-US" w:bidi="ar-SA"/>
        </w:rPr>
        <w:t>-</w:t>
      </w:r>
      <w:r w:rsidRPr="00D147A7">
        <w:rPr>
          <w:kern w:val="0"/>
          <w:lang w:val="nl-NL" w:eastAsia="en-US" w:bidi="ar-SA"/>
        </w:rPr>
        <w:t>en hier tijdig over in</w:t>
      </w:r>
      <w:r w:rsidR="00863BBE" w:rsidRPr="00D147A7">
        <w:rPr>
          <w:kern w:val="0"/>
          <w:lang w:val="nl-NL" w:eastAsia="en-US" w:bidi="ar-SA"/>
        </w:rPr>
        <w:t>ge</w:t>
      </w:r>
      <w:r w:rsidRPr="00D147A7">
        <w:rPr>
          <w:kern w:val="0"/>
          <w:lang w:val="nl-NL" w:eastAsia="en-US" w:bidi="ar-SA"/>
        </w:rPr>
        <w:t>licht</w:t>
      </w:r>
      <w:r w:rsidR="00863BBE" w:rsidRPr="00D147A7">
        <w:rPr>
          <w:kern w:val="0"/>
          <w:lang w:val="nl-NL" w:eastAsia="en-US" w:bidi="ar-SA"/>
        </w:rPr>
        <w:t xml:space="preserve"> word</w:t>
      </w:r>
      <w:r w:rsidRPr="00D147A7">
        <w:rPr>
          <w:kern w:val="0"/>
          <w:lang w:val="nl-NL" w:eastAsia="en-US" w:bidi="ar-SA"/>
        </w:rPr>
        <w:t>en, zodat deze de tijd hebben om te beslissen aan w</w:t>
      </w:r>
      <w:r w:rsidR="00996374">
        <w:rPr>
          <w:kern w:val="0"/>
          <w:lang w:val="nl-NL" w:eastAsia="en-US" w:bidi="ar-SA"/>
        </w:rPr>
        <w:t>elke z</w:t>
      </w:r>
      <w:r w:rsidR="00863BBE" w:rsidRPr="00D147A7">
        <w:rPr>
          <w:kern w:val="0"/>
          <w:lang w:val="nl-NL" w:eastAsia="en-US" w:bidi="ar-SA"/>
        </w:rPr>
        <w:t>org</w:t>
      </w:r>
      <w:r w:rsidR="00996374">
        <w:rPr>
          <w:kern w:val="0"/>
          <w:lang w:val="nl-NL" w:eastAsia="en-US" w:bidi="ar-SA"/>
        </w:rPr>
        <w:t>-</w:t>
      </w:r>
      <w:r w:rsidR="00863BBE" w:rsidRPr="00D147A7">
        <w:rPr>
          <w:kern w:val="0"/>
          <w:lang w:val="nl-NL" w:eastAsia="en-US" w:bidi="ar-SA"/>
        </w:rPr>
        <w:t>verlener</w:t>
      </w:r>
      <w:r w:rsidRPr="00D147A7">
        <w:rPr>
          <w:kern w:val="0"/>
          <w:lang w:val="nl-NL" w:eastAsia="en-US" w:bidi="ar-SA"/>
        </w:rPr>
        <w:t xml:space="preserve"> z</w:t>
      </w:r>
      <w:r w:rsidR="00863BBE" w:rsidRPr="00D147A7">
        <w:rPr>
          <w:kern w:val="0"/>
          <w:lang w:val="nl-NL" w:eastAsia="en-US" w:bidi="ar-SA"/>
        </w:rPr>
        <w:t>ij</w:t>
      </w:r>
      <w:r w:rsidRPr="00D147A7">
        <w:rPr>
          <w:kern w:val="0"/>
          <w:lang w:val="nl-NL" w:eastAsia="en-US" w:bidi="ar-SA"/>
        </w:rPr>
        <w:t xml:space="preserve"> hun dossier zullen toevertrouwen. </w:t>
      </w:r>
      <w:r w:rsidRPr="00D147A7">
        <w:rPr>
          <w:kern w:val="0"/>
          <w:lang w:eastAsia="en-US" w:bidi="ar-SA"/>
        </w:rPr>
        <w:t>Het is ook mogelijk dat artsen hun functie ab</w:t>
      </w:r>
      <w:r w:rsidR="00996374">
        <w:rPr>
          <w:kern w:val="0"/>
          <w:lang w:eastAsia="en-US" w:bidi="ar-SA"/>
        </w:rPr>
        <w:t>-</w:t>
      </w:r>
      <w:r w:rsidRPr="00D147A7">
        <w:rPr>
          <w:kern w:val="0"/>
          <w:lang w:eastAsia="en-US" w:bidi="ar-SA"/>
        </w:rPr>
        <w:t>rupt maar definitief stopzetten, bijvoorbeeld wegens ziekte of overlijden. De patiëntendossiers van zelfstandige artsen worden ofwel aan de opvolger ofwel aan een door de patiënt aangewe</w:t>
      </w:r>
      <w:r w:rsidR="00996374">
        <w:rPr>
          <w:kern w:val="0"/>
          <w:lang w:eastAsia="en-US" w:bidi="ar-SA"/>
        </w:rPr>
        <w:t>-</w:t>
      </w:r>
      <w:r w:rsidRPr="00D147A7">
        <w:rPr>
          <w:kern w:val="0"/>
          <w:lang w:eastAsia="en-US" w:bidi="ar-SA"/>
        </w:rPr>
        <w:t>zen arts overgedragen.</w:t>
      </w:r>
      <w:r w:rsidRPr="00D147A7">
        <w:rPr>
          <w:kern w:val="0"/>
          <w:vertAlign w:val="superscript"/>
          <w:lang w:val="fr-BE" w:eastAsia="en-US" w:bidi="ar-SA"/>
        </w:rPr>
        <w:footnoteReference w:id="298"/>
      </w:r>
      <w:r w:rsidRPr="00D147A7">
        <w:rPr>
          <w:kern w:val="0"/>
          <w:lang w:eastAsia="en-US" w:bidi="ar-SA"/>
        </w:rPr>
        <w:t xml:space="preserve"> Bij de overdracht van een dokterspraktijk is het niet vanzelfsprekend dat de patiëntendossiers mee worden overgedragen. Patiënten hebben immers het recht om voor een andere arts dan de opvolger van hun initiële zorgverlener te kiezen. Omdat artsen verplicht zijn om hun persoonlijke notities uit de patiëntendossiers te verwijderen, moeten werkaantekeningen niet mee overgedragen</w:t>
      </w:r>
      <w:r w:rsidR="00863BBE" w:rsidRPr="00D147A7">
        <w:rPr>
          <w:kern w:val="0"/>
          <w:lang w:eastAsia="en-US" w:bidi="ar-SA"/>
        </w:rPr>
        <w:t xml:space="preserve"> worden</w:t>
      </w:r>
      <w:r w:rsidRPr="00D147A7">
        <w:rPr>
          <w:kern w:val="0"/>
          <w:lang w:eastAsia="en-US" w:bidi="ar-SA"/>
        </w:rPr>
        <w:t>. Bij gebrek aan een opvolgende arts zorgt de bevoegde Provinciale Raad van de Orde der geneesheren</w:t>
      </w:r>
      <w:r w:rsidR="00863BBE" w:rsidRPr="00D147A7">
        <w:rPr>
          <w:kern w:val="0"/>
          <w:lang w:eastAsia="en-US" w:bidi="ar-SA"/>
        </w:rPr>
        <w:t xml:space="preserve"> (</w:t>
      </w:r>
      <w:r w:rsidRPr="00D147A7">
        <w:rPr>
          <w:kern w:val="0"/>
          <w:lang w:eastAsia="en-US" w:bidi="ar-SA"/>
        </w:rPr>
        <w:t>onder dezelfde voorwaarden als die van opvolgende artsen</w:t>
      </w:r>
      <w:r w:rsidR="00863BBE" w:rsidRPr="00D147A7">
        <w:rPr>
          <w:kern w:val="0"/>
          <w:lang w:eastAsia="en-US" w:bidi="ar-SA"/>
        </w:rPr>
        <w:t>)</w:t>
      </w:r>
      <w:r w:rsidRPr="00D147A7">
        <w:rPr>
          <w:kern w:val="0"/>
          <w:lang w:eastAsia="en-US" w:bidi="ar-SA"/>
        </w:rPr>
        <w:t xml:space="preserve"> voor de overdracht van de patiëntendossiers naar de dichtstbij</w:t>
      </w:r>
      <w:r w:rsidR="00996374">
        <w:rPr>
          <w:kern w:val="0"/>
          <w:lang w:eastAsia="en-US" w:bidi="ar-SA"/>
        </w:rPr>
        <w:t>-</w:t>
      </w:r>
      <w:r w:rsidRPr="00D147A7">
        <w:rPr>
          <w:kern w:val="0"/>
          <w:lang w:eastAsia="en-US" w:bidi="ar-SA"/>
        </w:rPr>
        <w:t>zijnde provinciale archiefdienst of publiekrechtelijke verzorgingsinstelling. Bij gebrek aan een opvolger voor een overleden arts, ontvangt de weduwe(naar) van de arts of diens erfge</w:t>
      </w:r>
      <w:r w:rsidR="00996374">
        <w:rPr>
          <w:kern w:val="0"/>
          <w:lang w:eastAsia="en-US" w:bidi="ar-SA"/>
        </w:rPr>
        <w:t>-</w:t>
      </w:r>
      <w:r w:rsidRPr="00D147A7">
        <w:rPr>
          <w:kern w:val="0"/>
          <w:lang w:eastAsia="en-US" w:bidi="ar-SA"/>
        </w:rPr>
        <w:t>na</w:t>
      </w:r>
      <w:r w:rsidR="00863BBE" w:rsidRPr="00D147A7">
        <w:rPr>
          <w:kern w:val="0"/>
          <w:lang w:eastAsia="en-US" w:bidi="ar-SA"/>
        </w:rPr>
        <w:t>(a)</w:t>
      </w:r>
      <w:r w:rsidRPr="00D147A7">
        <w:rPr>
          <w:kern w:val="0"/>
          <w:lang w:eastAsia="en-US" w:bidi="ar-SA"/>
        </w:rPr>
        <w:t>m</w:t>
      </w:r>
      <w:r w:rsidR="00863BBE" w:rsidRPr="00D147A7">
        <w:rPr>
          <w:kern w:val="0"/>
          <w:lang w:eastAsia="en-US" w:bidi="ar-SA"/>
        </w:rPr>
        <w:t>(</w:t>
      </w:r>
      <w:r w:rsidRPr="00D147A7">
        <w:rPr>
          <w:kern w:val="0"/>
          <w:lang w:eastAsia="en-US" w:bidi="ar-SA"/>
        </w:rPr>
        <w:t>en</w:t>
      </w:r>
      <w:r w:rsidR="00863BBE" w:rsidRPr="00D147A7">
        <w:rPr>
          <w:kern w:val="0"/>
          <w:lang w:eastAsia="en-US" w:bidi="ar-SA"/>
        </w:rPr>
        <w:t>)</w:t>
      </w:r>
      <w:r w:rsidRPr="00D147A7">
        <w:rPr>
          <w:kern w:val="0"/>
          <w:lang w:eastAsia="en-US" w:bidi="ar-SA"/>
        </w:rPr>
        <w:t xml:space="preserve"> de vereiste hulp en adviezen van de Provinciale Raad van de Orde der genees</w:t>
      </w:r>
      <w:r w:rsidR="00996374">
        <w:rPr>
          <w:kern w:val="0"/>
          <w:lang w:eastAsia="en-US" w:bidi="ar-SA"/>
        </w:rPr>
        <w:t>-</w:t>
      </w:r>
      <w:r w:rsidRPr="00D147A7">
        <w:rPr>
          <w:kern w:val="0"/>
          <w:lang w:eastAsia="en-US" w:bidi="ar-SA"/>
        </w:rPr>
        <w:t>heren om beslissingen te nemen over de definitieve bestemming van de resterende patiënten</w:t>
      </w:r>
      <w:r w:rsidR="00996374">
        <w:rPr>
          <w:kern w:val="0"/>
          <w:lang w:eastAsia="en-US" w:bidi="ar-SA"/>
        </w:rPr>
        <w:t>-</w:t>
      </w:r>
      <w:r w:rsidRPr="00D147A7">
        <w:rPr>
          <w:kern w:val="0"/>
          <w:lang w:eastAsia="en-US" w:bidi="ar-SA"/>
        </w:rPr>
        <w:t>dossiers.</w:t>
      </w:r>
      <w:r w:rsidRPr="00D147A7">
        <w:rPr>
          <w:kern w:val="0"/>
          <w:vertAlign w:val="superscript"/>
          <w:lang w:eastAsia="en-US" w:bidi="ar-SA"/>
        </w:rPr>
        <w:footnoteReference w:id="299"/>
      </w:r>
    </w:p>
    <w:p w:rsidR="00C5223F" w:rsidRPr="00D147A7" w:rsidRDefault="00C5223F" w:rsidP="009931C7">
      <w:pPr>
        <w:widowControl/>
        <w:suppressAutoHyphens w:val="0"/>
        <w:jc w:val="both"/>
        <w:rPr>
          <w:kern w:val="0"/>
          <w:lang w:eastAsia="en-US" w:bidi="ar-SA"/>
        </w:rPr>
      </w:pPr>
    </w:p>
    <w:p w:rsidR="009931C7" w:rsidRPr="00D147A7" w:rsidRDefault="009931C7" w:rsidP="009931C7">
      <w:pPr>
        <w:widowControl/>
        <w:suppressAutoHyphens w:val="0"/>
        <w:jc w:val="both"/>
        <w:rPr>
          <w:kern w:val="0"/>
          <w:lang w:eastAsia="nl-BE" w:bidi="ar-SA"/>
        </w:rPr>
      </w:pPr>
      <w:r w:rsidRPr="00D147A7">
        <w:rPr>
          <w:kern w:val="0"/>
          <w:lang w:eastAsia="en-US" w:bidi="ar-SA"/>
        </w:rPr>
        <w:t xml:space="preserve">Wanneer een </w:t>
      </w:r>
      <w:r w:rsidRPr="00D147A7">
        <w:rPr>
          <w:kern w:val="0"/>
          <w:lang w:eastAsia="nl-BE" w:bidi="ar-SA"/>
        </w:rPr>
        <w:t>(privaat- of publiekrechtelijke) verzorgingsinstelling opgedoekt wordt, moeten de patiëntendossiers – indien mogelijk – aan de opvolgende verzorgingsinstelling of beroeps</w:t>
      </w:r>
      <w:r w:rsidR="00C5223F" w:rsidRPr="00D147A7">
        <w:rPr>
          <w:kern w:val="0"/>
          <w:lang w:eastAsia="nl-BE" w:bidi="ar-SA"/>
        </w:rPr>
        <w:t>-</w:t>
      </w:r>
      <w:r w:rsidRPr="00D147A7">
        <w:rPr>
          <w:kern w:val="0"/>
          <w:lang w:eastAsia="nl-BE" w:bidi="ar-SA"/>
        </w:rPr>
        <w:t>beoefenaar(s) overgedragen</w:t>
      </w:r>
      <w:r w:rsidR="00863BBE" w:rsidRPr="00D147A7">
        <w:rPr>
          <w:kern w:val="0"/>
          <w:lang w:eastAsia="nl-BE" w:bidi="ar-SA"/>
        </w:rPr>
        <w:t xml:space="preserve"> worden</w:t>
      </w:r>
      <w:r w:rsidRPr="00D147A7">
        <w:rPr>
          <w:kern w:val="0"/>
          <w:lang w:eastAsia="nl-BE" w:bidi="ar-SA"/>
        </w:rPr>
        <w:t>. Wanneer de werkzaamheden van de opgeheven verzorg</w:t>
      </w:r>
      <w:r w:rsidR="00C5223F" w:rsidRPr="00D147A7">
        <w:rPr>
          <w:kern w:val="0"/>
          <w:lang w:eastAsia="nl-BE" w:bidi="ar-SA"/>
        </w:rPr>
        <w:t>-</w:t>
      </w:r>
      <w:r w:rsidRPr="00D147A7">
        <w:rPr>
          <w:kern w:val="0"/>
          <w:lang w:eastAsia="nl-BE" w:bidi="ar-SA"/>
        </w:rPr>
        <w:t>ingsinstelling niet voortgezet worden, moeten de patiëntendossiers aan een openbare archief</w:t>
      </w:r>
      <w:r w:rsidR="00C5223F" w:rsidRPr="00D147A7">
        <w:rPr>
          <w:kern w:val="0"/>
          <w:lang w:eastAsia="nl-BE" w:bidi="ar-SA"/>
        </w:rPr>
        <w:t>-</w:t>
      </w:r>
      <w:r w:rsidRPr="00D147A7">
        <w:rPr>
          <w:kern w:val="0"/>
          <w:lang w:eastAsia="nl-BE" w:bidi="ar-SA"/>
        </w:rPr>
        <w:t>dienst overgedragen worden.</w:t>
      </w:r>
      <w:r w:rsidRPr="00D147A7">
        <w:rPr>
          <w:kern w:val="0"/>
          <w:vertAlign w:val="superscript"/>
          <w:lang w:eastAsia="nl-BE" w:bidi="ar-SA"/>
        </w:rPr>
        <w:footnoteReference w:id="300"/>
      </w:r>
      <w:r w:rsidRPr="00D147A7">
        <w:rPr>
          <w:kern w:val="0"/>
          <w:lang w:eastAsia="nl-BE" w:bidi="ar-SA"/>
        </w:rPr>
        <w:t xml:space="preserve"> Publiekrechtelijke verzorgingsinstellingen móeten hun archie</w:t>
      </w:r>
      <w:r w:rsidR="00C5223F" w:rsidRPr="00D147A7">
        <w:rPr>
          <w:kern w:val="0"/>
          <w:lang w:eastAsia="nl-BE" w:bidi="ar-SA"/>
        </w:rPr>
        <w:t>-</w:t>
      </w:r>
      <w:r w:rsidRPr="00D147A7">
        <w:rPr>
          <w:kern w:val="0"/>
          <w:lang w:eastAsia="nl-BE" w:bidi="ar-SA"/>
        </w:rPr>
        <w:t>ven overdragen, terwijl de neerlegging van de archieven van privaatrechtelijke verzorgings</w:t>
      </w:r>
      <w:r w:rsidR="00C5223F" w:rsidRPr="00D147A7">
        <w:rPr>
          <w:kern w:val="0"/>
          <w:lang w:eastAsia="nl-BE" w:bidi="ar-SA"/>
        </w:rPr>
        <w:t>-</w:t>
      </w:r>
      <w:r w:rsidRPr="00D147A7">
        <w:rPr>
          <w:kern w:val="0"/>
          <w:lang w:eastAsia="nl-BE" w:bidi="ar-SA"/>
        </w:rPr>
        <w:t xml:space="preserve">instellingen aan contractueel overeengekomen </w:t>
      </w:r>
      <w:r w:rsidR="00C5223F" w:rsidRPr="00D147A7">
        <w:rPr>
          <w:kern w:val="0"/>
          <w:lang w:eastAsia="nl-BE" w:bidi="ar-SA"/>
        </w:rPr>
        <w:t>voorwaarden</w:t>
      </w:r>
      <w:r w:rsidRPr="00D147A7">
        <w:rPr>
          <w:kern w:val="0"/>
          <w:lang w:eastAsia="nl-BE" w:bidi="ar-SA"/>
        </w:rPr>
        <w:t xml:space="preserve"> moet</w:t>
      </w:r>
      <w:r w:rsidR="00C5223F" w:rsidRPr="00D147A7">
        <w:rPr>
          <w:kern w:val="0"/>
          <w:lang w:eastAsia="nl-BE" w:bidi="ar-SA"/>
        </w:rPr>
        <w:t>en</w:t>
      </w:r>
      <w:r w:rsidRPr="00D147A7">
        <w:rPr>
          <w:kern w:val="0"/>
          <w:lang w:eastAsia="nl-BE" w:bidi="ar-SA"/>
        </w:rPr>
        <w:t xml:space="preserve"> voldoen. Het is aange</w:t>
      </w:r>
      <w:r w:rsidR="00C5223F" w:rsidRPr="00D147A7">
        <w:rPr>
          <w:kern w:val="0"/>
          <w:lang w:eastAsia="nl-BE" w:bidi="ar-SA"/>
        </w:rPr>
        <w:t>-</w:t>
      </w:r>
      <w:r w:rsidRPr="00D147A7">
        <w:rPr>
          <w:kern w:val="0"/>
          <w:lang w:eastAsia="nl-BE" w:bidi="ar-SA"/>
        </w:rPr>
        <w:t>wezen om (medische) archieven pas na selectie over te dragen of neer te leggen en daarbij de regels inzake de vertrouwelijkheid in acht te nemen.</w:t>
      </w:r>
      <w:r w:rsidRPr="00D147A7">
        <w:rPr>
          <w:kern w:val="0"/>
          <w:vertAlign w:val="superscript"/>
          <w:lang w:eastAsia="nl-BE" w:bidi="ar-SA"/>
        </w:rPr>
        <w:footnoteReference w:id="301"/>
      </w:r>
      <w:r w:rsidRPr="00D147A7">
        <w:rPr>
          <w:kern w:val="0"/>
          <w:lang w:eastAsia="nl-BE" w:bidi="ar-SA"/>
        </w:rPr>
        <w:t xml:space="preserve"> </w:t>
      </w:r>
    </w:p>
    <w:p w:rsidR="009931C7" w:rsidRPr="00D147A7" w:rsidRDefault="009931C7" w:rsidP="009931C7">
      <w:pPr>
        <w:widowControl/>
        <w:suppressAutoHyphens w:val="0"/>
        <w:spacing w:line="240" w:lineRule="atLeast"/>
        <w:jc w:val="both"/>
        <w:rPr>
          <w:smallCaps/>
          <w:kern w:val="0"/>
          <w:lang w:eastAsia="en-US" w:bidi="ar-SA"/>
        </w:rPr>
      </w:pPr>
    </w:p>
    <w:p w:rsidR="00996374" w:rsidRDefault="00996374">
      <w:pPr>
        <w:widowControl/>
        <w:suppressAutoHyphens w:val="0"/>
        <w:spacing w:after="200" w:line="276" w:lineRule="auto"/>
        <w:rPr>
          <w:b/>
          <w:kern w:val="0"/>
          <w:lang w:val="nl-NL" w:eastAsia="en-US" w:bidi="ar-SA"/>
        </w:rPr>
      </w:pPr>
      <w:r>
        <w:rPr>
          <w:b/>
          <w:kern w:val="0"/>
          <w:lang w:val="nl-NL" w:eastAsia="en-US" w:bidi="ar-SA"/>
        </w:rPr>
        <w:br w:type="page"/>
      </w:r>
    </w:p>
    <w:p w:rsidR="009931C7" w:rsidRPr="00D147A7" w:rsidRDefault="009931C7" w:rsidP="009931C7">
      <w:pPr>
        <w:widowControl/>
        <w:suppressAutoHyphens w:val="0"/>
        <w:spacing w:line="240" w:lineRule="atLeast"/>
        <w:ind w:firstLine="360"/>
        <w:jc w:val="both"/>
        <w:rPr>
          <w:b/>
          <w:kern w:val="0"/>
          <w:lang w:val="nl-NL" w:eastAsia="en-US" w:bidi="ar-SA"/>
        </w:rPr>
      </w:pPr>
      <w:r w:rsidRPr="00D147A7">
        <w:rPr>
          <w:b/>
          <w:kern w:val="0"/>
          <w:lang w:val="nl-NL" w:eastAsia="en-US" w:bidi="ar-SA"/>
        </w:rPr>
        <w:lastRenderedPageBreak/>
        <w:t>Hoofdstuk 3: Vormvereisten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eastAsia="en-US" w:bidi="ar-SA"/>
        </w:rPr>
      </w:pPr>
      <w:r w:rsidRPr="00D147A7">
        <w:rPr>
          <w:kern w:val="0"/>
          <w:lang w:val="nl-NL" w:eastAsia="en-US" w:bidi="ar-SA"/>
        </w:rPr>
        <w:t>In Frankrijk is h</w:t>
      </w:r>
      <w:r w:rsidRPr="00D147A7">
        <w:rPr>
          <w:kern w:val="0"/>
          <w:lang w:eastAsia="en-US" w:bidi="ar-SA"/>
        </w:rPr>
        <w:t>et geschreven document de hoeksteen van het bewijsrecht.</w:t>
      </w:r>
      <w:r w:rsidRPr="00D147A7">
        <w:rPr>
          <w:kern w:val="0"/>
          <w:vertAlign w:val="superscript"/>
          <w:lang w:eastAsia="en-US" w:bidi="ar-SA"/>
        </w:rPr>
        <w:footnoteReference w:id="302"/>
      </w:r>
      <w:r w:rsidRPr="00D147A7">
        <w:rPr>
          <w:kern w:val="0"/>
          <w:lang w:eastAsia="en-US" w:bidi="ar-SA"/>
        </w:rPr>
        <w:t xml:space="preserve"> Enkel aan authentieke en integere documenten wordt bewijskracht toegekend.</w:t>
      </w:r>
      <w:r w:rsidRPr="00D147A7">
        <w:rPr>
          <w:kern w:val="0"/>
          <w:vertAlign w:val="superscript"/>
          <w:lang w:eastAsia="en-US" w:bidi="ar-SA"/>
        </w:rPr>
        <w:footnoteReference w:id="303"/>
      </w:r>
      <w:r w:rsidRPr="00D147A7">
        <w:rPr>
          <w:kern w:val="0"/>
          <w:lang w:eastAsia="en-US" w:bidi="ar-SA"/>
        </w:rPr>
        <w:t xml:space="preserve"> Opdat de archiefvormer identificeerbaar zou zijn</w:t>
      </w:r>
      <w:r w:rsidRPr="00D147A7">
        <w:rPr>
          <w:kern w:val="0"/>
          <w:vertAlign w:val="superscript"/>
          <w:lang w:eastAsia="en-US" w:bidi="ar-SA"/>
        </w:rPr>
        <w:footnoteReference w:id="304"/>
      </w:r>
      <w:r w:rsidRPr="00D147A7">
        <w:rPr>
          <w:kern w:val="0"/>
          <w:lang w:eastAsia="en-US" w:bidi="ar-SA"/>
        </w:rPr>
        <w:t>, moeten zorgverleners ieder document ondertekenen.</w:t>
      </w:r>
      <w:r w:rsidRPr="00D147A7">
        <w:rPr>
          <w:kern w:val="0"/>
          <w:vertAlign w:val="superscript"/>
          <w:lang w:eastAsia="en-US" w:bidi="ar-SA"/>
        </w:rPr>
        <w:footnoteReference w:id="305"/>
      </w:r>
      <w:r w:rsidRPr="00D147A7">
        <w:rPr>
          <w:kern w:val="0"/>
          <w:lang w:eastAsia="en-US" w:bidi="ar-SA"/>
        </w:rPr>
        <w:t xml:space="preserve"> Een be</w:t>
      </w:r>
      <w:r w:rsidR="00996374">
        <w:rPr>
          <w:kern w:val="0"/>
          <w:lang w:eastAsia="en-US" w:bidi="ar-SA"/>
        </w:rPr>
        <w:t>-</w:t>
      </w:r>
      <w:r w:rsidRPr="00D147A7">
        <w:rPr>
          <w:kern w:val="0"/>
          <w:lang w:eastAsia="en-US" w:bidi="ar-SA"/>
        </w:rPr>
        <w:t>trouwbaar identificatieproces vrijwaart immers de koppeling van het document aan de (be)</w:t>
      </w:r>
      <w:r w:rsidR="00996374">
        <w:rPr>
          <w:kern w:val="0"/>
          <w:lang w:eastAsia="en-US" w:bidi="ar-SA"/>
        </w:rPr>
        <w:t>-</w:t>
      </w:r>
      <w:r w:rsidRPr="00D147A7">
        <w:rPr>
          <w:kern w:val="0"/>
          <w:lang w:eastAsia="en-US" w:bidi="ar-SA"/>
        </w:rPr>
        <w:t>handeling. Elektronische handtekeningen die in dezelfde beveiligde omstandigheden gecre</w:t>
      </w:r>
      <w:r w:rsidR="00996374">
        <w:rPr>
          <w:kern w:val="0"/>
          <w:lang w:eastAsia="en-US" w:bidi="ar-SA"/>
        </w:rPr>
        <w:t>-</w:t>
      </w:r>
      <w:r w:rsidRPr="00D147A7">
        <w:rPr>
          <w:kern w:val="0"/>
          <w:lang w:eastAsia="en-US" w:bidi="ar-SA"/>
        </w:rPr>
        <w:t>ëerd worden, hebben dezelfde bewijswaarde als handgeschreven handtekeningen. Daarnaast moeten documenten betrouwbaar en duurzaam zijn.</w:t>
      </w:r>
      <w:r w:rsidRPr="00D147A7">
        <w:rPr>
          <w:kern w:val="0"/>
          <w:vertAlign w:val="superscript"/>
          <w:lang w:eastAsia="en-US" w:bidi="ar-SA"/>
        </w:rPr>
        <w:footnoteReference w:id="306"/>
      </w:r>
    </w:p>
    <w:p w:rsidR="009931C7" w:rsidRPr="00D147A7" w:rsidRDefault="009931C7" w:rsidP="009931C7">
      <w:pPr>
        <w:widowControl/>
        <w:suppressAutoHyphens w:val="0"/>
        <w:spacing w:line="240" w:lineRule="atLeast"/>
        <w:jc w:val="both"/>
        <w:rPr>
          <w:kern w:val="0"/>
          <w:lang w:eastAsia="en-US" w:bidi="ar-SA"/>
        </w:rPr>
      </w:pPr>
    </w:p>
    <w:p w:rsidR="009931C7" w:rsidRPr="00D147A7" w:rsidRDefault="009931C7" w:rsidP="009931C7">
      <w:pPr>
        <w:widowControl/>
        <w:suppressAutoHyphens w:val="0"/>
        <w:spacing w:line="240" w:lineRule="atLeast"/>
        <w:jc w:val="both"/>
        <w:rPr>
          <w:kern w:val="0"/>
          <w:lang w:eastAsia="en-US" w:bidi="ar-SA"/>
        </w:rPr>
      </w:pPr>
      <w:r w:rsidRPr="00D147A7">
        <w:rPr>
          <w:kern w:val="0"/>
          <w:lang w:eastAsia="en-US" w:bidi="ar-SA"/>
        </w:rPr>
        <w:t>In Frankrijk mogen patiëntendossiers alle vormen aannemen.</w:t>
      </w:r>
      <w:r w:rsidRPr="00D147A7">
        <w:rPr>
          <w:kern w:val="0"/>
          <w:vertAlign w:val="superscript"/>
          <w:lang w:eastAsia="en-US" w:bidi="ar-SA"/>
        </w:rPr>
        <w:footnoteReference w:id="307"/>
      </w:r>
      <w:r w:rsidRPr="00D147A7">
        <w:rPr>
          <w:kern w:val="0"/>
          <w:lang w:eastAsia="en-US" w:bidi="ar-SA"/>
        </w:rPr>
        <w:t xml:space="preserve"> Op welke gegevensdrager een zorgverleners een bepaald document zal aanbrengen, wordt veelal door de wettelijk voorge</w:t>
      </w:r>
      <w:r w:rsidR="00C5223F" w:rsidRPr="00D147A7">
        <w:rPr>
          <w:kern w:val="0"/>
          <w:lang w:eastAsia="en-US" w:bidi="ar-SA"/>
        </w:rPr>
        <w:t>-</w:t>
      </w:r>
      <w:r w:rsidRPr="00D147A7">
        <w:rPr>
          <w:kern w:val="0"/>
          <w:lang w:eastAsia="en-US" w:bidi="ar-SA"/>
        </w:rPr>
        <w:t>schreven bewaartermijn van dat document</w:t>
      </w:r>
      <w:r w:rsidR="00C5223F" w:rsidRPr="00D147A7">
        <w:rPr>
          <w:kern w:val="0"/>
          <w:lang w:eastAsia="en-US" w:bidi="ar-SA"/>
        </w:rPr>
        <w:t xml:space="preserve"> bepaald</w:t>
      </w:r>
      <w:r w:rsidRPr="00D147A7">
        <w:rPr>
          <w:kern w:val="0"/>
          <w:lang w:eastAsia="en-US" w:bidi="ar-SA"/>
        </w:rPr>
        <w:t>. Verschillende wetteksten wijzen op de nood aan betrouwbare (i.e. stabiel</w:t>
      </w:r>
      <w:r w:rsidR="00C5223F" w:rsidRPr="00D147A7">
        <w:rPr>
          <w:kern w:val="0"/>
          <w:lang w:eastAsia="en-US" w:bidi="ar-SA"/>
        </w:rPr>
        <w:t>e</w:t>
      </w:r>
      <w:r w:rsidRPr="00D147A7">
        <w:rPr>
          <w:kern w:val="0"/>
          <w:lang w:eastAsia="en-US" w:bidi="ar-SA"/>
        </w:rPr>
        <w:t xml:space="preserve"> en duurza</w:t>
      </w:r>
      <w:r w:rsidR="00C5223F" w:rsidRPr="00D147A7">
        <w:rPr>
          <w:kern w:val="0"/>
          <w:lang w:eastAsia="en-US" w:bidi="ar-SA"/>
        </w:rPr>
        <w:t>me</w:t>
      </w:r>
      <w:r w:rsidRPr="00D147A7">
        <w:rPr>
          <w:kern w:val="0"/>
          <w:lang w:eastAsia="en-US" w:bidi="ar-SA"/>
        </w:rPr>
        <w:t>) gegevensdragers. Opdat archiefbescheiden in de loop van hun bewaartermijn leesbaar, toegankelijk, integer en vertrouwelijk zouden blij</w:t>
      </w:r>
      <w:r w:rsidR="00996374">
        <w:rPr>
          <w:kern w:val="0"/>
          <w:lang w:eastAsia="en-US" w:bidi="ar-SA"/>
        </w:rPr>
        <w:t>-</w:t>
      </w:r>
      <w:r w:rsidRPr="00D147A7">
        <w:rPr>
          <w:kern w:val="0"/>
          <w:lang w:eastAsia="en-US" w:bidi="ar-SA"/>
        </w:rPr>
        <w:t>ven, wordt de kwaliteit van documenten tijdens de verschillende fasen van</w:t>
      </w:r>
      <w:r w:rsidR="00C5223F" w:rsidRPr="00D147A7">
        <w:rPr>
          <w:kern w:val="0"/>
          <w:lang w:eastAsia="en-US" w:bidi="ar-SA"/>
        </w:rPr>
        <w:t xml:space="preserve"> de levenscyclus gecontroleerd.</w:t>
      </w:r>
    </w:p>
    <w:p w:rsidR="009931C7" w:rsidRPr="00D147A7" w:rsidRDefault="009931C7" w:rsidP="009931C7">
      <w:pPr>
        <w:widowControl/>
        <w:suppressAutoHyphens w:val="0"/>
        <w:spacing w:line="240" w:lineRule="atLeast"/>
        <w:jc w:val="both"/>
        <w:rPr>
          <w:kern w:val="0"/>
          <w:lang w:eastAsia="en-US" w:bidi="ar-SA"/>
        </w:rPr>
      </w:pPr>
      <w:r w:rsidRPr="00D147A7">
        <w:rPr>
          <w:kern w:val="0"/>
          <w:lang w:eastAsia="en-US" w:bidi="ar-SA"/>
        </w:rPr>
        <w:t xml:space="preserve">Omdat </w:t>
      </w:r>
      <w:r w:rsidR="00C5223F" w:rsidRPr="00D147A7">
        <w:rPr>
          <w:kern w:val="0"/>
          <w:lang w:eastAsia="en-US" w:bidi="ar-SA"/>
        </w:rPr>
        <w:t xml:space="preserve">de </w:t>
      </w:r>
      <w:r w:rsidRPr="00D147A7">
        <w:rPr>
          <w:kern w:val="0"/>
          <w:lang w:eastAsia="en-US" w:bidi="ar-SA"/>
        </w:rPr>
        <w:t>microfilm een betrouwbare, duurzame en onuitwisbare gegevensdrager is, voldoet het aan de wettelijke criteria voor de bewaring van patiëntendossiers.</w:t>
      </w:r>
      <w:r w:rsidRPr="00D147A7">
        <w:rPr>
          <w:kern w:val="0"/>
          <w:vertAlign w:val="superscript"/>
          <w:lang w:eastAsia="en-US" w:bidi="ar-SA"/>
        </w:rPr>
        <w:footnoteReference w:id="308"/>
      </w:r>
      <w:r w:rsidRPr="00D147A7">
        <w:rPr>
          <w:kern w:val="0"/>
          <w:lang w:eastAsia="en-US" w:bidi="ar-SA"/>
        </w:rPr>
        <w:t xml:space="preserve"> </w:t>
      </w:r>
      <w:r w:rsidRPr="00D147A7">
        <w:rPr>
          <w:kern w:val="0"/>
          <w:lang w:val="fr-BE" w:eastAsia="en-US" w:bidi="ar-SA"/>
        </w:rPr>
        <w:t>Ministeriële instruc</w:t>
      </w:r>
      <w:r w:rsidR="00C5223F" w:rsidRPr="00D147A7">
        <w:rPr>
          <w:kern w:val="0"/>
          <w:lang w:val="fr-BE" w:eastAsia="en-US" w:bidi="ar-SA"/>
        </w:rPr>
        <w:t>-</w:t>
      </w:r>
      <w:r w:rsidRPr="00D147A7">
        <w:rPr>
          <w:kern w:val="0"/>
          <w:lang w:val="fr-BE" w:eastAsia="en-US" w:bidi="ar-SA"/>
        </w:rPr>
        <w:t xml:space="preserve">ties in dit verband zijn duidelijk: </w:t>
      </w:r>
      <w:r w:rsidRPr="00D147A7">
        <w:rPr>
          <w:i/>
          <w:iCs/>
          <w:kern w:val="0"/>
          <w:lang w:val="fr-BE" w:eastAsia="en-US" w:bidi="ar-SA"/>
        </w:rPr>
        <w:t>il n’y pas d’obstacle juridique à ce que les dossiers médi</w:t>
      </w:r>
      <w:r w:rsidR="00C5223F" w:rsidRPr="00D147A7">
        <w:rPr>
          <w:i/>
          <w:iCs/>
          <w:kern w:val="0"/>
          <w:lang w:val="fr-BE" w:eastAsia="en-US" w:bidi="ar-SA"/>
        </w:rPr>
        <w:t>-</w:t>
      </w:r>
      <w:r w:rsidRPr="00D147A7">
        <w:rPr>
          <w:i/>
          <w:iCs/>
          <w:kern w:val="0"/>
          <w:lang w:val="fr-BE" w:eastAsia="en-US" w:bidi="ar-SA"/>
        </w:rPr>
        <w:t>caux soient détruits après avoir été microfilmés</w:t>
      </w:r>
      <w:r w:rsidRPr="00D147A7">
        <w:rPr>
          <w:kern w:val="0"/>
          <w:lang w:val="fr-BE" w:eastAsia="en-US" w:bidi="ar-SA"/>
        </w:rPr>
        <w:t>.</w:t>
      </w:r>
      <w:r w:rsidRPr="00D147A7">
        <w:rPr>
          <w:kern w:val="0"/>
          <w:vertAlign w:val="superscript"/>
          <w:lang w:eastAsia="en-US" w:bidi="ar-SA"/>
        </w:rPr>
        <w:footnoteReference w:id="309"/>
      </w:r>
      <w:r w:rsidRPr="00D147A7">
        <w:rPr>
          <w:kern w:val="0"/>
          <w:lang w:val="fr-BE" w:eastAsia="en-US" w:bidi="ar-SA"/>
        </w:rPr>
        <w:t xml:space="preserve"> </w:t>
      </w:r>
      <w:r w:rsidRPr="00D147A7">
        <w:rPr>
          <w:kern w:val="0"/>
          <w:lang w:eastAsia="en-US" w:bidi="ar-SA"/>
        </w:rPr>
        <w:t xml:space="preserve">Statische archieven in het bijzonder komen in aanmerking om </w:t>
      </w:r>
      <w:r w:rsidRPr="00996374">
        <w:rPr>
          <w:kern w:val="0"/>
          <w:lang w:eastAsia="en-US" w:bidi="ar-SA"/>
        </w:rPr>
        <w:t>gemicrofilm</w:t>
      </w:r>
      <w:r w:rsidR="00996374" w:rsidRPr="00996374">
        <w:rPr>
          <w:kern w:val="0"/>
          <w:lang w:eastAsia="en-US" w:bidi="ar-SA"/>
        </w:rPr>
        <w:t>eer</w:t>
      </w:r>
      <w:r w:rsidRPr="00996374">
        <w:rPr>
          <w:kern w:val="0"/>
          <w:lang w:eastAsia="en-US" w:bidi="ar-SA"/>
        </w:rPr>
        <w:t>d</w:t>
      </w:r>
      <w:r w:rsidRPr="00D147A7">
        <w:rPr>
          <w:kern w:val="0"/>
          <w:lang w:eastAsia="en-US" w:bidi="ar-SA"/>
        </w:rPr>
        <w:t xml:space="preserve"> te worden.</w:t>
      </w:r>
      <w:r w:rsidRPr="00D147A7">
        <w:rPr>
          <w:kern w:val="0"/>
          <w:vertAlign w:val="superscript"/>
          <w:lang w:val="en-US" w:eastAsia="en-US" w:bidi="ar-SA"/>
        </w:rPr>
        <w:footnoteReference w:id="310"/>
      </w:r>
      <w:r w:rsidR="00A74FE1" w:rsidRPr="00D147A7">
        <w:rPr>
          <w:kern w:val="0"/>
          <w:lang w:eastAsia="en-US" w:bidi="ar-SA"/>
        </w:rPr>
        <w:t xml:space="preserve"> </w:t>
      </w:r>
    </w:p>
    <w:p w:rsidR="009C5DA5" w:rsidRPr="00D147A7" w:rsidRDefault="009931C7" w:rsidP="009931C7">
      <w:pPr>
        <w:widowControl/>
        <w:suppressAutoHyphens w:val="0"/>
        <w:spacing w:line="240" w:lineRule="atLeast"/>
        <w:jc w:val="both"/>
        <w:rPr>
          <w:kern w:val="0"/>
          <w:lang w:eastAsia="en-US" w:bidi="ar-SA"/>
        </w:rPr>
      </w:pPr>
      <w:r w:rsidRPr="00D147A7">
        <w:rPr>
          <w:kern w:val="0"/>
          <w:lang w:eastAsia="en-US" w:bidi="ar-SA"/>
        </w:rPr>
        <w:t>Ook digitale bestanden hebben in het Franse recht dezelfde bewijswaarde als papieren docu</w:t>
      </w:r>
      <w:r w:rsidR="00996374">
        <w:rPr>
          <w:kern w:val="0"/>
          <w:lang w:eastAsia="en-US" w:bidi="ar-SA"/>
        </w:rPr>
        <w:t>-</w:t>
      </w:r>
      <w:r w:rsidRPr="00D147A7">
        <w:rPr>
          <w:kern w:val="0"/>
          <w:lang w:eastAsia="en-US" w:bidi="ar-SA"/>
        </w:rPr>
        <w:t>menten</w:t>
      </w:r>
      <w:r w:rsidRPr="00D147A7">
        <w:rPr>
          <w:kern w:val="0"/>
          <w:vertAlign w:val="superscript"/>
          <w:lang w:eastAsia="en-US" w:bidi="ar-SA"/>
        </w:rPr>
        <w:footnoteReference w:id="311"/>
      </w:r>
      <w:r w:rsidRPr="00D147A7">
        <w:rPr>
          <w:kern w:val="0"/>
          <w:lang w:eastAsia="en-US" w:bidi="ar-SA"/>
        </w:rPr>
        <w:t>, op voorwaarde dat de auteur en de patiënt identificeerbaar zijn en de integriteit van het document tijdens de bewaring gewaarborgd wordt.</w:t>
      </w:r>
      <w:r w:rsidRPr="00D147A7">
        <w:rPr>
          <w:kern w:val="0"/>
          <w:vertAlign w:val="superscript"/>
          <w:lang w:eastAsia="en-US" w:bidi="ar-SA"/>
        </w:rPr>
        <w:footnoteReference w:id="312"/>
      </w:r>
      <w:r w:rsidRPr="00D147A7">
        <w:rPr>
          <w:kern w:val="0"/>
          <w:lang w:eastAsia="en-US" w:bidi="ar-SA"/>
        </w:rPr>
        <w:t xml:space="preserve"> Niet-overschrijfbare digitale opti</w:t>
      </w:r>
      <w:r w:rsidR="00996374">
        <w:rPr>
          <w:kern w:val="0"/>
          <w:lang w:eastAsia="en-US" w:bidi="ar-SA"/>
        </w:rPr>
        <w:t>-</w:t>
      </w:r>
      <w:r w:rsidRPr="00D147A7">
        <w:rPr>
          <w:kern w:val="0"/>
          <w:lang w:eastAsia="en-US" w:bidi="ar-SA"/>
        </w:rPr>
        <w:t>sche schijven zijn – net als microfilms – betrouwb</w:t>
      </w:r>
      <w:r w:rsidR="00A74FE1" w:rsidRPr="00D147A7">
        <w:rPr>
          <w:kern w:val="0"/>
          <w:lang w:eastAsia="en-US" w:bidi="ar-SA"/>
        </w:rPr>
        <w:t xml:space="preserve">aar, duurzaam en onuitwisbaar. </w:t>
      </w:r>
    </w:p>
    <w:p w:rsidR="009931C7" w:rsidRPr="00D147A7" w:rsidRDefault="009931C7" w:rsidP="009931C7">
      <w:pPr>
        <w:widowControl/>
        <w:suppressAutoHyphens w:val="0"/>
        <w:spacing w:line="240" w:lineRule="atLeast"/>
        <w:jc w:val="both"/>
        <w:rPr>
          <w:smallCaps/>
          <w:kern w:val="0"/>
          <w:lang w:val="nl-NL" w:eastAsia="en-US" w:bidi="ar-SA"/>
        </w:rPr>
      </w:pPr>
      <w:r w:rsidRPr="00D147A7">
        <w:rPr>
          <w:kern w:val="0"/>
          <w:lang w:eastAsia="en-US" w:bidi="ar-SA"/>
        </w:rPr>
        <w:lastRenderedPageBreak/>
        <w:t>Zelfs dematerialisatie voor de bewaring van archieven is legitiem.</w:t>
      </w:r>
      <w:r w:rsidRPr="00D147A7">
        <w:rPr>
          <w:kern w:val="0"/>
          <w:vertAlign w:val="superscript"/>
          <w:lang w:eastAsia="en-US" w:bidi="ar-SA"/>
        </w:rPr>
        <w:footnoteReference w:id="313"/>
      </w:r>
      <w:r w:rsidRPr="00D147A7">
        <w:rPr>
          <w:kern w:val="0"/>
          <w:lang w:eastAsia="en-US" w:bidi="ar-SA"/>
        </w:rPr>
        <w:t xml:space="preserve"> Gedigitaliseerde docu</w:t>
      </w:r>
      <w:r w:rsidR="00A74FE1" w:rsidRPr="00D147A7">
        <w:rPr>
          <w:kern w:val="0"/>
          <w:lang w:eastAsia="en-US" w:bidi="ar-SA"/>
        </w:rPr>
        <w:t>-</w:t>
      </w:r>
      <w:r w:rsidRPr="00D147A7">
        <w:rPr>
          <w:kern w:val="0"/>
          <w:lang w:eastAsia="en-US" w:bidi="ar-SA"/>
        </w:rPr>
        <w:t xml:space="preserve">menten die aan dezelfde voorwaarden van </w:t>
      </w:r>
      <w:r w:rsidRPr="00D147A7">
        <w:rPr>
          <w:i/>
          <w:iCs/>
          <w:kern w:val="0"/>
          <w:lang w:eastAsia="en-US" w:bidi="ar-SA"/>
        </w:rPr>
        <w:t xml:space="preserve">digital born </w:t>
      </w:r>
      <w:r w:rsidRPr="00D147A7">
        <w:rPr>
          <w:kern w:val="0"/>
          <w:lang w:eastAsia="en-US" w:bidi="ar-SA"/>
        </w:rPr>
        <w:t>documenten voldoen, zijn even bewijs</w:t>
      </w:r>
      <w:r w:rsidR="00A74FE1" w:rsidRPr="00D147A7">
        <w:rPr>
          <w:kern w:val="0"/>
          <w:lang w:eastAsia="en-US" w:bidi="ar-SA"/>
        </w:rPr>
        <w:t>-</w:t>
      </w:r>
      <w:r w:rsidRPr="00D147A7">
        <w:rPr>
          <w:kern w:val="0"/>
          <w:lang w:eastAsia="en-US" w:bidi="ar-SA"/>
        </w:rPr>
        <w:t>krachtig als het originele exemplaar.</w:t>
      </w:r>
      <w:r w:rsidRPr="00D147A7">
        <w:rPr>
          <w:kern w:val="0"/>
          <w:vertAlign w:val="superscript"/>
          <w:lang w:eastAsia="en-US" w:bidi="ar-SA"/>
        </w:rPr>
        <w:footnoteReference w:id="314"/>
      </w:r>
      <w:r w:rsidRPr="00D147A7">
        <w:rPr>
          <w:kern w:val="0"/>
          <w:lang w:eastAsia="en-US" w:bidi="ar-SA"/>
        </w:rPr>
        <w:t xml:space="preserve"> Tijdens het scannen verandert er immers niets aan de opgeslagen informatie. Wel moeten gepaste maatregelen getroffen worden opdat de integriteit van de bewaarde documenten behouden zou blijven (zoals functies die dossierbewegingen kunnen traceren, het gebruik van pdf-bestanden et cetera). Dit laat ziekenhuizen toe om gedi</w:t>
      </w:r>
      <w:r w:rsidR="00996374">
        <w:rPr>
          <w:kern w:val="0"/>
          <w:lang w:eastAsia="en-US" w:bidi="ar-SA"/>
        </w:rPr>
        <w:t>-</w:t>
      </w:r>
      <w:r w:rsidRPr="00D147A7">
        <w:rPr>
          <w:kern w:val="0"/>
          <w:lang w:eastAsia="en-US" w:bidi="ar-SA"/>
        </w:rPr>
        <w:t>gitaliseerde papieren patiëntendossiers te vernietigen.</w:t>
      </w:r>
    </w:p>
    <w:p w:rsidR="009931C7" w:rsidRPr="00D147A7" w:rsidRDefault="009931C7" w:rsidP="009931C7">
      <w:pPr>
        <w:widowControl/>
        <w:suppressAutoHyphens w:val="0"/>
        <w:spacing w:line="240" w:lineRule="atLeast"/>
        <w:jc w:val="both"/>
        <w:rPr>
          <w:smallCaps/>
          <w:kern w:val="0"/>
          <w:lang w:val="nl-NL" w:eastAsia="en-US" w:bidi="ar-SA"/>
        </w:rPr>
      </w:pPr>
    </w:p>
    <w:p w:rsidR="009931C7" w:rsidRPr="00D147A7" w:rsidRDefault="009931C7" w:rsidP="009931C7">
      <w:pPr>
        <w:widowControl/>
        <w:suppressAutoHyphens w:val="0"/>
        <w:spacing w:line="240" w:lineRule="atLeast"/>
        <w:ind w:firstLine="708"/>
        <w:jc w:val="both"/>
        <w:rPr>
          <w:b/>
          <w:kern w:val="0"/>
          <w:lang w:val="nl-NL" w:eastAsia="en-US" w:bidi="ar-SA"/>
        </w:rPr>
      </w:pPr>
      <w:r w:rsidRPr="00D147A7">
        <w:rPr>
          <w:b/>
          <w:kern w:val="0"/>
          <w:lang w:val="nl-NL" w:eastAsia="en-US" w:bidi="ar-SA"/>
        </w:rPr>
        <w:t>Hoofdstuk 4: Typologie</w:t>
      </w:r>
    </w:p>
    <w:p w:rsidR="009931C7" w:rsidRPr="00D147A7" w:rsidRDefault="009931C7" w:rsidP="009931C7">
      <w:pPr>
        <w:widowControl/>
        <w:suppressAutoHyphens w:val="0"/>
        <w:jc w:val="both"/>
        <w:rPr>
          <w:kern w:val="0"/>
          <w:lang w:eastAsia="en-US" w:bidi="ar-SA"/>
        </w:rPr>
      </w:pPr>
    </w:p>
    <w:p w:rsidR="009931C7" w:rsidRPr="00D147A7" w:rsidRDefault="009931C7" w:rsidP="009931C7">
      <w:pPr>
        <w:widowControl/>
        <w:suppressAutoHyphens w:val="0"/>
        <w:jc w:val="both"/>
        <w:rPr>
          <w:kern w:val="0"/>
          <w:lang w:eastAsia="en-US" w:bidi="ar-SA"/>
        </w:rPr>
      </w:pPr>
      <w:r w:rsidRPr="00D147A7">
        <w:rPr>
          <w:kern w:val="0"/>
          <w:lang w:eastAsia="en-US" w:bidi="ar-SA"/>
        </w:rPr>
        <w:t>Vroeger maakte de Franse wetgever een duidelijk onderscheid tussen openbare en privaat</w:t>
      </w:r>
      <w:r w:rsidR="00996374">
        <w:rPr>
          <w:kern w:val="0"/>
          <w:lang w:eastAsia="en-US" w:bidi="ar-SA"/>
        </w:rPr>
        <w:t>-</w:t>
      </w:r>
      <w:r w:rsidRPr="00D147A7">
        <w:rPr>
          <w:kern w:val="0"/>
          <w:lang w:eastAsia="en-US" w:bidi="ar-SA"/>
        </w:rPr>
        <w:t>rechtelijke verzorgingsinstellingen. Bovendien werden privé-instellingen onderling apart be</w:t>
      </w:r>
      <w:r w:rsidR="00996374">
        <w:rPr>
          <w:kern w:val="0"/>
          <w:lang w:eastAsia="en-US" w:bidi="ar-SA"/>
        </w:rPr>
        <w:t>-</w:t>
      </w:r>
      <w:r w:rsidRPr="00D147A7">
        <w:rPr>
          <w:kern w:val="0"/>
          <w:lang w:eastAsia="en-US" w:bidi="ar-SA"/>
        </w:rPr>
        <w:t>handeld naargelang ze al dan niet financiële winst nastreefden. Hoewel deze tegenstellingen nog steeds zichtbaar zijn in de vigerende wetgeving, ver</w:t>
      </w:r>
      <w:r w:rsidR="00A74FE1" w:rsidRPr="00D147A7">
        <w:rPr>
          <w:kern w:val="0"/>
          <w:lang w:eastAsia="en-US" w:bidi="ar-SA"/>
        </w:rPr>
        <w:t>vaagt dit contrast almaar meer.</w:t>
      </w:r>
    </w:p>
    <w:p w:rsidR="00996374" w:rsidRDefault="00996374" w:rsidP="009931C7">
      <w:pPr>
        <w:widowControl/>
        <w:suppressAutoHyphens w:val="0"/>
        <w:jc w:val="both"/>
        <w:rPr>
          <w:kern w:val="0"/>
          <w:lang w:eastAsia="en-US" w:bidi="ar-SA"/>
        </w:rPr>
      </w:pPr>
    </w:p>
    <w:p w:rsidR="009931C7" w:rsidRPr="00D147A7" w:rsidRDefault="009931C7" w:rsidP="009931C7">
      <w:pPr>
        <w:widowControl/>
        <w:suppressAutoHyphens w:val="0"/>
        <w:jc w:val="both"/>
        <w:rPr>
          <w:kern w:val="0"/>
          <w:lang w:eastAsia="en-US" w:bidi="ar-SA"/>
        </w:rPr>
      </w:pPr>
      <w:r w:rsidRPr="00D147A7">
        <w:rPr>
          <w:kern w:val="0"/>
          <w:lang w:eastAsia="en-US" w:bidi="ar-SA"/>
        </w:rPr>
        <w:t>Ook wat patiëntendossiers in verzorgingsinstellingen betreft, kan een gelijkaardige kentering – zij het in veel extremere mate – worden bespeurd. In 1968 werd een eerste classificatiesche</w:t>
      </w:r>
      <w:r w:rsidR="00AF492F">
        <w:rPr>
          <w:kern w:val="0"/>
          <w:lang w:eastAsia="en-US" w:bidi="ar-SA"/>
        </w:rPr>
        <w:t>-</w:t>
      </w:r>
      <w:r w:rsidRPr="00D147A7">
        <w:rPr>
          <w:kern w:val="0"/>
          <w:lang w:eastAsia="en-US" w:bidi="ar-SA"/>
        </w:rPr>
        <w:t>ma uitgevaardigd voor de medische ziekenhuisarchieven, waarin een onderscheid gemaakt werd tussen patiëntendossiers van de verschillende pathologieën.</w:t>
      </w:r>
      <w:r w:rsidRPr="00D147A7">
        <w:rPr>
          <w:kern w:val="0"/>
          <w:vertAlign w:val="superscript"/>
          <w:lang w:eastAsia="en-US" w:bidi="ar-SA"/>
        </w:rPr>
        <w:footnoteReference w:id="315"/>
      </w:r>
      <w:r w:rsidRPr="00D147A7">
        <w:rPr>
          <w:kern w:val="0"/>
          <w:lang w:eastAsia="en-US" w:bidi="ar-SA"/>
        </w:rPr>
        <w:t xml:space="preserve"> Met name de dossiers van de afdelingen kindergeneeskunde, neurologie, mondheelkunde, erfelijke en chronische ziekten werden belangrijker bevonden. Hoewel de verscheidenheid aan consultatie- en hospitalisatie</w:t>
      </w:r>
      <w:r w:rsidR="00AF492F">
        <w:rPr>
          <w:kern w:val="0"/>
          <w:lang w:eastAsia="en-US" w:bidi="ar-SA"/>
        </w:rPr>
        <w:t>-</w:t>
      </w:r>
      <w:r w:rsidRPr="00D147A7">
        <w:rPr>
          <w:kern w:val="0"/>
          <w:lang w:eastAsia="en-US" w:bidi="ar-SA"/>
        </w:rPr>
        <w:t>dossiers een onontkoombaar gegeven is, brak de Franse wetgever enkele jaren geleden abrupt met deze discriminatiepolitiek.</w:t>
      </w:r>
      <w:r w:rsidRPr="00D147A7">
        <w:rPr>
          <w:kern w:val="0"/>
          <w:vertAlign w:val="superscript"/>
          <w:lang w:eastAsia="en-US" w:bidi="ar-SA"/>
        </w:rPr>
        <w:footnoteReference w:id="316"/>
      </w:r>
      <w:r w:rsidRPr="00D147A7">
        <w:rPr>
          <w:kern w:val="0"/>
          <w:lang w:eastAsia="en-US" w:bidi="ar-SA"/>
        </w:rPr>
        <w:t xml:space="preserve"> De enkele uitzondering hebben niet langer betrekking op de inhoud van de patiëntendossiers, maar op de toestand van de patiënt.</w:t>
      </w:r>
      <w:r w:rsidRPr="00D147A7">
        <w:rPr>
          <w:kern w:val="0"/>
          <w:vertAlign w:val="superscript"/>
          <w:lang w:eastAsia="en-US" w:bidi="ar-SA"/>
        </w:rPr>
        <w:footnoteReference w:id="317"/>
      </w:r>
      <w:r w:rsidRPr="00D147A7">
        <w:rPr>
          <w:kern w:val="0"/>
          <w:lang w:eastAsia="en-US" w:bidi="ar-SA"/>
        </w:rPr>
        <w:t xml:space="preserve"> Ook in Franse verzor</w:t>
      </w:r>
      <w:r w:rsidR="00AF492F">
        <w:rPr>
          <w:kern w:val="0"/>
          <w:lang w:eastAsia="en-US" w:bidi="ar-SA"/>
        </w:rPr>
        <w:t>-</w:t>
      </w:r>
      <w:r w:rsidRPr="00D147A7">
        <w:rPr>
          <w:kern w:val="0"/>
          <w:lang w:eastAsia="en-US" w:bidi="ar-SA"/>
        </w:rPr>
        <w:t>gingsinstellingen moet overigens de keuze gemaakt worden tussen het gebruik van een uniek dossier per patiënt en het aanleggen van aparte dossiers per dienst of pathologie.</w:t>
      </w:r>
      <w:r w:rsidRPr="00D147A7">
        <w:rPr>
          <w:kern w:val="0"/>
          <w:vertAlign w:val="superscript"/>
          <w:lang w:eastAsia="en-US" w:bidi="ar-SA"/>
        </w:rPr>
        <w:footnoteReference w:id="318"/>
      </w:r>
    </w:p>
    <w:p w:rsidR="009931C7" w:rsidRPr="00D147A7" w:rsidRDefault="009931C7" w:rsidP="009931C7">
      <w:pPr>
        <w:widowControl/>
        <w:suppressAutoHyphens w:val="0"/>
        <w:jc w:val="both"/>
        <w:rPr>
          <w:kern w:val="0"/>
          <w:lang w:eastAsia="en-US" w:bidi="ar-SA"/>
        </w:rPr>
      </w:pPr>
    </w:p>
    <w:p w:rsidR="009931C7" w:rsidRPr="00D147A7" w:rsidRDefault="009931C7" w:rsidP="009931C7">
      <w:pPr>
        <w:widowControl/>
        <w:suppressAutoHyphens w:val="0"/>
        <w:jc w:val="both"/>
        <w:rPr>
          <w:kern w:val="0"/>
          <w:lang w:eastAsia="en-US" w:bidi="ar-SA"/>
        </w:rPr>
      </w:pPr>
      <w:r w:rsidRPr="00D147A7">
        <w:rPr>
          <w:kern w:val="0"/>
          <w:lang w:eastAsia="en-US" w:bidi="ar-SA"/>
        </w:rPr>
        <w:t>Naast patiëntendossiers in verzorgingsinstellingen houdt de wetgever rekening met de dos</w:t>
      </w:r>
      <w:r w:rsidR="00AF492F">
        <w:rPr>
          <w:kern w:val="0"/>
          <w:lang w:eastAsia="en-US" w:bidi="ar-SA"/>
        </w:rPr>
        <w:t>-</w:t>
      </w:r>
      <w:r w:rsidRPr="00D147A7">
        <w:rPr>
          <w:kern w:val="0"/>
          <w:lang w:eastAsia="en-US" w:bidi="ar-SA"/>
        </w:rPr>
        <w:t>siers van de arbeidsgeneeskunde</w:t>
      </w:r>
      <w:r w:rsidRPr="00D147A7">
        <w:rPr>
          <w:kern w:val="0"/>
          <w:vertAlign w:val="superscript"/>
          <w:lang w:eastAsia="en-US" w:bidi="ar-SA"/>
        </w:rPr>
        <w:footnoteReference w:id="319"/>
      </w:r>
      <w:r w:rsidRPr="00D147A7">
        <w:rPr>
          <w:kern w:val="0"/>
          <w:lang w:eastAsia="en-US" w:bidi="ar-SA"/>
        </w:rPr>
        <w:t>, van medische spoeddiensten</w:t>
      </w:r>
      <w:r w:rsidRPr="00D147A7">
        <w:rPr>
          <w:kern w:val="0"/>
          <w:vertAlign w:val="superscript"/>
          <w:lang w:eastAsia="en-US" w:bidi="ar-SA"/>
        </w:rPr>
        <w:footnoteReference w:id="320"/>
      </w:r>
      <w:r w:rsidRPr="00D147A7">
        <w:rPr>
          <w:kern w:val="0"/>
          <w:lang w:eastAsia="en-US" w:bidi="ar-SA"/>
        </w:rPr>
        <w:t xml:space="preserve"> en van het antigifcen</w:t>
      </w:r>
      <w:r w:rsidR="00AF492F">
        <w:rPr>
          <w:kern w:val="0"/>
          <w:lang w:eastAsia="en-US" w:bidi="ar-SA"/>
        </w:rPr>
        <w:t>-</w:t>
      </w:r>
      <w:r w:rsidRPr="00D147A7">
        <w:rPr>
          <w:kern w:val="0"/>
          <w:lang w:eastAsia="en-US" w:bidi="ar-SA"/>
        </w:rPr>
        <w:lastRenderedPageBreak/>
        <w:t>trum.</w:t>
      </w:r>
      <w:r w:rsidRPr="00D147A7">
        <w:rPr>
          <w:kern w:val="0"/>
          <w:vertAlign w:val="superscript"/>
          <w:lang w:eastAsia="en-US" w:bidi="ar-SA"/>
        </w:rPr>
        <w:footnoteReference w:id="321"/>
      </w:r>
      <w:r w:rsidRPr="00D147A7">
        <w:rPr>
          <w:kern w:val="0"/>
          <w:lang w:eastAsia="en-US" w:bidi="ar-SA"/>
        </w:rPr>
        <w:t xml:space="preserve"> Tot slot rest er nog het patiëntendossier dat door de huisarts gevormd en beheerd wordt, wat opmerkelijk genoeg slecht genormeerd is in Frankrijk.</w:t>
      </w:r>
      <w:r w:rsidRPr="00D147A7">
        <w:rPr>
          <w:kern w:val="0"/>
          <w:vertAlign w:val="superscript"/>
          <w:lang w:eastAsia="en-US" w:bidi="ar-SA"/>
        </w:rPr>
        <w:footnoteReference w:id="322"/>
      </w:r>
      <w:r w:rsidRPr="00D147A7">
        <w:rPr>
          <w:kern w:val="0"/>
          <w:lang w:eastAsia="en-US" w:bidi="ar-SA"/>
        </w:rPr>
        <w:t xml:space="preserve"> Teneinde bij de Belgi</w:t>
      </w:r>
      <w:r w:rsidR="00AF492F">
        <w:rPr>
          <w:kern w:val="0"/>
          <w:lang w:eastAsia="en-US" w:bidi="ar-SA"/>
        </w:rPr>
        <w:t>-</w:t>
      </w:r>
      <w:r w:rsidRPr="00D147A7">
        <w:rPr>
          <w:kern w:val="0"/>
          <w:lang w:eastAsia="en-US" w:bidi="ar-SA"/>
        </w:rPr>
        <w:t>sche en de Nederlandse casus aan te sluiten, zal ik in deze verhandeling toch een poging on</w:t>
      </w:r>
      <w:r w:rsidR="00AF492F">
        <w:rPr>
          <w:kern w:val="0"/>
          <w:lang w:eastAsia="en-US" w:bidi="ar-SA"/>
        </w:rPr>
        <w:t>-</w:t>
      </w:r>
      <w:r w:rsidRPr="00D147A7">
        <w:rPr>
          <w:kern w:val="0"/>
          <w:lang w:eastAsia="en-US" w:bidi="ar-SA"/>
        </w:rPr>
        <w:t>dernemen om ook deze dossiers – samen met die van verzorgingsinstellingen – in mijn betoog op te nemen.</w:t>
      </w:r>
    </w:p>
    <w:p w:rsidR="009931C7" w:rsidRPr="00D147A7" w:rsidRDefault="009931C7" w:rsidP="003E39CF">
      <w:pPr>
        <w:pStyle w:val="Geenafstand"/>
        <w:rPr>
          <w:lang w:val="nl-NL"/>
        </w:rPr>
      </w:pPr>
    </w:p>
    <w:p w:rsidR="009931C7" w:rsidRPr="00D147A7" w:rsidRDefault="009931C7" w:rsidP="003E39CF">
      <w:pPr>
        <w:pStyle w:val="Geenafstand"/>
        <w:rPr>
          <w:bCs/>
          <w:smallCaps/>
          <w:lang w:val="nl-NL"/>
        </w:rPr>
      </w:pPr>
    </w:p>
    <w:p w:rsidR="009931C7" w:rsidRPr="00D147A7" w:rsidRDefault="009931C7" w:rsidP="009931C7">
      <w:pPr>
        <w:widowControl/>
        <w:suppressAutoHyphens w:val="0"/>
        <w:spacing w:line="240" w:lineRule="atLeast"/>
        <w:jc w:val="both"/>
        <w:rPr>
          <w:kern w:val="0"/>
          <w:lang w:val="nl-NL" w:eastAsia="en-US" w:bidi="ar-SA"/>
        </w:rPr>
      </w:pPr>
      <w:r w:rsidRPr="00D147A7">
        <w:rPr>
          <w:bCs/>
          <w:smallCaps/>
          <w:kern w:val="0"/>
          <w:lang w:val="nl-NL" w:eastAsia="en-US" w:bidi="ar-SA"/>
        </w:rPr>
        <w:t xml:space="preserve">1.4 Conclusie en aanbevelingen </w:t>
      </w:r>
      <w:r w:rsidRPr="00D147A7">
        <w:rPr>
          <w:bCs/>
          <w:i/>
          <w:iCs/>
          <w:smallCaps/>
          <w:kern w:val="0"/>
          <w:lang w:val="nl-NL" w:eastAsia="en-US" w:bidi="ar-SA"/>
        </w:rPr>
        <w:t>de</w:t>
      </w:r>
      <w:r w:rsidRPr="00D147A7">
        <w:rPr>
          <w:bCs/>
          <w:smallCaps/>
          <w:kern w:val="0"/>
          <w:lang w:val="nl-NL" w:eastAsia="en-US" w:bidi="ar-SA"/>
        </w:rPr>
        <w:t xml:space="preserve"> </w:t>
      </w:r>
      <w:r w:rsidRPr="00D147A7">
        <w:rPr>
          <w:bCs/>
          <w:i/>
          <w:iCs/>
          <w:smallCaps/>
          <w:kern w:val="0"/>
          <w:lang w:val="nl-NL" w:eastAsia="en-US" w:bidi="ar-SA"/>
        </w:rPr>
        <w:t>lege</w:t>
      </w:r>
      <w:r w:rsidRPr="00D147A7">
        <w:rPr>
          <w:bCs/>
          <w:smallCaps/>
          <w:kern w:val="0"/>
          <w:lang w:val="nl-NL" w:eastAsia="en-US" w:bidi="ar-SA"/>
        </w:rPr>
        <w:t xml:space="preserve"> </w:t>
      </w:r>
      <w:r w:rsidRPr="00D147A7">
        <w:rPr>
          <w:bCs/>
          <w:i/>
          <w:iCs/>
          <w:smallCaps/>
          <w:kern w:val="0"/>
          <w:lang w:val="nl-NL" w:eastAsia="en-US" w:bidi="ar-SA"/>
        </w:rPr>
        <w:t>ferenda</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eastAsia="en-US" w:bidi="ar-SA"/>
        </w:rPr>
      </w:pPr>
      <w:r w:rsidRPr="00D147A7">
        <w:rPr>
          <w:kern w:val="0"/>
          <w:lang w:val="nl-NL" w:eastAsia="en-US" w:bidi="ar-SA"/>
        </w:rPr>
        <w:t xml:space="preserve">Zowel in België, in Nederland als in Frankrijk worden zorgverleners er wettelijk toe verplicht om voor iedere patiënt een dossier te vormen, aan te vullen en bij te houden. </w:t>
      </w:r>
      <w:r w:rsidRPr="00D147A7">
        <w:rPr>
          <w:kern w:val="0"/>
          <w:lang w:eastAsia="en-US" w:bidi="ar-SA"/>
        </w:rPr>
        <w:t>Tot voor kort stonden vooral ziekenhuizen hierdoor – in combinatie met de dertigjarige bewaartermijn van patiëntendossiers</w:t>
      </w:r>
      <w:r w:rsidRPr="00D147A7">
        <w:rPr>
          <w:kern w:val="0"/>
          <w:vertAlign w:val="superscript"/>
          <w:lang w:eastAsia="en-US" w:bidi="ar-SA"/>
        </w:rPr>
        <w:footnoteReference w:id="323"/>
      </w:r>
      <w:r w:rsidRPr="00D147A7">
        <w:rPr>
          <w:kern w:val="0"/>
          <w:lang w:eastAsia="en-US" w:bidi="ar-SA"/>
        </w:rPr>
        <w:t xml:space="preserve"> – voor een heus archiveringsprobleem. Omdat papier veel plaats in beslag neemt, zullen verzorgingsinstellingen hun patiëntendossiers na </w:t>
      </w:r>
      <w:r w:rsidR="00E627C2" w:rsidRPr="00D147A7">
        <w:rPr>
          <w:kern w:val="0"/>
          <w:lang w:eastAsia="en-US" w:bidi="ar-SA"/>
        </w:rPr>
        <w:t xml:space="preserve">verloop van tijd digitaliseren </w:t>
      </w:r>
      <w:r w:rsidRPr="00D147A7">
        <w:rPr>
          <w:kern w:val="0"/>
          <w:lang w:eastAsia="en-US" w:bidi="ar-SA"/>
        </w:rPr>
        <w:t>of de bewaring aan een commercieel archiveringsbedrijf uitbesteden</w:t>
      </w:r>
      <w:r w:rsidR="00E627C2" w:rsidRPr="00D147A7">
        <w:rPr>
          <w:kern w:val="0"/>
          <w:lang w:eastAsia="en-US" w:bidi="ar-SA"/>
        </w:rPr>
        <w:t>.</w:t>
      </w:r>
      <w:r w:rsidRPr="00D147A7">
        <w:rPr>
          <w:kern w:val="0"/>
          <w:vertAlign w:val="superscript"/>
          <w:lang w:eastAsia="en-US" w:bidi="ar-SA"/>
        </w:rPr>
        <w:footnoteReference w:id="324"/>
      </w:r>
      <w:r w:rsidRPr="00D147A7">
        <w:rPr>
          <w:kern w:val="0"/>
          <w:lang w:eastAsia="en-US" w:bidi="ar-SA"/>
        </w:rPr>
        <w:t xml:space="preserve"> Na digitalisatie mo</w:t>
      </w:r>
      <w:r w:rsidR="0050088D">
        <w:rPr>
          <w:kern w:val="0"/>
          <w:lang w:eastAsia="en-US" w:bidi="ar-SA"/>
        </w:rPr>
        <w:t>-</w:t>
      </w:r>
      <w:r w:rsidRPr="00D147A7">
        <w:rPr>
          <w:kern w:val="0"/>
          <w:lang w:eastAsia="en-US" w:bidi="ar-SA"/>
        </w:rPr>
        <w:t xml:space="preserve">gen de originele bescheiden vernietigd worden op voorwaarde dat de authenticiteit tijdens het digitalisatieproces niet </w:t>
      </w:r>
      <w:r w:rsidR="00E627C2" w:rsidRPr="00D147A7">
        <w:rPr>
          <w:kern w:val="0"/>
          <w:lang w:eastAsia="en-US" w:bidi="ar-SA"/>
        </w:rPr>
        <w:t>teloor</w:t>
      </w:r>
      <w:r w:rsidRPr="00D147A7">
        <w:rPr>
          <w:kern w:val="0"/>
          <w:lang w:eastAsia="en-US" w:bidi="ar-SA"/>
        </w:rPr>
        <w:t xml:space="preserve"> gegaan</w:t>
      </w:r>
      <w:r w:rsidR="009C5DA5" w:rsidRPr="00D147A7">
        <w:rPr>
          <w:kern w:val="0"/>
          <w:lang w:eastAsia="en-US" w:bidi="ar-SA"/>
        </w:rPr>
        <w:t xml:space="preserve"> is</w:t>
      </w:r>
      <w:r w:rsidRPr="00D147A7">
        <w:rPr>
          <w:kern w:val="0"/>
          <w:lang w:eastAsia="en-US" w:bidi="ar-SA"/>
        </w:rPr>
        <w:t>. Om dit bevestigen en om het tegendeel te kunnen be</w:t>
      </w:r>
      <w:r w:rsidR="0050088D">
        <w:rPr>
          <w:kern w:val="0"/>
          <w:lang w:eastAsia="en-US" w:bidi="ar-SA"/>
        </w:rPr>
        <w:t>-</w:t>
      </w:r>
      <w:r w:rsidRPr="00D147A7">
        <w:rPr>
          <w:kern w:val="0"/>
          <w:lang w:eastAsia="en-US" w:bidi="ar-SA"/>
        </w:rPr>
        <w:t xml:space="preserve">wijzen, is het aangewezen dat originele patiëntendossiers ook na digitalisatie nog een vijftal jaar </w:t>
      </w:r>
      <w:r w:rsidR="009C5DA5" w:rsidRPr="00D147A7">
        <w:rPr>
          <w:kern w:val="0"/>
          <w:lang w:eastAsia="en-US" w:bidi="ar-SA"/>
        </w:rPr>
        <w:t xml:space="preserve">worden </w:t>
      </w:r>
      <w:r w:rsidR="00E627C2" w:rsidRPr="00D147A7">
        <w:rPr>
          <w:kern w:val="0"/>
          <w:lang w:eastAsia="en-US" w:bidi="ar-SA"/>
        </w:rPr>
        <w:t>bijgehouden</w:t>
      </w:r>
      <w:r w:rsidRPr="00D147A7">
        <w:rPr>
          <w:kern w:val="0"/>
          <w:lang w:eastAsia="en-US" w:bidi="ar-SA"/>
        </w:rPr>
        <w:t>.</w:t>
      </w:r>
    </w:p>
    <w:p w:rsidR="009931C7" w:rsidRPr="00D147A7" w:rsidRDefault="009931C7" w:rsidP="009931C7">
      <w:pPr>
        <w:widowControl/>
        <w:suppressAutoHyphens w:val="0"/>
        <w:spacing w:line="240" w:lineRule="atLeast"/>
        <w:jc w:val="both"/>
        <w:rPr>
          <w:kern w:val="0"/>
          <w:lang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50088D">
        <w:rPr>
          <w:kern w:val="0"/>
          <w:lang w:val="nl-NL" w:eastAsia="en-US" w:bidi="ar-SA"/>
        </w:rPr>
        <w:t>De Belgische wetgever moet dringend duidelijkheid scheppen. Opmerkelijk genoeg wordt het begrip ‘patiëntendossier’ niet gedefinieerd. Wel wordt de minimale inhoud van bepaalde cate</w:t>
      </w:r>
      <w:r w:rsidR="0050088D" w:rsidRPr="0050088D">
        <w:rPr>
          <w:kern w:val="0"/>
          <w:lang w:val="nl-NL" w:eastAsia="en-US" w:bidi="ar-SA"/>
        </w:rPr>
        <w:t>-</w:t>
      </w:r>
      <w:r w:rsidRPr="0050088D">
        <w:rPr>
          <w:kern w:val="0"/>
          <w:lang w:val="nl-NL" w:eastAsia="en-US" w:bidi="ar-SA"/>
        </w:rPr>
        <w:t xml:space="preserve">gorieën patiëntendossiers vastgelegd. Verder dienen de disparate inhoudelijke eisen waaraan de verschillende soorten patiëntendossiers moeten dringend </w:t>
      </w:r>
      <w:r w:rsidR="0050088D" w:rsidRPr="0050088D">
        <w:rPr>
          <w:kern w:val="0"/>
          <w:lang w:val="nl-NL" w:eastAsia="en-US" w:bidi="ar-SA"/>
        </w:rPr>
        <w:t>op elkaar afge</w:t>
      </w:r>
      <w:r w:rsidR="009C5DA5" w:rsidRPr="0050088D">
        <w:rPr>
          <w:kern w:val="0"/>
          <w:lang w:val="nl-NL" w:eastAsia="en-US" w:bidi="ar-SA"/>
        </w:rPr>
        <w:t xml:space="preserve">stemd </w:t>
      </w:r>
      <w:r w:rsidRPr="0050088D">
        <w:rPr>
          <w:kern w:val="0"/>
          <w:lang w:val="nl-NL" w:eastAsia="en-US" w:bidi="ar-SA"/>
        </w:rPr>
        <w:t>worden. In navolging van het Franse voorbeeld lijkt het pragmatisch om vormvoorschriften te verordenen waaraan álle documenten van álle patiëntendossiers moeten voldoen. De datum van creatie, de naam van de patiënt en de naam en (digitale) handtekening van de archiefvormende zorg</w:t>
      </w:r>
      <w:r w:rsidR="0050088D" w:rsidRPr="0050088D">
        <w:rPr>
          <w:kern w:val="0"/>
          <w:lang w:val="nl-NL" w:eastAsia="en-US" w:bidi="ar-SA"/>
        </w:rPr>
        <w:t>-</w:t>
      </w:r>
      <w:r w:rsidRPr="0050088D">
        <w:rPr>
          <w:kern w:val="0"/>
          <w:lang w:val="nl-NL" w:eastAsia="en-US" w:bidi="ar-SA"/>
        </w:rPr>
        <w:t xml:space="preserve">verlener zijn het </w:t>
      </w:r>
      <w:r w:rsidRPr="0050088D">
        <w:rPr>
          <w:i/>
          <w:iCs/>
          <w:kern w:val="0"/>
          <w:lang w:val="nl-NL" w:eastAsia="en-US" w:bidi="ar-SA"/>
        </w:rPr>
        <w:t>minimum</w:t>
      </w:r>
      <w:r w:rsidRPr="0050088D">
        <w:rPr>
          <w:kern w:val="0"/>
          <w:lang w:val="nl-NL" w:eastAsia="en-US" w:bidi="ar-SA"/>
        </w:rPr>
        <w:t xml:space="preserve"> </w:t>
      </w:r>
      <w:r w:rsidRPr="0050088D">
        <w:rPr>
          <w:i/>
          <w:iCs/>
          <w:kern w:val="0"/>
          <w:lang w:val="nl-NL" w:eastAsia="en-US" w:bidi="ar-SA"/>
        </w:rPr>
        <w:t>minimorum</w:t>
      </w:r>
      <w:r w:rsidRPr="0050088D">
        <w:rPr>
          <w:kern w:val="0"/>
          <w:lang w:val="nl-NL" w:eastAsia="en-US" w:bidi="ar-SA"/>
        </w:rPr>
        <w:t>.</w:t>
      </w:r>
    </w:p>
    <w:p w:rsidR="009931C7" w:rsidRPr="00D147A7" w:rsidRDefault="009931C7" w:rsidP="009931C7">
      <w:pPr>
        <w:widowControl/>
        <w:suppressAutoHyphens w:val="0"/>
        <w:spacing w:line="240" w:lineRule="atLeast"/>
        <w:jc w:val="both"/>
        <w:rPr>
          <w:kern w:val="0"/>
          <w:highlight w:val="yellow"/>
          <w:lang w:eastAsia="en-US" w:bidi="ar-SA"/>
        </w:rPr>
      </w:pPr>
    </w:p>
    <w:p w:rsidR="00751F06" w:rsidRPr="00D147A7" w:rsidRDefault="009931C7" w:rsidP="009931C7">
      <w:pPr>
        <w:widowControl/>
        <w:suppressAutoHyphens w:val="0"/>
        <w:spacing w:line="240" w:lineRule="atLeast"/>
        <w:jc w:val="both"/>
        <w:rPr>
          <w:kern w:val="0"/>
          <w:lang w:eastAsia="en-US" w:bidi="ar-SA"/>
        </w:rPr>
      </w:pPr>
      <w:r w:rsidRPr="00D147A7">
        <w:rPr>
          <w:kern w:val="0"/>
          <w:lang w:eastAsia="en-US" w:bidi="ar-SA"/>
        </w:rPr>
        <w:t>In geen van de drie bestudeerde landen regelde de wetgever het eigendomsrecht van het pa</w:t>
      </w:r>
      <w:r w:rsidR="0050088D">
        <w:rPr>
          <w:kern w:val="0"/>
          <w:lang w:eastAsia="en-US" w:bidi="ar-SA"/>
        </w:rPr>
        <w:t>-</w:t>
      </w:r>
      <w:r w:rsidRPr="00D147A7">
        <w:rPr>
          <w:kern w:val="0"/>
          <w:lang w:eastAsia="en-US" w:bidi="ar-SA"/>
        </w:rPr>
        <w:t>tiëntendossier. Wel is eenzelfde evolutie op t</w:t>
      </w:r>
      <w:r w:rsidR="002649FD" w:rsidRPr="00D147A7">
        <w:rPr>
          <w:kern w:val="0"/>
          <w:lang w:eastAsia="en-US" w:bidi="ar-SA"/>
        </w:rPr>
        <w:t>e merken. Vroeger werden alleen</w:t>
      </w:r>
      <w:r w:rsidRPr="00D147A7">
        <w:rPr>
          <w:kern w:val="0"/>
          <w:lang w:eastAsia="en-US" w:bidi="ar-SA"/>
        </w:rPr>
        <w:t>werkende zorg</w:t>
      </w:r>
      <w:r w:rsidR="0050088D">
        <w:rPr>
          <w:kern w:val="0"/>
          <w:lang w:eastAsia="en-US" w:bidi="ar-SA"/>
        </w:rPr>
        <w:t>-</w:t>
      </w:r>
      <w:r w:rsidRPr="00D147A7">
        <w:rPr>
          <w:kern w:val="0"/>
          <w:lang w:eastAsia="en-US" w:bidi="ar-SA"/>
        </w:rPr>
        <w:t xml:space="preserve">verleners </w:t>
      </w:r>
      <w:r w:rsidR="002649FD" w:rsidRPr="00D147A7">
        <w:rPr>
          <w:kern w:val="0"/>
          <w:lang w:eastAsia="en-US" w:bidi="ar-SA"/>
        </w:rPr>
        <w:t xml:space="preserve">enerzijds </w:t>
      </w:r>
      <w:r w:rsidRPr="00D147A7">
        <w:rPr>
          <w:kern w:val="0"/>
          <w:lang w:eastAsia="en-US" w:bidi="ar-SA"/>
        </w:rPr>
        <w:t xml:space="preserve">en verzorgingsinstellingen </w:t>
      </w:r>
      <w:r w:rsidR="002649FD" w:rsidRPr="00D147A7">
        <w:rPr>
          <w:kern w:val="0"/>
          <w:lang w:eastAsia="en-US" w:bidi="ar-SA"/>
        </w:rPr>
        <w:t xml:space="preserve">anderzijds </w:t>
      </w:r>
      <w:r w:rsidRPr="00D147A7">
        <w:rPr>
          <w:kern w:val="0"/>
          <w:lang w:eastAsia="en-US" w:bidi="ar-SA"/>
        </w:rPr>
        <w:t>als eigenaar van de door hem ge</w:t>
      </w:r>
      <w:r w:rsidR="0050088D">
        <w:rPr>
          <w:kern w:val="0"/>
          <w:lang w:eastAsia="en-US" w:bidi="ar-SA"/>
        </w:rPr>
        <w:t>-</w:t>
      </w:r>
      <w:r w:rsidRPr="00D147A7">
        <w:rPr>
          <w:kern w:val="0"/>
          <w:lang w:eastAsia="en-US" w:bidi="ar-SA"/>
        </w:rPr>
        <w:t>vormde pat</w:t>
      </w:r>
      <w:r w:rsidR="009C5DA5" w:rsidRPr="00D147A7">
        <w:rPr>
          <w:kern w:val="0"/>
          <w:lang w:eastAsia="en-US" w:bidi="ar-SA"/>
        </w:rPr>
        <w:t>iëntendossiers gekwalificeerd. Tijdens d</w:t>
      </w:r>
      <w:r w:rsidRPr="00D147A7">
        <w:rPr>
          <w:kern w:val="0"/>
          <w:lang w:eastAsia="en-US" w:bidi="ar-SA"/>
        </w:rPr>
        <w:t>e laatste jaren worden echter in toenemen</w:t>
      </w:r>
      <w:r w:rsidR="0050088D">
        <w:rPr>
          <w:kern w:val="0"/>
          <w:lang w:eastAsia="en-US" w:bidi="ar-SA"/>
        </w:rPr>
        <w:t>-</w:t>
      </w:r>
      <w:r w:rsidRPr="00D147A7">
        <w:rPr>
          <w:kern w:val="0"/>
          <w:lang w:eastAsia="en-US" w:bidi="ar-SA"/>
        </w:rPr>
        <w:t xml:space="preserve">de mate de rechten en plichten van alle betrokken </w:t>
      </w:r>
      <w:r w:rsidR="009C5DA5" w:rsidRPr="00D147A7">
        <w:rPr>
          <w:kern w:val="0"/>
          <w:lang w:eastAsia="en-US" w:bidi="ar-SA"/>
        </w:rPr>
        <w:t>actoren</w:t>
      </w:r>
      <w:r w:rsidRPr="00D147A7">
        <w:rPr>
          <w:kern w:val="0"/>
          <w:lang w:eastAsia="en-US" w:bidi="ar-SA"/>
        </w:rPr>
        <w:t xml:space="preserve"> van het zorgverleningsproces vast</w:t>
      </w:r>
      <w:r w:rsidR="0050088D">
        <w:rPr>
          <w:kern w:val="0"/>
          <w:lang w:eastAsia="en-US" w:bidi="ar-SA"/>
        </w:rPr>
        <w:t>-</w:t>
      </w:r>
      <w:r w:rsidRPr="00D147A7">
        <w:rPr>
          <w:kern w:val="0"/>
          <w:lang w:eastAsia="en-US" w:bidi="ar-SA"/>
        </w:rPr>
        <w:t xml:space="preserve">gelegd. Daarom </w:t>
      </w:r>
      <w:r w:rsidR="009C5DA5" w:rsidRPr="00D147A7">
        <w:rPr>
          <w:kern w:val="0"/>
          <w:lang w:eastAsia="en-US" w:bidi="ar-SA"/>
        </w:rPr>
        <w:t>maakt momenteel geen enkele partij exclusief aanspraak</w:t>
      </w:r>
      <w:r w:rsidRPr="00D147A7">
        <w:rPr>
          <w:kern w:val="0"/>
          <w:lang w:eastAsia="en-US" w:bidi="ar-SA"/>
        </w:rPr>
        <w:t xml:space="preserve"> </w:t>
      </w:r>
      <w:r w:rsidR="009C5DA5" w:rsidRPr="00D147A7">
        <w:rPr>
          <w:kern w:val="0"/>
          <w:lang w:eastAsia="en-US" w:bidi="ar-SA"/>
        </w:rPr>
        <w:t xml:space="preserve">op het bezit </w:t>
      </w:r>
      <w:r w:rsidRPr="00D147A7">
        <w:rPr>
          <w:kern w:val="0"/>
          <w:lang w:eastAsia="en-US" w:bidi="ar-SA"/>
        </w:rPr>
        <w:t xml:space="preserve">van </w:t>
      </w:r>
      <w:r w:rsidR="009C5DA5" w:rsidRPr="00D147A7">
        <w:rPr>
          <w:kern w:val="0"/>
          <w:lang w:eastAsia="en-US" w:bidi="ar-SA"/>
        </w:rPr>
        <w:t xml:space="preserve">het </w:t>
      </w:r>
      <w:r w:rsidRPr="00D147A7">
        <w:rPr>
          <w:kern w:val="0"/>
          <w:lang w:eastAsia="en-US" w:bidi="ar-SA"/>
        </w:rPr>
        <w:lastRenderedPageBreak/>
        <w:t xml:space="preserve">patiëntendossier. Individuele artsen en verzorgingsinstellingen worden </w:t>
      </w:r>
      <w:r w:rsidR="009C5DA5" w:rsidRPr="00D147A7">
        <w:rPr>
          <w:kern w:val="0"/>
          <w:lang w:eastAsia="en-US" w:bidi="ar-SA"/>
        </w:rPr>
        <w:t>enkel</w:t>
      </w:r>
      <w:r w:rsidRPr="00D147A7">
        <w:rPr>
          <w:kern w:val="0"/>
          <w:lang w:eastAsia="en-US" w:bidi="ar-SA"/>
        </w:rPr>
        <w:t xml:space="preserve"> erkend als eige</w:t>
      </w:r>
      <w:r w:rsidR="0050088D">
        <w:rPr>
          <w:kern w:val="0"/>
          <w:lang w:eastAsia="en-US" w:bidi="ar-SA"/>
        </w:rPr>
        <w:t>-</w:t>
      </w:r>
      <w:r w:rsidRPr="00D147A7">
        <w:rPr>
          <w:kern w:val="0"/>
          <w:lang w:eastAsia="en-US" w:bidi="ar-SA"/>
        </w:rPr>
        <w:t xml:space="preserve">naars van de gegevensdragers waarop de gezondheidsgegevens worden vastgelegd. </w:t>
      </w:r>
    </w:p>
    <w:p w:rsidR="009931C7" w:rsidRPr="00D147A7" w:rsidRDefault="0050088D" w:rsidP="009931C7">
      <w:pPr>
        <w:widowControl/>
        <w:suppressAutoHyphens w:val="0"/>
        <w:spacing w:line="240" w:lineRule="atLeast"/>
        <w:jc w:val="both"/>
        <w:rPr>
          <w:kern w:val="0"/>
          <w:lang w:eastAsia="en-US" w:bidi="ar-SA"/>
        </w:rPr>
      </w:pPr>
      <w:r w:rsidRPr="00D20C20">
        <w:rPr>
          <w:kern w:val="0"/>
          <w:lang w:eastAsia="en-US" w:bidi="ar-SA"/>
        </w:rPr>
        <w:t>H</w:t>
      </w:r>
      <w:r w:rsidR="009931C7" w:rsidRPr="00D20C20">
        <w:rPr>
          <w:kern w:val="0"/>
          <w:lang w:eastAsia="en-US" w:bidi="ar-SA"/>
        </w:rPr>
        <w:t xml:space="preserve">oewel het eigendomsrecht van patiëntendossiers niet wettelijk geregeld </w:t>
      </w:r>
      <w:r w:rsidR="002649FD" w:rsidRPr="00D20C20">
        <w:rPr>
          <w:kern w:val="0"/>
          <w:lang w:eastAsia="en-US" w:bidi="ar-SA"/>
        </w:rPr>
        <w:t>wordt</w:t>
      </w:r>
      <w:r w:rsidRPr="00D20C20">
        <w:rPr>
          <w:kern w:val="0"/>
          <w:lang w:eastAsia="en-US" w:bidi="ar-SA"/>
        </w:rPr>
        <w:t>, heerst</w:t>
      </w:r>
      <w:r w:rsidR="009931C7" w:rsidRPr="00D20C20">
        <w:rPr>
          <w:kern w:val="0"/>
          <w:lang w:eastAsia="en-US" w:bidi="ar-SA"/>
        </w:rPr>
        <w:t xml:space="preserve"> in de praktijk een consensus over wat er met het patiëntendossier moet gebeuren als een behande</w:t>
      </w:r>
      <w:r w:rsidRPr="00D20C20">
        <w:rPr>
          <w:kern w:val="0"/>
          <w:lang w:eastAsia="en-US" w:bidi="ar-SA"/>
        </w:rPr>
        <w:t>-</w:t>
      </w:r>
      <w:r w:rsidR="009931C7" w:rsidRPr="00D20C20">
        <w:rPr>
          <w:kern w:val="0"/>
          <w:lang w:eastAsia="en-US" w:bidi="ar-SA"/>
        </w:rPr>
        <w:t xml:space="preserve">lingsovereenkomst – om welke reden dan ook – </w:t>
      </w:r>
      <w:r w:rsidRPr="00D20C20">
        <w:rPr>
          <w:kern w:val="0"/>
          <w:lang w:eastAsia="en-US" w:bidi="ar-SA"/>
        </w:rPr>
        <w:t xml:space="preserve">beëindigd </w:t>
      </w:r>
      <w:r w:rsidR="009931C7" w:rsidRPr="00D20C20">
        <w:rPr>
          <w:kern w:val="0"/>
          <w:lang w:eastAsia="en-US" w:bidi="ar-SA"/>
        </w:rPr>
        <w:t>wordt. Deze kwestie</w:t>
      </w:r>
      <w:r w:rsidR="002649FD" w:rsidRPr="00D20C20">
        <w:rPr>
          <w:kern w:val="0"/>
          <w:lang w:eastAsia="en-US" w:bidi="ar-SA"/>
        </w:rPr>
        <w:t>s</w:t>
      </w:r>
      <w:r w:rsidR="009931C7" w:rsidRPr="00D20C20">
        <w:rPr>
          <w:kern w:val="0"/>
          <w:lang w:eastAsia="en-US" w:bidi="ar-SA"/>
        </w:rPr>
        <w:t xml:space="preserve"> word</w:t>
      </w:r>
      <w:r w:rsidR="002649FD" w:rsidRPr="00D20C20">
        <w:rPr>
          <w:kern w:val="0"/>
          <w:lang w:eastAsia="en-US" w:bidi="ar-SA"/>
        </w:rPr>
        <w:t>en</w:t>
      </w:r>
      <w:r w:rsidR="009931C7" w:rsidRPr="00D20C20">
        <w:rPr>
          <w:kern w:val="0"/>
          <w:lang w:eastAsia="en-US" w:bidi="ar-SA"/>
        </w:rPr>
        <w:t xml:space="preserve"> in België</w:t>
      </w:r>
      <w:r w:rsidR="003D69B2" w:rsidRPr="00D20C20">
        <w:rPr>
          <w:kern w:val="0"/>
          <w:lang w:eastAsia="en-US" w:bidi="ar-SA"/>
        </w:rPr>
        <w:t>, Nederland en Frankrijk</w:t>
      </w:r>
      <w:r w:rsidR="009931C7" w:rsidRPr="00D20C20">
        <w:rPr>
          <w:kern w:val="0"/>
          <w:lang w:eastAsia="en-US" w:bidi="ar-SA"/>
        </w:rPr>
        <w:t xml:space="preserve"> gelijkaardig behandeld. Om alle onzekerheid uit de wereld te helpen, lijkt het </w:t>
      </w:r>
      <w:r w:rsidR="003D69B2" w:rsidRPr="00D20C20">
        <w:rPr>
          <w:kern w:val="0"/>
          <w:lang w:eastAsia="en-US" w:bidi="ar-SA"/>
        </w:rPr>
        <w:t xml:space="preserve">niettemin </w:t>
      </w:r>
      <w:r w:rsidR="009931C7" w:rsidRPr="00D20C20">
        <w:rPr>
          <w:kern w:val="0"/>
          <w:lang w:eastAsia="en-US" w:bidi="ar-SA"/>
        </w:rPr>
        <w:t xml:space="preserve">zinvol dat </w:t>
      </w:r>
      <w:r w:rsidR="002649FD" w:rsidRPr="00D20C20">
        <w:rPr>
          <w:kern w:val="0"/>
          <w:lang w:eastAsia="en-US" w:bidi="ar-SA"/>
        </w:rPr>
        <w:t xml:space="preserve">de wetgever </w:t>
      </w:r>
      <w:r w:rsidR="009931C7" w:rsidRPr="00D20C20">
        <w:rPr>
          <w:kern w:val="0"/>
          <w:lang w:eastAsia="en-US" w:bidi="ar-SA"/>
        </w:rPr>
        <w:t xml:space="preserve">expliciet </w:t>
      </w:r>
      <w:r w:rsidR="003D69B2" w:rsidRPr="00D20C20">
        <w:rPr>
          <w:kern w:val="0"/>
          <w:lang w:eastAsia="en-US" w:bidi="ar-SA"/>
        </w:rPr>
        <w:t>verordent</w:t>
      </w:r>
      <w:r w:rsidR="009931C7" w:rsidRPr="00D20C20">
        <w:rPr>
          <w:kern w:val="0"/>
          <w:lang w:eastAsia="en-US" w:bidi="ar-SA"/>
        </w:rPr>
        <w:t xml:space="preserve"> dat patiëntendossiers niet </w:t>
      </w:r>
      <w:r w:rsidR="002649FD" w:rsidRPr="00D20C20">
        <w:rPr>
          <w:kern w:val="0"/>
          <w:lang w:eastAsia="en-US" w:bidi="ar-SA"/>
        </w:rPr>
        <w:t xml:space="preserve">voor eigendom </w:t>
      </w:r>
      <w:r w:rsidR="009931C7" w:rsidRPr="00D20C20">
        <w:rPr>
          <w:kern w:val="0"/>
          <w:lang w:eastAsia="en-US" w:bidi="ar-SA"/>
        </w:rPr>
        <w:t xml:space="preserve">vatbaar zijn. </w:t>
      </w:r>
      <w:r w:rsidR="002649FD" w:rsidRPr="00D20C20">
        <w:rPr>
          <w:kern w:val="0"/>
          <w:lang w:eastAsia="en-US" w:bidi="ar-SA"/>
        </w:rPr>
        <w:t xml:space="preserve">Het moet </w:t>
      </w:r>
      <w:r w:rsidR="003D69B2" w:rsidRPr="00D20C20">
        <w:rPr>
          <w:kern w:val="0"/>
          <w:lang w:eastAsia="en-US" w:bidi="ar-SA"/>
        </w:rPr>
        <w:t xml:space="preserve">ook </w:t>
      </w:r>
      <w:r w:rsidR="002649FD" w:rsidRPr="00D20C20">
        <w:rPr>
          <w:kern w:val="0"/>
          <w:lang w:eastAsia="en-US" w:bidi="ar-SA"/>
        </w:rPr>
        <w:t>verduidelijkt worden</w:t>
      </w:r>
      <w:r w:rsidR="009931C7" w:rsidRPr="00D20C20">
        <w:rPr>
          <w:kern w:val="0"/>
          <w:lang w:eastAsia="en-US" w:bidi="ar-SA"/>
        </w:rPr>
        <w:t xml:space="preserve"> dat het b</w:t>
      </w:r>
      <w:r w:rsidR="009931C7" w:rsidRPr="00D147A7">
        <w:rPr>
          <w:kern w:val="0"/>
          <w:lang w:eastAsia="en-US" w:bidi="ar-SA"/>
        </w:rPr>
        <w:t>ezit van gegevens</w:t>
      </w:r>
      <w:r w:rsidR="003D69B2">
        <w:rPr>
          <w:kern w:val="0"/>
          <w:lang w:eastAsia="en-US" w:bidi="ar-SA"/>
        </w:rPr>
        <w:t>-</w:t>
      </w:r>
      <w:r w:rsidR="009931C7" w:rsidRPr="00D147A7">
        <w:rPr>
          <w:kern w:val="0"/>
          <w:lang w:eastAsia="en-US" w:bidi="ar-SA"/>
        </w:rPr>
        <w:t>dragers niet de eigen</w:t>
      </w:r>
      <w:r w:rsidR="002649FD" w:rsidRPr="00D147A7">
        <w:rPr>
          <w:kern w:val="0"/>
          <w:lang w:eastAsia="en-US" w:bidi="ar-SA"/>
        </w:rPr>
        <w:t xml:space="preserve">dom van de </w:t>
      </w:r>
      <w:r w:rsidR="003D69B2">
        <w:rPr>
          <w:kern w:val="0"/>
          <w:lang w:eastAsia="en-US" w:bidi="ar-SA"/>
        </w:rPr>
        <w:t>vervatte (</w:t>
      </w:r>
      <w:r w:rsidR="002649FD" w:rsidRPr="00D147A7">
        <w:rPr>
          <w:kern w:val="0"/>
          <w:lang w:eastAsia="en-US" w:bidi="ar-SA"/>
        </w:rPr>
        <w:t>gezondheids</w:t>
      </w:r>
      <w:r w:rsidR="003D69B2">
        <w:rPr>
          <w:kern w:val="0"/>
          <w:lang w:eastAsia="en-US" w:bidi="ar-SA"/>
        </w:rPr>
        <w:t>)</w:t>
      </w:r>
      <w:r w:rsidR="002649FD" w:rsidRPr="00D147A7">
        <w:rPr>
          <w:kern w:val="0"/>
          <w:lang w:eastAsia="en-US" w:bidi="ar-SA"/>
        </w:rPr>
        <w:t>gegevens</w:t>
      </w:r>
      <w:r w:rsidR="003D69B2">
        <w:rPr>
          <w:kern w:val="0"/>
          <w:lang w:eastAsia="en-US" w:bidi="ar-SA"/>
        </w:rPr>
        <w:t xml:space="preserve"> impliceert</w:t>
      </w:r>
      <w:r w:rsidR="002649FD" w:rsidRPr="00D147A7">
        <w:rPr>
          <w:kern w:val="0"/>
          <w:lang w:eastAsia="en-US" w:bidi="ar-SA"/>
        </w:rPr>
        <w:t>.</w:t>
      </w:r>
    </w:p>
    <w:p w:rsidR="009931C7" w:rsidRPr="00D147A7" w:rsidRDefault="009931C7" w:rsidP="009931C7">
      <w:pPr>
        <w:widowControl/>
        <w:suppressAutoHyphens w:val="0"/>
        <w:spacing w:line="240" w:lineRule="atLeast"/>
        <w:jc w:val="both"/>
        <w:rPr>
          <w:kern w:val="0"/>
          <w:lang w:eastAsia="en-US" w:bidi="ar-SA"/>
        </w:rPr>
      </w:pPr>
    </w:p>
    <w:p w:rsidR="009931C7" w:rsidRPr="00D147A7" w:rsidRDefault="009931C7" w:rsidP="009931C7">
      <w:pPr>
        <w:widowControl/>
        <w:suppressAutoHyphens w:val="0"/>
        <w:spacing w:line="240" w:lineRule="atLeast"/>
        <w:jc w:val="both"/>
        <w:rPr>
          <w:kern w:val="0"/>
          <w:lang w:eastAsia="en-US" w:bidi="ar-SA"/>
        </w:rPr>
      </w:pPr>
      <w:r w:rsidRPr="00D147A7">
        <w:rPr>
          <w:kern w:val="0"/>
          <w:lang w:eastAsia="en-US" w:bidi="ar-SA"/>
        </w:rPr>
        <w:t xml:space="preserve">Ook wat de vorm van patiëntendossiers betreft, wordt een gelijkluidende politiek gevoerd in België, </w:t>
      </w:r>
      <w:r w:rsidRPr="00D20C20">
        <w:rPr>
          <w:kern w:val="0"/>
          <w:lang w:eastAsia="en-US" w:bidi="ar-SA"/>
        </w:rPr>
        <w:t xml:space="preserve">Nederland </w:t>
      </w:r>
      <w:r w:rsidRPr="00D147A7">
        <w:rPr>
          <w:kern w:val="0"/>
          <w:lang w:eastAsia="en-US" w:bidi="ar-SA"/>
        </w:rPr>
        <w:t>en Frankrijk. Van deze drie landen accepteerde de Belgische wetgever als eerste om gezondheidsgegevens op elke gegevensdrager aan te brengen, zolang deze dragers betrouwbaar, duurzaam en onuitwisbaar zijn. Bovendien mogen documenten van een patiënt</w:t>
      </w:r>
      <w:r w:rsidR="00D20C20">
        <w:rPr>
          <w:kern w:val="0"/>
          <w:lang w:eastAsia="en-US" w:bidi="ar-SA"/>
        </w:rPr>
        <w:t>-</w:t>
      </w:r>
      <w:r w:rsidRPr="00D147A7">
        <w:rPr>
          <w:kern w:val="0"/>
          <w:lang w:eastAsia="en-US" w:bidi="ar-SA"/>
        </w:rPr>
        <w:t>endossier ook na creatie op een andere drager worden overgezet zonder dat de bewijswaarde aan kracht inboet (behoudens het bewijs van het tegendeel). Prevaleren de baten op de kosten, dan is het dus mogelijk om archieven systematisch te digitaliseren en de originele documenten vervolgens te vernietigen. Hoewel dit de ultieme oplossing lijkt om aan het gebrek aan op</w:t>
      </w:r>
      <w:r w:rsidR="00D20C20">
        <w:rPr>
          <w:kern w:val="0"/>
          <w:lang w:eastAsia="en-US" w:bidi="ar-SA"/>
        </w:rPr>
        <w:t>-</w:t>
      </w:r>
      <w:r w:rsidRPr="00D147A7">
        <w:rPr>
          <w:kern w:val="0"/>
          <w:lang w:eastAsia="en-US" w:bidi="ar-SA"/>
        </w:rPr>
        <w:t xml:space="preserve">slagruimte tegemoet te komen en het niet aangewezen is </w:t>
      </w:r>
      <w:r w:rsidR="002649FD" w:rsidRPr="00D147A7">
        <w:rPr>
          <w:kern w:val="0"/>
          <w:lang w:eastAsia="en-US" w:bidi="ar-SA"/>
        </w:rPr>
        <w:t>om</w:t>
      </w:r>
      <w:r w:rsidRPr="00D147A7">
        <w:rPr>
          <w:kern w:val="0"/>
          <w:lang w:eastAsia="en-US" w:bidi="ar-SA"/>
        </w:rPr>
        <w:t xml:space="preserve"> schaduw</w:t>
      </w:r>
      <w:r w:rsidR="00B93B91">
        <w:rPr>
          <w:kern w:val="0"/>
          <w:lang w:eastAsia="en-US" w:bidi="ar-SA"/>
        </w:rPr>
        <w:t>archieven</w:t>
      </w:r>
      <w:r w:rsidRPr="00D147A7">
        <w:rPr>
          <w:kern w:val="0"/>
          <w:lang w:eastAsia="en-US" w:bidi="ar-SA"/>
        </w:rPr>
        <w:t xml:space="preserve"> in het leven </w:t>
      </w:r>
      <w:r w:rsidR="002649FD" w:rsidRPr="00D147A7">
        <w:rPr>
          <w:kern w:val="0"/>
          <w:lang w:eastAsia="en-US" w:bidi="ar-SA"/>
        </w:rPr>
        <w:t>t</w:t>
      </w:r>
      <w:r w:rsidRPr="00D147A7">
        <w:rPr>
          <w:kern w:val="0"/>
          <w:lang w:eastAsia="en-US" w:bidi="ar-SA"/>
        </w:rPr>
        <w:t>e</w:t>
      </w:r>
      <w:r w:rsidR="002649FD" w:rsidRPr="00D147A7">
        <w:rPr>
          <w:kern w:val="0"/>
          <w:lang w:eastAsia="en-US" w:bidi="ar-SA"/>
        </w:rPr>
        <w:t xml:space="preserve"> </w:t>
      </w:r>
      <w:r w:rsidRPr="00D147A7">
        <w:rPr>
          <w:kern w:val="0"/>
          <w:lang w:eastAsia="en-US" w:bidi="ar-SA"/>
        </w:rPr>
        <w:t>roepen, druist deze praktijk in tegen één van de basisbeginselen van de archivistiek</w:t>
      </w:r>
      <w:r w:rsidR="002649FD" w:rsidRPr="00D147A7">
        <w:rPr>
          <w:kern w:val="0"/>
          <w:lang w:eastAsia="en-US" w:bidi="ar-SA"/>
        </w:rPr>
        <w:t xml:space="preserve"> volgens dewelke </w:t>
      </w:r>
      <w:r w:rsidRPr="00D147A7">
        <w:rPr>
          <w:kern w:val="0"/>
          <w:lang w:eastAsia="en-US" w:bidi="ar-SA"/>
        </w:rPr>
        <w:t xml:space="preserve">bescheiden bij voorkeur in hun originele vorm </w:t>
      </w:r>
      <w:r w:rsidR="002649FD" w:rsidRPr="00D147A7">
        <w:rPr>
          <w:kern w:val="0"/>
          <w:lang w:eastAsia="en-US" w:bidi="ar-SA"/>
        </w:rPr>
        <w:t xml:space="preserve">moeten </w:t>
      </w:r>
      <w:r w:rsidRPr="00D147A7">
        <w:rPr>
          <w:kern w:val="0"/>
          <w:lang w:eastAsia="en-US" w:bidi="ar-SA"/>
        </w:rPr>
        <w:t>worden bewaard. Archivaris</w:t>
      </w:r>
      <w:r w:rsidR="00D20C20">
        <w:rPr>
          <w:kern w:val="0"/>
          <w:lang w:eastAsia="en-US" w:bidi="ar-SA"/>
        </w:rPr>
        <w:t>-</w:t>
      </w:r>
      <w:r w:rsidRPr="00D147A7">
        <w:rPr>
          <w:kern w:val="0"/>
          <w:lang w:eastAsia="en-US" w:bidi="ar-SA"/>
        </w:rPr>
        <w:t>sen kanten zich doorgaans niet tegen substitutie zolang de originele archiefbescheiden be</w:t>
      </w:r>
      <w:r w:rsidR="00D20C20">
        <w:rPr>
          <w:kern w:val="0"/>
          <w:lang w:eastAsia="en-US" w:bidi="ar-SA"/>
        </w:rPr>
        <w:t>-</w:t>
      </w:r>
      <w:r w:rsidRPr="00D147A7">
        <w:rPr>
          <w:kern w:val="0"/>
          <w:lang w:eastAsia="en-US" w:bidi="ar-SA"/>
        </w:rPr>
        <w:t>waard blijven. Omdat medische archieven m.i. een uitzondering zijn, worden hier geen verde</w:t>
      </w:r>
      <w:r w:rsidR="00D20C20">
        <w:rPr>
          <w:kern w:val="0"/>
          <w:lang w:eastAsia="en-US" w:bidi="ar-SA"/>
        </w:rPr>
        <w:t>-</w:t>
      </w:r>
      <w:r w:rsidRPr="00D147A7">
        <w:rPr>
          <w:kern w:val="0"/>
          <w:lang w:eastAsia="en-US" w:bidi="ar-SA"/>
        </w:rPr>
        <w:t xml:space="preserve">re aanbevelingen </w:t>
      </w:r>
      <w:r w:rsidRPr="00D147A7">
        <w:rPr>
          <w:i/>
          <w:iCs/>
          <w:kern w:val="0"/>
          <w:lang w:eastAsia="en-US" w:bidi="ar-SA"/>
        </w:rPr>
        <w:t xml:space="preserve">de lege ferenda </w:t>
      </w:r>
      <w:r w:rsidRPr="00D147A7">
        <w:rPr>
          <w:kern w:val="0"/>
          <w:lang w:eastAsia="en-US" w:bidi="ar-SA"/>
        </w:rPr>
        <w:t>aangereikt.</w:t>
      </w:r>
    </w:p>
    <w:p w:rsidR="009931C7" w:rsidRPr="00D147A7" w:rsidRDefault="009931C7" w:rsidP="009931C7">
      <w:pPr>
        <w:widowControl/>
        <w:suppressAutoHyphens w:val="0"/>
        <w:spacing w:line="240" w:lineRule="atLeast"/>
        <w:jc w:val="both"/>
        <w:rPr>
          <w:kern w:val="0"/>
          <w:lang w:eastAsia="en-US" w:bidi="ar-SA"/>
        </w:rPr>
      </w:pPr>
    </w:p>
    <w:p w:rsidR="009931C7" w:rsidRPr="00B93B91" w:rsidRDefault="00B93B91" w:rsidP="009931C7">
      <w:pPr>
        <w:widowControl/>
        <w:suppressAutoHyphens w:val="0"/>
        <w:spacing w:line="240" w:lineRule="atLeast"/>
        <w:jc w:val="both"/>
        <w:rPr>
          <w:kern w:val="0"/>
          <w:lang w:val="nl-NL" w:eastAsia="en-US" w:bidi="ar-SA"/>
        </w:rPr>
      </w:pPr>
      <w:r w:rsidRPr="00B93B91">
        <w:rPr>
          <w:kern w:val="0"/>
          <w:lang w:eastAsia="en-US" w:bidi="ar-SA"/>
        </w:rPr>
        <w:t xml:space="preserve">De Belgische wetgeving rond de verschillende categorieën patiëntendossiers verschilt aan-zienlijk aan deze in Nederland en Frankrijk. Het wettelijk landschap is in België immers ver-splinterd in een mozaïek aan bepalingen met betrekking tot patiëntendossiers. Hoewel dit tot voor kort ook in Frankrijk het geval was, vond daar recentelijk een bruuske ommekeer plaats. </w:t>
      </w:r>
      <w:r w:rsidRPr="00B93B91">
        <w:rPr>
          <w:kern w:val="0"/>
          <w:lang w:val="nl-NL" w:eastAsia="en-US" w:bidi="ar-SA"/>
        </w:rPr>
        <w:t>Hét grote voordeel van een consensuspolitiek rond patiëntendossiers is dat de wetgeving veel minder disparaat en complex is zodat er een veel consistenter beleid gevoerd kan worden en er aldus meer rechtszekerheid bestaat. Toch kan afgevraagd worden in hoeverre dit bevorder-lijk is voor de gang van zaken in de praktijk. Voor bepaalde behandelingen zijn andere of bij-komende regels vereist en verschillende patiëntendossiers kunnen danig van elkaar verschil-len, waardoor het zeker geen evidentie is dat voor het gros van de patiëntendossiers dezelfde regels van kracht zijn.</w:t>
      </w:r>
    </w:p>
    <w:p w:rsidR="00B93B91" w:rsidRPr="00D147A7" w:rsidRDefault="00B93B91"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smallCaps/>
          <w:kern w:val="0"/>
          <w:lang w:val="nl-NL" w:eastAsia="en-US" w:bidi="ar-SA"/>
        </w:rPr>
      </w:pPr>
      <w:r w:rsidRPr="00D147A7">
        <w:rPr>
          <w:kern w:val="0"/>
          <w:lang w:val="nl-NL" w:eastAsia="en-US" w:bidi="ar-SA"/>
        </w:rPr>
        <w:t xml:space="preserve">1.5 </w:t>
      </w:r>
      <w:r w:rsidRPr="00D147A7">
        <w:rPr>
          <w:smallCaps/>
          <w:kern w:val="0"/>
          <w:lang w:val="nl-NL" w:eastAsia="en-US" w:bidi="ar-SA"/>
        </w:rPr>
        <w:t>Bibliografie</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firstLine="708"/>
        <w:jc w:val="both"/>
        <w:rPr>
          <w:b/>
          <w:smallCaps/>
          <w:kern w:val="0"/>
          <w:lang w:val="nl-NL" w:eastAsia="en-US" w:bidi="ar-SA"/>
        </w:rPr>
      </w:pPr>
      <w:r w:rsidRPr="00D147A7">
        <w:rPr>
          <w:b/>
          <w:smallCaps/>
          <w:kern w:val="0"/>
          <w:lang w:val="nl-NL" w:eastAsia="en-US" w:bidi="ar-SA"/>
        </w:rPr>
        <w:t>1.5.1 België</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t>1.5.1.1 Parlementaire voorbereidingen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i/>
          <w:kern w:val="0"/>
          <w:lang w:val="nl-NL" w:eastAsia="en-US" w:bidi="ar-SA"/>
        </w:rPr>
        <w:t>Parl. St.</w:t>
      </w:r>
      <w:r w:rsidRPr="00D147A7">
        <w:rPr>
          <w:kern w:val="0"/>
          <w:lang w:val="nl-NL" w:eastAsia="en-US" w:bidi="ar-SA"/>
        </w:rPr>
        <w:t xml:space="preserve"> Kamer, 2001-2002, nr. 1642/001.</w:t>
      </w:r>
    </w:p>
    <w:p w:rsidR="009931C7" w:rsidRPr="00D147A7" w:rsidRDefault="009931C7" w:rsidP="009931C7">
      <w:pPr>
        <w:widowControl/>
        <w:suppressAutoHyphens w:val="0"/>
        <w:spacing w:line="240" w:lineRule="atLeast"/>
        <w:jc w:val="both"/>
        <w:rPr>
          <w:kern w:val="0"/>
          <w:lang w:val="nl-NL" w:eastAsia="en-US" w:bidi="ar-SA"/>
        </w:rPr>
      </w:pPr>
      <w:r w:rsidRPr="00D147A7">
        <w:rPr>
          <w:i/>
          <w:kern w:val="0"/>
          <w:lang w:val="nl-NL" w:eastAsia="en-US" w:bidi="ar-SA"/>
        </w:rPr>
        <w:t xml:space="preserve">Parl.St. </w:t>
      </w:r>
      <w:r w:rsidRPr="00D147A7">
        <w:rPr>
          <w:kern w:val="0"/>
          <w:lang w:val="nl-NL" w:eastAsia="en-US" w:bidi="ar-SA"/>
        </w:rPr>
        <w:t>Kamer, 2001-2002, nr. 1642/012.</w:t>
      </w:r>
    </w:p>
    <w:p w:rsidR="009931C7" w:rsidRPr="00D147A7" w:rsidRDefault="009931C7" w:rsidP="009931C7">
      <w:pPr>
        <w:widowControl/>
        <w:suppressAutoHyphens w:val="0"/>
        <w:spacing w:line="240" w:lineRule="atLeast"/>
        <w:jc w:val="both"/>
        <w:rPr>
          <w:kern w:val="0"/>
          <w:lang w:val="nl-NL" w:eastAsia="en-US" w:bidi="ar-SA"/>
        </w:rPr>
      </w:pPr>
      <w:r w:rsidRPr="00D147A7">
        <w:rPr>
          <w:i/>
          <w:kern w:val="0"/>
          <w:lang w:val="nl-NL" w:eastAsia="en-US" w:bidi="ar-SA"/>
        </w:rPr>
        <w:t>Hand.</w:t>
      </w:r>
      <w:r w:rsidRPr="00D147A7">
        <w:rPr>
          <w:kern w:val="0"/>
          <w:lang w:val="nl-NL" w:eastAsia="en-US" w:bidi="ar-SA"/>
        </w:rPr>
        <w:t xml:space="preserve"> Kamer, 2001-2002, nr. 50-256.</w:t>
      </w:r>
    </w:p>
    <w:p w:rsidR="009931C7" w:rsidRPr="00D147A7" w:rsidRDefault="009931C7" w:rsidP="009931C7">
      <w:pPr>
        <w:widowControl/>
        <w:suppressAutoHyphens w:val="0"/>
        <w:spacing w:line="240" w:lineRule="atLeast"/>
        <w:jc w:val="both"/>
        <w:rPr>
          <w:kern w:val="0"/>
          <w:lang w:val="nl-NL" w:eastAsia="en-US" w:bidi="ar-SA"/>
        </w:rPr>
      </w:pPr>
      <w:r w:rsidRPr="00D147A7">
        <w:rPr>
          <w:i/>
          <w:kern w:val="0"/>
          <w:lang w:val="nl-NL" w:eastAsia="en-US" w:bidi="ar-SA"/>
        </w:rPr>
        <w:t>Parl. St.</w:t>
      </w:r>
      <w:r w:rsidRPr="00D147A7">
        <w:rPr>
          <w:kern w:val="0"/>
          <w:lang w:val="nl-NL" w:eastAsia="en-US" w:bidi="ar-SA"/>
        </w:rPr>
        <w:t xml:space="preserve"> Kamer 2009-2010, nr. 2240/001.</w:t>
      </w:r>
    </w:p>
    <w:p w:rsidR="009931C7" w:rsidRDefault="009931C7" w:rsidP="009931C7">
      <w:pPr>
        <w:widowControl/>
        <w:suppressAutoHyphens w:val="0"/>
        <w:spacing w:line="240" w:lineRule="atLeast"/>
        <w:jc w:val="both"/>
        <w:rPr>
          <w:kern w:val="0"/>
          <w:lang w:val="nl-NL" w:eastAsia="en-US" w:bidi="ar-SA"/>
        </w:rPr>
      </w:pPr>
    </w:p>
    <w:p w:rsidR="00040B8D" w:rsidRDefault="00040B8D" w:rsidP="009931C7">
      <w:pPr>
        <w:widowControl/>
        <w:suppressAutoHyphens w:val="0"/>
        <w:spacing w:line="240" w:lineRule="atLeast"/>
        <w:jc w:val="both"/>
        <w:rPr>
          <w:kern w:val="0"/>
          <w:lang w:val="nl-NL" w:eastAsia="en-US" w:bidi="ar-SA"/>
        </w:rPr>
      </w:pPr>
    </w:p>
    <w:p w:rsidR="00040B8D" w:rsidRPr="00D147A7" w:rsidRDefault="00040B8D"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lastRenderedPageBreak/>
        <w:t>1.5.1.1.2 Wetgeving</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KB nr. 78.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14 september 1984 tot vaststelling van de nomenclatuur van de geneeskundige ver</w:t>
      </w:r>
      <w:r w:rsidR="00CA3838">
        <w:rPr>
          <w:kern w:val="0"/>
          <w:lang w:val="nl-NL" w:eastAsia="en-US" w:bidi="ar-SA"/>
        </w:rPr>
        <w:t>-</w:t>
      </w:r>
      <w:r w:rsidRPr="00D147A7">
        <w:rPr>
          <w:kern w:val="0"/>
          <w:lang w:val="nl-NL" w:eastAsia="en-US" w:bidi="ar-SA"/>
        </w:rPr>
        <w:t>strekkingen inzake verplichte verzekering voor geneeskundige verzorging en uitkeringen (</w:t>
      </w:r>
      <w:r w:rsidRPr="00D147A7">
        <w:rPr>
          <w:i/>
          <w:kern w:val="0"/>
          <w:lang w:val="nl-NL" w:eastAsia="en-US" w:bidi="ar-SA"/>
        </w:rPr>
        <w:t>BS</w:t>
      </w:r>
      <w:r w:rsidRPr="00D147A7">
        <w:rPr>
          <w:kern w:val="0"/>
          <w:lang w:val="nl-NL" w:eastAsia="en-US" w:bidi="ar-SA"/>
        </w:rPr>
        <w:t xml:space="preserve"> 29 september 1984).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Ziekenhuiswet (1).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7 november 1988 tot wijziging van het KB van 23 oktober 1964 tot bepaling van de normen die door de ziekenhuizen en hun diensten moeten worden nageleefd (</w:t>
      </w:r>
      <w:r w:rsidRPr="00D147A7">
        <w:rPr>
          <w:i/>
          <w:kern w:val="0"/>
          <w:lang w:val="nl-NL" w:eastAsia="en-US" w:bidi="ar-SA"/>
        </w:rPr>
        <w:t>BS</w:t>
      </w:r>
      <w:r w:rsidRPr="00D147A7">
        <w:rPr>
          <w:kern w:val="0"/>
          <w:lang w:val="nl-NL" w:eastAsia="en-US" w:bidi="ar-SA"/>
        </w:rPr>
        <w:t xml:space="preserve"> 24 november 1988).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 februari 1991 betreffende de uitoefening van het beroep van vroedvrouw (</w:t>
      </w:r>
      <w:r w:rsidRPr="00D147A7">
        <w:rPr>
          <w:i/>
          <w:kern w:val="0"/>
          <w:lang w:val="nl-NL" w:eastAsia="en-US" w:bidi="ar-SA"/>
        </w:rPr>
        <w:t>BS</w:t>
      </w:r>
      <w:r w:rsidRPr="00D147A7">
        <w:rPr>
          <w:kern w:val="0"/>
          <w:lang w:val="nl-NL" w:eastAsia="en-US" w:bidi="ar-SA"/>
        </w:rPr>
        <w:t xml:space="preserve"> 6 april 1991).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30 juni 1994 betreffende het auteursrecht en de naburige rechten (</w:t>
      </w:r>
      <w:r w:rsidRPr="00D147A7">
        <w:rPr>
          <w:i/>
          <w:kern w:val="0"/>
          <w:lang w:val="nl-NL" w:eastAsia="en-US" w:bidi="ar-SA"/>
        </w:rPr>
        <w:t>BS</w:t>
      </w:r>
      <w:r w:rsidRPr="00D147A7">
        <w:rPr>
          <w:kern w:val="0"/>
          <w:lang w:val="nl-NL" w:eastAsia="en-US" w:bidi="ar-SA"/>
        </w:rPr>
        <w:t xml:space="preserve"> 27 juli 1994).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betreffende de verplichte verzekering voor geneeskundige verzorging en uitkeringen, ge</w:t>
      </w:r>
      <w:r w:rsidR="00CA3838">
        <w:rPr>
          <w:kern w:val="0"/>
          <w:lang w:val="nl-NL" w:eastAsia="en-US" w:bidi="ar-SA"/>
        </w:rPr>
        <w:t>-</w:t>
      </w:r>
      <w:r w:rsidRPr="00D147A7">
        <w:rPr>
          <w:kern w:val="0"/>
          <w:lang w:val="nl-NL" w:eastAsia="en-US" w:bidi="ar-SA"/>
        </w:rPr>
        <w:t>coördineerd op 14 juli 1994 (</w:t>
      </w:r>
      <w:r w:rsidRPr="00D147A7">
        <w:rPr>
          <w:i/>
          <w:kern w:val="0"/>
          <w:lang w:val="nl-NL" w:eastAsia="en-US" w:bidi="ar-SA"/>
        </w:rPr>
        <w:t>BS</w:t>
      </w:r>
      <w:r w:rsidRPr="00D147A7">
        <w:rPr>
          <w:kern w:val="0"/>
          <w:lang w:val="nl-NL" w:eastAsia="en-US" w:bidi="ar-SA"/>
        </w:rPr>
        <w:t xml:space="preserve"> 27 augustus 1994).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13 oktober 1998 tot bepaling van de minimale criteria waaraan de overeenkomsten tussen de multidisciplinaire begeleidingsequipes voor palliatieve verzorging en het Verzeke</w:t>
      </w:r>
      <w:r w:rsidR="00CA3838">
        <w:rPr>
          <w:kern w:val="0"/>
          <w:lang w:val="nl-NL" w:eastAsia="en-US" w:bidi="ar-SA"/>
        </w:rPr>
        <w:t>-</w:t>
      </w:r>
      <w:r w:rsidRPr="00D147A7">
        <w:rPr>
          <w:kern w:val="0"/>
          <w:lang w:val="nl-NL" w:eastAsia="en-US" w:bidi="ar-SA"/>
        </w:rPr>
        <w:t>ringscomité ingesteld bij de Dienst voor geneeskundige verzorging van het Rijksinstituut voor ziekte- en invaliditeitsverzekering moeten voldoen (</w:t>
      </w:r>
      <w:r w:rsidRPr="00D147A7">
        <w:rPr>
          <w:i/>
          <w:kern w:val="0"/>
          <w:lang w:val="nl-NL" w:eastAsia="en-US" w:bidi="ar-SA"/>
        </w:rPr>
        <w:t>BS</w:t>
      </w:r>
      <w:r w:rsidRPr="00D147A7">
        <w:rPr>
          <w:kern w:val="0"/>
          <w:lang w:val="nl-NL" w:eastAsia="en-US" w:bidi="ar-SA"/>
        </w:rPr>
        <w:t xml:space="preserve"> 4 november 1998).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29 april 1999 betreffende de niet-conventionele praktijken inzake de geneeskunde, de artsenijbereidkunde, de kinesitherapie, de verpleegkunde en de paramedische beroepen (</w:t>
      </w:r>
      <w:r w:rsidRPr="00D147A7">
        <w:rPr>
          <w:i/>
          <w:kern w:val="0"/>
          <w:lang w:val="nl-NL" w:eastAsia="en-US" w:bidi="ar-SA"/>
        </w:rPr>
        <w:t>BS</w:t>
      </w:r>
      <w:r w:rsidRPr="00D147A7">
        <w:rPr>
          <w:kern w:val="0"/>
          <w:lang w:val="nl-NL" w:eastAsia="en-US" w:bidi="ar-SA"/>
        </w:rPr>
        <w:t xml:space="preserve"> 24 juni 1999).</w:t>
      </w:r>
    </w:p>
    <w:p w:rsidR="009931C7" w:rsidRPr="00D147A7" w:rsidRDefault="009931C7" w:rsidP="009931C7">
      <w:pPr>
        <w:widowControl/>
        <w:suppressAutoHyphens w:val="0"/>
        <w:spacing w:line="240" w:lineRule="atLeast"/>
        <w:ind w:left="2832" w:hanging="2832"/>
        <w:jc w:val="both"/>
        <w:rPr>
          <w:kern w:val="0"/>
          <w:lang w:val="nl-NL" w:eastAsia="en-US" w:bidi="ar-SA"/>
        </w:rPr>
      </w:pPr>
      <w:r w:rsidRPr="00D147A7">
        <w:rPr>
          <w:kern w:val="0"/>
          <w:lang w:val="nl-NL" w:eastAsia="en-US" w:bidi="ar-SA"/>
        </w:rPr>
        <w:t>KB van 3 mei 1999 (1).</w:t>
      </w:r>
    </w:p>
    <w:p w:rsidR="009931C7" w:rsidRPr="00D147A7" w:rsidRDefault="009931C7" w:rsidP="009931C7">
      <w:pPr>
        <w:widowControl/>
        <w:suppressAutoHyphens w:val="0"/>
        <w:spacing w:line="240" w:lineRule="atLeast"/>
        <w:ind w:firstLine="3"/>
        <w:jc w:val="both"/>
        <w:rPr>
          <w:kern w:val="0"/>
          <w:lang w:val="nl-NL" w:eastAsia="en-US" w:bidi="ar-SA"/>
        </w:rPr>
      </w:pPr>
      <w:r w:rsidRPr="00D147A7">
        <w:rPr>
          <w:kern w:val="0"/>
          <w:lang w:val="nl-NL" w:eastAsia="en-US" w:bidi="ar-SA"/>
        </w:rPr>
        <w:t>KB van 3 mei 1999 (2).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Het nationaal akkoord geneesheren-ziekenfondsen van 18 december 2000 (</w:t>
      </w:r>
      <w:r w:rsidRPr="00D147A7">
        <w:rPr>
          <w:i/>
          <w:kern w:val="0"/>
          <w:lang w:val="nl-NL" w:eastAsia="en-US" w:bidi="ar-SA"/>
        </w:rPr>
        <w:t>BS</w:t>
      </w:r>
      <w:r w:rsidRPr="00D147A7">
        <w:rPr>
          <w:kern w:val="0"/>
          <w:lang w:val="nl-NL" w:eastAsia="en-US" w:bidi="ar-SA"/>
        </w:rPr>
        <w:t xml:space="preserve"> 20 januari 2001).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9 juli 2001 houdende vaststelling van bepaalde regels in verband met het juridisch kader voor elektronische handtekeningen, de elektronisch aangetekende zending en certifica</w:t>
      </w:r>
      <w:r w:rsidR="00CA3838">
        <w:rPr>
          <w:kern w:val="0"/>
          <w:lang w:val="nl-NL" w:eastAsia="en-US" w:bidi="ar-SA"/>
        </w:rPr>
        <w:t>-</w:t>
      </w:r>
      <w:r w:rsidRPr="00D147A7">
        <w:rPr>
          <w:kern w:val="0"/>
          <w:lang w:val="nl-NL" w:eastAsia="en-US" w:bidi="ar-SA"/>
        </w:rPr>
        <w:t>tiediensten (</w:t>
      </w:r>
      <w:r w:rsidRPr="00D147A7">
        <w:rPr>
          <w:i/>
          <w:kern w:val="0"/>
          <w:lang w:val="nl-NL" w:eastAsia="en-US" w:bidi="ar-SA"/>
        </w:rPr>
        <w:t>BS</w:t>
      </w:r>
      <w:r w:rsidRPr="00D147A7">
        <w:rPr>
          <w:kern w:val="0"/>
          <w:lang w:val="nl-NL" w:eastAsia="en-US" w:bidi="ar-SA"/>
        </w:rPr>
        <w:t xml:space="preserve"> 29 september 2001).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10 augustus 2001 houdende maatregelen inzake de gezondheidszorg (</w:t>
      </w:r>
      <w:r w:rsidRPr="00D147A7">
        <w:rPr>
          <w:i/>
          <w:kern w:val="0"/>
          <w:lang w:val="nl-NL" w:eastAsia="en-US" w:bidi="ar-SA"/>
        </w:rPr>
        <w:t>BS</w:t>
      </w:r>
      <w:r w:rsidRPr="00D147A7">
        <w:rPr>
          <w:kern w:val="0"/>
          <w:lang w:val="nl-NL" w:eastAsia="en-US" w:bidi="ar-SA"/>
        </w:rPr>
        <w:t xml:space="preserve"> 1 september 2001).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14 januari 2002 houdende maatregelen inzake gezondheidszorg (</w:t>
      </w:r>
      <w:r w:rsidRPr="00D147A7">
        <w:rPr>
          <w:i/>
          <w:kern w:val="0"/>
          <w:lang w:val="nl-NL" w:eastAsia="en-US" w:bidi="ar-SA"/>
        </w:rPr>
        <w:t>BS</w:t>
      </w:r>
      <w:r w:rsidRPr="00D147A7">
        <w:rPr>
          <w:kern w:val="0"/>
          <w:lang w:val="nl-NL" w:eastAsia="en-US" w:bidi="ar-SA"/>
        </w:rPr>
        <w:t xml:space="preserve"> 22 februari 2002).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Patiëntenrechten.</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14 mei 2002 tot wijziging van art. 37</w:t>
      </w:r>
      <w:r w:rsidRPr="00D147A7">
        <w:rPr>
          <w:i/>
          <w:kern w:val="0"/>
          <w:lang w:val="nl-NL" w:eastAsia="en-US" w:bidi="ar-SA"/>
        </w:rPr>
        <w:t>bis</w:t>
      </w:r>
      <w:r w:rsidRPr="00D147A7">
        <w:rPr>
          <w:kern w:val="0"/>
          <w:lang w:val="nl-NL" w:eastAsia="en-US" w:bidi="ar-SA"/>
        </w:rPr>
        <w:t xml:space="preserve"> van de wet betreffende de verplichte verze</w:t>
      </w:r>
      <w:r w:rsidR="00CA3838">
        <w:rPr>
          <w:kern w:val="0"/>
          <w:lang w:val="nl-NL" w:eastAsia="en-US" w:bidi="ar-SA"/>
        </w:rPr>
        <w:t>-</w:t>
      </w:r>
      <w:r w:rsidRPr="00D147A7">
        <w:rPr>
          <w:kern w:val="0"/>
          <w:lang w:val="nl-NL" w:eastAsia="en-US" w:bidi="ar-SA"/>
        </w:rPr>
        <w:t>kering voor geneeskundige verzorging en uitkeringen, gecoördineerd op 14 juli 1994 (</w:t>
      </w:r>
      <w:r w:rsidRPr="00D147A7">
        <w:rPr>
          <w:i/>
          <w:kern w:val="0"/>
          <w:lang w:val="nl-NL" w:eastAsia="en-US" w:bidi="ar-SA"/>
        </w:rPr>
        <w:t>BS</w:t>
      </w:r>
      <w:r w:rsidRPr="00D147A7">
        <w:rPr>
          <w:kern w:val="0"/>
          <w:lang w:val="nl-NL" w:eastAsia="en-US" w:bidi="ar-SA"/>
        </w:rPr>
        <w:t xml:space="preserve"> 24 mei 2002).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22 augustus 2002 houdende maatregelen inzake gezondheidszorg (</w:t>
      </w:r>
      <w:r w:rsidRPr="00D147A7">
        <w:rPr>
          <w:i/>
          <w:kern w:val="0"/>
          <w:lang w:val="nl-NL" w:eastAsia="en-US" w:bidi="ar-SA"/>
        </w:rPr>
        <w:t>BS</w:t>
      </w:r>
      <w:r w:rsidRPr="00D147A7">
        <w:rPr>
          <w:kern w:val="0"/>
          <w:lang w:val="nl-NL" w:eastAsia="en-US" w:bidi="ar-SA"/>
        </w:rPr>
        <w:t xml:space="preserve"> 10 september 2002).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10 maart 2003 tot wijziging van het koninklijk besluit van 10 januari 1991 tot vast</w:t>
      </w:r>
      <w:r w:rsidR="00CA3838">
        <w:rPr>
          <w:kern w:val="0"/>
          <w:lang w:val="nl-NL" w:eastAsia="en-US" w:bidi="ar-SA"/>
        </w:rPr>
        <w:t>-</w:t>
      </w:r>
      <w:r w:rsidRPr="00D147A7">
        <w:rPr>
          <w:kern w:val="0"/>
          <w:lang w:val="nl-NL" w:eastAsia="en-US" w:bidi="ar-SA"/>
        </w:rPr>
        <w:t>stelling van de nomenclatuur van de revalidatieverstrekkingen bedoeld in art. 23 § 2, tweede lid van de wet betreffende de verplichte verzekering voor geneeskundige verzorging (</w:t>
      </w:r>
      <w:r w:rsidRPr="00D147A7">
        <w:rPr>
          <w:i/>
          <w:kern w:val="0"/>
          <w:lang w:val="nl-NL" w:eastAsia="en-US" w:bidi="ar-SA"/>
        </w:rPr>
        <w:t>BS</w:t>
      </w:r>
      <w:r w:rsidRPr="00D147A7">
        <w:rPr>
          <w:kern w:val="0"/>
          <w:lang w:val="nl-NL" w:eastAsia="en-US" w:bidi="ar-SA"/>
        </w:rPr>
        <w:t xml:space="preserve"> 17 maart 2003).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28 mei 2003 betreffende het gezondheidstoezicht op de werknemer (</w:t>
      </w:r>
      <w:r w:rsidRPr="00D147A7">
        <w:rPr>
          <w:i/>
          <w:kern w:val="0"/>
          <w:lang w:val="nl-NL" w:eastAsia="en-US" w:bidi="ar-SA"/>
        </w:rPr>
        <w:t>BS</w:t>
      </w:r>
      <w:r w:rsidRPr="00D147A7">
        <w:rPr>
          <w:kern w:val="0"/>
          <w:lang w:val="nl-NL" w:eastAsia="en-US" w:bidi="ar-SA"/>
        </w:rPr>
        <w:t xml:space="preserve"> 16 juni 2003).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18 februari 2004 tot vaststelling van de voorwaarden en regels overeenkomstig de</w:t>
      </w:r>
      <w:r w:rsidR="00CA3838">
        <w:rPr>
          <w:kern w:val="0"/>
          <w:lang w:val="nl-NL" w:eastAsia="en-US" w:bidi="ar-SA"/>
        </w:rPr>
        <w:t>-</w:t>
      </w:r>
      <w:r w:rsidRPr="00D147A7">
        <w:rPr>
          <w:kern w:val="0"/>
          <w:lang w:val="nl-NL" w:eastAsia="en-US" w:bidi="ar-SA"/>
        </w:rPr>
        <w:t>welke de verplichte verzekering voor geneeskundige verzorging en uitkeringen aan de erken</w:t>
      </w:r>
      <w:r w:rsidR="00CA3838">
        <w:rPr>
          <w:kern w:val="0"/>
          <w:lang w:val="nl-NL" w:eastAsia="en-US" w:bidi="ar-SA"/>
        </w:rPr>
        <w:t>-</w:t>
      </w:r>
      <w:r w:rsidRPr="00D147A7">
        <w:rPr>
          <w:kern w:val="0"/>
          <w:lang w:val="nl-NL" w:eastAsia="en-US" w:bidi="ar-SA"/>
        </w:rPr>
        <w:t>de huisarts een honorarium betaalt voor het beheer van het globaal medisch dossier (</w:t>
      </w:r>
      <w:r w:rsidRPr="00D147A7">
        <w:rPr>
          <w:i/>
          <w:kern w:val="0"/>
          <w:lang w:val="nl-NL" w:eastAsia="en-US" w:bidi="ar-SA"/>
        </w:rPr>
        <w:t>BS</w:t>
      </w:r>
      <w:r w:rsidRPr="00D147A7">
        <w:rPr>
          <w:kern w:val="0"/>
          <w:lang w:val="nl-NL" w:eastAsia="en-US" w:bidi="ar-SA"/>
        </w:rPr>
        <w:t xml:space="preserve"> 24 februari 2004).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KB van 18 februari 2004 tot wijziging van art. 37</w:t>
      </w:r>
      <w:r w:rsidRPr="00D147A7">
        <w:rPr>
          <w:i/>
          <w:kern w:val="0"/>
          <w:lang w:val="nl-NL" w:eastAsia="en-US" w:bidi="ar-SA"/>
        </w:rPr>
        <w:t>bis</w:t>
      </w:r>
      <w:r w:rsidRPr="00D147A7">
        <w:rPr>
          <w:kern w:val="0"/>
          <w:lang w:val="nl-NL" w:eastAsia="en-US" w:bidi="ar-SA"/>
        </w:rPr>
        <w:t xml:space="preserve"> van de wet betreffende de verplichte ver</w:t>
      </w:r>
      <w:r w:rsidR="00CA3838">
        <w:rPr>
          <w:kern w:val="0"/>
          <w:lang w:val="nl-NL" w:eastAsia="en-US" w:bidi="ar-SA"/>
        </w:rPr>
        <w:t>-</w:t>
      </w:r>
      <w:r w:rsidRPr="00D147A7">
        <w:rPr>
          <w:kern w:val="0"/>
          <w:lang w:val="nl-NL" w:eastAsia="en-US" w:bidi="ar-SA"/>
        </w:rPr>
        <w:t>zekering voor geneeskundige verzorging en uitkeringen, gecoördineerd op 14 juli 1994 (</w:t>
      </w:r>
      <w:r w:rsidRPr="00D147A7">
        <w:rPr>
          <w:i/>
          <w:kern w:val="0"/>
          <w:lang w:val="nl-NL" w:eastAsia="en-US" w:bidi="ar-SA"/>
        </w:rPr>
        <w:t>BS</w:t>
      </w:r>
      <w:r w:rsidRPr="00D147A7">
        <w:rPr>
          <w:kern w:val="0"/>
          <w:lang w:val="nl-NL" w:eastAsia="en-US" w:bidi="ar-SA"/>
        </w:rPr>
        <w:t xml:space="preserve"> 24 februari 2004).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KB van 21 september 2004.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Vlaams decreet van 7 mei 2004 betreffende de rechtspositie van de minderjarige in de inte</w:t>
      </w:r>
      <w:r w:rsidR="00CA3838">
        <w:rPr>
          <w:kern w:val="0"/>
          <w:lang w:val="nl-NL" w:eastAsia="en-US" w:bidi="ar-SA"/>
        </w:rPr>
        <w:t>-</w:t>
      </w:r>
      <w:r w:rsidRPr="00D147A7">
        <w:rPr>
          <w:kern w:val="0"/>
          <w:lang w:val="nl-NL" w:eastAsia="en-US" w:bidi="ar-SA"/>
        </w:rPr>
        <w:t>grale jeugdhulp (</w:t>
      </w:r>
      <w:r w:rsidRPr="00D147A7">
        <w:rPr>
          <w:i/>
          <w:kern w:val="0"/>
          <w:lang w:val="nl-NL" w:eastAsia="en-US" w:bidi="ar-SA"/>
        </w:rPr>
        <w:t>BS</w:t>
      </w:r>
      <w:r w:rsidRPr="00D147A7">
        <w:rPr>
          <w:kern w:val="0"/>
          <w:lang w:val="nl-NL" w:eastAsia="en-US" w:bidi="ar-SA"/>
        </w:rPr>
        <w:t xml:space="preserve"> 4 oktober 2004).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18 februari 2005 tot bepaling van de voorwaarden en de nadere regels overeenkom</w:t>
      </w:r>
      <w:r w:rsidR="00CA3838">
        <w:rPr>
          <w:kern w:val="0"/>
          <w:lang w:val="nl-NL" w:eastAsia="en-US" w:bidi="ar-SA"/>
        </w:rPr>
        <w:t>-</w:t>
      </w:r>
      <w:r w:rsidRPr="00D147A7">
        <w:rPr>
          <w:kern w:val="0"/>
          <w:lang w:val="nl-NL" w:eastAsia="en-US" w:bidi="ar-SA"/>
        </w:rPr>
        <w:t>stig dewelke de verplichte verzekering voor geneeskundige verzorgingen en uitkeringen een financiële tegemoetkoming verleent aan de kinesitherapeuten voor het gebruik van telematica en het elektronisch beheer van dossiers (</w:t>
      </w:r>
      <w:r w:rsidRPr="00D147A7">
        <w:rPr>
          <w:i/>
          <w:kern w:val="0"/>
          <w:lang w:val="nl-NL" w:eastAsia="en-US" w:bidi="ar-SA"/>
        </w:rPr>
        <w:t>BS</w:t>
      </w:r>
      <w:r w:rsidRPr="00D147A7">
        <w:rPr>
          <w:kern w:val="0"/>
          <w:lang w:val="nl-NL" w:eastAsia="en-US" w:bidi="ar-SA"/>
        </w:rPr>
        <w:t xml:space="preserve"> 28 februari 2005).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12 januari 2006.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GIS-decreet.</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21 april 2007 tot bepaling van de voorwaarden en de nadere regels overeenkomstig dewelke de verplichte verzekering voor geneeskundige verzorging en uitkeringen een finan</w:t>
      </w:r>
      <w:r w:rsidR="00CA3838">
        <w:rPr>
          <w:kern w:val="0"/>
          <w:lang w:val="nl-NL" w:eastAsia="en-US" w:bidi="ar-SA"/>
        </w:rPr>
        <w:t>-</w:t>
      </w:r>
      <w:r w:rsidRPr="00D147A7">
        <w:rPr>
          <w:kern w:val="0"/>
          <w:lang w:val="nl-NL" w:eastAsia="en-US" w:bidi="ar-SA"/>
        </w:rPr>
        <w:t>ciële tegemoetkoming verleent aan de verpleegkundigen voor het gebruik van telematica en het elektronisch beheer van dossiers (</w:t>
      </w:r>
      <w:r w:rsidRPr="00D147A7">
        <w:rPr>
          <w:i/>
          <w:kern w:val="0"/>
          <w:lang w:val="nl-NL" w:eastAsia="en-US" w:bidi="ar-SA"/>
        </w:rPr>
        <w:t>BS</w:t>
      </w:r>
      <w:r w:rsidRPr="00D147A7">
        <w:rPr>
          <w:kern w:val="0"/>
          <w:lang w:val="nl-NL" w:eastAsia="en-US" w:bidi="ar-SA"/>
        </w:rPr>
        <w:t xml:space="preserve"> 4 mei 2007).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26 april 2007 tot wijziging van het KB van 27 april 1999 betreffende de bewijskracht van de door de zorgverleners en de verzekeringsinstellingen opgeslagen, verwerkte, weerge</w:t>
      </w:r>
      <w:r w:rsidR="00CA3838">
        <w:rPr>
          <w:kern w:val="0"/>
          <w:lang w:val="nl-NL" w:eastAsia="en-US" w:bidi="ar-SA"/>
        </w:rPr>
        <w:t>-</w:t>
      </w:r>
      <w:r w:rsidRPr="00D147A7">
        <w:rPr>
          <w:kern w:val="0"/>
          <w:lang w:val="nl-NL" w:eastAsia="en-US" w:bidi="ar-SA"/>
        </w:rPr>
        <w:t>geven of meegedeelde gegevens (</w:t>
      </w:r>
      <w:r w:rsidRPr="00D147A7">
        <w:rPr>
          <w:i/>
          <w:kern w:val="0"/>
          <w:lang w:val="nl-NL" w:eastAsia="en-US" w:bidi="ar-SA"/>
        </w:rPr>
        <w:t>BS</w:t>
      </w:r>
      <w:r w:rsidRPr="00D147A7">
        <w:rPr>
          <w:kern w:val="0"/>
          <w:lang w:val="nl-NL" w:eastAsia="en-US" w:bidi="ar-SA"/>
        </w:rPr>
        <w:t xml:space="preserve"> 18 juni 2007).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21 augustus 2008 houdende oprichting en organisatie van het eHealth-platform (</w:t>
      </w:r>
      <w:r w:rsidRPr="00D147A7">
        <w:rPr>
          <w:i/>
          <w:kern w:val="0"/>
          <w:lang w:val="nl-NL" w:eastAsia="en-US" w:bidi="ar-SA"/>
        </w:rPr>
        <w:t>BS</w:t>
      </w:r>
      <w:r w:rsidRPr="00D147A7">
        <w:rPr>
          <w:kern w:val="0"/>
          <w:lang w:val="nl-NL" w:eastAsia="en-US" w:bidi="ar-SA"/>
        </w:rPr>
        <w:t xml:space="preserve"> 13 oktober 2008).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van de Vlaamse regering van 12 september 2008 betreffende het multidisciplinaire dossier in de centra voor leerlingenbegeleiding (</w:t>
      </w:r>
      <w:r w:rsidRPr="00D147A7">
        <w:rPr>
          <w:i/>
          <w:kern w:val="0"/>
          <w:lang w:val="nl-NL" w:eastAsia="en-US" w:bidi="ar-SA"/>
        </w:rPr>
        <w:t>BS</w:t>
      </w:r>
      <w:r w:rsidRPr="00D147A7">
        <w:rPr>
          <w:kern w:val="0"/>
          <w:lang w:val="nl-NL" w:eastAsia="en-US" w:bidi="ar-SA"/>
        </w:rPr>
        <w:t xml:space="preserve"> 17 november 2008).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Ziekenhuiswet (2).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21 januari 2009 houdende onderrichtingen voor de apothekers (</w:t>
      </w:r>
      <w:r w:rsidRPr="00D147A7">
        <w:rPr>
          <w:i/>
          <w:kern w:val="0"/>
          <w:lang w:val="nl-NL" w:eastAsia="en-US" w:bidi="ar-SA"/>
        </w:rPr>
        <w:t>BS</w:t>
      </w:r>
      <w:r w:rsidRPr="00D147A7">
        <w:rPr>
          <w:kern w:val="0"/>
          <w:lang w:val="nl-NL" w:eastAsia="en-US" w:bidi="ar-SA"/>
        </w:rPr>
        <w:t xml:space="preserve"> 30 januari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Woonzorgdecreet van de Vlaamse overheid van 13 maart 2009 (</w:t>
      </w:r>
      <w:r w:rsidRPr="00D147A7">
        <w:rPr>
          <w:i/>
          <w:kern w:val="0"/>
          <w:lang w:val="nl-NL" w:eastAsia="en-US" w:bidi="ar-SA"/>
        </w:rPr>
        <w:t>BS</w:t>
      </w:r>
      <w:r w:rsidRPr="00D147A7">
        <w:rPr>
          <w:kern w:val="0"/>
          <w:lang w:val="nl-NL" w:eastAsia="en-US" w:bidi="ar-SA"/>
        </w:rPr>
        <w:t xml:space="preserve"> 14 mei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 juli 2009 tot vaststelling van de lijst van de paramedische beroepen (</w:t>
      </w:r>
      <w:r w:rsidRPr="00D147A7">
        <w:rPr>
          <w:i/>
          <w:kern w:val="0"/>
          <w:lang w:val="nl-NL" w:eastAsia="en-US" w:bidi="ar-SA"/>
        </w:rPr>
        <w:t>BS</w:t>
      </w:r>
      <w:r w:rsidRPr="00D147A7">
        <w:rPr>
          <w:kern w:val="0"/>
          <w:lang w:val="nl-NL" w:eastAsia="en-US" w:bidi="ar-SA"/>
        </w:rPr>
        <w:t xml:space="preserve"> 17 augustus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28 september 2009 tot vaststelling van de kwaliteits- en veiligheidsnormen voor het doneren, wegnemen, verkrijgen, testen, bewerken, bewaren en distribueren van menselijk li</w:t>
      </w:r>
      <w:r w:rsidR="00CA3838">
        <w:rPr>
          <w:kern w:val="0"/>
          <w:lang w:val="nl-NL" w:eastAsia="en-US" w:bidi="ar-SA"/>
        </w:rPr>
        <w:t>-</w:t>
      </w:r>
      <w:r w:rsidRPr="00D147A7">
        <w:rPr>
          <w:kern w:val="0"/>
          <w:lang w:val="nl-NL" w:eastAsia="en-US" w:bidi="ar-SA"/>
        </w:rPr>
        <w:t>chaamsmateriaal, waaraan de banken voor menselijk lichaamsmateriaal en de productie-in</w:t>
      </w:r>
      <w:r w:rsidR="00CA3838">
        <w:rPr>
          <w:kern w:val="0"/>
          <w:lang w:val="nl-NL" w:eastAsia="en-US" w:bidi="ar-SA"/>
        </w:rPr>
        <w:t>-</w:t>
      </w:r>
      <w:r w:rsidRPr="00D147A7">
        <w:rPr>
          <w:kern w:val="0"/>
          <w:lang w:val="nl-NL" w:eastAsia="en-US" w:bidi="ar-SA"/>
        </w:rPr>
        <w:t>stellingen moeten voldoen (</w:t>
      </w:r>
      <w:r w:rsidRPr="00D147A7">
        <w:rPr>
          <w:i/>
          <w:kern w:val="0"/>
          <w:lang w:val="nl-NL" w:eastAsia="en-US" w:bidi="ar-SA"/>
        </w:rPr>
        <w:t>BS</w:t>
      </w:r>
      <w:r w:rsidRPr="00D147A7">
        <w:rPr>
          <w:kern w:val="0"/>
          <w:lang w:val="nl-NL" w:eastAsia="en-US" w:bidi="ar-SA"/>
        </w:rPr>
        <w:t xml:space="preserve"> 23 oktober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KB van 7 juni 2009 tot wijziging van het KB van 21 september 2004 (</w:t>
      </w:r>
      <w:r w:rsidRPr="00D147A7">
        <w:rPr>
          <w:i/>
          <w:kern w:val="0"/>
          <w:lang w:val="nl-NL" w:eastAsia="en-US" w:bidi="ar-SA"/>
        </w:rPr>
        <w:t>BS</w:t>
      </w:r>
      <w:r w:rsidRPr="00D147A7">
        <w:rPr>
          <w:kern w:val="0"/>
          <w:lang w:val="nl-NL" w:eastAsia="en-US" w:bidi="ar-SA"/>
        </w:rPr>
        <w:t xml:space="preserve"> 20 juli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van de Vlaamse regering van 24 juli 2009 betreffende de programmatie, de erken</w:t>
      </w:r>
      <w:r w:rsidR="00CA3838">
        <w:rPr>
          <w:kern w:val="0"/>
          <w:lang w:val="nl-NL" w:eastAsia="en-US" w:bidi="ar-SA"/>
        </w:rPr>
        <w:t>-</w:t>
      </w:r>
      <w:r w:rsidRPr="00D147A7">
        <w:rPr>
          <w:kern w:val="0"/>
          <w:lang w:val="nl-NL" w:eastAsia="en-US" w:bidi="ar-SA"/>
        </w:rPr>
        <w:t>ningsvoorwaarden en de subsidieregeling voor woonzorgvoorzieningen en verenigingen van gebruikers en mantelzorgers (</w:t>
      </w:r>
      <w:r w:rsidRPr="00D147A7">
        <w:rPr>
          <w:i/>
          <w:kern w:val="0"/>
          <w:lang w:val="nl-NL" w:eastAsia="en-US" w:bidi="ar-SA"/>
        </w:rPr>
        <w:t>BS</w:t>
      </w:r>
      <w:r w:rsidRPr="00D147A7">
        <w:rPr>
          <w:kern w:val="0"/>
          <w:lang w:val="nl-NL" w:eastAsia="en-US" w:bidi="ar-SA"/>
        </w:rPr>
        <w:t xml:space="preserve"> 17 december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31 maart 2010 betreffende de vergoeding van schade als gevolg van gezondheids</w:t>
      </w:r>
      <w:r w:rsidR="00CA3838">
        <w:rPr>
          <w:kern w:val="0"/>
          <w:lang w:val="nl-NL" w:eastAsia="en-US" w:bidi="ar-SA"/>
        </w:rPr>
        <w:t>-</w:t>
      </w:r>
      <w:r w:rsidRPr="00D147A7">
        <w:rPr>
          <w:kern w:val="0"/>
          <w:lang w:val="nl-NL" w:eastAsia="en-US" w:bidi="ar-SA"/>
        </w:rPr>
        <w:t>zorg (</w:t>
      </w:r>
      <w:r w:rsidRPr="00D147A7">
        <w:rPr>
          <w:i/>
          <w:kern w:val="0"/>
          <w:lang w:val="nl-NL" w:eastAsia="en-US" w:bidi="ar-SA"/>
        </w:rPr>
        <w:t>BS</w:t>
      </w:r>
      <w:r w:rsidRPr="00D147A7">
        <w:rPr>
          <w:kern w:val="0"/>
          <w:lang w:val="nl-NL" w:eastAsia="en-US" w:bidi="ar-SA"/>
        </w:rPr>
        <w:t xml:space="preserve"> 2 april 2010).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 juni 2010 tot wijziging van het Gerechtelijk Wetboek in het kader van de wet van 31 maart 2010 betreffende de vergoeding van schade als gevolg van gezondheidszorg (</w:t>
      </w:r>
      <w:r w:rsidRPr="00D147A7">
        <w:rPr>
          <w:i/>
          <w:kern w:val="0"/>
          <w:lang w:val="nl-NL" w:eastAsia="en-US" w:bidi="ar-SA"/>
        </w:rPr>
        <w:t>BS</w:t>
      </w:r>
      <w:r w:rsidRPr="00D147A7">
        <w:rPr>
          <w:kern w:val="0"/>
          <w:lang w:val="nl-NL" w:eastAsia="en-US" w:bidi="ar-SA"/>
        </w:rPr>
        <w:t xml:space="preserve"> 1 juli 2010).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MB van 1 maart 2010 tot vaststelling van de criteria voor de erkenning van huisartsen (</w:t>
      </w:r>
      <w:r w:rsidRPr="00D147A7">
        <w:rPr>
          <w:i/>
          <w:kern w:val="0"/>
          <w:lang w:val="nl-NL" w:eastAsia="en-US" w:bidi="ar-SA"/>
        </w:rPr>
        <w:t>BS</w:t>
      </w:r>
      <w:r w:rsidRPr="00D147A7">
        <w:rPr>
          <w:kern w:val="0"/>
          <w:lang w:val="nl-NL" w:eastAsia="en-US" w:bidi="ar-SA"/>
        </w:rPr>
        <w:t xml:space="preserve"> 4 maart 2010).</w:t>
      </w:r>
      <w:r w:rsidRPr="00D147A7">
        <w:rPr>
          <w:kern w:val="0"/>
          <w:lang w:val="nl-NL" w:eastAsia="en-US" w:bidi="ar-SA"/>
        </w:rPr>
        <w:cr/>
        <w:t>KB van 6 april 2010 houdende erkenning van beroepsorganisaties van een niet-conventionele praktijk of van een praktijk die in aanmerking kan komen om als niet-conventionele praktijk gekwalificeerd te worden (</w:t>
      </w:r>
      <w:r w:rsidRPr="00D147A7">
        <w:rPr>
          <w:i/>
          <w:kern w:val="0"/>
          <w:lang w:val="nl-NL" w:eastAsia="en-US" w:bidi="ar-SA"/>
        </w:rPr>
        <w:t>BS</w:t>
      </w:r>
      <w:r w:rsidRPr="00D147A7">
        <w:rPr>
          <w:kern w:val="0"/>
          <w:lang w:val="nl-NL" w:eastAsia="en-US" w:bidi="ar-SA"/>
        </w:rPr>
        <w:t xml:space="preserve"> 12 april 2010)</w:t>
      </w:r>
      <w:r w:rsidR="00DA36C8" w:rsidRPr="00D147A7">
        <w:rPr>
          <w:kern w:val="0"/>
          <w:lang w:val="nl-NL" w:eastAsia="en-US" w:bidi="ar-SA"/>
        </w:rPr>
        <w:t>.</w:t>
      </w:r>
    </w:p>
    <w:p w:rsidR="009931C7" w:rsidRPr="00D147A7" w:rsidRDefault="009931C7" w:rsidP="009931C7">
      <w:pPr>
        <w:widowControl/>
        <w:suppressAutoHyphens w:val="0"/>
        <w:spacing w:line="240" w:lineRule="atLeast"/>
        <w:jc w:val="both"/>
        <w:rPr>
          <w:kern w:val="0"/>
          <w:lang w:val="nl-NL" w:eastAsia="en-US" w:bidi="ar-SA"/>
        </w:rPr>
      </w:pPr>
    </w:p>
    <w:p w:rsidR="00040B8D" w:rsidRDefault="00040B8D">
      <w:pPr>
        <w:widowControl/>
        <w:suppressAutoHyphens w:val="0"/>
        <w:spacing w:after="200" w:line="276" w:lineRule="auto"/>
        <w:rPr>
          <w:b/>
          <w:kern w:val="0"/>
          <w:lang w:val="nl-NL" w:eastAsia="en-US" w:bidi="ar-SA"/>
        </w:rPr>
      </w:pPr>
      <w:r>
        <w:rPr>
          <w:b/>
          <w:kern w:val="0"/>
          <w:lang w:val="nl-NL" w:eastAsia="en-US" w:bidi="ar-SA"/>
        </w:rPr>
        <w:br w:type="page"/>
      </w: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lastRenderedPageBreak/>
        <w:t>1.5.1.3 Nationale Raad van de Orde der geneesheren</w:t>
      </w:r>
      <w:r w:rsidRPr="00D147A7">
        <w:rPr>
          <w:b/>
          <w:kern w:val="0"/>
          <w:vertAlign w:val="superscript"/>
          <w:lang w:val="nl-NL" w:eastAsia="en-US" w:bidi="ar-SA"/>
        </w:rPr>
        <w:footnoteReference w:id="325"/>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‘Bewaring van medische dossiers (PR Antwerpen)’, </w:t>
      </w:r>
      <w:r w:rsidRPr="00D147A7">
        <w:rPr>
          <w:i/>
          <w:kern w:val="0"/>
          <w:lang w:val="nl-NL" w:eastAsia="en-US" w:bidi="ar-SA"/>
        </w:rPr>
        <w:t>T.N.R.</w:t>
      </w:r>
      <w:r w:rsidRPr="00D147A7">
        <w:rPr>
          <w:kern w:val="0"/>
          <w:lang w:val="nl-NL" w:eastAsia="en-US" w:bidi="ar-SA"/>
        </w:rPr>
        <w:t>, 33 (1985), p. 60.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‘Bewaring van medische dossiers op microfilm’, </w:t>
      </w:r>
      <w:r w:rsidRPr="00D147A7">
        <w:rPr>
          <w:i/>
          <w:kern w:val="0"/>
          <w:lang w:val="nl-NL" w:eastAsia="en-US" w:bidi="ar-SA"/>
        </w:rPr>
        <w:t>T.N.R.</w:t>
      </w:r>
      <w:r w:rsidRPr="00D147A7">
        <w:rPr>
          <w:kern w:val="0"/>
          <w:lang w:val="nl-NL" w:eastAsia="en-US" w:bidi="ar-SA"/>
        </w:rPr>
        <w:t>, 57 (1992), p. 20.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‘Coördinerende arts in de RVT’s – KB van 24 juni 1999’, </w:t>
      </w:r>
      <w:r w:rsidRPr="00D147A7">
        <w:rPr>
          <w:i/>
          <w:kern w:val="0"/>
          <w:lang w:val="nl-NL" w:eastAsia="en-US" w:bidi="ar-SA"/>
        </w:rPr>
        <w:t>T.N.R.</w:t>
      </w:r>
      <w:r w:rsidRPr="00D147A7">
        <w:rPr>
          <w:kern w:val="0"/>
          <w:lang w:val="nl-NL" w:eastAsia="en-US" w:bidi="ar-SA"/>
        </w:rPr>
        <w:t>, 90 (2000), p. 10.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‘Coördinerende artsen van een RVT en behandelende artsen in een RVT’, </w:t>
      </w:r>
      <w:r w:rsidRPr="00D147A7">
        <w:rPr>
          <w:i/>
          <w:kern w:val="0"/>
          <w:lang w:val="nl-NL" w:eastAsia="en-US" w:bidi="ar-SA"/>
        </w:rPr>
        <w:t>T.N.R.</w:t>
      </w:r>
      <w:r w:rsidRPr="00D147A7">
        <w:rPr>
          <w:kern w:val="0"/>
          <w:lang w:val="nl-NL" w:eastAsia="en-US" w:bidi="ar-SA"/>
        </w:rPr>
        <w:t>, 90 (2000), p. 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‘Geautomatiseerd globaal medisch dossier’, </w:t>
      </w:r>
      <w:r w:rsidRPr="00D147A7">
        <w:rPr>
          <w:i/>
          <w:kern w:val="0"/>
          <w:lang w:val="nl-NL" w:eastAsia="en-US" w:bidi="ar-SA"/>
        </w:rPr>
        <w:t>T.N.R.</w:t>
      </w:r>
      <w:r w:rsidRPr="00D147A7">
        <w:rPr>
          <w:kern w:val="0"/>
          <w:lang w:val="nl-NL" w:eastAsia="en-US" w:bidi="ar-SA"/>
        </w:rPr>
        <w:t>, 84 (1998), p. 14.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‘Medisch dossier – Eigendom’, </w:t>
      </w:r>
      <w:r w:rsidRPr="00D147A7">
        <w:rPr>
          <w:i/>
          <w:kern w:val="0"/>
          <w:lang w:val="nl-NL" w:eastAsia="en-US" w:bidi="ar-SA"/>
        </w:rPr>
        <w:t>T.N.R.</w:t>
      </w:r>
      <w:r w:rsidRPr="00D147A7">
        <w:rPr>
          <w:kern w:val="0"/>
          <w:lang w:val="nl-NL" w:eastAsia="en-US" w:bidi="ar-SA"/>
        </w:rPr>
        <w:t>, 63 (1993), p. 31.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‘Medisch dossier – Eigendom van het dossier’, </w:t>
      </w:r>
      <w:r w:rsidRPr="00D147A7">
        <w:rPr>
          <w:i/>
          <w:kern w:val="0"/>
          <w:lang w:val="nl-NL" w:eastAsia="en-US" w:bidi="ar-SA"/>
        </w:rPr>
        <w:t>T.N.R.</w:t>
      </w:r>
      <w:r w:rsidRPr="00D147A7">
        <w:rPr>
          <w:kern w:val="0"/>
          <w:lang w:val="nl-NL" w:eastAsia="en-US" w:bidi="ar-SA"/>
        </w:rPr>
        <w:t>, 75 (1996), p. 20.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‘Medisch dossier in een rust- en verzorgingstehuis in het Waals Gewest’, </w:t>
      </w:r>
      <w:r w:rsidRPr="00D147A7">
        <w:rPr>
          <w:i/>
          <w:kern w:val="0"/>
          <w:lang w:val="nl-NL" w:eastAsia="en-US" w:bidi="ar-SA"/>
        </w:rPr>
        <w:t>T.N.R.</w:t>
      </w:r>
      <w:r w:rsidRPr="00D147A7">
        <w:rPr>
          <w:kern w:val="0"/>
          <w:lang w:val="nl-NL" w:eastAsia="en-US" w:bidi="ar-SA"/>
        </w:rPr>
        <w:t>, 99 (2002), p. 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‘Medisch dossiers van bejaarden – Medisch geheim’, </w:t>
      </w:r>
      <w:r w:rsidRPr="00D147A7">
        <w:rPr>
          <w:i/>
          <w:kern w:val="0"/>
          <w:lang w:val="nl-NL" w:eastAsia="en-US" w:bidi="ar-SA"/>
        </w:rPr>
        <w:t>T.N.R.</w:t>
      </w:r>
      <w:r w:rsidRPr="00D147A7">
        <w:rPr>
          <w:kern w:val="0"/>
          <w:lang w:val="nl-NL" w:eastAsia="en-US" w:bidi="ar-SA"/>
        </w:rPr>
        <w:t>, 40 (1988), p. 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‘Medische dossiers’, </w:t>
      </w:r>
      <w:r w:rsidRPr="00D147A7">
        <w:rPr>
          <w:i/>
          <w:kern w:val="0"/>
          <w:lang w:val="nl-NL" w:eastAsia="en-US" w:bidi="ar-SA"/>
        </w:rPr>
        <w:t>T.N.R.</w:t>
      </w:r>
      <w:r w:rsidRPr="00D147A7">
        <w:rPr>
          <w:kern w:val="0"/>
          <w:lang w:val="nl-NL" w:eastAsia="en-US" w:bidi="ar-SA"/>
        </w:rPr>
        <w:t>, 78 (1997), p. 25.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‘Multidisciplinair dossier in de Centra voor Leerlingenbegeleiding’, </w:t>
      </w:r>
      <w:r w:rsidRPr="00D147A7">
        <w:rPr>
          <w:i/>
          <w:kern w:val="0"/>
          <w:lang w:val="nl-NL" w:eastAsia="en-US" w:bidi="ar-SA"/>
        </w:rPr>
        <w:t>T.N.R.</w:t>
      </w:r>
      <w:r w:rsidRPr="00D147A7">
        <w:rPr>
          <w:kern w:val="0"/>
          <w:lang w:val="nl-NL" w:eastAsia="en-US" w:bidi="ar-SA"/>
        </w:rPr>
        <w:t>, 91 (2000), p. 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‘Overdracht van protocols en documenten van medische beeldvorming’, </w:t>
      </w:r>
      <w:r w:rsidRPr="00D147A7">
        <w:rPr>
          <w:i/>
          <w:kern w:val="0"/>
          <w:lang w:val="nl-NL" w:eastAsia="en-US" w:bidi="ar-SA"/>
        </w:rPr>
        <w:t>T.N.R.</w:t>
      </w:r>
      <w:r w:rsidRPr="00D147A7">
        <w:rPr>
          <w:kern w:val="0"/>
          <w:lang w:val="nl-NL" w:eastAsia="en-US" w:bidi="ar-SA"/>
        </w:rPr>
        <w:t>, 120 (2008), p. 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‘Overmaken van een medisch dossier aan een andere arts’, </w:t>
      </w:r>
      <w:r w:rsidRPr="00D147A7">
        <w:rPr>
          <w:i/>
          <w:kern w:val="0"/>
          <w:lang w:val="nl-NL" w:eastAsia="en-US" w:bidi="ar-SA"/>
        </w:rPr>
        <w:t>T.N.R.</w:t>
      </w:r>
      <w:r w:rsidRPr="00D147A7">
        <w:rPr>
          <w:kern w:val="0"/>
          <w:lang w:val="nl-NL" w:eastAsia="en-US" w:bidi="ar-SA"/>
        </w:rPr>
        <w:t>, 84 (1999), p. 20.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‘Overname van een huisartsenpraktijk’, </w:t>
      </w:r>
      <w:r w:rsidRPr="00D147A7">
        <w:rPr>
          <w:i/>
          <w:kern w:val="0"/>
          <w:lang w:val="nl-NL" w:eastAsia="en-US" w:bidi="ar-SA"/>
        </w:rPr>
        <w:t>T.N.R.</w:t>
      </w:r>
      <w:r w:rsidRPr="00D147A7">
        <w:rPr>
          <w:kern w:val="0"/>
          <w:lang w:val="nl-NL" w:eastAsia="en-US" w:bidi="ar-SA"/>
        </w:rPr>
        <w:t xml:space="preserve">, 69 (1995), p. 26.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‘Rechtstreekse inzage door de patiënt in zijn elektronisch medisch dossier’, </w:t>
      </w:r>
      <w:r w:rsidRPr="00D147A7">
        <w:rPr>
          <w:i/>
          <w:kern w:val="0"/>
          <w:lang w:val="nl-NL" w:eastAsia="en-US" w:bidi="ar-SA"/>
        </w:rPr>
        <w:t>T.N.R.</w:t>
      </w:r>
      <w:r w:rsidRPr="00D147A7">
        <w:rPr>
          <w:kern w:val="0"/>
          <w:lang w:val="nl-NL" w:eastAsia="en-US" w:bidi="ar-SA"/>
        </w:rPr>
        <w:t>, 115 (2007), p. 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‘Rust- en verzorgingstehuizen’, </w:t>
      </w:r>
      <w:r w:rsidRPr="00D147A7">
        <w:rPr>
          <w:i/>
          <w:kern w:val="0"/>
          <w:lang w:val="nl-NL" w:eastAsia="en-US" w:bidi="ar-SA"/>
        </w:rPr>
        <w:t>T.N.R.</w:t>
      </w:r>
      <w:r w:rsidRPr="00D147A7">
        <w:rPr>
          <w:kern w:val="0"/>
          <w:lang w:val="nl-NL" w:eastAsia="en-US" w:bidi="ar-SA"/>
        </w:rPr>
        <w:t>, 56 (1991), p. 44.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‘Rustoorden voor bejaarden (ROB’s) en rust- en verzorgingstehuizen voor bejaarden (RVTB’s) – Samenstelling en toegankelijkheid van de dossiers’, </w:t>
      </w:r>
      <w:r w:rsidRPr="00D147A7">
        <w:rPr>
          <w:i/>
          <w:kern w:val="0"/>
          <w:lang w:val="nl-NL" w:eastAsia="en-US" w:bidi="ar-SA"/>
        </w:rPr>
        <w:t>T.N.R.</w:t>
      </w:r>
      <w:r w:rsidRPr="00D147A7">
        <w:rPr>
          <w:kern w:val="0"/>
          <w:lang w:val="nl-NL" w:eastAsia="en-US" w:bidi="ar-SA"/>
        </w:rPr>
        <w:t>, 123 (2008).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‘Stockering van medische gegevens door een handelsfirma’, </w:t>
      </w:r>
      <w:r w:rsidRPr="00D147A7">
        <w:rPr>
          <w:i/>
          <w:kern w:val="0"/>
          <w:lang w:val="nl-NL" w:eastAsia="en-US" w:bidi="ar-SA"/>
        </w:rPr>
        <w:t>T.N.R.</w:t>
      </w:r>
      <w:r w:rsidRPr="00D147A7">
        <w:rPr>
          <w:kern w:val="0"/>
          <w:lang w:val="nl-NL" w:eastAsia="en-US" w:bidi="ar-SA"/>
        </w:rPr>
        <w:t>, 84 (1999), p. 17.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CALLENS, S., ‘De bewaring en vernietiging van medische dossiers na sluiting van een instel</w:t>
      </w:r>
      <w:r w:rsidR="00CA3838">
        <w:rPr>
          <w:kern w:val="0"/>
          <w:lang w:val="nl-NL" w:eastAsia="en-US" w:bidi="ar-SA"/>
        </w:rPr>
        <w:t>-</w:t>
      </w:r>
      <w:r w:rsidRPr="00D147A7">
        <w:rPr>
          <w:kern w:val="0"/>
          <w:lang w:val="nl-NL" w:eastAsia="en-US" w:bidi="ar-SA"/>
        </w:rPr>
        <w:t xml:space="preserve">ling’, </w:t>
      </w:r>
      <w:r w:rsidRPr="00D147A7">
        <w:rPr>
          <w:i/>
          <w:kern w:val="0"/>
          <w:lang w:val="nl-NL" w:eastAsia="en-US" w:bidi="ar-SA"/>
        </w:rPr>
        <w:t>T.N.R.</w:t>
      </w:r>
      <w:r w:rsidRPr="00D147A7">
        <w:rPr>
          <w:kern w:val="0"/>
          <w:lang w:val="nl-NL" w:eastAsia="en-US" w:bidi="ar-SA"/>
        </w:rPr>
        <w:t>, 104 (2004), p. 12-15.</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t>1.5.1.4 Krantenartikelen</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‘Kwart meer globaal medische dossiers op 2 jaar tijd’, </w:t>
      </w:r>
      <w:r w:rsidRPr="00D147A7">
        <w:rPr>
          <w:i/>
          <w:kern w:val="0"/>
          <w:lang w:val="nl-NL" w:eastAsia="en-US" w:bidi="ar-SA"/>
        </w:rPr>
        <w:t>De Standaard</w:t>
      </w:r>
      <w:r w:rsidRPr="00D147A7">
        <w:rPr>
          <w:kern w:val="0"/>
          <w:lang w:val="nl-NL" w:eastAsia="en-US" w:bidi="ar-SA"/>
        </w:rPr>
        <w:t>, 3 augustus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‘Remgeldverlaging herleidt huisartsgeneeskunde tot fastfood’, </w:t>
      </w:r>
      <w:r w:rsidRPr="00D147A7">
        <w:rPr>
          <w:i/>
          <w:kern w:val="0"/>
          <w:lang w:val="nl-NL" w:eastAsia="en-US" w:bidi="ar-SA"/>
        </w:rPr>
        <w:t>De Standaard</w:t>
      </w:r>
      <w:r w:rsidRPr="00D147A7">
        <w:rPr>
          <w:kern w:val="0"/>
          <w:lang w:val="nl-NL" w:eastAsia="en-US" w:bidi="ar-SA"/>
        </w:rPr>
        <w:t>, 10 november 2011.</w:t>
      </w:r>
    </w:p>
    <w:p w:rsidR="009931C7" w:rsidRPr="00D147A7" w:rsidRDefault="009931C7" w:rsidP="009931C7">
      <w:pPr>
        <w:widowControl/>
        <w:suppressAutoHyphens w:val="0"/>
        <w:spacing w:line="240" w:lineRule="atLeast"/>
        <w:ind w:firstLine="708"/>
        <w:jc w:val="both"/>
        <w:rPr>
          <w:b/>
          <w:kern w:val="0"/>
          <w:lang w:val="nl-NL" w:eastAsia="en-US" w:bidi="ar-SA"/>
        </w:rPr>
      </w:pP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t>1.5.1.5 Rechtsleer en literatuur</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‘Remgeldverlaging GMD [Globaal Medisch Dossier]’, </w:t>
      </w:r>
      <w:r w:rsidRPr="00D147A7">
        <w:rPr>
          <w:i/>
          <w:kern w:val="0"/>
          <w:lang w:val="nl-NL" w:eastAsia="en-US" w:bidi="ar-SA"/>
        </w:rPr>
        <w:t>N.J.W.</w:t>
      </w:r>
      <w:r w:rsidRPr="00D147A7">
        <w:rPr>
          <w:kern w:val="0"/>
          <w:lang w:val="nl-NL" w:eastAsia="en-US" w:bidi="ar-SA"/>
        </w:rPr>
        <w:t xml:space="preserve">, 252 (2011), p. 712.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BOONE, I.; LIERMAN, S. (reds.); </w:t>
      </w:r>
      <w:r w:rsidRPr="00D147A7">
        <w:rPr>
          <w:i/>
          <w:kern w:val="0"/>
          <w:lang w:val="nl-NL" w:eastAsia="en-US" w:bidi="ar-SA"/>
        </w:rPr>
        <w:t>Vergoeding van slachtoffers van medische ongevallen. Praktijkgerichte analyse van de wet van 31 maart 2010</w:t>
      </w:r>
      <w:r w:rsidRPr="00D147A7">
        <w:rPr>
          <w:kern w:val="0"/>
          <w:lang w:val="nl-NL" w:eastAsia="en-US" w:bidi="ar-SA"/>
        </w:rPr>
        <w:t>, Reeks Gezondheidsrecht, 1, Antwer</w:t>
      </w:r>
      <w:r w:rsidR="00CA3838">
        <w:rPr>
          <w:kern w:val="0"/>
          <w:lang w:val="nl-NL" w:eastAsia="en-US" w:bidi="ar-SA"/>
        </w:rPr>
        <w:t>-</w:t>
      </w:r>
      <w:r w:rsidRPr="00D147A7">
        <w:rPr>
          <w:kern w:val="0"/>
          <w:lang w:val="nl-NL" w:eastAsia="en-US" w:bidi="ar-SA"/>
        </w:rPr>
        <w:t>pen-Cambridge, Intersentia, 2011, 115p.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en-US" w:eastAsia="en-US" w:bidi="ar-SA"/>
        </w:rPr>
        <w:t xml:space="preserve">BOUDREZ, F.; DEKEYSER, H.; DUMORTIER, J.; </w:t>
      </w:r>
      <w:r w:rsidRPr="00D147A7">
        <w:rPr>
          <w:i/>
          <w:kern w:val="0"/>
          <w:lang w:val="en-US" w:eastAsia="en-US" w:bidi="ar-SA"/>
        </w:rPr>
        <w:t>Digital Archiving: the new challenge?</w:t>
      </w:r>
      <w:r w:rsidRPr="00D147A7">
        <w:rPr>
          <w:kern w:val="0"/>
          <w:lang w:val="en-US" w:eastAsia="en-US" w:bidi="ar-SA"/>
        </w:rPr>
        <w:t xml:space="preserve">, Mont Saint Guibert, IRIS, 2005, 133p. </w:t>
      </w:r>
      <w:r w:rsidRPr="00D147A7">
        <w:rPr>
          <w:kern w:val="0"/>
          <w:lang w:val="nl-NL" w:eastAsia="en-US" w:bidi="ar-SA"/>
        </w:rPr>
        <w:t>(</w:t>
      </w:r>
      <w:hyperlink r:id="rId35" w:history="1">
        <w:r w:rsidR="00DA36C8" w:rsidRPr="00D147A7">
          <w:rPr>
            <w:rStyle w:val="Hyperlink"/>
            <w:kern w:val="0"/>
            <w:lang w:val="nl-NL" w:eastAsia="en-US" w:bidi="ar-SA"/>
          </w:rPr>
          <w:t>http://www.edavid.be/docs/digitalarchiving_manual. 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BOUDREZ, F.; DROSSENS, P.; </w:t>
      </w:r>
      <w:r w:rsidRPr="00D147A7">
        <w:rPr>
          <w:i/>
          <w:kern w:val="0"/>
          <w:lang w:val="nl-NL" w:eastAsia="en-US" w:bidi="ar-SA"/>
        </w:rPr>
        <w:t>Substitutie: magda?</w:t>
      </w:r>
      <w:r w:rsidRPr="00D147A7">
        <w:rPr>
          <w:kern w:val="0"/>
          <w:lang w:val="nl-NL" w:eastAsia="en-US" w:bidi="ar-SA"/>
        </w:rPr>
        <w:t>, Antwerpen, 2010, 8p. (</w:t>
      </w:r>
      <w:hyperlink w:history="1">
        <w:r w:rsidR="00DA36C8" w:rsidRPr="00D147A7">
          <w:rPr>
            <w:rStyle w:val="Hyperlink"/>
            <w:kern w:val="0"/>
            <w:lang w:val="nl-NL" w:eastAsia="en-US" w:bidi="ar-SA"/>
          </w:rPr>
          <w:t>http://www. edavid.be/docs/Substitutie_MagDa.pdf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BLOCKX, F., ‘Over het eigendomsrecht van medische dossiers,… of toch niet? [noot bij Cass. 16 september 2008]’, </w:t>
      </w:r>
      <w:r w:rsidRPr="00D147A7">
        <w:rPr>
          <w:i/>
          <w:kern w:val="0"/>
          <w:lang w:val="nl-NL" w:eastAsia="en-US" w:bidi="ar-SA"/>
        </w:rPr>
        <w:t>T.Gez.</w:t>
      </w:r>
      <w:r w:rsidRPr="00D147A7">
        <w:rPr>
          <w:kern w:val="0"/>
          <w:lang w:val="nl-NL" w:eastAsia="en-US" w:bidi="ar-SA"/>
        </w:rPr>
        <w:t>, 2009-2010, p. 230-235.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nl-NL" w:eastAsia="en-US" w:bidi="ar-SA"/>
        </w:rPr>
        <w:lastRenderedPageBreak/>
        <w:t>BLOEM, D., ‘Le mineur d’âge et son dossier médical’, ALDEEB ABU-SAHLIEH, S.A.; BLOEM, D.; GERGELY, T.; GONSETTE, R.E.; GRIGORIEFF, G.V.; HENRY, P.; NAZA</w:t>
      </w:r>
      <w:r w:rsidR="00CA3838">
        <w:rPr>
          <w:kern w:val="0"/>
          <w:lang w:val="nl-NL" w:eastAsia="en-US" w:bidi="ar-SA"/>
        </w:rPr>
        <w:t>-</w:t>
      </w:r>
      <w:r w:rsidRPr="00D147A7">
        <w:rPr>
          <w:kern w:val="0"/>
          <w:lang w:val="nl-NL" w:eastAsia="en-US" w:bidi="ar-SA"/>
        </w:rPr>
        <w:t>RIAN, M.; THIRY, E.; RAVEZ, L.; ROGISTER, B.; VAN CROMBRUGGHE, N.; VER</w:t>
      </w:r>
      <w:r w:rsidR="00CA3838">
        <w:rPr>
          <w:kern w:val="0"/>
          <w:lang w:val="nl-NL" w:eastAsia="en-US" w:bidi="ar-SA"/>
        </w:rPr>
        <w:t>-</w:t>
      </w:r>
      <w:r w:rsidRPr="00D147A7">
        <w:rPr>
          <w:kern w:val="0"/>
          <w:lang w:val="nl-NL" w:eastAsia="en-US" w:bidi="ar-SA"/>
        </w:rPr>
        <w:t xml:space="preserve">MEULEN, A.; </w:t>
      </w:r>
      <w:r w:rsidRPr="00D147A7">
        <w:rPr>
          <w:i/>
          <w:kern w:val="0"/>
          <w:lang w:val="nl-NL" w:eastAsia="en-US" w:bidi="ar-SA"/>
        </w:rPr>
        <w:t xml:space="preserve">Médecine et droit. </w:t>
      </w:r>
      <w:r w:rsidRPr="00D147A7">
        <w:rPr>
          <w:i/>
          <w:kern w:val="0"/>
          <w:lang w:val="fr-BE" w:eastAsia="en-US" w:bidi="ar-SA"/>
        </w:rPr>
        <w:t>Questions d'actualité en droit médical et en bioéthique</w:t>
      </w:r>
      <w:r w:rsidRPr="00D147A7">
        <w:rPr>
          <w:kern w:val="0"/>
          <w:lang w:val="fr-BE" w:eastAsia="en-US" w:bidi="ar-SA"/>
        </w:rPr>
        <w:t>, Louvain-la-Neuve, Anthemis, 2007, p. 49-61.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CALLENS, S.; GOOSSENS, M.; CIERKENS, K.; ‘Omgaan met gegevens in de gezond</w:t>
      </w:r>
      <w:r w:rsidR="00CA3838">
        <w:rPr>
          <w:kern w:val="0"/>
          <w:lang w:val="nl-NL" w:eastAsia="en-US" w:bidi="ar-SA"/>
        </w:rPr>
        <w:t>-</w:t>
      </w:r>
      <w:r w:rsidRPr="00D147A7">
        <w:rPr>
          <w:kern w:val="0"/>
          <w:lang w:val="nl-NL" w:eastAsia="en-US" w:bidi="ar-SA"/>
        </w:rPr>
        <w:t xml:space="preserve">heidszorg’, CALLENS, S.; PEERS, J. (reds.); </w:t>
      </w:r>
      <w:r w:rsidRPr="00D147A7">
        <w:rPr>
          <w:i/>
          <w:kern w:val="0"/>
          <w:lang w:val="nl-NL" w:eastAsia="en-US" w:bidi="ar-SA"/>
        </w:rPr>
        <w:t>Organisatie van de gezondheidszorg</w:t>
      </w:r>
      <w:r w:rsidRPr="00D147A7">
        <w:rPr>
          <w:kern w:val="0"/>
          <w:lang w:val="nl-NL" w:eastAsia="en-US" w:bidi="ar-SA"/>
        </w:rPr>
        <w:t>, Antwer</w:t>
      </w:r>
      <w:r w:rsidR="00CA3838">
        <w:rPr>
          <w:kern w:val="0"/>
          <w:lang w:val="nl-NL" w:eastAsia="en-US" w:bidi="ar-SA"/>
        </w:rPr>
        <w:t>-</w:t>
      </w:r>
      <w:r w:rsidRPr="00D147A7">
        <w:rPr>
          <w:kern w:val="0"/>
          <w:lang w:val="nl-NL" w:eastAsia="en-US" w:bidi="ar-SA"/>
        </w:rPr>
        <w:t>pen-Oxford, Intersentia, 2008², p. 289-375 (nrs. 721-941).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CLEPKENS, C., ‘Overhandigen van medische gegevens uit het RVT-dossier’, WOSTYN, L.; BOUCQUEY, K.; SCHOUCKAERT, F. (reds.); </w:t>
      </w:r>
      <w:r w:rsidRPr="00D147A7">
        <w:rPr>
          <w:i/>
          <w:kern w:val="0"/>
          <w:lang w:val="nl-NL" w:eastAsia="en-US" w:bidi="ar-SA"/>
        </w:rPr>
        <w:t>Overhandigen medische gegevens</w:t>
      </w:r>
      <w:r w:rsidRPr="00D147A7">
        <w:rPr>
          <w:kern w:val="0"/>
          <w:lang w:val="nl-NL" w:eastAsia="en-US" w:bidi="ar-SA"/>
        </w:rPr>
        <w:t>, Gent, Academia Press, 2009², p. 179-182.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CORNELIS, L.; SIMONT, L.; ‘Bewijsrecht en Technologische Evolutie: enkele overweging</w:t>
      </w:r>
      <w:r w:rsidR="00CA3838">
        <w:rPr>
          <w:kern w:val="0"/>
          <w:lang w:val="nl-NL" w:eastAsia="en-US" w:bidi="ar-SA"/>
        </w:rPr>
        <w:t>-</w:t>
      </w:r>
      <w:r w:rsidRPr="00D147A7">
        <w:rPr>
          <w:kern w:val="0"/>
          <w:lang w:val="nl-NL" w:eastAsia="en-US" w:bidi="ar-SA"/>
        </w:rPr>
        <w:t xml:space="preserve">en’, DE VROEDE, P. (red.), </w:t>
      </w:r>
      <w:r w:rsidRPr="00D147A7">
        <w:rPr>
          <w:i/>
          <w:kern w:val="0"/>
          <w:lang w:val="nl-NL" w:eastAsia="en-US" w:bidi="ar-SA"/>
        </w:rPr>
        <w:t>Technologie en Recht</w:t>
      </w:r>
      <w:r w:rsidRPr="00D147A7">
        <w:rPr>
          <w:kern w:val="0"/>
          <w:lang w:val="nl-NL" w:eastAsia="en-US" w:bidi="ar-SA"/>
        </w:rPr>
        <w:t>, Antwerpen, Kluwer, 1987, p. 135-176.</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DALCQ, R., ‘Expertises civiles et secret professionnel des médecins’, </w:t>
      </w:r>
      <w:r w:rsidRPr="00D147A7">
        <w:rPr>
          <w:i/>
          <w:kern w:val="0"/>
          <w:lang w:val="fr-BE" w:eastAsia="en-US" w:bidi="ar-SA"/>
        </w:rPr>
        <w:t>Liber Amicorum E. Krings</w:t>
      </w:r>
      <w:r w:rsidRPr="00D147A7">
        <w:rPr>
          <w:kern w:val="0"/>
          <w:lang w:val="fr-BE" w:eastAsia="en-US" w:bidi="ar-SA"/>
        </w:rPr>
        <w:t xml:space="preserve">, Gent, Story-Scientia, 1991, p. 495-509. </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DALCQ, R.; SCHAMPS, G.; ‘Examen de jurisprudence (1987 à 1993). La responsabilité dé</w:t>
      </w:r>
      <w:r w:rsidR="00CA3838">
        <w:rPr>
          <w:kern w:val="0"/>
          <w:lang w:val="fr-BE" w:eastAsia="en-US" w:bidi="ar-SA"/>
        </w:rPr>
        <w:t>-</w:t>
      </w:r>
      <w:r w:rsidRPr="00D147A7">
        <w:rPr>
          <w:kern w:val="0"/>
          <w:lang w:val="fr-BE" w:eastAsia="en-US" w:bidi="ar-SA"/>
        </w:rPr>
        <w:t xml:space="preserve">lictuelle et quasi délictuelle’, </w:t>
      </w:r>
      <w:r w:rsidRPr="00D147A7">
        <w:rPr>
          <w:i/>
          <w:kern w:val="0"/>
          <w:lang w:val="fr-BE" w:eastAsia="en-US" w:bidi="ar-SA"/>
        </w:rPr>
        <w:t>R.C.J.B.</w:t>
      </w:r>
      <w:r w:rsidRPr="00D147A7">
        <w:rPr>
          <w:kern w:val="0"/>
          <w:lang w:val="fr-BE" w:eastAsia="en-US" w:bidi="ar-SA"/>
        </w:rPr>
        <w:t>, 1995, p. 525-638 en p. 663-777.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BRUYCKERE, L., ‘[De rechtsverhouding tussen patiënt en ziekenhuis]’, </w:t>
      </w:r>
      <w:r w:rsidRPr="00D147A7">
        <w:rPr>
          <w:i/>
          <w:kern w:val="0"/>
          <w:lang w:val="nl-NL" w:eastAsia="en-US" w:bidi="ar-SA"/>
        </w:rPr>
        <w:t>T.Gez.</w:t>
      </w:r>
      <w:r w:rsidRPr="00D147A7">
        <w:rPr>
          <w:kern w:val="0"/>
          <w:lang w:val="nl-NL" w:eastAsia="en-US" w:bidi="ar-SA"/>
        </w:rPr>
        <w:t>, 1999-2000, p. 293-294.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KEZEL, E., ‘Derde keer goede keer: nieuwe regeling vergoeding medische schade’, </w:t>
      </w:r>
      <w:r w:rsidRPr="00D147A7">
        <w:rPr>
          <w:i/>
          <w:kern w:val="0"/>
          <w:lang w:val="nl-NL" w:eastAsia="en-US" w:bidi="ar-SA"/>
        </w:rPr>
        <w:t>Ju</w:t>
      </w:r>
      <w:r w:rsidR="00CA3838">
        <w:rPr>
          <w:i/>
          <w:kern w:val="0"/>
          <w:lang w:val="nl-NL" w:eastAsia="en-US" w:bidi="ar-SA"/>
        </w:rPr>
        <w:t>-</w:t>
      </w:r>
      <w:r w:rsidRPr="00D147A7">
        <w:rPr>
          <w:i/>
          <w:kern w:val="0"/>
          <w:lang w:val="nl-NL" w:eastAsia="en-US" w:bidi="ar-SA"/>
        </w:rPr>
        <w:t>ristenkrant</w:t>
      </w:r>
      <w:r w:rsidRPr="00D147A7">
        <w:rPr>
          <w:kern w:val="0"/>
          <w:lang w:val="nl-NL" w:eastAsia="en-US" w:bidi="ar-SA"/>
        </w:rPr>
        <w:t xml:space="preserve">, 210 (2010), p. 4.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DHONT, J.; POULLET, Y.; ‘Het Algemeen Medisch Dossier: een correcte afweging tussen staatsefficiëntie en de vrijheid van de zorgverlener en de privacy van de patiënt?’, </w:t>
      </w:r>
      <w:r w:rsidRPr="00D147A7">
        <w:rPr>
          <w:i/>
          <w:kern w:val="0"/>
          <w:lang w:val="nl-NL" w:eastAsia="en-US" w:bidi="ar-SA"/>
        </w:rPr>
        <w:t>T.Gez.</w:t>
      </w:r>
      <w:r w:rsidRPr="00D147A7">
        <w:rPr>
          <w:kern w:val="0"/>
          <w:lang w:val="nl-NL" w:eastAsia="en-US" w:bidi="ar-SA"/>
        </w:rPr>
        <w:t>, 1999-2000, p. 246-254.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DIRIX, E.; TILLEMAN, B.; VAN ORSHOVEN, P. (reds.); </w:t>
      </w:r>
      <w:r w:rsidRPr="00D147A7">
        <w:rPr>
          <w:i/>
          <w:kern w:val="0"/>
          <w:lang w:val="nl-NL" w:eastAsia="en-US" w:bidi="ar-SA"/>
        </w:rPr>
        <w:t>De Valks Juridisch Woorden</w:t>
      </w:r>
      <w:r w:rsidR="00CA3838">
        <w:rPr>
          <w:i/>
          <w:kern w:val="0"/>
          <w:lang w:val="nl-NL" w:eastAsia="en-US" w:bidi="ar-SA"/>
        </w:rPr>
        <w:t>-</w:t>
      </w:r>
      <w:r w:rsidRPr="00D147A7">
        <w:rPr>
          <w:i/>
          <w:kern w:val="0"/>
          <w:lang w:val="nl-NL" w:eastAsia="en-US" w:bidi="ar-SA"/>
        </w:rPr>
        <w:t>boek</w:t>
      </w:r>
      <w:r w:rsidRPr="00D147A7">
        <w:rPr>
          <w:kern w:val="0"/>
          <w:lang w:val="nl-NL" w:eastAsia="en-US" w:bidi="ar-SA"/>
        </w:rPr>
        <w:t>, Antwerpen-Oxford, Intersentia, 2010³, 621p.</w:t>
      </w:r>
    </w:p>
    <w:p w:rsidR="009931C7" w:rsidRPr="00D147A7" w:rsidRDefault="009931C7" w:rsidP="009931C7">
      <w:pPr>
        <w:widowControl/>
        <w:suppressAutoHyphens w:val="0"/>
        <w:spacing w:line="240" w:lineRule="atLeast"/>
        <w:jc w:val="both"/>
        <w:rPr>
          <w:color w:val="00B0F0"/>
          <w:kern w:val="0"/>
          <w:lang w:val="fr-BE" w:eastAsia="en-US" w:bidi="ar-SA"/>
        </w:rPr>
      </w:pPr>
      <w:r w:rsidRPr="00D147A7">
        <w:rPr>
          <w:kern w:val="0"/>
          <w:lang w:val="fr-BE" w:eastAsia="en-US" w:bidi="ar-SA"/>
        </w:rPr>
        <w:t xml:space="preserve">GENICOT, G., </w:t>
      </w:r>
      <w:r w:rsidRPr="00D147A7">
        <w:rPr>
          <w:i/>
          <w:kern w:val="0"/>
          <w:lang w:val="fr-BE" w:eastAsia="en-US" w:bidi="ar-SA"/>
        </w:rPr>
        <w:t>Droit médical et biomédical</w:t>
      </w:r>
      <w:r w:rsidRPr="00D147A7">
        <w:rPr>
          <w:kern w:val="0"/>
          <w:lang w:val="fr-BE" w:eastAsia="en-US" w:bidi="ar-SA"/>
        </w:rPr>
        <w:t>, Collection de la Faculté de droit de l’Université de Liège, Brussel, Larcier, 2010, 864p.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GOFFIN, T., </w:t>
      </w:r>
      <w:r w:rsidRPr="00D147A7">
        <w:rPr>
          <w:i/>
          <w:kern w:val="0"/>
          <w:lang w:val="nl-NL" w:eastAsia="en-US" w:bidi="ar-SA"/>
        </w:rPr>
        <w:t>De professionele autonomie van de arts. De rechtspositie van de arts in de arts-patiëntenrelatie</w:t>
      </w:r>
      <w:r w:rsidRPr="00D147A7">
        <w:rPr>
          <w:kern w:val="0"/>
          <w:lang w:val="nl-NL" w:eastAsia="en-US" w:bidi="ar-SA"/>
        </w:rPr>
        <w:t xml:space="preserve">, Medisch Recht, Brugge, die Keure, 2011, 494p.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GULDIX, E., ‘Eigendom in het medisch recht’, </w:t>
      </w:r>
      <w:r w:rsidRPr="00D147A7">
        <w:rPr>
          <w:i/>
          <w:kern w:val="0"/>
          <w:lang w:val="nl-NL" w:eastAsia="en-US" w:bidi="ar-SA"/>
        </w:rPr>
        <w:t>R.W.</w:t>
      </w:r>
      <w:r w:rsidRPr="00D147A7">
        <w:rPr>
          <w:kern w:val="0"/>
          <w:lang w:val="nl-NL" w:eastAsia="en-US" w:bidi="ar-SA"/>
        </w:rPr>
        <w:t>, 1983-1984, k. 3065-3067.</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KIGANAHE, D.; POULLET, Y. (reds.); </w:t>
      </w:r>
      <w:r w:rsidRPr="00D147A7">
        <w:rPr>
          <w:i/>
          <w:kern w:val="0"/>
          <w:lang w:val="fr-BE" w:eastAsia="en-US" w:bidi="ar-SA"/>
        </w:rPr>
        <w:t>Le secret professionel</w:t>
      </w:r>
      <w:r w:rsidRPr="00D147A7">
        <w:rPr>
          <w:kern w:val="0"/>
          <w:lang w:val="fr-BE" w:eastAsia="en-US" w:bidi="ar-SA"/>
        </w:rPr>
        <w:t>, Brussel, La Charte, 2002, 285p.</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LAMBERT, P., ‘Secret professionnel’, BRUNET, E.; RIGAUX, M.F.; RESTEAU, C. (reds.); </w:t>
      </w:r>
      <w:r w:rsidRPr="00D147A7">
        <w:rPr>
          <w:i/>
          <w:kern w:val="0"/>
          <w:lang w:val="fr-BE" w:eastAsia="en-US" w:bidi="ar-SA"/>
        </w:rPr>
        <w:t>Répertoire pratique du droit belge: législation, doctrine et jurisprudence</w:t>
      </w:r>
      <w:r w:rsidRPr="00D147A7">
        <w:rPr>
          <w:kern w:val="0"/>
          <w:lang w:val="fr-BE" w:eastAsia="en-US" w:bidi="ar-SA"/>
        </w:rPr>
        <w:t>, X, Brussel, Bruy</w:t>
      </w:r>
      <w:r w:rsidR="00CA3838">
        <w:rPr>
          <w:kern w:val="0"/>
          <w:lang w:val="fr-BE" w:eastAsia="en-US" w:bidi="ar-SA"/>
        </w:rPr>
        <w:t>-</w:t>
      </w:r>
      <w:r w:rsidRPr="00D147A7">
        <w:rPr>
          <w:kern w:val="0"/>
          <w:lang w:val="fr-BE" w:eastAsia="en-US" w:bidi="ar-SA"/>
        </w:rPr>
        <w:t>lant, 2007, p. 621-758.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LAURENT, P.; ARMESTO, L.; ‘The intellectual property of medical data: copyrights to pa</w:t>
      </w:r>
      <w:r w:rsidR="00CA3838">
        <w:rPr>
          <w:kern w:val="0"/>
          <w:lang w:val="fr-BE" w:eastAsia="en-US" w:bidi="ar-SA"/>
        </w:rPr>
        <w:t>-</w:t>
      </w:r>
      <w:r w:rsidRPr="00D147A7">
        <w:rPr>
          <w:kern w:val="0"/>
          <w:lang w:val="fr-BE" w:eastAsia="en-US" w:bidi="ar-SA"/>
        </w:rPr>
        <w:t>tients</w:t>
      </w:r>
      <w:r w:rsidR="00CA3838">
        <w:rPr>
          <w:kern w:val="0"/>
          <w:lang w:val="fr-BE" w:eastAsia="en-US" w:bidi="ar-SA"/>
        </w:rPr>
        <w:t>’</w:t>
      </w:r>
      <w:r w:rsidRPr="00D147A7">
        <w:rPr>
          <w:kern w:val="0"/>
          <w:lang w:val="fr-BE" w:eastAsia="en-US" w:bidi="ar-SA"/>
        </w:rPr>
        <w:t xml:space="preserve"> records and database rights to biobanks?’, HERVEG, J. (red.), </w:t>
      </w:r>
      <w:r w:rsidRPr="00D147A7">
        <w:rPr>
          <w:i/>
          <w:kern w:val="0"/>
          <w:lang w:val="fr-BE" w:eastAsia="en-US" w:bidi="ar-SA"/>
        </w:rPr>
        <w:t>La protection des don</w:t>
      </w:r>
      <w:r w:rsidR="00CA3838">
        <w:rPr>
          <w:i/>
          <w:kern w:val="0"/>
          <w:lang w:val="fr-BE" w:eastAsia="en-US" w:bidi="ar-SA"/>
        </w:rPr>
        <w:t>-</w:t>
      </w:r>
      <w:r w:rsidRPr="00D147A7">
        <w:rPr>
          <w:i/>
          <w:kern w:val="0"/>
          <w:lang w:val="fr-BE" w:eastAsia="en-US" w:bidi="ar-SA"/>
        </w:rPr>
        <w:t>nées médicales: les défis du XXIe siècle</w:t>
      </w:r>
      <w:r w:rsidRPr="00D147A7">
        <w:rPr>
          <w:kern w:val="0"/>
          <w:lang w:val="fr-BE" w:eastAsia="en-US" w:bidi="ar-SA"/>
        </w:rPr>
        <w:t>, Louvain-la-Neuve, Anthemis, 2008, p. 153-185.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LELEU, Y.H.; GENICOT, G.; </w:t>
      </w:r>
      <w:r w:rsidRPr="00D147A7">
        <w:rPr>
          <w:i/>
          <w:kern w:val="0"/>
          <w:lang w:val="fr-BE" w:eastAsia="en-US" w:bidi="ar-SA"/>
        </w:rPr>
        <w:t>Le droit médical. Aspects juridiques de la relation médecin-patient</w:t>
      </w:r>
      <w:r w:rsidRPr="00D147A7">
        <w:rPr>
          <w:kern w:val="0"/>
          <w:lang w:val="fr-BE" w:eastAsia="en-US" w:bidi="ar-SA"/>
        </w:rPr>
        <w:t>, Brussel, De Boeck &amp; Larcier, 2001, 243p.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MEIRESONNE, A., </w:t>
      </w:r>
      <w:r w:rsidRPr="00D147A7">
        <w:rPr>
          <w:i/>
          <w:kern w:val="0"/>
          <w:lang w:val="nl-NL" w:eastAsia="en-US" w:bidi="ar-SA"/>
        </w:rPr>
        <w:t>Het medisch archief. Casus Universitair Ziekenhuis Brugmann – Univer</w:t>
      </w:r>
      <w:r w:rsidR="00CA3838">
        <w:rPr>
          <w:i/>
          <w:kern w:val="0"/>
          <w:lang w:val="nl-NL" w:eastAsia="en-US" w:bidi="ar-SA"/>
        </w:rPr>
        <w:t>-</w:t>
      </w:r>
      <w:r w:rsidRPr="00D147A7">
        <w:rPr>
          <w:i/>
          <w:kern w:val="0"/>
          <w:lang w:val="nl-NL" w:eastAsia="en-US" w:bidi="ar-SA"/>
        </w:rPr>
        <w:t>sitair Kinderziekenhuis Koningin Fabiola</w:t>
      </w:r>
      <w:r w:rsidRPr="00D147A7">
        <w:rPr>
          <w:kern w:val="0"/>
          <w:lang w:val="nl-NL" w:eastAsia="en-US" w:bidi="ar-SA"/>
        </w:rPr>
        <w:t>, onuitgeg. eindverhandeling, Archivistiek en He</w:t>
      </w:r>
      <w:r w:rsidR="00CA3838">
        <w:rPr>
          <w:kern w:val="0"/>
          <w:lang w:val="nl-NL" w:eastAsia="en-US" w:bidi="ar-SA"/>
        </w:rPr>
        <w:t>-</w:t>
      </w:r>
      <w:r w:rsidRPr="00D147A7">
        <w:rPr>
          <w:kern w:val="0"/>
          <w:lang w:val="nl-NL" w:eastAsia="en-US" w:bidi="ar-SA"/>
        </w:rPr>
        <w:t xml:space="preserve">dendaags Documentbeheer, Vrije Universiteit Brussel, promotor prof. dr. J. Verhelst, 1992-1993.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MEIRESONNE, A., ‘Het medisch archief. Casus: campus Brugman’, BAERTEN, J.; SCHEELINGS, F.; VERHELST, J. (reds.); </w:t>
      </w:r>
      <w:r w:rsidRPr="00D147A7">
        <w:rPr>
          <w:i/>
          <w:iCs/>
          <w:kern w:val="0"/>
          <w:lang w:val="nl-NL" w:eastAsia="en-US" w:bidi="ar-SA"/>
        </w:rPr>
        <w:t>Door de archivistiek gestrikt. Archiefinitiatie(f) 3. Besparen door degelijk archief- en documentbeheer</w:t>
      </w:r>
      <w:r w:rsidRPr="00D147A7">
        <w:rPr>
          <w:kern w:val="0"/>
          <w:lang w:val="nl-NL" w:eastAsia="en-US" w:bidi="ar-SA"/>
        </w:rPr>
        <w:t>, Brussel, VUBPress, 1996, p. 121-130.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MEIRESONNE, A., ‘Records management op de Campus Brugmann: het patiëntendossier’, BAERTEN, J.; SCHEELINGS, F.; VERHELST, J. (reds.); </w:t>
      </w:r>
      <w:r w:rsidRPr="00D147A7">
        <w:rPr>
          <w:i/>
          <w:iCs/>
          <w:kern w:val="0"/>
          <w:lang w:val="nl-NL" w:eastAsia="en-US" w:bidi="ar-SA"/>
        </w:rPr>
        <w:t xml:space="preserve">Door de archivistiek gestrikt. </w:t>
      </w:r>
      <w:r w:rsidRPr="00D147A7">
        <w:rPr>
          <w:i/>
          <w:iCs/>
          <w:kern w:val="0"/>
          <w:lang w:val="nl-NL" w:eastAsia="en-US" w:bidi="ar-SA"/>
        </w:rPr>
        <w:lastRenderedPageBreak/>
        <w:t>Archiefinitiatie(f) 4. Liber amicorum prof. dr. Juul Verhelst</w:t>
      </w:r>
      <w:r w:rsidRPr="00D147A7">
        <w:rPr>
          <w:kern w:val="0"/>
          <w:lang w:val="nl-NL" w:eastAsia="en-US" w:bidi="ar-SA"/>
        </w:rPr>
        <w:t>, Brussel, VUBPress, 2000, p. 171-180.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MORBE, E., </w:t>
      </w:r>
      <w:r w:rsidRPr="00D147A7">
        <w:rPr>
          <w:i/>
          <w:kern w:val="0"/>
          <w:lang w:val="nl-NL" w:eastAsia="en-US" w:bidi="ar-SA"/>
        </w:rPr>
        <w:t>Vergoeding van schade als gevolg van gezondheidszorg</w:t>
      </w:r>
      <w:r w:rsidRPr="00D147A7">
        <w:rPr>
          <w:kern w:val="0"/>
          <w:lang w:val="nl-NL" w:eastAsia="en-US" w:bidi="ar-SA"/>
        </w:rPr>
        <w:t xml:space="preserve">, Kortrijk-Heule, UGA, 2012, 118p. </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MOUGENOT, B., </w:t>
      </w:r>
      <w:r w:rsidRPr="00D147A7">
        <w:rPr>
          <w:i/>
          <w:kern w:val="0"/>
          <w:lang w:val="fr-BE" w:eastAsia="en-US" w:bidi="ar-SA"/>
        </w:rPr>
        <w:t>Droit des obligations. La preuve</w:t>
      </w:r>
      <w:r w:rsidRPr="00D147A7">
        <w:rPr>
          <w:kern w:val="0"/>
          <w:lang w:val="fr-BE" w:eastAsia="en-US" w:bidi="ar-SA"/>
        </w:rPr>
        <w:t>, Brussel, Larcier, 2002³, 421p.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NUYTTENS, M., </w:t>
      </w:r>
      <w:r w:rsidRPr="00D147A7">
        <w:rPr>
          <w:i/>
          <w:kern w:val="0"/>
          <w:lang w:val="nl-NL" w:eastAsia="en-US" w:bidi="ar-SA"/>
        </w:rPr>
        <w:t>Inspectieverslag betreffende het archief van openbare ziekenhuizen in de provincie West-Vlaanderen. Met voorstel van richtlijnen voor het beheer en de selectie van ziekenhuisarchieven</w:t>
      </w:r>
      <w:r w:rsidRPr="00D147A7">
        <w:rPr>
          <w:kern w:val="0"/>
          <w:lang w:val="nl-NL" w:eastAsia="en-US" w:bidi="ar-SA"/>
        </w:rPr>
        <w:t>, Miscellanea Archivistica Studia, 165, Brussel, Algemeen Rijksarchief, 2005, 77p.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NYS, H., ‘Gezondheidsrecht’, DECOCK, G.; D’HANIS, H.; JANSSENS, V.; NYS, H.; PEE</w:t>
      </w:r>
      <w:r w:rsidR="00CA3838">
        <w:rPr>
          <w:kern w:val="0"/>
          <w:lang w:val="nl-NL" w:eastAsia="en-US" w:bidi="ar-SA"/>
        </w:rPr>
        <w:t>-</w:t>
      </w:r>
      <w:r w:rsidRPr="00D147A7">
        <w:rPr>
          <w:kern w:val="0"/>
          <w:lang w:val="nl-NL" w:eastAsia="en-US" w:bidi="ar-SA"/>
        </w:rPr>
        <w:t xml:space="preserve">TERS, E.; VANCORENLAND, K.; VANDE MOORTEL, J.; </w:t>
      </w:r>
      <w:r w:rsidRPr="00D147A7">
        <w:rPr>
          <w:i/>
          <w:kern w:val="0"/>
          <w:lang w:val="nl-NL" w:eastAsia="en-US" w:bidi="ar-SA"/>
        </w:rPr>
        <w:t>Recht voor verpleegkundigen en vroedvrouwen</w:t>
      </w:r>
      <w:r w:rsidRPr="00D147A7">
        <w:rPr>
          <w:kern w:val="0"/>
          <w:lang w:val="nl-NL" w:eastAsia="en-US" w:bidi="ar-SA"/>
        </w:rPr>
        <w:t>, Mechelen, Kluwer, 2011</w:t>
      </w:r>
      <w:r w:rsidRPr="00D147A7">
        <w:rPr>
          <w:kern w:val="0"/>
          <w:vertAlign w:val="superscript"/>
          <w:lang w:val="nl-NL" w:eastAsia="en-US" w:bidi="ar-SA"/>
        </w:rPr>
        <w:t>10</w:t>
      </w:r>
      <w:r w:rsidRPr="00D147A7">
        <w:rPr>
          <w:kern w:val="0"/>
          <w:lang w:val="nl-NL" w:eastAsia="en-US" w:bidi="ar-SA"/>
        </w:rPr>
        <w:t>, p. 393-440.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NYS, H., ‘Eigendom in het medisch recht’, </w:t>
      </w:r>
      <w:r w:rsidRPr="00D147A7">
        <w:rPr>
          <w:i/>
          <w:kern w:val="0"/>
          <w:lang w:val="nl-NL" w:eastAsia="en-US" w:bidi="ar-SA"/>
        </w:rPr>
        <w:t>R.W.</w:t>
      </w:r>
      <w:r w:rsidRPr="00D147A7">
        <w:rPr>
          <w:kern w:val="0"/>
          <w:lang w:val="nl-NL" w:eastAsia="en-US" w:bidi="ar-SA"/>
        </w:rPr>
        <w:t>, 1983-1984, k. 2357-2374.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NYS, H., </w:t>
      </w:r>
      <w:r w:rsidRPr="00D147A7">
        <w:rPr>
          <w:i/>
          <w:kern w:val="0"/>
          <w:lang w:val="nl-NL" w:eastAsia="en-US" w:bidi="ar-SA"/>
        </w:rPr>
        <w:t>Geneeskunde – Recht en Medisch Handelen</w:t>
      </w:r>
      <w:r w:rsidRPr="00D147A7">
        <w:rPr>
          <w:kern w:val="0"/>
          <w:lang w:val="nl-NL" w:eastAsia="en-US" w:bidi="ar-SA"/>
        </w:rPr>
        <w:t xml:space="preserve">, Gent, Story-Scientia, 2005, 714p.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NYS, H.; NYS, H.; </w:t>
      </w:r>
      <w:r w:rsidRPr="00D147A7">
        <w:rPr>
          <w:i/>
          <w:kern w:val="0"/>
          <w:lang w:val="nl-NL" w:eastAsia="en-US" w:bidi="ar-SA"/>
        </w:rPr>
        <w:t>Nieuwe wetgeving inzake de vergoeding van schade als gevolg van ge</w:t>
      </w:r>
      <w:r w:rsidR="00CA3838">
        <w:rPr>
          <w:i/>
          <w:kern w:val="0"/>
          <w:lang w:val="nl-NL" w:eastAsia="en-US" w:bidi="ar-SA"/>
        </w:rPr>
        <w:t>-</w:t>
      </w:r>
      <w:r w:rsidRPr="00D147A7">
        <w:rPr>
          <w:i/>
          <w:kern w:val="0"/>
          <w:lang w:val="nl-NL" w:eastAsia="en-US" w:bidi="ar-SA"/>
        </w:rPr>
        <w:t>zondheidszorg</w:t>
      </w:r>
      <w:r w:rsidRPr="00D147A7">
        <w:rPr>
          <w:kern w:val="0"/>
          <w:lang w:val="nl-NL" w:eastAsia="en-US" w:bidi="ar-SA"/>
        </w:rPr>
        <w:t>, Mechelen, Kluwer, 2010, 275p.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NYS, H., ‘Schade als gevolg van gezondheidszorg in de wet van 31 maart 2010’, NYS, H.; CALLENS, S.; </w:t>
      </w:r>
      <w:r w:rsidRPr="00D147A7">
        <w:rPr>
          <w:i/>
          <w:kern w:val="0"/>
          <w:lang w:val="nl-NL" w:eastAsia="en-US" w:bidi="ar-SA"/>
        </w:rPr>
        <w:t>Medisch recht</w:t>
      </w:r>
      <w:r w:rsidRPr="00D147A7">
        <w:rPr>
          <w:kern w:val="0"/>
          <w:lang w:val="nl-NL" w:eastAsia="en-US" w:bidi="ar-SA"/>
        </w:rPr>
        <w:t>, Themis. School voor postacademische juridische vorming. Vormingsonderdeel, 63, Brugge, die Keure, 2011, p. 1-14.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NYS, H., </w:t>
      </w:r>
      <w:r w:rsidRPr="00D147A7">
        <w:rPr>
          <w:i/>
          <w:kern w:val="0"/>
          <w:lang w:val="nl-NL" w:eastAsia="en-US" w:bidi="ar-SA"/>
        </w:rPr>
        <w:t>Recht en bio-ethiek. Wegwijs voor mensen in de gezondheidszorg</w:t>
      </w:r>
      <w:r w:rsidRPr="00D147A7">
        <w:rPr>
          <w:kern w:val="0"/>
          <w:lang w:val="nl-NL" w:eastAsia="en-US" w:bidi="ar-SA"/>
        </w:rPr>
        <w:t>, Tielt, Lannoo Campus, 2010, 277p.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NYS, H., ‘De wet van 29 april 1999 betreffende de uitoefening van niet-conventionele prak</w:t>
      </w:r>
      <w:r w:rsidR="007E429E">
        <w:rPr>
          <w:kern w:val="0"/>
          <w:lang w:val="nl-NL" w:eastAsia="en-US" w:bidi="ar-SA"/>
        </w:rPr>
        <w:t>-</w:t>
      </w:r>
      <w:r w:rsidRPr="00D147A7">
        <w:rPr>
          <w:kern w:val="0"/>
          <w:lang w:val="nl-NL" w:eastAsia="en-US" w:bidi="ar-SA"/>
        </w:rPr>
        <w:t xml:space="preserve">tijken inzake de geneeskunde’, </w:t>
      </w:r>
      <w:r w:rsidRPr="00D147A7">
        <w:rPr>
          <w:i/>
          <w:kern w:val="0"/>
          <w:lang w:val="nl-NL" w:eastAsia="en-US" w:bidi="ar-SA"/>
        </w:rPr>
        <w:t>R.W.</w:t>
      </w:r>
      <w:r w:rsidRPr="00D147A7">
        <w:rPr>
          <w:kern w:val="0"/>
          <w:lang w:val="nl-NL" w:eastAsia="en-US" w:bidi="ar-SA"/>
        </w:rPr>
        <w:t>, 1999-2000, 22, k. 729-737.</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OMRANI, F., ‘Vie privée – Propriété intellectuelle. L’affrontement est-il possible dans un contexte médical?’, </w:t>
      </w:r>
      <w:r w:rsidRPr="00D147A7">
        <w:rPr>
          <w:i/>
          <w:kern w:val="0"/>
          <w:lang w:val="fr-BE" w:eastAsia="en-US" w:bidi="ar-SA"/>
        </w:rPr>
        <w:t>R.D.T.I.</w:t>
      </w:r>
      <w:r w:rsidRPr="00D147A7">
        <w:rPr>
          <w:kern w:val="0"/>
          <w:lang w:val="fr-BE" w:eastAsia="en-US" w:bidi="ar-SA"/>
        </w:rPr>
        <w:t>, 2010, 38, p. 31-53.</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POULLET, Y., ‘À propos de la propriété du dossier médical… Quelques considérations au</w:t>
      </w:r>
      <w:r w:rsidR="007E429E">
        <w:rPr>
          <w:kern w:val="0"/>
          <w:lang w:val="fr-BE" w:eastAsia="en-US" w:bidi="ar-SA"/>
        </w:rPr>
        <w:t>-</w:t>
      </w:r>
      <w:r w:rsidRPr="00D147A7">
        <w:rPr>
          <w:kern w:val="0"/>
          <w:lang w:val="fr-BE" w:eastAsia="en-US" w:bidi="ar-SA"/>
        </w:rPr>
        <w:t>tour des notions de proriété, droits subjectifs et intérets’, VUYE, H.; WERY, P.; KOKELEN</w:t>
      </w:r>
      <w:r w:rsidR="007E429E">
        <w:rPr>
          <w:kern w:val="0"/>
          <w:lang w:val="fr-BE" w:eastAsia="en-US" w:bidi="ar-SA"/>
        </w:rPr>
        <w:t>-</w:t>
      </w:r>
      <w:r w:rsidRPr="00D147A7">
        <w:rPr>
          <w:kern w:val="0"/>
          <w:lang w:val="fr-BE" w:eastAsia="en-US" w:bidi="ar-SA"/>
        </w:rPr>
        <w:t xml:space="preserve">BERG, J.; VAN NESTE, F. (reds.); </w:t>
      </w:r>
      <w:r w:rsidRPr="00D147A7">
        <w:rPr>
          <w:i/>
          <w:kern w:val="0"/>
          <w:lang w:val="fr-BE" w:eastAsia="en-US" w:bidi="ar-SA"/>
        </w:rPr>
        <w:t>Eigendom/Propriété</w:t>
      </w:r>
      <w:r w:rsidRPr="00D147A7">
        <w:rPr>
          <w:kern w:val="0"/>
          <w:lang w:val="fr-BE" w:eastAsia="en-US" w:bidi="ar-SA"/>
        </w:rPr>
        <w:t>, Brugge, die Keure, 1995, p. 301-319.</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RYCKMANS, X.; MEERT-VAN DE PUT, R., </w:t>
      </w:r>
      <w:r w:rsidRPr="007E429E">
        <w:rPr>
          <w:i/>
          <w:kern w:val="0"/>
          <w:lang w:val="fr-BE" w:eastAsia="en-US" w:bidi="ar-SA"/>
        </w:rPr>
        <w:t>Les droits et les obligations des médecins</w:t>
      </w:r>
      <w:r w:rsidRPr="00D147A7">
        <w:rPr>
          <w:kern w:val="0"/>
          <w:lang w:val="fr-BE" w:eastAsia="en-US" w:bidi="ar-SA"/>
        </w:rPr>
        <w:t xml:space="preserve">, I, Brussel, Larcier, 1971, p. 175 (nr. 332).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SCHUTYSER, K., ‘Eigendomsrecht en medische dossiers’, R.W., 1983-1984, k. 3021-3048.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TILLEMAN, B.; DEMARSIN, B.; </w:t>
      </w:r>
      <w:r w:rsidRPr="00D147A7">
        <w:rPr>
          <w:i/>
          <w:kern w:val="0"/>
          <w:lang w:val="nl-NL" w:eastAsia="en-US" w:bidi="ar-SA"/>
        </w:rPr>
        <w:t>Inleiding tot het recht</w:t>
      </w:r>
      <w:r w:rsidRPr="00D147A7">
        <w:rPr>
          <w:kern w:val="0"/>
          <w:lang w:val="nl-NL" w:eastAsia="en-US" w:bidi="ar-SA"/>
        </w:rPr>
        <w:t>, I, Leuven, Acco, 2011</w:t>
      </w:r>
      <w:r w:rsidRPr="00D147A7">
        <w:rPr>
          <w:kern w:val="0"/>
          <w:vertAlign w:val="superscript"/>
          <w:lang w:val="nl-NL" w:eastAsia="en-US" w:bidi="ar-SA"/>
        </w:rPr>
        <w:t>9</w:t>
      </w:r>
      <w:r w:rsidRPr="00D147A7">
        <w:rPr>
          <w:kern w:val="0"/>
          <w:lang w:val="nl-NL" w:eastAsia="en-US" w:bidi="ar-SA"/>
        </w:rPr>
        <w:t>, 254p.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VALCKENBORGH, L., ‘De kwalificatie van een verbintenis als resultaats- of middelenver</w:t>
      </w:r>
      <w:r w:rsidR="007E429E">
        <w:rPr>
          <w:kern w:val="0"/>
          <w:lang w:val="nl-NL" w:eastAsia="en-US" w:bidi="ar-SA"/>
        </w:rPr>
        <w:t>-</w:t>
      </w:r>
      <w:r w:rsidRPr="00D147A7">
        <w:rPr>
          <w:kern w:val="0"/>
          <w:lang w:val="nl-NL" w:eastAsia="en-US" w:bidi="ar-SA"/>
        </w:rPr>
        <w:t xml:space="preserve">bintenis’, </w:t>
      </w:r>
      <w:r w:rsidRPr="00D147A7">
        <w:rPr>
          <w:i/>
          <w:kern w:val="0"/>
          <w:lang w:val="nl-NL" w:eastAsia="en-US" w:bidi="ar-SA"/>
        </w:rPr>
        <w:t>T.B.B.R.</w:t>
      </w:r>
      <w:r w:rsidRPr="00D147A7">
        <w:rPr>
          <w:kern w:val="0"/>
          <w:lang w:val="nl-NL" w:eastAsia="en-US" w:bidi="ar-SA"/>
        </w:rPr>
        <w:t>, 2011, 5, p. 222-231.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VAN ASBROECK, B., ‘Dossier outsourcing: Outsourcing en intellectuele-eigendomsrecht</w:t>
      </w:r>
      <w:r w:rsidR="007E429E">
        <w:rPr>
          <w:kern w:val="0"/>
          <w:lang w:val="nl-NL" w:eastAsia="en-US" w:bidi="ar-SA"/>
        </w:rPr>
        <w:t>-</w:t>
      </w:r>
      <w:r w:rsidRPr="00D147A7">
        <w:rPr>
          <w:kern w:val="0"/>
          <w:lang w:val="nl-NL" w:eastAsia="en-US" w:bidi="ar-SA"/>
        </w:rPr>
        <w:t xml:space="preserve">en’, </w:t>
      </w:r>
      <w:r w:rsidRPr="00D147A7">
        <w:rPr>
          <w:i/>
          <w:kern w:val="0"/>
          <w:lang w:val="nl-NL" w:eastAsia="en-US" w:bidi="ar-SA"/>
        </w:rPr>
        <w:t>Computerr.</w:t>
      </w:r>
      <w:r w:rsidRPr="00D147A7">
        <w:rPr>
          <w:kern w:val="0"/>
          <w:lang w:val="nl-NL" w:eastAsia="en-US" w:bidi="ar-SA"/>
        </w:rPr>
        <w:t>, 2005, 4, p. 186-189.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DAMME, J.; NYS, H.; VAN DAMME, T; </w:t>
      </w:r>
      <w:r w:rsidRPr="00D147A7">
        <w:rPr>
          <w:i/>
          <w:kern w:val="0"/>
          <w:lang w:val="nl-NL" w:eastAsia="en-US" w:bidi="ar-SA"/>
        </w:rPr>
        <w:t>De arts, de huisarts en zijn dossier</w:t>
      </w:r>
      <w:r w:rsidRPr="00D147A7">
        <w:rPr>
          <w:kern w:val="0"/>
          <w:lang w:val="nl-NL" w:eastAsia="en-US" w:bidi="ar-SA"/>
        </w:rPr>
        <w:t>, Antwer</w:t>
      </w:r>
      <w:r w:rsidR="007E429E">
        <w:rPr>
          <w:kern w:val="0"/>
          <w:lang w:val="nl-NL" w:eastAsia="en-US" w:bidi="ar-SA"/>
        </w:rPr>
        <w:t>-</w:t>
      </w:r>
      <w:r w:rsidRPr="00D147A7">
        <w:rPr>
          <w:kern w:val="0"/>
          <w:lang w:val="nl-NL" w:eastAsia="en-US" w:bidi="ar-SA"/>
        </w:rPr>
        <w:t>pen, Intersentia, 2003, 235p.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VAN DER STRAETE, I.; PUT, J.; ‘Het multidisciplinair dossier in de centra voor leerlingen</w:t>
      </w:r>
      <w:r w:rsidR="007E429E">
        <w:rPr>
          <w:kern w:val="0"/>
          <w:lang w:val="nl-NL" w:eastAsia="en-US" w:bidi="ar-SA"/>
        </w:rPr>
        <w:t>-</w:t>
      </w:r>
      <w:r w:rsidRPr="00D147A7">
        <w:rPr>
          <w:kern w:val="0"/>
          <w:lang w:val="nl-NL" w:eastAsia="en-US" w:bidi="ar-SA"/>
        </w:rPr>
        <w:t xml:space="preserve">begeleiding’, </w:t>
      </w:r>
      <w:r w:rsidRPr="00D147A7">
        <w:rPr>
          <w:i/>
          <w:kern w:val="0"/>
          <w:lang w:val="nl-NL" w:eastAsia="en-US" w:bidi="ar-SA"/>
        </w:rPr>
        <w:t>T.O.R.B.</w:t>
      </w:r>
      <w:r w:rsidRPr="00D147A7">
        <w:rPr>
          <w:kern w:val="0"/>
          <w:lang w:val="nl-NL" w:eastAsia="en-US" w:bidi="ar-SA"/>
        </w:rPr>
        <w:t>, 2001-2002, 4, p. 272-283.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VAN DER STRAETE, I.; PUT, J.; LEENAERTS, E.; ‘Het beschikkingsrecht over het be</w:t>
      </w:r>
      <w:r w:rsidR="007E429E">
        <w:rPr>
          <w:kern w:val="0"/>
          <w:lang w:val="nl-NL" w:eastAsia="en-US" w:bidi="ar-SA"/>
        </w:rPr>
        <w:t>-</w:t>
      </w:r>
      <w:r w:rsidRPr="00D147A7">
        <w:rPr>
          <w:kern w:val="0"/>
          <w:lang w:val="nl-NL" w:eastAsia="en-US" w:bidi="ar-SA"/>
        </w:rPr>
        <w:t xml:space="preserve">roepsgeheim’, </w:t>
      </w:r>
      <w:r w:rsidRPr="00D147A7">
        <w:rPr>
          <w:i/>
          <w:kern w:val="0"/>
          <w:lang w:val="nl-NL" w:eastAsia="en-US" w:bidi="ar-SA"/>
        </w:rPr>
        <w:t>T.P.R.</w:t>
      </w:r>
      <w:r w:rsidRPr="00D147A7">
        <w:rPr>
          <w:kern w:val="0"/>
          <w:lang w:val="nl-NL" w:eastAsia="en-US" w:bidi="ar-SA"/>
        </w:rPr>
        <w:t>, 40/3 (2003), p. 1093-1137.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NESTE, F., ‘Grondslagen van het medisch beroepsgeheim’, STOCKMAN, R. (red.), </w:t>
      </w:r>
      <w:r w:rsidRPr="00D147A7">
        <w:rPr>
          <w:i/>
          <w:kern w:val="0"/>
          <w:lang w:val="nl-NL" w:eastAsia="en-US" w:bidi="ar-SA"/>
        </w:rPr>
        <w:t>Het beroepsgeheim in de zorgverleningssector: een confrontatie tussen theorie en praktijk</w:t>
      </w:r>
      <w:r w:rsidRPr="00D147A7">
        <w:rPr>
          <w:kern w:val="0"/>
          <w:lang w:val="nl-NL" w:eastAsia="en-US" w:bidi="ar-SA"/>
        </w:rPr>
        <w:t>, Antwerpen, Intersentia, 1998, p. 13-21.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VANSWEEVELT, T., </w:t>
      </w:r>
      <w:r w:rsidRPr="00D147A7">
        <w:rPr>
          <w:i/>
          <w:kern w:val="0"/>
          <w:lang w:val="nl-NL" w:eastAsia="en-US" w:bidi="ar-SA"/>
        </w:rPr>
        <w:t>De civielrechtelijke aansprakelijkheid van de geneesheer en het zie</w:t>
      </w:r>
      <w:r w:rsidR="007E429E">
        <w:rPr>
          <w:i/>
          <w:kern w:val="0"/>
          <w:lang w:val="nl-NL" w:eastAsia="en-US" w:bidi="ar-SA"/>
        </w:rPr>
        <w:t>-</w:t>
      </w:r>
      <w:r w:rsidRPr="00D147A7">
        <w:rPr>
          <w:i/>
          <w:kern w:val="0"/>
          <w:lang w:val="nl-NL" w:eastAsia="en-US" w:bidi="ar-SA"/>
        </w:rPr>
        <w:t>kenhuis</w:t>
      </w:r>
      <w:r w:rsidRPr="00D147A7">
        <w:rPr>
          <w:kern w:val="0"/>
          <w:lang w:val="nl-NL" w:eastAsia="en-US" w:bidi="ar-SA"/>
        </w:rPr>
        <w:t xml:space="preserve">, Reeks Aansprakelijkheidsrecht, Antwerpen-Apeldoorn, Maklu; Brussel, Bruylant, 1997, 960p.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VANSWEEVELT, T., ‘Definities en toepassingsgebied van de Wet Patiëntenrechten’, </w:t>
      </w:r>
      <w:r w:rsidRPr="00D147A7">
        <w:rPr>
          <w:i/>
          <w:kern w:val="0"/>
          <w:lang w:val="nl-NL" w:eastAsia="en-US" w:bidi="ar-SA"/>
        </w:rPr>
        <w:t>T.Gez.</w:t>
      </w:r>
      <w:r w:rsidRPr="00D147A7">
        <w:rPr>
          <w:kern w:val="0"/>
          <w:lang w:val="nl-NL" w:eastAsia="en-US" w:bidi="ar-SA"/>
        </w:rPr>
        <w:t>, 2003-2004, p. 66-73.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VANSWEEVELT, T.; DEWALLENS, F.; </w:t>
      </w:r>
      <w:r w:rsidRPr="00D147A7">
        <w:rPr>
          <w:i/>
          <w:kern w:val="0"/>
          <w:lang w:val="nl-NL" w:eastAsia="en-US" w:bidi="ar-SA"/>
        </w:rPr>
        <w:t>Het patiëntendossier</w:t>
      </w:r>
      <w:r w:rsidRPr="00D147A7">
        <w:rPr>
          <w:kern w:val="0"/>
          <w:lang w:val="nl-NL" w:eastAsia="en-US" w:bidi="ar-SA"/>
        </w:rPr>
        <w:t>, Reeks Gezondheidsrecht, 2, Antwerpen, Intersentia, 2011, 182p.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VERDEYEN, V., </w:t>
      </w:r>
      <w:r w:rsidRPr="00D147A7">
        <w:rPr>
          <w:i/>
          <w:kern w:val="0"/>
          <w:lang w:val="nl-NL" w:eastAsia="en-US" w:bidi="ar-SA"/>
        </w:rPr>
        <w:t>Patiëntenrechten. Een nieuwe wet: overdreven juridisering van de zorgre</w:t>
      </w:r>
      <w:r w:rsidR="007E429E">
        <w:rPr>
          <w:i/>
          <w:kern w:val="0"/>
          <w:lang w:val="nl-NL" w:eastAsia="en-US" w:bidi="ar-SA"/>
        </w:rPr>
        <w:t>-</w:t>
      </w:r>
      <w:r w:rsidRPr="00D147A7">
        <w:rPr>
          <w:i/>
          <w:kern w:val="0"/>
          <w:lang w:val="nl-NL" w:eastAsia="en-US" w:bidi="ar-SA"/>
        </w:rPr>
        <w:t>latie?</w:t>
      </w:r>
      <w:r w:rsidRPr="00D147A7">
        <w:rPr>
          <w:kern w:val="0"/>
          <w:lang w:val="nl-NL" w:eastAsia="en-US" w:bidi="ar-SA"/>
        </w:rPr>
        <w:t>, Actuele thema’s voor de gezondheidszorg, Mechelen, Kluwer, 2003, 108p.</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VERHAEGEN, M.N., ‘L’accès du patient au dossier géré par le praticien professionnel’, </w:t>
      </w:r>
      <w:r w:rsidRPr="00D147A7">
        <w:rPr>
          <w:i/>
          <w:kern w:val="0"/>
          <w:lang w:val="fr-BE" w:eastAsia="en-US" w:bidi="ar-SA"/>
        </w:rPr>
        <w:t>T.Gez.</w:t>
      </w:r>
      <w:r w:rsidRPr="00D147A7">
        <w:rPr>
          <w:kern w:val="0"/>
          <w:lang w:val="fr-BE" w:eastAsia="en-US" w:bidi="ar-SA"/>
        </w:rPr>
        <w:t xml:space="preserve">, 2003-2004, p. 74-93.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VEYS, M.N., </w:t>
      </w:r>
      <w:r w:rsidRPr="00D147A7">
        <w:rPr>
          <w:i/>
          <w:kern w:val="0"/>
          <w:lang w:val="nl-NL" w:eastAsia="en-US" w:bidi="ar-SA"/>
        </w:rPr>
        <w:t>De positie van de psychiatrische patiënt in de Wet Patiëntenrechten</w:t>
      </w:r>
      <w:r w:rsidRPr="00D147A7">
        <w:rPr>
          <w:kern w:val="0"/>
          <w:lang w:val="nl-NL" w:eastAsia="en-US" w:bidi="ar-SA"/>
        </w:rPr>
        <w:t>, Universi</w:t>
      </w:r>
      <w:r w:rsidR="007E429E">
        <w:rPr>
          <w:kern w:val="0"/>
          <w:lang w:val="nl-NL" w:eastAsia="en-US" w:bidi="ar-SA"/>
        </w:rPr>
        <w:t>-</w:t>
      </w:r>
      <w:r w:rsidRPr="00D147A7">
        <w:rPr>
          <w:kern w:val="0"/>
          <w:lang w:val="nl-NL" w:eastAsia="en-US" w:bidi="ar-SA"/>
        </w:rPr>
        <w:t>teit Antwerpen, 2006, 250p. (</w:t>
      </w:r>
      <w:hyperlink r:id="rId36" w:history="1">
        <w:r w:rsidR="007E429E" w:rsidRPr="00ED5FE6">
          <w:rPr>
            <w:rStyle w:val="Hyperlink"/>
            <w:kern w:val="0"/>
            <w:lang w:val="nl-NL" w:eastAsia="en-US" w:bidi="ar-SA"/>
          </w:rPr>
          <w:t>http://www.health.belgium.be/filestore/11888444/Definitief% 2520rapport%2520MN%2520Veys%2520NL_11888444_nl.pdf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VEYS, M.N., </w:t>
      </w:r>
      <w:r w:rsidRPr="00D147A7">
        <w:rPr>
          <w:i/>
          <w:kern w:val="0"/>
          <w:lang w:val="nl-NL" w:eastAsia="en-US" w:bidi="ar-SA"/>
        </w:rPr>
        <w:t>De Wet Patiëntenrechten in de psychiatrie: in opdracht van de FOD Volksge</w:t>
      </w:r>
      <w:r w:rsidR="007E429E">
        <w:rPr>
          <w:i/>
          <w:kern w:val="0"/>
          <w:lang w:val="nl-NL" w:eastAsia="en-US" w:bidi="ar-SA"/>
        </w:rPr>
        <w:t>-</w:t>
      </w:r>
      <w:r w:rsidRPr="00D147A7">
        <w:rPr>
          <w:i/>
          <w:kern w:val="0"/>
          <w:lang w:val="nl-NL" w:eastAsia="en-US" w:bidi="ar-SA"/>
        </w:rPr>
        <w:t>zondheid, Veiligheid van de Voedselketen en Leefmilieu</w:t>
      </w:r>
      <w:r w:rsidRPr="00D147A7">
        <w:rPr>
          <w:kern w:val="0"/>
          <w:lang w:val="nl-NL" w:eastAsia="en-US" w:bidi="ar-SA"/>
        </w:rPr>
        <w:t>, Bibliotheek Burgerlijk recht en Pro</w:t>
      </w:r>
      <w:r w:rsidR="007E429E">
        <w:rPr>
          <w:kern w:val="0"/>
          <w:lang w:val="nl-NL" w:eastAsia="en-US" w:bidi="ar-SA"/>
        </w:rPr>
        <w:t>-</w:t>
      </w:r>
      <w:r w:rsidRPr="00D147A7">
        <w:rPr>
          <w:kern w:val="0"/>
          <w:lang w:val="nl-NL" w:eastAsia="en-US" w:bidi="ar-SA"/>
        </w:rPr>
        <w:t>cesrecht Larcier, 14, Gent, Larcier, 2008, 245p.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WOSTYN, L., ‘Het medisch dossier’, WOSTYN, L.; CLEPKENS, C.; HUTSEBAUT, A. (reds.); </w:t>
      </w:r>
      <w:r w:rsidRPr="00D147A7">
        <w:rPr>
          <w:i/>
          <w:kern w:val="0"/>
          <w:lang w:val="nl-NL" w:eastAsia="en-US" w:bidi="ar-SA"/>
        </w:rPr>
        <w:t>Overhandigen medische gegevens</w:t>
      </w:r>
      <w:r w:rsidRPr="00D147A7">
        <w:rPr>
          <w:kern w:val="0"/>
          <w:lang w:val="nl-NL" w:eastAsia="en-US" w:bidi="ar-SA"/>
        </w:rPr>
        <w:t xml:space="preserve">, Gent, Academia Press, 2005, p. 5-8. </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1.5.1.6 Websites</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2E7E12" w:rsidP="009931C7">
      <w:pPr>
        <w:widowControl/>
        <w:suppressAutoHyphens w:val="0"/>
        <w:spacing w:line="240" w:lineRule="atLeast"/>
        <w:jc w:val="both"/>
        <w:rPr>
          <w:kern w:val="0"/>
          <w:lang w:val="nl-NL" w:eastAsia="en-US" w:bidi="ar-SA"/>
        </w:rPr>
      </w:pPr>
      <w:hyperlink r:id="rId37" w:history="1">
        <w:r w:rsidR="00DA36C8" w:rsidRPr="00D147A7">
          <w:rPr>
            <w:rStyle w:val="Hyperlink"/>
            <w:kern w:val="0"/>
            <w:lang w:val="nl-NL" w:eastAsia="en-US" w:bidi="ar-SA"/>
          </w:rPr>
          <w:t>http://www.edavid.be/</w:t>
        </w:r>
      </w:hyperlink>
      <w:r w:rsidR="009931C7" w:rsidRPr="00D147A7">
        <w:rPr>
          <w:kern w:val="0"/>
          <w:lang w:val="nl-NL" w:eastAsia="en-US" w:bidi="ar-SA"/>
        </w:rPr>
        <w:t xml:space="preserve">. </w:t>
      </w:r>
    </w:p>
    <w:p w:rsidR="009931C7" w:rsidRPr="00D147A7" w:rsidRDefault="002E7E12" w:rsidP="009931C7">
      <w:pPr>
        <w:widowControl/>
        <w:suppressAutoHyphens w:val="0"/>
        <w:spacing w:line="240" w:lineRule="atLeast"/>
        <w:jc w:val="both"/>
        <w:rPr>
          <w:kern w:val="0"/>
          <w:lang w:val="nl-NL" w:eastAsia="en-US" w:bidi="ar-SA"/>
        </w:rPr>
      </w:pPr>
      <w:hyperlink r:id="rId38" w:history="1">
        <w:r w:rsidR="00DA36C8" w:rsidRPr="00D147A7">
          <w:rPr>
            <w:rStyle w:val="Hyperlink"/>
            <w:kern w:val="0"/>
            <w:lang w:val="nl-NL" w:eastAsia="en-US" w:bidi="ar-SA"/>
          </w:rPr>
          <w:t>http://www.health.belgium.be/</w:t>
        </w:r>
      </w:hyperlink>
      <w:r w:rsidR="009931C7" w:rsidRPr="00D147A7">
        <w:rPr>
          <w:kern w:val="0"/>
          <w:lang w:val="nl-NL" w:eastAsia="en-US" w:bidi="ar-SA"/>
        </w:rPr>
        <w:t xml:space="preserve">. </w:t>
      </w:r>
    </w:p>
    <w:p w:rsidR="009931C7" w:rsidRPr="00D147A7" w:rsidRDefault="002E7E12" w:rsidP="009931C7">
      <w:pPr>
        <w:widowControl/>
        <w:suppressAutoHyphens w:val="0"/>
        <w:spacing w:line="240" w:lineRule="atLeast"/>
        <w:jc w:val="both"/>
        <w:rPr>
          <w:kern w:val="0"/>
          <w:lang w:val="nl-NL" w:eastAsia="en-US" w:bidi="ar-SA"/>
        </w:rPr>
      </w:pPr>
      <w:hyperlink r:id="rId39" w:history="1">
        <w:r w:rsidR="00DA36C8" w:rsidRPr="00D147A7">
          <w:rPr>
            <w:rStyle w:val="Hyperlink"/>
            <w:kern w:val="0"/>
            <w:lang w:val="nl-NL" w:eastAsia="en-US" w:bidi="ar-SA"/>
          </w:rPr>
          <w:t>http://www.ordomedic.be/</w:t>
        </w:r>
      </w:hyperlink>
      <w:r w:rsidR="009931C7" w:rsidRPr="00D147A7">
        <w:rPr>
          <w:kern w:val="0"/>
          <w:lang w:val="nl-NL" w:eastAsia="en-US" w:bidi="ar-SA"/>
        </w:rPr>
        <w:t>.</w:t>
      </w:r>
    </w:p>
    <w:p w:rsidR="009931C7" w:rsidRDefault="009931C7" w:rsidP="009931C7">
      <w:pPr>
        <w:widowControl/>
        <w:suppressAutoHyphens w:val="0"/>
        <w:spacing w:line="240" w:lineRule="atLeast"/>
        <w:jc w:val="both"/>
        <w:rPr>
          <w:kern w:val="0"/>
          <w:lang w:val="nl-NL" w:eastAsia="en-US" w:bidi="ar-SA"/>
        </w:rPr>
      </w:pPr>
    </w:p>
    <w:p w:rsidR="00040B8D" w:rsidRPr="00D147A7" w:rsidRDefault="00040B8D"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firstLine="708"/>
        <w:jc w:val="both"/>
        <w:rPr>
          <w:b/>
          <w:smallCaps/>
          <w:kern w:val="0"/>
          <w:lang w:val="nl-NL" w:eastAsia="en-US" w:bidi="ar-SA"/>
        </w:rPr>
      </w:pPr>
      <w:r w:rsidRPr="00D147A7">
        <w:rPr>
          <w:b/>
          <w:kern w:val="0"/>
          <w:lang w:val="nl-NL" w:eastAsia="en-US" w:bidi="ar-SA"/>
        </w:rPr>
        <w:t>1.5.</w:t>
      </w:r>
      <w:r w:rsidRPr="00D147A7">
        <w:rPr>
          <w:b/>
          <w:smallCaps/>
          <w:kern w:val="0"/>
          <w:lang w:val="nl-NL" w:eastAsia="en-US" w:bidi="ar-SA"/>
        </w:rPr>
        <w:t>2. Nederland</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kern w:val="0"/>
          <w:lang w:val="nl-NL" w:eastAsia="en-US" w:bidi="ar-SA"/>
        </w:rPr>
        <w:tab/>
      </w:r>
      <w:r w:rsidRPr="00D147A7">
        <w:rPr>
          <w:kern w:val="0"/>
          <w:lang w:val="nl-NL" w:eastAsia="en-US" w:bidi="ar-SA"/>
        </w:rPr>
        <w:tab/>
      </w:r>
      <w:r w:rsidRPr="00D147A7">
        <w:rPr>
          <w:b/>
          <w:kern w:val="0"/>
          <w:lang w:val="nl-NL" w:eastAsia="en-US" w:bidi="ar-SA"/>
        </w:rPr>
        <w:t>1.5.2.1 Parlementaire voorbereidingen</w:t>
      </w:r>
    </w:p>
    <w:p w:rsidR="003E39CF" w:rsidRDefault="003E39CF" w:rsidP="003E39CF">
      <w:pPr>
        <w:widowControl/>
        <w:suppressAutoHyphens w:val="0"/>
        <w:spacing w:line="240" w:lineRule="atLeast"/>
        <w:jc w:val="both"/>
        <w:rPr>
          <w:kern w:val="0"/>
          <w:lang w:val="nl-NL" w:eastAsia="en-US" w:bidi="ar-SA"/>
        </w:rPr>
      </w:pPr>
    </w:p>
    <w:p w:rsidR="009931C7" w:rsidRPr="00D147A7" w:rsidRDefault="003E39CF" w:rsidP="003E39CF">
      <w:pPr>
        <w:widowControl/>
        <w:suppressAutoHyphens w:val="0"/>
        <w:spacing w:line="240" w:lineRule="atLeast"/>
        <w:jc w:val="both"/>
        <w:rPr>
          <w:kern w:val="0"/>
          <w:lang w:val="nl-NL" w:eastAsia="en-US" w:bidi="ar-SA"/>
        </w:rPr>
      </w:pPr>
      <w:r w:rsidRPr="003E39CF">
        <w:rPr>
          <w:kern w:val="0"/>
          <w:lang w:val="nl-NL" w:eastAsia="en-US" w:bidi="ar-SA"/>
        </w:rPr>
        <w:t>Kamerstukken I, vergaderjaar 2002-2003, 27.743, nr. 35b</w:t>
      </w:r>
      <w:r>
        <w:rPr>
          <w:kern w:val="0"/>
          <w:lang w:val="nl-NL" w:eastAsia="en-US" w:bidi="ar-SA"/>
        </w:rPr>
        <w:t>.</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Kamerstukken II, vergaderjaar 1989-1990, 21 561, nr. 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Kamerstukken II, vergaderjaar 1990-1991, 21 561, nr. 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Kamerstukken II, vergaderjaar 1991-1992, 21 561, nr. 11.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Kamerstukken II, vergaderjaar 1992-1993, 21 561, nr. 15.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Kamerstukken II, vergaderjaar 1992-1993, 22 866, nr. 2.</w:t>
      </w:r>
    </w:p>
    <w:p w:rsidR="003E39CF" w:rsidRDefault="003E39CF" w:rsidP="009931C7">
      <w:pPr>
        <w:widowControl/>
        <w:suppressAutoHyphens w:val="0"/>
        <w:spacing w:line="240" w:lineRule="atLeast"/>
        <w:jc w:val="both"/>
        <w:rPr>
          <w:kern w:val="0"/>
          <w:lang w:val="nl-NL" w:eastAsia="en-US" w:bidi="ar-SA"/>
        </w:rPr>
      </w:pPr>
      <w:r w:rsidRPr="003E39CF">
        <w:rPr>
          <w:kern w:val="0"/>
          <w:lang w:val="nl-NL" w:eastAsia="en-US" w:bidi="ar-SA"/>
        </w:rPr>
        <w:t>Kamerstukken II, vergaderjaar 1999-2000, 26.855, nr. 3</w:t>
      </w:r>
      <w:r>
        <w:rPr>
          <w:kern w:val="0"/>
          <w:lang w:val="nl-NL" w:eastAsia="en-US" w:bidi="ar-SA"/>
        </w:rPr>
        <w:t>.</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Kamerstukken II, vergaderjaar 2009-2010, 32 402, nr. 2 (wordt in de tekst naar verwezen met Wetsvoorstel cliëntenrechten zorg of, kortweg, Wcz).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Kamerstukken II, vergaderjaar 2010-2011, 32 402, nr. 6.</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left="708" w:firstLine="708"/>
        <w:jc w:val="both"/>
        <w:rPr>
          <w:b/>
          <w:kern w:val="0"/>
          <w:lang w:val="nl-NL" w:eastAsia="en-US" w:bidi="ar-SA"/>
        </w:rPr>
      </w:pPr>
      <w:r w:rsidRPr="00D147A7">
        <w:rPr>
          <w:b/>
          <w:kern w:val="0"/>
          <w:lang w:val="nl-NL" w:eastAsia="en-US" w:bidi="ar-SA"/>
        </w:rPr>
        <w:t>1.5.2.2 Wetgeving</w:t>
      </w:r>
    </w:p>
    <w:p w:rsidR="003E39CF" w:rsidRDefault="003E39CF" w:rsidP="009931C7">
      <w:pPr>
        <w:widowControl/>
        <w:suppressAutoHyphens w:val="0"/>
        <w:spacing w:line="240" w:lineRule="atLeast"/>
        <w:jc w:val="both"/>
        <w:rPr>
          <w:kern w:val="0"/>
          <w:lang w:val="nl-NL" w:eastAsia="en-US" w:bidi="ar-SA"/>
        </w:rPr>
      </w:pPr>
    </w:p>
    <w:p w:rsidR="009931C7" w:rsidRPr="00D147A7" w:rsidRDefault="003E39CF" w:rsidP="009931C7">
      <w:pPr>
        <w:widowControl/>
        <w:suppressAutoHyphens w:val="0"/>
        <w:spacing w:line="240" w:lineRule="atLeast"/>
        <w:jc w:val="both"/>
        <w:rPr>
          <w:kern w:val="0"/>
          <w:lang w:val="nl-NL" w:eastAsia="en-US" w:bidi="ar-SA"/>
        </w:rPr>
      </w:pPr>
      <w:r w:rsidRPr="003E39CF">
        <w:rPr>
          <w:kern w:val="0"/>
          <w:lang w:val="nl-NL" w:eastAsia="en-US" w:bidi="ar-SA"/>
        </w:rPr>
        <w:t>Wet van 3 december 1987 tot nieuwe regeling van het bewijsrecht in burgerlijke zaken (</w:t>
      </w:r>
      <w:r w:rsidRPr="003E39CF">
        <w:rPr>
          <w:i/>
          <w:kern w:val="0"/>
          <w:lang w:val="nl-NL" w:eastAsia="en-US" w:bidi="ar-SA"/>
        </w:rPr>
        <w:t>Stb.</w:t>
      </w:r>
      <w:r w:rsidRPr="003E39CF">
        <w:rPr>
          <w:kern w:val="0"/>
          <w:lang w:val="nl-NL" w:eastAsia="en-US" w:bidi="ar-SA"/>
        </w:rPr>
        <w:t xml:space="preserve"> 590, 1987).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WGBO.</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29 februari 1996, houdende regels ter bevordering van de medezeggenschap van de cliënten van uit collectieve middelen gefinancierde zorgaanbieders op het terrein van de maat</w:t>
      </w:r>
      <w:r w:rsidR="007E429E">
        <w:rPr>
          <w:kern w:val="0"/>
          <w:lang w:val="nl-NL" w:eastAsia="en-US" w:bidi="ar-SA"/>
        </w:rPr>
        <w:t>-</w:t>
      </w:r>
      <w:r w:rsidRPr="00D147A7">
        <w:rPr>
          <w:kern w:val="0"/>
          <w:lang w:val="nl-NL" w:eastAsia="en-US" w:bidi="ar-SA"/>
        </w:rPr>
        <w:t>schappelijke zorg en gezondheidszorg (</w:t>
      </w:r>
      <w:r w:rsidRPr="00D147A7">
        <w:rPr>
          <w:i/>
          <w:kern w:val="0"/>
          <w:lang w:val="nl-NL" w:eastAsia="en-US" w:bidi="ar-SA"/>
        </w:rPr>
        <w:t>Stb.</w:t>
      </w:r>
      <w:r w:rsidRPr="00D147A7">
        <w:rPr>
          <w:kern w:val="0"/>
          <w:lang w:val="nl-NL" w:eastAsia="en-US" w:bidi="ar-SA"/>
        </w:rPr>
        <w:t xml:space="preserve"> 204, 4 april 1996).</w:t>
      </w:r>
    </w:p>
    <w:p w:rsidR="003E39CF" w:rsidRDefault="003E39CF" w:rsidP="009931C7">
      <w:pPr>
        <w:widowControl/>
        <w:suppressAutoHyphens w:val="0"/>
        <w:spacing w:line="240" w:lineRule="atLeast"/>
        <w:jc w:val="both"/>
        <w:rPr>
          <w:kern w:val="0"/>
          <w:lang w:val="nl-NL" w:eastAsia="en-US" w:bidi="ar-SA"/>
        </w:rPr>
      </w:pPr>
      <w:r w:rsidRPr="003E39CF">
        <w:rPr>
          <w:kern w:val="0"/>
          <w:lang w:val="nl-NL" w:eastAsia="en-US" w:bidi="ar-SA"/>
        </w:rPr>
        <w:lastRenderedPageBreak/>
        <w:t>Wet van 6 december 2001 tot aanpassing van de wetgeving aan de herziening van het proces</w:t>
      </w:r>
      <w:r>
        <w:rPr>
          <w:kern w:val="0"/>
          <w:lang w:val="nl-NL" w:eastAsia="en-US" w:bidi="ar-SA"/>
        </w:rPr>
        <w:t>-</w:t>
      </w:r>
      <w:r w:rsidRPr="003E39CF">
        <w:rPr>
          <w:kern w:val="0"/>
          <w:lang w:val="nl-NL" w:eastAsia="en-US" w:bidi="ar-SA"/>
        </w:rPr>
        <w:t>recht voor burgerlijke zaken, in het bijzonder de wijze van procederen in eerste aanleg (</w:t>
      </w:r>
      <w:r w:rsidRPr="003E39CF">
        <w:rPr>
          <w:i/>
          <w:kern w:val="0"/>
          <w:lang w:val="nl-NL" w:eastAsia="en-US" w:bidi="ar-SA"/>
        </w:rPr>
        <w:t>Stb.</w:t>
      </w:r>
      <w:r w:rsidRPr="003E39CF">
        <w:rPr>
          <w:kern w:val="0"/>
          <w:lang w:val="nl-NL" w:eastAsia="en-US" w:bidi="ar-SA"/>
        </w:rPr>
        <w:t xml:space="preserve"> 580, 18 december 2001).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van 29 juni 2006, houdende nieuwe regels betreffende maatschappelijke ondersteuning (</w:t>
      </w:r>
      <w:r w:rsidRPr="00D147A7">
        <w:rPr>
          <w:i/>
          <w:kern w:val="0"/>
          <w:lang w:val="nl-NL" w:eastAsia="en-US" w:bidi="ar-SA"/>
        </w:rPr>
        <w:t>Stb.</w:t>
      </w:r>
      <w:r w:rsidRPr="00D147A7">
        <w:rPr>
          <w:kern w:val="0"/>
          <w:lang w:val="nl-NL" w:eastAsia="en-US" w:bidi="ar-SA"/>
        </w:rPr>
        <w:t xml:space="preserve"> 351, 1 augustus 2006).</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1.5.2.3 Rechtsleer en literatuur</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‘Meenemen medisch dossier door vertrekkende specialist’, </w:t>
      </w:r>
      <w:r w:rsidRPr="00D147A7">
        <w:rPr>
          <w:i/>
          <w:kern w:val="0"/>
          <w:lang w:val="nl-NL" w:eastAsia="en-US" w:bidi="ar-SA"/>
        </w:rPr>
        <w:t>P&amp;I</w:t>
      </w:r>
      <w:r w:rsidRPr="00D147A7">
        <w:rPr>
          <w:kern w:val="0"/>
          <w:lang w:val="nl-NL" w:eastAsia="en-US" w:bidi="ar-SA"/>
        </w:rPr>
        <w:t>, 11/3 (2008), p. 143-144 (nr. 166).</w:t>
      </w:r>
    </w:p>
    <w:p w:rsidR="009931C7" w:rsidRPr="00D147A7" w:rsidRDefault="009931C7" w:rsidP="009931C7">
      <w:pPr>
        <w:widowControl/>
        <w:suppressAutoHyphens w:val="0"/>
        <w:spacing w:line="240" w:lineRule="atLeast"/>
        <w:jc w:val="both"/>
        <w:rPr>
          <w:kern w:val="0"/>
          <w:lang w:val="nl-NL" w:eastAsia="en-US" w:bidi="ar-SA"/>
        </w:rPr>
      </w:pPr>
      <w:r w:rsidRPr="00D147A7">
        <w:rPr>
          <w:i/>
          <w:kern w:val="0"/>
          <w:lang w:val="nl-NL" w:eastAsia="en-US" w:bidi="ar-SA"/>
        </w:rPr>
        <w:t>Richtlijn inzake het omgaan met medische gegevens</w:t>
      </w:r>
      <w:r w:rsidRPr="00D147A7">
        <w:rPr>
          <w:kern w:val="0"/>
          <w:lang w:val="nl-NL" w:eastAsia="en-US" w:bidi="ar-SA"/>
        </w:rPr>
        <w:t>, Utrecht, KNMG, 2010, p. 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AKVELD, J.E.M.; LOONSTRA, J.A.; ‘De Wet medezeggenschap cliënten zorginstellingen’, </w:t>
      </w:r>
      <w:r w:rsidRPr="00D147A7">
        <w:rPr>
          <w:i/>
          <w:kern w:val="0"/>
          <w:lang w:val="nl-NL" w:eastAsia="en-US" w:bidi="ar-SA"/>
        </w:rPr>
        <w:t>T.G.</w:t>
      </w:r>
      <w:r w:rsidRPr="00D147A7">
        <w:rPr>
          <w:kern w:val="0"/>
          <w:lang w:val="nl-NL" w:eastAsia="en-US" w:bidi="ar-SA"/>
        </w:rPr>
        <w:t>, 17/6 (1994), p. 315-327.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AYAR, B., ‘Verslag spitsseminar ‘Van wie is het dossier?’’, s.l., 2011, 3p. (</w:t>
      </w:r>
      <w:hyperlink w:history="1">
        <w:r w:rsidR="007E429E" w:rsidRPr="00ED5FE6">
          <w:rPr>
            <w:rStyle w:val="Hyperlink"/>
            <w:kern w:val="0"/>
            <w:lang w:val="nl-NL" w:eastAsia="en-US" w:bidi="ar-SA"/>
          </w:rPr>
          <w:t>http://www.nictiz. nl/page/Publicaties?mod[360][i]=443&amp;mod[360][search_type]=title&amp;mod[360][search_for]=dossier</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DIE, A.C., ‘De Wcz: toezicht en handhaving’, </w:t>
      </w:r>
      <w:r w:rsidRPr="00D147A7">
        <w:rPr>
          <w:i/>
          <w:kern w:val="0"/>
          <w:lang w:val="nl-NL" w:eastAsia="en-US" w:bidi="ar-SA"/>
        </w:rPr>
        <w:t>T.G.</w:t>
      </w:r>
      <w:r w:rsidRPr="00D147A7">
        <w:rPr>
          <w:kern w:val="0"/>
          <w:lang w:val="nl-NL" w:eastAsia="en-US" w:bidi="ar-SA"/>
        </w:rPr>
        <w:t>, 33/8 (2010), p. 639-649.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DE LAAT, I.J., ‘Wet medezeggenschap cliënten zorginstellingen in de ziekenhuissector’, </w:t>
      </w:r>
      <w:r w:rsidRPr="00D147A7">
        <w:rPr>
          <w:i/>
          <w:kern w:val="0"/>
          <w:lang w:val="nl-NL" w:eastAsia="en-US" w:bidi="ar-SA"/>
        </w:rPr>
        <w:t>T.G.</w:t>
      </w:r>
      <w:r w:rsidRPr="00D147A7">
        <w:rPr>
          <w:kern w:val="0"/>
          <w:lang w:val="nl-NL" w:eastAsia="en-US" w:bidi="ar-SA"/>
        </w:rPr>
        <w:t>, 30/1 (2007), p. 55-65.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DONDORP, W.J.; LEGEMAATE, J.; VAN DE KLIPPE, C.J.; ‘Bewaartermijn voor patiënt</w:t>
      </w:r>
      <w:r w:rsidR="007E429E">
        <w:rPr>
          <w:kern w:val="0"/>
          <w:lang w:val="nl-NL" w:eastAsia="en-US" w:bidi="ar-SA"/>
        </w:rPr>
        <w:t>-</w:t>
      </w:r>
      <w:r w:rsidRPr="00D147A7">
        <w:rPr>
          <w:kern w:val="0"/>
          <w:lang w:val="nl-NL" w:eastAsia="en-US" w:bidi="ar-SA"/>
        </w:rPr>
        <w:t xml:space="preserve">engegevens. Gezondheidsraad bepleit wetswijziging’, </w:t>
      </w:r>
      <w:r w:rsidRPr="00D147A7">
        <w:rPr>
          <w:i/>
          <w:kern w:val="0"/>
          <w:lang w:val="nl-NL" w:eastAsia="en-US" w:bidi="ar-SA"/>
        </w:rPr>
        <w:t>N.T.G.</w:t>
      </w:r>
      <w:r w:rsidRPr="00D147A7">
        <w:rPr>
          <w:kern w:val="0"/>
          <w:lang w:val="nl-NL" w:eastAsia="en-US" w:bidi="ar-SA"/>
        </w:rPr>
        <w:t xml:space="preserve">, 148/15 (2004), p. 743-747.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DOPPEGIETER, R.M.S., </w:t>
      </w:r>
      <w:r w:rsidRPr="00D147A7">
        <w:rPr>
          <w:i/>
          <w:kern w:val="0"/>
          <w:lang w:val="nl-NL" w:eastAsia="en-US" w:bidi="ar-SA"/>
        </w:rPr>
        <w:t>Arts en patiëntenrechten</w:t>
      </w:r>
      <w:r w:rsidRPr="00D147A7">
        <w:rPr>
          <w:kern w:val="0"/>
          <w:lang w:val="nl-NL" w:eastAsia="en-US" w:bidi="ar-SA"/>
        </w:rPr>
        <w:t>, Utrecht, KNMG, 2004, 28p. (</w:t>
      </w:r>
      <w:hyperlink w:history="1">
        <w:r w:rsidR="00DA36C8" w:rsidRPr="00D147A7">
          <w:rPr>
            <w:rStyle w:val="Hyperlink"/>
            <w:kern w:val="0"/>
            <w:lang w:val="nl-NL" w:eastAsia="en-US" w:bidi="ar-SA"/>
          </w:rPr>
          <w:t>http://knmg. artsennet.nl/Publicaties/KNMGpublicatie/Arts-en-patientenrechten-2004.htm</w:t>
        </w:r>
      </w:hyperlink>
      <w:r w:rsidRPr="00D147A7">
        <w:rPr>
          <w:kern w:val="0"/>
          <w:lang w:val="nl-NL" w:eastAsia="en-US" w:bidi="ar-SA"/>
        </w:rPr>
        <w:t>, laatst geraad</w:t>
      </w:r>
      <w:r w:rsidR="00DA36C8" w:rsidRPr="00D147A7">
        <w:rPr>
          <w:kern w:val="0"/>
          <w:lang w:val="nl-NL" w:eastAsia="en-US" w:bidi="ar-SA"/>
        </w:rPr>
        <w:t>-</w:t>
      </w:r>
      <w:r w:rsidRPr="00D147A7">
        <w:rPr>
          <w:kern w:val="0"/>
          <w:lang w:val="nl-NL" w:eastAsia="en-US" w:bidi="ar-SA"/>
        </w:rPr>
        <w:t>pleegd op 23 juli 2012).</w:t>
      </w:r>
    </w:p>
    <w:p w:rsidR="003E39CF" w:rsidRDefault="003E39CF" w:rsidP="009931C7">
      <w:pPr>
        <w:widowControl/>
        <w:suppressAutoHyphens w:val="0"/>
        <w:spacing w:line="240" w:lineRule="atLeast"/>
        <w:jc w:val="both"/>
        <w:rPr>
          <w:kern w:val="0"/>
          <w:lang w:val="nl-NL" w:eastAsia="en-US" w:bidi="ar-SA"/>
        </w:rPr>
      </w:pPr>
      <w:r w:rsidRPr="003E39CF">
        <w:t xml:space="preserve">FRANKEN, H.; KASPERSEN, H.W.K.; DE WILD, A.H.; </w:t>
      </w:r>
      <w:r w:rsidRPr="003E39CF">
        <w:rPr>
          <w:i/>
        </w:rPr>
        <w:t>Recht en computer</w:t>
      </w:r>
      <w:r w:rsidRPr="003E39CF">
        <w:t>, Recht en praktijk, 36, Deventer, Kluwer, 2004</w:t>
      </w:r>
      <w:r w:rsidRPr="003E39CF">
        <w:rPr>
          <w:vertAlign w:val="superscript"/>
        </w:rPr>
        <w:t>5</w:t>
      </w:r>
      <w:r w:rsidRPr="003E39CF">
        <w:t>, 705p.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GEVERS, J.K.M., ‘Registratie van medische gegevens en privacybescherming’, </w:t>
      </w:r>
      <w:r w:rsidRPr="00D147A7">
        <w:rPr>
          <w:i/>
          <w:kern w:val="0"/>
          <w:lang w:val="nl-NL" w:eastAsia="en-US" w:bidi="ar-SA"/>
        </w:rPr>
        <w:t>N.T.G.</w:t>
      </w:r>
      <w:r w:rsidRPr="00D147A7">
        <w:rPr>
          <w:kern w:val="0"/>
          <w:lang w:val="nl-NL" w:eastAsia="en-US" w:bidi="ar-SA"/>
        </w:rPr>
        <w:t>, 130/7 (1986), p. 316-318.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GEVERS, J.K.M., ‘De Wcz: achtergrond, opzet en reikwijdte’, </w:t>
      </w:r>
      <w:r w:rsidRPr="00D147A7">
        <w:rPr>
          <w:i/>
          <w:kern w:val="0"/>
          <w:lang w:val="nl-NL" w:eastAsia="en-US" w:bidi="ar-SA"/>
        </w:rPr>
        <w:t>T.G.</w:t>
      </w:r>
      <w:r w:rsidRPr="00D147A7">
        <w:rPr>
          <w:kern w:val="0"/>
          <w:lang w:val="nl-NL" w:eastAsia="en-US" w:bidi="ar-SA"/>
        </w:rPr>
        <w:t xml:space="preserve">, 33/8 (2010), p. 589-596.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HENDRIKS, A.C., ‘Van patiënten- naar cliëntenrechten: oude wijn in nieuwe zakken?’, </w:t>
      </w:r>
      <w:r w:rsidRPr="00D147A7">
        <w:rPr>
          <w:i/>
          <w:kern w:val="0"/>
          <w:lang w:val="nl-NL" w:eastAsia="en-US" w:bidi="ar-SA"/>
        </w:rPr>
        <w:t>T.G.</w:t>
      </w:r>
      <w:r w:rsidRPr="00D147A7">
        <w:rPr>
          <w:kern w:val="0"/>
          <w:lang w:val="nl-NL" w:eastAsia="en-US" w:bidi="ar-SA"/>
        </w:rPr>
        <w:t>, 33/8 (2010), p. 605-615.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KNMG, ‘Mag het papieren medische dossier worden vernietigd als dit volledig is gescand en opgeslagen in een elektronisch dossier?’, </w:t>
      </w:r>
      <w:r w:rsidRPr="00D147A7">
        <w:rPr>
          <w:i/>
          <w:kern w:val="0"/>
          <w:lang w:val="nl-NL" w:eastAsia="en-US" w:bidi="ar-SA"/>
        </w:rPr>
        <w:t>M.C.</w:t>
      </w:r>
      <w:r w:rsidRPr="00D147A7">
        <w:rPr>
          <w:kern w:val="0"/>
          <w:lang w:val="nl-NL" w:eastAsia="en-US" w:bidi="ar-SA"/>
        </w:rPr>
        <w:t>, 65/9 (2010), p. 417.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LEGEMAATE, J., ‘De Wcz en kwaliteit van zorg’, </w:t>
      </w:r>
      <w:r w:rsidRPr="00D147A7">
        <w:rPr>
          <w:i/>
          <w:kern w:val="0"/>
          <w:lang w:val="nl-NL" w:eastAsia="en-US" w:bidi="ar-SA"/>
        </w:rPr>
        <w:t>T.G.</w:t>
      </w:r>
      <w:r w:rsidRPr="00D147A7">
        <w:rPr>
          <w:kern w:val="0"/>
          <w:lang w:val="nl-NL" w:eastAsia="en-US" w:bidi="ar-SA"/>
        </w:rPr>
        <w:t>, 33/8 (2010), p. 597-604.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MIES, R., </w:t>
      </w:r>
      <w:r w:rsidRPr="00D147A7">
        <w:rPr>
          <w:i/>
          <w:kern w:val="0"/>
          <w:lang w:val="nl-NL" w:eastAsia="en-US" w:bidi="ar-SA"/>
        </w:rPr>
        <w:t>Het invoeren van een elektronisch patiëntendossier. Struikelblokken en aandachts</w:t>
      </w:r>
      <w:r w:rsidR="007E429E">
        <w:rPr>
          <w:i/>
          <w:kern w:val="0"/>
          <w:lang w:val="nl-NL" w:eastAsia="en-US" w:bidi="ar-SA"/>
        </w:rPr>
        <w:t>-</w:t>
      </w:r>
      <w:r w:rsidRPr="00D147A7">
        <w:rPr>
          <w:i/>
          <w:kern w:val="0"/>
          <w:lang w:val="nl-NL" w:eastAsia="en-US" w:bidi="ar-SA"/>
        </w:rPr>
        <w:t>punten bij het invoeren van een EPD</w:t>
      </w:r>
      <w:r w:rsidRPr="00D147A7">
        <w:rPr>
          <w:kern w:val="0"/>
          <w:lang w:val="nl-NL" w:eastAsia="en-US" w:bidi="ar-SA"/>
        </w:rPr>
        <w:t>, onuitgegeven meesterproef, Opleiding Business Pro</w:t>
      </w:r>
      <w:r w:rsidR="007E429E">
        <w:rPr>
          <w:kern w:val="0"/>
          <w:lang w:val="nl-NL" w:eastAsia="en-US" w:bidi="ar-SA"/>
        </w:rPr>
        <w:t>-</w:t>
      </w:r>
      <w:r w:rsidRPr="00D147A7">
        <w:rPr>
          <w:kern w:val="0"/>
          <w:lang w:val="nl-NL" w:eastAsia="en-US" w:bidi="ar-SA"/>
        </w:rPr>
        <w:t>cesses Management and IT, Open Universiteit Nederland, promotores prof. dr. ir. Kees Tak</w:t>
      </w:r>
      <w:r w:rsidR="007E429E">
        <w:rPr>
          <w:kern w:val="0"/>
          <w:lang w:val="nl-NL" w:eastAsia="en-US" w:bidi="ar-SA"/>
        </w:rPr>
        <w:t>-</w:t>
      </w:r>
      <w:r w:rsidRPr="00D147A7">
        <w:rPr>
          <w:kern w:val="0"/>
          <w:lang w:val="nl-NL" w:eastAsia="en-US" w:bidi="ar-SA"/>
        </w:rPr>
        <w:t xml:space="preserve">kenberg en dr. </w:t>
      </w:r>
      <w:r w:rsidRPr="00D147A7">
        <w:rPr>
          <w:kern w:val="0"/>
          <w:lang w:eastAsia="en-US" w:bidi="ar-SA"/>
        </w:rPr>
        <w:t xml:space="preserve">Ella Roubtsova, Roosendaal, 2009, 102p. </w:t>
      </w:r>
      <w:r w:rsidRPr="00D147A7">
        <w:rPr>
          <w:kern w:val="0"/>
          <w:lang w:val="nl-NL" w:eastAsia="en-US" w:bidi="ar-SA"/>
        </w:rPr>
        <w:t>(</w:t>
      </w:r>
      <w:hyperlink r:id="rId40" w:history="1">
        <w:r w:rsidR="007E429E" w:rsidRPr="00ED5FE6">
          <w:rPr>
            <w:rStyle w:val="Hyperlink"/>
            <w:kern w:val="0"/>
            <w:lang w:val="nl-NL" w:eastAsia="en-US" w:bidi="ar-SA"/>
          </w:rPr>
          <w:t>http://dspace.ou.nl/bitstream/1820/ 3031/1/mw%26infRmiesnov09.pdf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Nederlandse Centrale Raad voor de Volksgezondheid, </w:t>
      </w:r>
      <w:r w:rsidRPr="00D147A7">
        <w:rPr>
          <w:i/>
          <w:kern w:val="0"/>
          <w:lang w:val="nl-NL" w:eastAsia="en-US" w:bidi="ar-SA"/>
        </w:rPr>
        <w:t>Deeladvies inzake de bescherming van privacy van de patiënt</w:t>
      </w:r>
      <w:r w:rsidRPr="00D147A7">
        <w:rPr>
          <w:kern w:val="0"/>
          <w:lang w:val="nl-NL" w:eastAsia="en-US" w:bidi="ar-SA"/>
        </w:rPr>
        <w:t>, Rijswijk, Staatsuitgeverij, 1981, 87p.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Nederlandse Gezondheidsraad, </w:t>
      </w:r>
      <w:r w:rsidRPr="00D147A7">
        <w:rPr>
          <w:i/>
          <w:kern w:val="0"/>
          <w:lang w:val="nl-NL" w:eastAsia="en-US" w:bidi="ar-SA"/>
        </w:rPr>
        <w:t>Advies inzake registratie van medische en psychologische ge</w:t>
      </w:r>
      <w:r w:rsidR="007E429E">
        <w:rPr>
          <w:i/>
          <w:kern w:val="0"/>
          <w:lang w:val="nl-NL" w:eastAsia="en-US" w:bidi="ar-SA"/>
        </w:rPr>
        <w:t>-</w:t>
      </w:r>
      <w:r w:rsidRPr="00D147A7">
        <w:rPr>
          <w:i/>
          <w:kern w:val="0"/>
          <w:lang w:val="nl-NL" w:eastAsia="en-US" w:bidi="ar-SA"/>
        </w:rPr>
        <w:t>gevens en de bescherming van de persoonlijke levenssfeer (privacy)</w:t>
      </w:r>
      <w:r w:rsidRPr="00D147A7">
        <w:rPr>
          <w:kern w:val="0"/>
          <w:lang w:val="nl-NL" w:eastAsia="en-US" w:bidi="ar-SA"/>
        </w:rPr>
        <w:t>, ’s-Gravenhage, Staats</w:t>
      </w:r>
      <w:r w:rsidR="007E429E">
        <w:rPr>
          <w:kern w:val="0"/>
          <w:lang w:val="nl-NL" w:eastAsia="en-US" w:bidi="ar-SA"/>
        </w:rPr>
        <w:t>-</w:t>
      </w:r>
      <w:r w:rsidRPr="00D147A7">
        <w:rPr>
          <w:kern w:val="0"/>
          <w:lang w:val="nl-NL" w:eastAsia="en-US" w:bidi="ar-SA"/>
        </w:rPr>
        <w:t>uitgeverij, 1978, 140p.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NOUWT, S.; PLOEM, M.C. (reds.); </w:t>
      </w:r>
      <w:r w:rsidRPr="00D147A7">
        <w:rPr>
          <w:i/>
          <w:kern w:val="0"/>
          <w:lang w:val="nl-NL" w:eastAsia="en-US" w:bidi="ar-SA"/>
        </w:rPr>
        <w:t>Gezondheidsrecht en ICT</w:t>
      </w:r>
      <w:r w:rsidRPr="00D147A7">
        <w:rPr>
          <w:kern w:val="0"/>
          <w:lang w:val="nl-NL" w:eastAsia="en-US" w:bidi="ar-SA"/>
        </w:rPr>
        <w:t>, Monografieën Recht en Infor</w:t>
      </w:r>
      <w:r w:rsidR="007E429E">
        <w:rPr>
          <w:kern w:val="0"/>
          <w:lang w:val="nl-NL" w:eastAsia="en-US" w:bidi="ar-SA"/>
        </w:rPr>
        <w:t>-</w:t>
      </w:r>
      <w:r w:rsidRPr="00D147A7">
        <w:rPr>
          <w:kern w:val="0"/>
          <w:lang w:val="nl-NL" w:eastAsia="en-US" w:bidi="ar-SA"/>
        </w:rPr>
        <w:t>matietechnologie, 7, Den Haag, Sdu Uitgevers, 2012, 162p.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RIJKSEN, W.P., </w:t>
      </w:r>
      <w:r w:rsidRPr="00D147A7">
        <w:rPr>
          <w:i/>
          <w:kern w:val="0"/>
          <w:lang w:val="nl-NL" w:eastAsia="en-US" w:bidi="ar-SA"/>
        </w:rPr>
        <w:t>Bewaartermijnen patiëntengegevens. Wet- en regelgeving</w:t>
      </w:r>
      <w:r w:rsidRPr="00D147A7">
        <w:rPr>
          <w:kern w:val="0"/>
          <w:lang w:val="nl-NL" w:eastAsia="en-US" w:bidi="ar-SA"/>
        </w:rPr>
        <w:t xml:space="preserve">, Alphen aan den Rijn, Samson H.D. Tjeenk Willink, 1995, 95p.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RIJKSEN, W.P., </w:t>
      </w:r>
      <w:r w:rsidRPr="00D147A7">
        <w:rPr>
          <w:i/>
          <w:kern w:val="0"/>
          <w:lang w:val="nl-NL" w:eastAsia="en-US" w:bidi="ar-SA"/>
        </w:rPr>
        <w:t>Bewaartermijnen patiëntengegevens. Jaarboek 1995/96</w:t>
      </w:r>
      <w:r w:rsidRPr="00D147A7">
        <w:rPr>
          <w:kern w:val="0"/>
          <w:lang w:val="nl-NL" w:eastAsia="en-US" w:bidi="ar-SA"/>
        </w:rPr>
        <w:t>, Alphen aan den Rijn, Samson H.D. Tjeenk Willink, 1994, 47p.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SLUIJTERS, B., ‘De WGBO, onderdeel van het burgerlijk recht’, </w:t>
      </w:r>
      <w:r w:rsidRPr="00D147A7">
        <w:rPr>
          <w:i/>
          <w:kern w:val="0"/>
          <w:lang w:val="nl-NL" w:eastAsia="en-US" w:bidi="ar-SA"/>
        </w:rPr>
        <w:t>T.G.</w:t>
      </w:r>
      <w:r w:rsidRPr="00D147A7">
        <w:rPr>
          <w:kern w:val="0"/>
          <w:lang w:val="nl-NL" w:eastAsia="en-US" w:bidi="ar-SA"/>
        </w:rPr>
        <w:t>, 1996, 1, p. 2-7.</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SLUIJTERS, B.; BIESAART, M.C.I.H.; </w:t>
      </w:r>
      <w:r w:rsidRPr="00D147A7">
        <w:rPr>
          <w:i/>
          <w:kern w:val="0"/>
          <w:lang w:val="nl-NL" w:eastAsia="en-US" w:bidi="ar-SA"/>
        </w:rPr>
        <w:t>De geneeskundige behandelingsovereenkomst</w:t>
      </w:r>
      <w:r w:rsidRPr="00D147A7">
        <w:rPr>
          <w:kern w:val="0"/>
          <w:lang w:val="nl-NL" w:eastAsia="en-US" w:bidi="ar-SA"/>
        </w:rPr>
        <w:t>, De</w:t>
      </w:r>
      <w:r w:rsidR="007E429E">
        <w:rPr>
          <w:kern w:val="0"/>
          <w:lang w:val="nl-NL" w:eastAsia="en-US" w:bidi="ar-SA"/>
        </w:rPr>
        <w:t>-</w:t>
      </w:r>
      <w:r w:rsidRPr="00D147A7">
        <w:rPr>
          <w:kern w:val="0"/>
          <w:lang w:val="nl-NL" w:eastAsia="en-US" w:bidi="ar-SA"/>
        </w:rPr>
        <w:t>venter, Kluwer, 2005², 223p.</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SPREEUWENBERG, C., ‘Arts en WGBO’, </w:t>
      </w:r>
      <w:r w:rsidRPr="00D147A7">
        <w:rPr>
          <w:i/>
          <w:kern w:val="0"/>
          <w:lang w:val="nl-NL" w:eastAsia="en-US" w:bidi="ar-SA"/>
        </w:rPr>
        <w:t>M.C.</w:t>
      </w:r>
      <w:r w:rsidRPr="00D147A7">
        <w:rPr>
          <w:kern w:val="0"/>
          <w:lang w:val="nl-NL" w:eastAsia="en-US" w:bidi="ar-SA"/>
        </w:rPr>
        <w:t>, 46/36 (1991), p. 1030-1032.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TEMPELMAN, I.M., ‘Digitalisering doet bewijskracht documenten de das om?’, </w:t>
      </w:r>
      <w:r w:rsidRPr="00D147A7">
        <w:rPr>
          <w:i/>
          <w:kern w:val="0"/>
          <w:lang w:val="nl-NL" w:eastAsia="en-US" w:bidi="ar-SA"/>
        </w:rPr>
        <w:t>Trema</w:t>
      </w:r>
      <w:r w:rsidRPr="00D147A7">
        <w:rPr>
          <w:kern w:val="0"/>
          <w:lang w:val="nl-NL" w:eastAsia="en-US" w:bidi="ar-SA"/>
        </w:rPr>
        <w:t>, 31/9 (2008), p. 404-408.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HERTEN, J.H.S., ‘De begrippen «medische gegevens» en «medische dossiers»’, </w:t>
      </w:r>
      <w:r w:rsidRPr="00D147A7">
        <w:rPr>
          <w:i/>
          <w:kern w:val="0"/>
          <w:lang w:val="nl-NL" w:eastAsia="en-US" w:bidi="ar-SA"/>
        </w:rPr>
        <w:t>M.C.</w:t>
      </w:r>
      <w:r w:rsidRPr="00D147A7">
        <w:rPr>
          <w:kern w:val="0"/>
          <w:lang w:val="nl-NL" w:eastAsia="en-US" w:bidi="ar-SA"/>
        </w:rPr>
        <w:t>, 34/48 (1979), p. 1527-1528.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HERTEN, J.H.S., ‘Eigendomsrecht van medische dossiers’, </w:t>
      </w:r>
      <w:r w:rsidRPr="00D147A7">
        <w:rPr>
          <w:i/>
          <w:kern w:val="0"/>
          <w:lang w:val="nl-NL" w:eastAsia="en-US" w:bidi="ar-SA"/>
        </w:rPr>
        <w:t>Metamedica</w:t>
      </w:r>
      <w:r w:rsidRPr="00D147A7">
        <w:rPr>
          <w:kern w:val="0"/>
          <w:lang w:val="nl-NL" w:eastAsia="en-US" w:bidi="ar-SA"/>
        </w:rPr>
        <w:t xml:space="preserve">, 65 (1986), p. 198-210.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VAN HERTEN, J.H.S., ‘Medische dossiers in algemene ziekenhuizen. Proeve van een regle</w:t>
      </w:r>
      <w:r w:rsidR="007E429E">
        <w:rPr>
          <w:kern w:val="0"/>
          <w:lang w:val="nl-NL" w:eastAsia="en-US" w:bidi="ar-SA"/>
        </w:rPr>
        <w:t>-</w:t>
      </w:r>
      <w:r w:rsidRPr="00D147A7">
        <w:rPr>
          <w:kern w:val="0"/>
          <w:lang w:val="nl-NL" w:eastAsia="en-US" w:bidi="ar-SA"/>
        </w:rPr>
        <w:t xml:space="preserve">ment’, </w:t>
      </w:r>
      <w:r w:rsidRPr="00D147A7">
        <w:rPr>
          <w:i/>
          <w:kern w:val="0"/>
          <w:lang w:val="nl-NL" w:eastAsia="en-US" w:bidi="ar-SA"/>
        </w:rPr>
        <w:t>M.C.</w:t>
      </w:r>
      <w:r w:rsidRPr="00D147A7">
        <w:rPr>
          <w:kern w:val="0"/>
          <w:lang w:val="nl-NL" w:eastAsia="en-US" w:bidi="ar-SA"/>
        </w:rPr>
        <w:t>, 35/7 (1980), p. 221.</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LEEUWEN, F.E.; SCHORNAGEL, J.H.; ‘Bewaren of vernietigen? Het belang van het dossier voor de patiënt van gisteren en morgen’, </w:t>
      </w:r>
      <w:r w:rsidRPr="00D147A7">
        <w:rPr>
          <w:i/>
          <w:kern w:val="0"/>
          <w:lang w:val="nl-NL" w:eastAsia="en-US" w:bidi="ar-SA"/>
        </w:rPr>
        <w:t>N.T.G.</w:t>
      </w:r>
      <w:r w:rsidRPr="00D147A7">
        <w:rPr>
          <w:kern w:val="0"/>
          <w:lang w:val="nl-NL" w:eastAsia="en-US" w:bidi="ar-SA"/>
        </w:rPr>
        <w:t>, 145/10 (2001), p. 455-460.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MEERSBERGEN, D.Y.A.; MEERMAN, T.J.A.M.; </w:t>
      </w:r>
      <w:r w:rsidRPr="00D147A7">
        <w:rPr>
          <w:i/>
          <w:kern w:val="0"/>
          <w:lang w:val="nl-NL" w:eastAsia="en-US" w:bidi="ar-SA"/>
        </w:rPr>
        <w:t>Overdracht van patiëntendossiers na ontstentenis van de arts zonder opvolging</w:t>
      </w:r>
      <w:r w:rsidR="00DA36C8" w:rsidRPr="00D147A7">
        <w:rPr>
          <w:kern w:val="0"/>
          <w:lang w:val="nl-NL" w:eastAsia="en-US" w:bidi="ar-SA"/>
        </w:rPr>
        <w:t xml:space="preserve">, Utrecht, KNMG, 2005, 6p. </w:t>
      </w:r>
      <w:r w:rsidRPr="00D147A7">
        <w:rPr>
          <w:kern w:val="0"/>
          <w:lang w:val="nl-NL" w:eastAsia="en-US" w:bidi="ar-SA"/>
        </w:rPr>
        <w:t>(</w:t>
      </w:r>
      <w:hyperlink w:history="1">
        <w:r w:rsidR="007E429E" w:rsidRPr="00ED5FE6">
          <w:rPr>
            <w:rStyle w:val="Hyperlink"/>
            <w:kern w:val="0"/>
            <w:lang w:val="nl-NL" w:eastAsia="en-US" w:bidi="ar-SA"/>
          </w:rPr>
          <w:t>http://knmg. artsennet.nl/Publicaties/KNMGpublicatie/Overdracht-van-patientendossiers-na-ontstentenis-van-de-arts-zonder-opvolging-2005.htm</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VAN MEERSBERGEN, D.Y.A.; DOPPEGIETER, R.M.S.; </w:t>
      </w:r>
      <w:r w:rsidRPr="00D147A7">
        <w:rPr>
          <w:i/>
          <w:kern w:val="0"/>
          <w:lang w:val="nl-NL" w:eastAsia="en-US" w:bidi="ar-SA"/>
        </w:rPr>
        <w:t>Advies voor overdracht patiënt</w:t>
      </w:r>
      <w:r w:rsidR="007E429E">
        <w:rPr>
          <w:i/>
          <w:kern w:val="0"/>
          <w:lang w:val="nl-NL" w:eastAsia="en-US" w:bidi="ar-SA"/>
        </w:rPr>
        <w:t>-</w:t>
      </w:r>
      <w:r w:rsidRPr="00D147A7">
        <w:rPr>
          <w:i/>
          <w:kern w:val="0"/>
          <w:lang w:val="nl-NL" w:eastAsia="en-US" w:bidi="ar-SA"/>
        </w:rPr>
        <w:t>endossier bij verandering van huisarts, een actualisering</w:t>
      </w:r>
      <w:r w:rsidRPr="00D147A7">
        <w:rPr>
          <w:kern w:val="0"/>
          <w:lang w:val="nl-NL" w:eastAsia="en-US" w:bidi="ar-SA"/>
        </w:rPr>
        <w:t>, Utrecht, KNMG, 2008, 15p. (</w:t>
      </w:r>
      <w:hyperlink w:history="1">
        <w:r w:rsidR="007E429E" w:rsidRPr="00ED5FE6">
          <w:rPr>
            <w:rStyle w:val="Hyperlink"/>
            <w:kern w:val="0"/>
            <w:lang w:val="nl-NL" w:eastAsia="en-US" w:bidi="ar-SA"/>
          </w:rPr>
          <w:t>http:// knmg.artsennet.nl/Publicaties/KNMGpublicatie/Advies-voor-overdracht-patientendossier-bij-verandering-van-huisarts-een-actualisering-2008.htm</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VONK, P., ‘Bewaartermijnen en regels voor overdracht medische dossiers. De WGBO en de huisartsenpraktijk’, </w:t>
      </w:r>
      <w:r w:rsidRPr="00D147A7">
        <w:rPr>
          <w:i/>
          <w:kern w:val="0"/>
          <w:lang w:val="nl-NL" w:eastAsia="en-US" w:bidi="ar-SA"/>
        </w:rPr>
        <w:t>M.C.</w:t>
      </w:r>
      <w:r w:rsidRPr="00D147A7">
        <w:rPr>
          <w:kern w:val="0"/>
          <w:lang w:val="nl-NL" w:eastAsia="en-US" w:bidi="ar-SA"/>
        </w:rPr>
        <w:t>, 53/22 (1998), p. 753-755.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WITMER, J.M.; DE ROODE, R.P. (reds.); </w:t>
      </w:r>
      <w:r w:rsidRPr="00D147A7">
        <w:rPr>
          <w:i/>
          <w:kern w:val="0"/>
          <w:lang w:val="nl-NL" w:eastAsia="en-US" w:bidi="ar-SA"/>
        </w:rPr>
        <w:t>Van wet naar praktijk. Implementatie van de WGBO. Deel 3: Dossier en bewaartermijnen</w:t>
      </w:r>
      <w:r w:rsidRPr="00D147A7">
        <w:rPr>
          <w:kern w:val="0"/>
          <w:lang w:val="nl-NL" w:eastAsia="en-US" w:bidi="ar-SA"/>
        </w:rPr>
        <w:t>, Utrecht, KNMG, 2004, 73p. (</w:t>
      </w:r>
      <w:hyperlink w:history="1">
        <w:r w:rsidR="007E429E" w:rsidRPr="00ED5FE6">
          <w:rPr>
            <w:rStyle w:val="Hyperlink"/>
            <w:kern w:val="0"/>
            <w:lang w:val="nl-NL" w:eastAsia="en-US" w:bidi="ar-SA"/>
          </w:rPr>
          <w:t>http://knmg. artsennet.nl/Publicaties/KNMGpublicatie/Van-wet-naar-praktijk-implementatie-van-de-WGBO-Deel-3.-Dossier-en-bewaartermijnen-2004.htm</w:t>
        </w:r>
      </w:hyperlink>
      <w:r w:rsidRPr="00D147A7">
        <w:rPr>
          <w:kern w:val="0"/>
          <w:lang w:val="nl-NL" w:eastAsia="en-US" w:bidi="ar-SA"/>
        </w:rPr>
        <w:t>, laatst geraadpleegd op 23 juli 2012).</w:t>
      </w:r>
    </w:p>
    <w:p w:rsidR="00DA36C8" w:rsidRPr="00D147A7" w:rsidRDefault="00DA36C8"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1.5.2.4 Websites</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2E7E12" w:rsidP="009931C7">
      <w:pPr>
        <w:widowControl/>
        <w:suppressAutoHyphens w:val="0"/>
        <w:spacing w:line="240" w:lineRule="atLeast"/>
        <w:jc w:val="both"/>
        <w:rPr>
          <w:kern w:val="0"/>
          <w:lang w:val="nl-NL" w:eastAsia="en-US" w:bidi="ar-SA"/>
        </w:rPr>
      </w:pPr>
      <w:hyperlink r:id="rId41" w:history="1">
        <w:r w:rsidR="00DA36C8" w:rsidRPr="00D147A7">
          <w:rPr>
            <w:rStyle w:val="Hyperlink"/>
            <w:kern w:val="0"/>
            <w:lang w:val="nl-NL" w:eastAsia="en-US" w:bidi="ar-SA"/>
          </w:rPr>
          <w:t>http://dspace.ou.nl/</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42" w:history="1">
        <w:r w:rsidR="00DA36C8" w:rsidRPr="00D147A7">
          <w:rPr>
            <w:rStyle w:val="Hyperlink"/>
            <w:kern w:val="0"/>
            <w:lang w:val="nl-NL" w:eastAsia="en-US" w:bidi="ar-SA"/>
          </w:rPr>
          <w:t>http://knmg.artsennet.nl/</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43" w:history="1">
        <w:r w:rsidR="00DA36C8" w:rsidRPr="00D147A7">
          <w:rPr>
            <w:rStyle w:val="Hyperlink"/>
            <w:kern w:val="0"/>
            <w:lang w:val="nl-NL" w:eastAsia="en-US" w:bidi="ar-SA"/>
          </w:rPr>
          <w:t>http://www.nictiz.nl/</w:t>
        </w:r>
      </w:hyperlink>
      <w:r w:rsidR="009931C7" w:rsidRPr="00D147A7">
        <w:rPr>
          <w:kern w:val="0"/>
          <w:lang w:val="nl-NL" w:eastAsia="en-US" w:bidi="ar-SA"/>
        </w:rPr>
        <w:t>.</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ind w:firstLine="708"/>
        <w:jc w:val="both"/>
        <w:rPr>
          <w:b/>
          <w:smallCaps/>
          <w:kern w:val="0"/>
          <w:lang w:val="nl-NL" w:eastAsia="en-US" w:bidi="ar-SA"/>
        </w:rPr>
      </w:pPr>
      <w:r w:rsidRPr="00D147A7">
        <w:rPr>
          <w:b/>
          <w:kern w:val="0"/>
          <w:lang w:val="nl-NL" w:eastAsia="en-US" w:bidi="ar-SA"/>
        </w:rPr>
        <w:t>1.5.</w:t>
      </w:r>
      <w:r w:rsidRPr="00D147A7">
        <w:rPr>
          <w:b/>
          <w:smallCaps/>
          <w:kern w:val="0"/>
          <w:lang w:val="nl-NL" w:eastAsia="en-US" w:bidi="ar-SA"/>
        </w:rPr>
        <w:t>3. Frankrijk</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kern w:val="0"/>
          <w:lang w:val="nl-NL" w:eastAsia="en-US" w:bidi="ar-SA"/>
        </w:rPr>
        <w:tab/>
      </w:r>
      <w:r w:rsidRPr="00D147A7">
        <w:rPr>
          <w:kern w:val="0"/>
          <w:lang w:val="nl-NL" w:eastAsia="en-US" w:bidi="ar-SA"/>
        </w:rPr>
        <w:tab/>
      </w:r>
      <w:r w:rsidRPr="00D147A7">
        <w:rPr>
          <w:b/>
          <w:kern w:val="0"/>
          <w:lang w:val="nl-NL" w:eastAsia="en-US" w:bidi="ar-SA"/>
        </w:rPr>
        <w:t xml:space="preserve">1.5.3.1 Wetgeving </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van 11 maart 1968 houdende reglement van ziekenhuisarchieven (</w:t>
      </w:r>
      <w:r w:rsidRPr="00D147A7">
        <w:rPr>
          <w:i/>
          <w:kern w:val="0"/>
          <w:lang w:val="nl-NL" w:eastAsia="en-US" w:bidi="ar-SA"/>
        </w:rPr>
        <w:t>JORF</w:t>
      </w:r>
      <w:r w:rsidRPr="00D147A7">
        <w:rPr>
          <w:kern w:val="0"/>
          <w:lang w:val="nl-NL" w:eastAsia="en-US" w:bidi="ar-SA"/>
        </w:rPr>
        <w:t xml:space="preserve"> 25 oktober 1968).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79-18 van 3 januari 1979 inzake archieven (</w:t>
      </w:r>
      <w:r w:rsidRPr="00D147A7">
        <w:rPr>
          <w:i/>
          <w:kern w:val="0"/>
          <w:lang w:val="nl-NL" w:eastAsia="en-US" w:bidi="ar-SA"/>
        </w:rPr>
        <w:t>JORF</w:t>
      </w:r>
      <w:r w:rsidRPr="00D147A7">
        <w:rPr>
          <w:kern w:val="0"/>
          <w:lang w:val="nl-NL" w:eastAsia="en-US" w:bidi="ar-SA"/>
        </w:rPr>
        <w:t xml:space="preserve"> 5 januari 1979).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80-525 van 12 juli 1980 betreffende de bewijskracht van juridische aktes I (</w:t>
      </w:r>
      <w:r w:rsidRPr="00D147A7">
        <w:rPr>
          <w:i/>
          <w:kern w:val="0"/>
          <w:lang w:val="nl-NL" w:eastAsia="en-US" w:bidi="ar-SA"/>
        </w:rPr>
        <w:t>JORF</w:t>
      </w:r>
      <w:r w:rsidRPr="00D147A7">
        <w:rPr>
          <w:kern w:val="0"/>
          <w:lang w:val="nl-NL" w:eastAsia="en-US" w:bidi="ar-SA"/>
        </w:rPr>
        <w:t xml:space="preserve"> 13 juli 1980).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94-43 van 18 juni 1994 betreffende de volksgezondheid en de sociale zekerheid I (</w:t>
      </w:r>
      <w:r w:rsidRPr="00D147A7">
        <w:rPr>
          <w:i/>
          <w:kern w:val="0"/>
          <w:lang w:val="nl-NL" w:eastAsia="en-US" w:bidi="ar-SA"/>
        </w:rPr>
        <w:t>JORF</w:t>
      </w:r>
      <w:r w:rsidRPr="00D147A7">
        <w:rPr>
          <w:kern w:val="0"/>
          <w:lang w:val="nl-NL" w:eastAsia="en-US" w:bidi="ar-SA"/>
        </w:rPr>
        <w:t xml:space="preserve"> 15, 19 januari 1994).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nr. 95-1000 van 6 september 1995 houdende code van geneeskundige plichtenleer (</w:t>
      </w:r>
      <w:r w:rsidRPr="00D147A7">
        <w:rPr>
          <w:i/>
          <w:kern w:val="0"/>
          <w:lang w:val="nl-NL" w:eastAsia="en-US" w:bidi="ar-SA"/>
        </w:rPr>
        <w:t>JORF</w:t>
      </w:r>
      <w:r w:rsidRPr="00D147A7">
        <w:rPr>
          <w:kern w:val="0"/>
          <w:lang w:val="nl-NL" w:eastAsia="en-US" w:bidi="ar-SA"/>
        </w:rPr>
        <w:t xml:space="preserve"> 209, 8 september 1995).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lastRenderedPageBreak/>
        <w:t>Besluit nr. 96-345 van 24 april 1996 betreffende de medische beheersing van de zorguitgaven (</w:t>
      </w:r>
      <w:r w:rsidRPr="00D147A7">
        <w:rPr>
          <w:i/>
          <w:kern w:val="0"/>
          <w:lang w:val="nl-NL" w:eastAsia="en-US" w:bidi="ar-SA"/>
        </w:rPr>
        <w:t>JORF</w:t>
      </w:r>
      <w:r w:rsidRPr="00D147A7">
        <w:rPr>
          <w:kern w:val="0"/>
          <w:lang w:val="nl-NL" w:eastAsia="en-US" w:bidi="ar-SA"/>
        </w:rPr>
        <w:t xml:space="preserve"> 98, 25 april 1996).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2000-230 van 13 maart 2000 houdende aanpassing van het bewijsrecht aan de infor</w:t>
      </w:r>
      <w:r w:rsidR="007E429E">
        <w:rPr>
          <w:kern w:val="0"/>
          <w:lang w:val="nl-NL" w:eastAsia="en-US" w:bidi="ar-SA"/>
        </w:rPr>
        <w:t>-</w:t>
      </w:r>
      <w:r w:rsidRPr="00D147A7">
        <w:rPr>
          <w:kern w:val="0"/>
          <w:lang w:val="nl-NL" w:eastAsia="en-US" w:bidi="ar-SA"/>
        </w:rPr>
        <w:t>matietechnologieën en betreffende de elektronische handtekening (</w:t>
      </w:r>
      <w:r w:rsidRPr="00D147A7">
        <w:rPr>
          <w:i/>
          <w:kern w:val="0"/>
          <w:lang w:val="nl-NL" w:eastAsia="en-US" w:bidi="ar-SA"/>
        </w:rPr>
        <w:t>JORF</w:t>
      </w:r>
      <w:r w:rsidRPr="00D147A7">
        <w:rPr>
          <w:kern w:val="0"/>
          <w:lang w:val="nl-NL" w:eastAsia="en-US" w:bidi="ar-SA"/>
        </w:rPr>
        <w:t xml:space="preserve"> 62, 14 maart 2000).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2002-303 van 4 maart 2002 betreffende de rechten van patiënten en de kwaliteit van gezondheidszorgsystemen I (</w:t>
      </w:r>
      <w:r w:rsidRPr="00D147A7">
        <w:rPr>
          <w:i/>
          <w:kern w:val="0"/>
          <w:lang w:val="nl-NL" w:eastAsia="en-US" w:bidi="ar-SA"/>
        </w:rPr>
        <w:t>JORF</w:t>
      </w:r>
      <w:r w:rsidRPr="00D147A7">
        <w:rPr>
          <w:kern w:val="0"/>
          <w:lang w:val="nl-NL" w:eastAsia="en-US" w:bidi="ar-SA"/>
        </w:rPr>
        <w:t xml:space="preserve"> 54, 5 maart 2002).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nl-NL" w:eastAsia="en-US" w:bidi="ar-SA"/>
        </w:rPr>
        <w:t xml:space="preserve">Besluit nr. 2002-637 van 29 april 2002 betreffende de toegang tot de door beroepsbeoefenaars en verzorgingsinstellingen bijgehouden persoonsgegevens in toepassing van art. </w:t>
      </w:r>
      <w:r w:rsidRPr="00D147A7">
        <w:rPr>
          <w:kern w:val="0"/>
          <w:lang w:val="fr-BE" w:eastAsia="en-US" w:bidi="ar-SA"/>
        </w:rPr>
        <w:t xml:space="preserve">L. 1111-7 en art. L. 1112-1 van de </w:t>
      </w:r>
      <w:r w:rsidRPr="00D147A7">
        <w:rPr>
          <w:i/>
          <w:kern w:val="0"/>
          <w:lang w:val="fr-BE" w:eastAsia="en-US" w:bidi="ar-SA"/>
        </w:rPr>
        <w:t>code de la santé publique</w:t>
      </w:r>
      <w:r w:rsidRPr="00D147A7">
        <w:rPr>
          <w:kern w:val="0"/>
          <w:lang w:val="fr-BE" w:eastAsia="en-US" w:bidi="ar-SA"/>
        </w:rPr>
        <w:t xml:space="preserve"> (</w:t>
      </w:r>
      <w:r w:rsidRPr="00D147A7">
        <w:rPr>
          <w:i/>
          <w:kern w:val="0"/>
          <w:lang w:val="fr-BE" w:eastAsia="en-US" w:bidi="ar-SA"/>
        </w:rPr>
        <w:t>JORF</w:t>
      </w:r>
      <w:r w:rsidRPr="00D147A7">
        <w:rPr>
          <w:kern w:val="0"/>
          <w:lang w:val="fr-BE" w:eastAsia="en-US" w:bidi="ar-SA"/>
        </w:rPr>
        <w:t xml:space="preserve"> 101, 30 april 2002).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Besluit nr. 2003-462 van 21 mei 2003 betreffende de reglementaire bepalingen van delen I, II en III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122, 27 mei 2003).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Beschikking nr. 2003-850 van 4 september 2003 houdende de vereenvoudiging van de organi</w:t>
      </w:r>
      <w:r w:rsidR="007E429E">
        <w:rPr>
          <w:kern w:val="0"/>
          <w:lang w:val="nl-NL" w:eastAsia="en-US" w:bidi="ar-SA"/>
        </w:rPr>
        <w:t>-</w:t>
      </w:r>
      <w:r w:rsidRPr="00D147A7">
        <w:rPr>
          <w:kern w:val="0"/>
          <w:lang w:val="nl-NL" w:eastAsia="en-US" w:bidi="ar-SA"/>
        </w:rPr>
        <w:t>satie en de werking van het gezondheidszorgsysteem en de procedures om bedrijven of socia</w:t>
      </w:r>
      <w:r w:rsidR="007E429E">
        <w:rPr>
          <w:kern w:val="0"/>
          <w:lang w:val="nl-NL" w:eastAsia="en-US" w:bidi="ar-SA"/>
        </w:rPr>
        <w:t>-</w:t>
      </w:r>
      <w:r w:rsidRPr="00D147A7">
        <w:rPr>
          <w:kern w:val="0"/>
          <w:lang w:val="nl-NL" w:eastAsia="en-US" w:bidi="ar-SA"/>
        </w:rPr>
        <w:t>le en medisch-sociale diensten waarvoor een vergunning vereist is (</w:t>
      </w:r>
      <w:r w:rsidRPr="00D147A7">
        <w:rPr>
          <w:i/>
          <w:kern w:val="0"/>
          <w:lang w:val="nl-NL" w:eastAsia="en-US" w:bidi="ar-SA"/>
        </w:rPr>
        <w:t>JORF</w:t>
      </w:r>
      <w:r w:rsidRPr="00D147A7">
        <w:rPr>
          <w:kern w:val="0"/>
          <w:lang w:val="nl-NL" w:eastAsia="en-US" w:bidi="ar-SA"/>
        </w:rPr>
        <w:t xml:space="preserve"> 206, 6 september 2003).</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Beschikking nr. 2004-178 van 20 februari 2004 betreffende het wetgevend gedeelte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46, 24 februari 2004).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Besluit nr. 2004-802 van 29 juli 2004 betreffende delen IV en V (reglementaire bepalingen) van de </w:t>
      </w:r>
      <w:r w:rsidRPr="00D147A7">
        <w:rPr>
          <w:i/>
          <w:kern w:val="0"/>
          <w:lang w:val="nl-NL" w:eastAsia="en-US" w:bidi="ar-SA"/>
        </w:rPr>
        <w:t>code de la santé publique</w:t>
      </w:r>
      <w:r w:rsidRPr="00D147A7">
        <w:rPr>
          <w:kern w:val="0"/>
          <w:lang w:val="nl-NL" w:eastAsia="en-US" w:bidi="ar-SA"/>
        </w:rPr>
        <w:t xml:space="preserve"> en ter wijziging van enkele bepalingen van deze </w:t>
      </w:r>
      <w:r w:rsidRPr="00D147A7">
        <w:rPr>
          <w:i/>
          <w:kern w:val="0"/>
          <w:lang w:val="nl-NL" w:eastAsia="en-US" w:bidi="ar-SA"/>
        </w:rPr>
        <w:t>code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183, 8 augustus 2004).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2005-370 van 22 april 2005 betreffende de rechten van patiënten en aan het levens</w:t>
      </w:r>
      <w:r w:rsidR="007E429E">
        <w:rPr>
          <w:kern w:val="0"/>
          <w:lang w:val="nl-NL" w:eastAsia="en-US" w:bidi="ar-SA"/>
        </w:rPr>
        <w:t>-</w:t>
      </w:r>
      <w:r w:rsidRPr="00D147A7">
        <w:rPr>
          <w:kern w:val="0"/>
          <w:lang w:val="nl-NL" w:eastAsia="en-US" w:bidi="ar-SA"/>
        </w:rPr>
        <w:t>einde (</w:t>
      </w:r>
      <w:r w:rsidRPr="00D147A7">
        <w:rPr>
          <w:i/>
          <w:kern w:val="0"/>
          <w:lang w:val="nl-NL" w:eastAsia="en-US" w:bidi="ar-SA"/>
        </w:rPr>
        <w:t>JORF</w:t>
      </w:r>
      <w:r w:rsidRPr="00D147A7">
        <w:rPr>
          <w:kern w:val="0"/>
          <w:lang w:val="nl-NL" w:eastAsia="en-US" w:bidi="ar-SA"/>
        </w:rPr>
        <w:t xml:space="preserve"> 95, 23 april 2005).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Besluit nr. 2005-840 van 20 juli 2005 betreffende het zesde deel (reglementaire bepalingen) van de </w:t>
      </w:r>
      <w:r w:rsidRPr="00D147A7">
        <w:rPr>
          <w:i/>
          <w:kern w:val="0"/>
          <w:lang w:val="nl-NL" w:eastAsia="en-US" w:bidi="ar-SA"/>
        </w:rPr>
        <w:t>code de la santé publique</w:t>
      </w:r>
      <w:r w:rsidRPr="00D147A7">
        <w:rPr>
          <w:kern w:val="0"/>
          <w:lang w:val="nl-NL" w:eastAsia="en-US" w:bidi="ar-SA"/>
        </w:rPr>
        <w:t xml:space="preserve"> en ter wijziging van enkele bepalingen van deze </w:t>
      </w:r>
      <w:r w:rsidRPr="00D147A7">
        <w:rPr>
          <w:i/>
          <w:kern w:val="0"/>
          <w:lang w:val="nl-NL" w:eastAsia="en-US" w:bidi="ar-SA"/>
        </w:rPr>
        <w:t>code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172, 26 juli 2005).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Besluit nr. 2006-6 van 4 januari 2006 betreffende de bewaring van gezondheidsgegevens en ter wijziging van de reglementaire bepalingen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4, 5 ja</w:t>
      </w:r>
      <w:r w:rsidR="007E429E">
        <w:rPr>
          <w:kern w:val="0"/>
          <w:lang w:val="nl-NL" w:eastAsia="en-US" w:bidi="ar-SA"/>
        </w:rPr>
        <w:t>-</w:t>
      </w:r>
      <w:r w:rsidRPr="00D147A7">
        <w:rPr>
          <w:kern w:val="0"/>
          <w:lang w:val="nl-NL" w:eastAsia="en-US" w:bidi="ar-SA"/>
        </w:rPr>
        <w:t>nuari 2006)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Besluit nr. 2006-119 van 6 februari 2006 betreffende de wilsverklaringen voorzien door wet nr. 2005-370 inzake de rechten van patiënten en aan het levenseinde, ter wijziging van de </w:t>
      </w:r>
      <w:r w:rsidRPr="00D147A7">
        <w:rPr>
          <w:i/>
          <w:kern w:val="0"/>
          <w:lang w:val="nl-NL" w:eastAsia="en-US" w:bidi="ar-SA"/>
        </w:rPr>
        <w:t>co</w:t>
      </w:r>
      <w:r w:rsidR="007E429E">
        <w:rPr>
          <w:i/>
          <w:kern w:val="0"/>
          <w:lang w:val="nl-NL" w:eastAsia="en-US" w:bidi="ar-SA"/>
        </w:rPr>
        <w:t>-</w:t>
      </w:r>
      <w:r w:rsidRPr="00D147A7">
        <w:rPr>
          <w:i/>
          <w:kern w:val="0"/>
          <w:lang w:val="nl-NL" w:eastAsia="en-US" w:bidi="ar-SA"/>
        </w:rPr>
        <w:t>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32, 7 februari 2006).</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2008-696 van 15 juli 2008 betreffende archieven I (</w:t>
      </w:r>
      <w:r w:rsidRPr="00D147A7">
        <w:rPr>
          <w:i/>
          <w:kern w:val="0"/>
          <w:lang w:val="nl-NL" w:eastAsia="en-US" w:bidi="ar-SA"/>
        </w:rPr>
        <w:t>JORF</w:t>
      </w:r>
      <w:r w:rsidRPr="00D147A7">
        <w:rPr>
          <w:kern w:val="0"/>
          <w:lang w:val="nl-NL" w:eastAsia="en-US" w:bidi="ar-SA"/>
        </w:rPr>
        <w:t xml:space="preserve"> 164, 16 juli 2008).</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2009-879 van 21 juli 2009 houdende ziekenhuishervorming en betreffende patiënten, gezondheid en verzorgingsgebieden (</w:t>
      </w:r>
      <w:r w:rsidRPr="00D147A7">
        <w:rPr>
          <w:i/>
          <w:kern w:val="0"/>
          <w:lang w:val="nl-NL" w:eastAsia="en-US" w:bidi="ar-SA"/>
        </w:rPr>
        <w:t>JORF</w:t>
      </w:r>
      <w:r w:rsidRPr="00D147A7">
        <w:rPr>
          <w:kern w:val="0"/>
          <w:lang w:val="nl-NL" w:eastAsia="en-US" w:bidi="ar-SA"/>
        </w:rPr>
        <w:t xml:space="preserve"> 167, 22 juli 2009).</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nr. 2010-344 van 31 maart 2010 ter conclusie, op het vlak van de regelgeving, van de tussenkomst van wet nr. 2009-879 van 21 juli 2009 houdende ziekenhuishervorming en be</w:t>
      </w:r>
      <w:r w:rsidR="007E429E">
        <w:rPr>
          <w:kern w:val="0"/>
          <w:lang w:val="nl-NL" w:eastAsia="en-US" w:bidi="ar-SA"/>
        </w:rPr>
        <w:t>-</w:t>
      </w:r>
      <w:r w:rsidRPr="00D147A7">
        <w:rPr>
          <w:kern w:val="0"/>
          <w:lang w:val="nl-NL" w:eastAsia="en-US" w:bidi="ar-SA"/>
        </w:rPr>
        <w:t>treffende patiënten, gezondheid en verzorgingsgebieden (</w:t>
      </w:r>
      <w:r w:rsidRPr="00D147A7">
        <w:rPr>
          <w:i/>
          <w:kern w:val="0"/>
          <w:lang w:val="nl-NL" w:eastAsia="en-US" w:bidi="ar-SA"/>
        </w:rPr>
        <w:t>JORF</w:t>
      </w:r>
      <w:r w:rsidRPr="00D147A7">
        <w:rPr>
          <w:kern w:val="0"/>
          <w:lang w:val="nl-NL" w:eastAsia="en-US" w:bidi="ar-SA"/>
        </w:rPr>
        <w:t xml:space="preserve"> 77, 1 april 2010).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Besluit nr. 2010-1733 van 30 december 2010 betreffende het agentschapscomité, de vertegen</w:t>
      </w:r>
      <w:r w:rsidR="00DA36C8" w:rsidRPr="00D147A7">
        <w:rPr>
          <w:kern w:val="0"/>
          <w:lang w:val="nl-NL" w:eastAsia="en-US" w:bidi="ar-SA"/>
        </w:rPr>
        <w:t>-</w:t>
      </w:r>
      <w:r w:rsidRPr="00D147A7">
        <w:rPr>
          <w:kern w:val="0"/>
          <w:lang w:val="nl-NL" w:eastAsia="en-US" w:bidi="ar-SA"/>
        </w:rPr>
        <w:t>woordiging van vakbonden, personeel en directieleden van regionale gezondheidsagentschap</w:t>
      </w:r>
      <w:r w:rsidR="00DA36C8" w:rsidRPr="00D147A7">
        <w:rPr>
          <w:kern w:val="0"/>
          <w:lang w:val="nl-NL" w:eastAsia="en-US" w:bidi="ar-SA"/>
        </w:rPr>
        <w:t>-</w:t>
      </w:r>
      <w:r w:rsidRPr="00D147A7">
        <w:rPr>
          <w:kern w:val="0"/>
          <w:lang w:val="nl-NL" w:eastAsia="en-US" w:bidi="ar-SA"/>
        </w:rPr>
        <w:t xml:space="preserve">pen en ter wijziging van verschillende bepalingen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303, 31 december 2010).</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Wet nr. 2011-803 van 5 juli 2011 betreffende de rechten en de bescherming van personen aan wie psychiatrische zorg verleend wordt en de modaliteiten van hun behandeling I (</w:t>
      </w:r>
      <w:r w:rsidRPr="00D147A7">
        <w:rPr>
          <w:i/>
          <w:kern w:val="0"/>
          <w:lang w:val="nl-NL" w:eastAsia="en-US" w:bidi="ar-SA"/>
        </w:rPr>
        <w:t>JORF</w:t>
      </w:r>
      <w:r w:rsidRPr="00D147A7">
        <w:rPr>
          <w:kern w:val="0"/>
          <w:lang w:val="nl-NL" w:eastAsia="en-US" w:bidi="ar-SA"/>
        </w:rPr>
        <w:t xml:space="preserve"> 155, 6 juli 2011).</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1.5.3.2 CNIL</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 xml:space="preserve">Beraadslaging nr. 01-012 van 8 maart 2001 van de CNIL houdende advies over een ontwerp van uitspraak aangeboden door de </w:t>
      </w:r>
      <w:r w:rsidRPr="00D147A7">
        <w:rPr>
          <w:i/>
          <w:kern w:val="0"/>
          <w:lang w:val="nl-NL" w:eastAsia="en-US" w:bidi="ar-SA"/>
        </w:rPr>
        <w:t>Association pour la bonne coordination médico-chirurgi</w:t>
      </w:r>
      <w:r w:rsidR="007E429E">
        <w:rPr>
          <w:i/>
          <w:kern w:val="0"/>
          <w:lang w:val="nl-NL" w:eastAsia="en-US" w:bidi="ar-SA"/>
        </w:rPr>
        <w:t>-</w:t>
      </w:r>
      <w:r w:rsidRPr="00D147A7">
        <w:rPr>
          <w:i/>
          <w:kern w:val="0"/>
          <w:lang w:val="nl-NL" w:eastAsia="en-US" w:bidi="ar-SA"/>
        </w:rPr>
        <w:t xml:space="preserve">cale </w:t>
      </w:r>
      <w:r w:rsidRPr="00D147A7">
        <w:rPr>
          <w:kern w:val="0"/>
          <w:lang w:val="nl-NL" w:eastAsia="en-US" w:bidi="ar-SA"/>
        </w:rPr>
        <w:t xml:space="preserve">betreffende de voorbereiding van een stedelijk ziekenhuisnetwerk dat het beheer en de </w:t>
      </w:r>
      <w:r w:rsidRPr="00D147A7">
        <w:rPr>
          <w:kern w:val="0"/>
          <w:lang w:val="nl-NL" w:eastAsia="en-US" w:bidi="ar-SA"/>
        </w:rPr>
        <w:lastRenderedPageBreak/>
        <w:t>archivering van patiëntendossiers op internet moet mogelijk maken, door de medisch-chirur</w:t>
      </w:r>
      <w:r w:rsidR="007E429E">
        <w:rPr>
          <w:kern w:val="0"/>
          <w:lang w:val="nl-NL" w:eastAsia="en-US" w:bidi="ar-SA"/>
        </w:rPr>
        <w:t>-</w:t>
      </w:r>
      <w:r w:rsidRPr="00D147A7">
        <w:rPr>
          <w:kern w:val="0"/>
          <w:lang w:val="nl-NL" w:eastAsia="en-US" w:bidi="ar-SA"/>
        </w:rPr>
        <w:t xml:space="preserve">gische kosten op zich te nemen, CNIL, </w:t>
      </w:r>
      <w:r w:rsidRPr="00D147A7">
        <w:rPr>
          <w:i/>
          <w:kern w:val="0"/>
          <w:lang w:val="nl-NL" w:eastAsia="en-US" w:bidi="ar-SA"/>
        </w:rPr>
        <w:t>21</w:t>
      </w:r>
      <w:r w:rsidRPr="00D147A7">
        <w:rPr>
          <w:i/>
          <w:kern w:val="0"/>
          <w:vertAlign w:val="superscript"/>
          <w:lang w:val="nl-NL" w:eastAsia="en-US" w:bidi="ar-SA"/>
        </w:rPr>
        <w:t>e</w:t>
      </w:r>
      <w:r w:rsidRPr="00D147A7">
        <w:rPr>
          <w:i/>
          <w:kern w:val="0"/>
          <w:lang w:val="nl-NL" w:eastAsia="en-US" w:bidi="ar-SA"/>
        </w:rPr>
        <w:t xml:space="preserve"> rapport d’activité 2000</w:t>
      </w:r>
      <w:r w:rsidRPr="00D147A7">
        <w:rPr>
          <w:kern w:val="0"/>
          <w:lang w:val="nl-NL" w:eastAsia="en-US" w:bidi="ar-SA"/>
        </w:rPr>
        <w:t>,</w:t>
      </w:r>
      <w:r w:rsidRPr="00D147A7">
        <w:rPr>
          <w:i/>
          <w:kern w:val="0"/>
          <w:lang w:val="nl-NL" w:eastAsia="en-US" w:bidi="ar-SA"/>
        </w:rPr>
        <w:t xml:space="preserve"> </w:t>
      </w:r>
      <w:r w:rsidRPr="00D147A7">
        <w:rPr>
          <w:kern w:val="0"/>
          <w:lang w:val="nl-NL" w:eastAsia="en-US" w:bidi="ar-SA"/>
        </w:rPr>
        <w:t>Parijs, La Documentati</w:t>
      </w:r>
      <w:r w:rsidR="00DA36C8" w:rsidRPr="00D147A7">
        <w:rPr>
          <w:kern w:val="0"/>
          <w:lang w:val="nl-NL" w:eastAsia="en-US" w:bidi="ar-SA"/>
        </w:rPr>
        <w:t>on française, 2001, p. 158-160 (</w:t>
      </w:r>
      <w:hyperlink r:id="rId44" w:history="1">
        <w:r w:rsidR="007E429E" w:rsidRPr="00ED5FE6">
          <w:rPr>
            <w:rStyle w:val="Hyperlink"/>
            <w:kern w:val="0"/>
            <w:lang w:val="nl-NL" w:eastAsia="en-US" w:bidi="ar-SA"/>
          </w:rPr>
          <w:t>http://www.ladocumentationfrancaise.fr/var/ storage/rapports-publics/014000460/0000.pdf</w:t>
        </w:r>
      </w:hyperlink>
      <w:r w:rsidRPr="00D147A7">
        <w:rPr>
          <w:kern w:val="0"/>
          <w:lang w:val="nl-NL" w:eastAsia="en-US" w:bidi="ar-SA"/>
        </w:rPr>
        <w:t xml:space="preserve">, laatst geraadpleegd op 23 juli 2012).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nl-NL" w:eastAsia="en-US" w:bidi="ar-SA"/>
        </w:rPr>
        <w:t>Beraadslaging nr. 01-013 van 8 maart 2001 van het CNIL houdende advies over een ont</w:t>
      </w:r>
      <w:r w:rsidR="007E429E">
        <w:rPr>
          <w:kern w:val="0"/>
          <w:lang w:val="nl-NL" w:eastAsia="en-US" w:bidi="ar-SA"/>
        </w:rPr>
        <w:t>-</w:t>
      </w:r>
      <w:r w:rsidRPr="00D147A7">
        <w:rPr>
          <w:kern w:val="0"/>
          <w:lang w:val="nl-NL" w:eastAsia="en-US" w:bidi="ar-SA"/>
        </w:rPr>
        <w:t xml:space="preserve">werpuitspraak door de </w:t>
      </w:r>
      <w:r w:rsidRPr="00D147A7">
        <w:rPr>
          <w:i/>
          <w:kern w:val="0"/>
          <w:lang w:val="nl-NL" w:eastAsia="en-US" w:bidi="ar-SA"/>
        </w:rPr>
        <w:t xml:space="preserve">Association Intégrale Santé </w:t>
      </w:r>
      <w:r w:rsidRPr="00D147A7">
        <w:rPr>
          <w:kern w:val="0"/>
          <w:lang w:val="nl-NL" w:eastAsia="en-US" w:bidi="ar-SA"/>
        </w:rPr>
        <w:t xml:space="preserve"> betreffende de voorbereiding van een zorgnetwerk in de regio Lens waarmee patiëntendossiers op internet beheerd en gearchiveerd zouden kunnen worden, CNIL, </w:t>
      </w:r>
      <w:r w:rsidRPr="00D147A7">
        <w:rPr>
          <w:i/>
          <w:kern w:val="0"/>
          <w:lang w:val="nl-NL" w:eastAsia="en-US" w:bidi="ar-SA"/>
        </w:rPr>
        <w:t>21</w:t>
      </w:r>
      <w:r w:rsidRPr="00D147A7">
        <w:rPr>
          <w:i/>
          <w:kern w:val="0"/>
          <w:vertAlign w:val="superscript"/>
          <w:lang w:val="nl-NL" w:eastAsia="en-US" w:bidi="ar-SA"/>
        </w:rPr>
        <w:t>e</w:t>
      </w:r>
      <w:r w:rsidRPr="00D147A7">
        <w:rPr>
          <w:i/>
          <w:kern w:val="0"/>
          <w:lang w:val="nl-NL" w:eastAsia="en-US" w:bidi="ar-SA"/>
        </w:rPr>
        <w:t xml:space="preserve"> rapport d’activité 2000</w:t>
      </w:r>
      <w:r w:rsidRPr="00D147A7">
        <w:rPr>
          <w:kern w:val="0"/>
          <w:lang w:val="nl-NL" w:eastAsia="en-US" w:bidi="ar-SA"/>
        </w:rPr>
        <w:t>,</w:t>
      </w:r>
      <w:r w:rsidRPr="00D147A7">
        <w:rPr>
          <w:i/>
          <w:kern w:val="0"/>
          <w:lang w:val="nl-NL" w:eastAsia="en-US" w:bidi="ar-SA"/>
        </w:rPr>
        <w:t xml:space="preserve"> </w:t>
      </w:r>
      <w:r w:rsidRPr="00D147A7">
        <w:rPr>
          <w:kern w:val="0"/>
          <w:lang w:val="nl-NL" w:eastAsia="en-US" w:bidi="ar-SA"/>
        </w:rPr>
        <w:t>Parijs, La Documentation fran</w:t>
      </w:r>
      <w:r w:rsidR="007E429E">
        <w:rPr>
          <w:kern w:val="0"/>
          <w:lang w:val="nl-NL" w:eastAsia="en-US" w:bidi="ar-SA"/>
        </w:rPr>
        <w:t>-</w:t>
      </w:r>
      <w:r w:rsidRPr="00D147A7">
        <w:rPr>
          <w:kern w:val="0"/>
          <w:lang w:val="nl-NL" w:eastAsia="en-US" w:bidi="ar-SA"/>
        </w:rPr>
        <w:t>çaise, 2001, p. 160-163 (</w:t>
      </w:r>
      <w:hyperlink r:id="rId45" w:history="1">
        <w:r w:rsidR="007E429E" w:rsidRPr="00ED5FE6">
          <w:rPr>
            <w:rStyle w:val="Hyperlink"/>
            <w:kern w:val="0"/>
            <w:lang w:val="nl-NL" w:eastAsia="en-US" w:bidi="ar-SA"/>
          </w:rPr>
          <w:t>http://www.ladocumentationfrancaise.fr/var/storage/rapports-publics/ 014000460/0000.pdf</w:t>
        </w:r>
      </w:hyperlink>
      <w:r w:rsidRPr="00D147A7">
        <w:rPr>
          <w:kern w:val="0"/>
          <w:lang w:val="nl-NL" w:eastAsia="en-US" w:bidi="ar-SA"/>
        </w:rPr>
        <w:t xml:space="preserve">, laatst geraadpleegd op 23 juli 2012). </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fr-BE" w:eastAsia="en-US" w:bidi="ar-SA"/>
        </w:rPr>
      </w:pPr>
      <w:r w:rsidRPr="00D147A7">
        <w:rPr>
          <w:b/>
          <w:kern w:val="0"/>
          <w:lang w:val="nl-NL" w:eastAsia="en-US" w:bidi="ar-SA"/>
        </w:rPr>
        <w:tab/>
      </w:r>
      <w:r w:rsidRPr="00D147A7">
        <w:rPr>
          <w:b/>
          <w:kern w:val="0"/>
          <w:lang w:val="nl-NL" w:eastAsia="en-US" w:bidi="ar-SA"/>
        </w:rPr>
        <w:tab/>
      </w:r>
      <w:r w:rsidRPr="00D147A7">
        <w:rPr>
          <w:b/>
          <w:kern w:val="0"/>
          <w:lang w:val="fr-BE" w:eastAsia="en-US" w:bidi="ar-SA"/>
        </w:rPr>
        <w:t>1.5.3.3 CNOM</w:t>
      </w:r>
    </w:p>
    <w:p w:rsidR="009931C7" w:rsidRPr="00D147A7" w:rsidRDefault="009931C7" w:rsidP="009931C7">
      <w:pPr>
        <w:widowControl/>
        <w:suppressAutoHyphens w:val="0"/>
        <w:spacing w:line="240" w:lineRule="atLeast"/>
        <w:jc w:val="both"/>
        <w:rPr>
          <w:kern w:val="0"/>
          <w:lang w:val="fr-BE" w:eastAsia="en-US" w:bidi="ar-SA"/>
        </w:rPr>
      </w:pP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CNOM, ‘Guide d’exercice professionnel’, </w:t>
      </w:r>
      <w:r w:rsidRPr="00D147A7">
        <w:rPr>
          <w:i/>
          <w:kern w:val="0"/>
          <w:lang w:val="fr-BE" w:eastAsia="en-US" w:bidi="ar-SA"/>
        </w:rPr>
        <w:t>M.S.</w:t>
      </w:r>
      <w:r w:rsidRPr="00D147A7">
        <w:rPr>
          <w:kern w:val="0"/>
          <w:lang w:val="fr-BE" w:eastAsia="en-US" w:bidi="ar-SA"/>
        </w:rPr>
        <w:t>, 34 (1998), p. 209.</w:t>
      </w:r>
    </w:p>
    <w:p w:rsidR="009931C7" w:rsidRPr="00D147A7" w:rsidRDefault="009931C7" w:rsidP="009931C7">
      <w:pPr>
        <w:widowControl/>
        <w:suppressAutoHyphens w:val="0"/>
        <w:spacing w:line="240" w:lineRule="atLeast"/>
        <w:jc w:val="both"/>
        <w:rPr>
          <w:kern w:val="0"/>
          <w:lang w:eastAsia="en-US" w:bidi="ar-SA"/>
        </w:rPr>
      </w:pPr>
      <w:r w:rsidRPr="00D147A7">
        <w:rPr>
          <w:kern w:val="0"/>
          <w:lang w:val="fr-BE" w:eastAsia="en-US" w:bidi="ar-SA"/>
        </w:rPr>
        <w:t xml:space="preserve">CNOM, ‘Dossiers médicaux. </w:t>
      </w:r>
      <w:r w:rsidRPr="00D147A7">
        <w:rPr>
          <w:kern w:val="0"/>
          <w:lang w:eastAsia="en-US" w:bidi="ar-SA"/>
        </w:rPr>
        <w:t>Consérvation – Archivage’, 2009</w:t>
      </w:r>
      <w:r w:rsidR="00DA36C8" w:rsidRPr="00D147A7">
        <w:rPr>
          <w:kern w:val="0"/>
          <w:lang w:eastAsia="en-US" w:bidi="ar-SA"/>
        </w:rPr>
        <w:t xml:space="preserve"> </w:t>
      </w:r>
      <w:r w:rsidRPr="00D147A7">
        <w:rPr>
          <w:kern w:val="0"/>
          <w:lang w:val="nl-NL" w:eastAsia="en-US" w:bidi="ar-SA"/>
        </w:rPr>
        <w:t>(</w:t>
      </w:r>
      <w:hyperlink w:history="1">
        <w:r w:rsidR="007E429E" w:rsidRPr="00ED5FE6">
          <w:rPr>
            <w:rStyle w:val="Hyperlink"/>
            <w:kern w:val="0"/>
            <w:lang w:val="nl-NL" w:eastAsia="en-US" w:bidi="ar-SA"/>
          </w:rPr>
          <w:t>http://www.conseil-national. medecin.fr/article/dossiers-medicaux-conservation-et-archivage-98</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fr-BE" w:eastAsia="en-US" w:bidi="ar-SA"/>
        </w:rPr>
        <w:t xml:space="preserve">RAULT, J.F., ‘Le DMP et la loi’, FAROUDJA, J.M. (red.), </w:t>
      </w:r>
      <w:r w:rsidRPr="00D147A7">
        <w:rPr>
          <w:i/>
          <w:kern w:val="0"/>
          <w:lang w:val="fr-BE" w:eastAsia="en-US" w:bidi="ar-SA"/>
        </w:rPr>
        <w:t>Questions sur l’informatisation des dossiers médicaux, le partage et l’hébergement des données</w:t>
      </w:r>
      <w:r w:rsidRPr="00D147A7">
        <w:rPr>
          <w:kern w:val="0"/>
          <w:lang w:val="fr-BE" w:eastAsia="en-US" w:bidi="ar-SA"/>
        </w:rPr>
        <w:t xml:space="preserve">, Rapport du CNOM, 66p. </w:t>
      </w:r>
      <w:r w:rsidRPr="00D147A7">
        <w:rPr>
          <w:kern w:val="0"/>
          <w:lang w:val="nl-NL" w:eastAsia="en-US" w:bidi="ar-SA"/>
        </w:rPr>
        <w:t>(</w:t>
      </w:r>
      <w:hyperlink r:id="rId46" w:history="1">
        <w:r w:rsidR="007E429E" w:rsidRPr="00ED5FE6">
          <w:rPr>
            <w:rStyle w:val="Hyperlink"/>
            <w:kern w:val="0"/>
            <w:lang w:val="nl-NL" w:eastAsia="en-US" w:bidi="ar-SA"/>
          </w:rPr>
          <w:t>http://www.conseil-national.medecin.fr/system/files/dmp.pdf?download=1</w:t>
        </w:r>
      </w:hyperlink>
      <w:r w:rsidRPr="00D147A7">
        <w:rPr>
          <w:kern w:val="0"/>
          <w:lang w:val="nl-NL" w:eastAsia="en-US" w:bidi="ar-SA"/>
        </w:rPr>
        <w:t>, laatst geraad</w:t>
      </w:r>
      <w:r w:rsidR="00DA36C8" w:rsidRPr="00D147A7">
        <w:rPr>
          <w:kern w:val="0"/>
          <w:lang w:val="nl-NL" w:eastAsia="en-US" w:bidi="ar-SA"/>
        </w:rPr>
        <w:t>-</w:t>
      </w:r>
      <w:r w:rsidRPr="00D147A7">
        <w:rPr>
          <w:kern w:val="0"/>
          <w:lang w:val="nl-NL" w:eastAsia="en-US" w:bidi="ar-SA"/>
        </w:rPr>
        <w:t>pleegd op 23 juli 2012).</w:t>
      </w:r>
    </w:p>
    <w:p w:rsidR="009931C7" w:rsidRPr="00D147A7" w:rsidRDefault="009931C7" w:rsidP="009931C7">
      <w:pPr>
        <w:widowControl/>
        <w:suppressAutoHyphens w:val="0"/>
        <w:spacing w:line="240" w:lineRule="atLeast"/>
        <w:jc w:val="both"/>
        <w:rPr>
          <w:kern w:val="0"/>
          <w:lang w:val="nl-NL" w:eastAsia="en-US" w:bidi="ar-SA"/>
        </w:rPr>
      </w:pPr>
    </w:p>
    <w:p w:rsidR="009931C7" w:rsidRPr="00D147A7" w:rsidRDefault="009931C7" w:rsidP="009931C7">
      <w:pPr>
        <w:widowControl/>
        <w:suppressAutoHyphens w:val="0"/>
        <w:spacing w:line="240" w:lineRule="atLeast"/>
        <w:jc w:val="both"/>
        <w:rPr>
          <w:b/>
          <w:kern w:val="0"/>
          <w:lang w:val="fr-BE" w:eastAsia="en-US" w:bidi="ar-SA"/>
        </w:rPr>
      </w:pPr>
      <w:r w:rsidRPr="00D147A7">
        <w:rPr>
          <w:b/>
          <w:kern w:val="0"/>
          <w:lang w:val="nl-NL" w:eastAsia="en-US" w:bidi="ar-SA"/>
        </w:rPr>
        <w:tab/>
      </w:r>
      <w:r w:rsidRPr="00D147A7">
        <w:rPr>
          <w:b/>
          <w:kern w:val="0"/>
          <w:lang w:val="nl-NL" w:eastAsia="en-US" w:bidi="ar-SA"/>
        </w:rPr>
        <w:tab/>
      </w:r>
      <w:r w:rsidRPr="00D147A7">
        <w:rPr>
          <w:b/>
          <w:kern w:val="0"/>
          <w:lang w:val="fr-BE" w:eastAsia="en-US" w:bidi="ar-SA"/>
        </w:rPr>
        <w:t>1.5.3.4 Rechtsleer en literatuur</w:t>
      </w:r>
    </w:p>
    <w:p w:rsidR="009931C7" w:rsidRPr="00D147A7" w:rsidRDefault="009931C7" w:rsidP="009931C7">
      <w:pPr>
        <w:widowControl/>
        <w:suppressAutoHyphens w:val="0"/>
        <w:spacing w:line="240" w:lineRule="atLeast"/>
        <w:jc w:val="both"/>
        <w:rPr>
          <w:kern w:val="0"/>
          <w:lang w:val="fr-BE" w:eastAsia="en-US" w:bidi="ar-SA"/>
        </w:rPr>
      </w:pP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‘Dossier de suivi médical et carnet médical’, </w:t>
      </w:r>
      <w:r w:rsidRPr="00D147A7">
        <w:rPr>
          <w:i/>
          <w:kern w:val="0"/>
          <w:lang w:val="fr-BE" w:eastAsia="en-US" w:bidi="ar-SA"/>
        </w:rPr>
        <w:t>A.S.H.</w:t>
      </w:r>
      <w:r w:rsidRPr="00D147A7">
        <w:rPr>
          <w:kern w:val="0"/>
          <w:lang w:val="fr-BE" w:eastAsia="en-US" w:bidi="ar-SA"/>
        </w:rPr>
        <w:t>, 1917 (1995), p. 7.</w:t>
      </w:r>
    </w:p>
    <w:p w:rsidR="009931C7" w:rsidRPr="00D147A7" w:rsidRDefault="009931C7" w:rsidP="009931C7">
      <w:pPr>
        <w:widowControl/>
        <w:suppressAutoHyphens w:val="0"/>
        <w:spacing w:line="240" w:lineRule="atLeast"/>
        <w:jc w:val="both"/>
        <w:rPr>
          <w:kern w:val="0"/>
          <w:lang w:val="fr-BE" w:eastAsia="en-US" w:bidi="ar-SA"/>
        </w:rPr>
      </w:pPr>
      <w:r w:rsidRPr="00D147A7">
        <w:rPr>
          <w:i/>
          <w:kern w:val="0"/>
          <w:lang w:val="fr-BE" w:eastAsia="en-US" w:bidi="ar-SA"/>
        </w:rPr>
        <w:t>Gestion des départements de dossiers médicaux. Réglementation</w:t>
      </w:r>
      <w:r w:rsidRPr="00D147A7">
        <w:rPr>
          <w:kern w:val="0"/>
          <w:lang w:val="fr-BE" w:eastAsia="en-US" w:bidi="ar-SA"/>
        </w:rPr>
        <w:t>, I, Fiches techniques d’or</w:t>
      </w:r>
      <w:r w:rsidR="007E429E">
        <w:rPr>
          <w:kern w:val="0"/>
          <w:lang w:val="fr-BE" w:eastAsia="en-US" w:bidi="ar-SA"/>
        </w:rPr>
        <w:t>-</w:t>
      </w:r>
      <w:r w:rsidRPr="00D147A7">
        <w:rPr>
          <w:kern w:val="0"/>
          <w:lang w:val="fr-BE" w:eastAsia="en-US" w:bidi="ar-SA"/>
        </w:rPr>
        <w:t>ganisation hospitalières nr. 8 en Bulletin official, fascicule spécial nr. 80/39bis, Parijs, Mini</w:t>
      </w:r>
      <w:r w:rsidR="007E429E">
        <w:rPr>
          <w:kern w:val="0"/>
          <w:lang w:val="fr-BE" w:eastAsia="en-US" w:bidi="ar-SA"/>
        </w:rPr>
        <w:t>-</w:t>
      </w:r>
      <w:r w:rsidRPr="00D147A7">
        <w:rPr>
          <w:kern w:val="0"/>
          <w:lang w:val="fr-BE" w:eastAsia="en-US" w:bidi="ar-SA"/>
        </w:rPr>
        <w:t>stère de la Santé et de la Sécurité Sociale, 1980, 95p.</w:t>
      </w:r>
    </w:p>
    <w:p w:rsidR="009931C7" w:rsidRPr="00D147A7" w:rsidRDefault="009931C7" w:rsidP="009931C7">
      <w:pPr>
        <w:widowControl/>
        <w:suppressAutoHyphens w:val="0"/>
        <w:spacing w:line="240" w:lineRule="atLeast"/>
        <w:jc w:val="both"/>
        <w:rPr>
          <w:kern w:val="0"/>
          <w:lang w:val="fr-BE" w:eastAsia="en-US" w:bidi="ar-SA"/>
        </w:rPr>
      </w:pPr>
      <w:r w:rsidRPr="00D147A7">
        <w:rPr>
          <w:i/>
          <w:kern w:val="0"/>
          <w:lang w:val="fr-BE" w:eastAsia="en-US" w:bidi="ar-SA"/>
        </w:rPr>
        <w:t>Le dossier de suivi médical et le carnet médical: le projet de décret au 31 août 1994</w:t>
      </w:r>
      <w:r w:rsidRPr="00D147A7">
        <w:rPr>
          <w:kern w:val="0"/>
          <w:lang w:val="fr-BE" w:eastAsia="en-US" w:bidi="ar-SA"/>
        </w:rPr>
        <w:t>, Dossier d’information, Parijs, Ministère des Affaires Sociales de la Santé et de la Ville, 1994, 9p.</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‘Le point sur… Le contenu du dossier médical’, </w:t>
      </w:r>
      <w:r w:rsidRPr="00D147A7">
        <w:rPr>
          <w:i/>
          <w:kern w:val="0"/>
          <w:lang w:val="fr-BE" w:eastAsia="en-US" w:bidi="ar-SA"/>
        </w:rPr>
        <w:t>B.J.P.H.</w:t>
      </w:r>
      <w:r w:rsidRPr="00D147A7">
        <w:rPr>
          <w:kern w:val="0"/>
          <w:lang w:val="fr-BE" w:eastAsia="en-US" w:bidi="ar-SA"/>
        </w:rPr>
        <w:t>, 123 (2009), p. 18-23.</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‘Maîtrise des dépenses de santé: Dossier de suivi médical’, </w:t>
      </w:r>
      <w:r w:rsidRPr="00D147A7">
        <w:rPr>
          <w:i/>
          <w:kern w:val="0"/>
          <w:lang w:val="fr-BE" w:eastAsia="en-US" w:bidi="ar-SA"/>
        </w:rPr>
        <w:t>L.S.</w:t>
      </w:r>
      <w:r w:rsidRPr="00D147A7">
        <w:rPr>
          <w:kern w:val="0"/>
          <w:lang w:val="fr-BE" w:eastAsia="en-US" w:bidi="ar-SA"/>
        </w:rPr>
        <w:t>, 245/7 (1995), p. 1-14.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ALMERAS, J.P., ‘La transmission du dossier d’un malade’, </w:t>
      </w:r>
      <w:r w:rsidRPr="00D147A7">
        <w:rPr>
          <w:i/>
          <w:kern w:val="0"/>
          <w:lang w:val="fr-BE" w:eastAsia="en-US" w:bidi="ar-SA"/>
        </w:rPr>
        <w:t>C.M.</w:t>
      </w:r>
      <w:r w:rsidRPr="00D147A7">
        <w:rPr>
          <w:kern w:val="0"/>
          <w:lang w:val="fr-BE" w:eastAsia="en-US" w:bidi="ar-SA"/>
        </w:rPr>
        <w:t>, 111/41 (1989), p. 3713-3714.</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fr-BE" w:eastAsia="en-US" w:bidi="ar-SA"/>
        </w:rPr>
        <w:t xml:space="preserve">ANAES, La </w:t>
      </w:r>
      <w:r w:rsidRPr="00D147A7">
        <w:rPr>
          <w:i/>
          <w:kern w:val="0"/>
          <w:lang w:val="fr-BE" w:eastAsia="en-US" w:bidi="ar-SA"/>
        </w:rPr>
        <w:t>tenue du dossier médical en médecine générale: état des lieux et recommen</w:t>
      </w:r>
      <w:r w:rsidR="007E429E">
        <w:rPr>
          <w:i/>
          <w:kern w:val="0"/>
          <w:lang w:val="fr-BE" w:eastAsia="en-US" w:bidi="ar-SA"/>
        </w:rPr>
        <w:t>-</w:t>
      </w:r>
      <w:r w:rsidRPr="00D147A7">
        <w:rPr>
          <w:i/>
          <w:kern w:val="0"/>
          <w:lang w:val="fr-BE" w:eastAsia="en-US" w:bidi="ar-SA"/>
        </w:rPr>
        <w:t>dations</w:t>
      </w:r>
      <w:r w:rsidRPr="00D147A7">
        <w:rPr>
          <w:kern w:val="0"/>
          <w:lang w:val="fr-BE" w:eastAsia="en-US" w:bidi="ar-SA"/>
        </w:rPr>
        <w:t xml:space="preserve">, Parijs, 1996, 80p. </w:t>
      </w:r>
      <w:r w:rsidRPr="00D147A7">
        <w:rPr>
          <w:kern w:val="0"/>
          <w:lang w:val="nl-NL" w:eastAsia="en-US" w:bidi="ar-SA"/>
        </w:rPr>
        <w:t>(</w:t>
      </w:r>
      <w:hyperlink r:id="rId47" w:history="1">
        <w:r w:rsidR="007E429E" w:rsidRPr="00ED5FE6">
          <w:rPr>
            <w:rStyle w:val="Hyperlink"/>
            <w:kern w:val="0"/>
            <w:lang w:val="nl-NL" w:eastAsia="en-US" w:bidi="ar-SA"/>
          </w:rPr>
          <w:t>http://www.has-sante.fr/portail/upload/docs/application/pdf/Dm. 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ANAES, </w:t>
      </w:r>
      <w:r w:rsidRPr="00D147A7">
        <w:rPr>
          <w:i/>
          <w:kern w:val="0"/>
          <w:lang w:val="fr-BE" w:eastAsia="en-US" w:bidi="ar-SA"/>
        </w:rPr>
        <w:t>Evaluation des pratiques professionnelles dans les établissements de santé. Dossier du patient: Réglementation et recommendations</w:t>
      </w:r>
      <w:r w:rsidRPr="00D147A7">
        <w:rPr>
          <w:kern w:val="0"/>
          <w:lang w:val="fr-BE" w:eastAsia="en-US" w:bidi="ar-SA"/>
        </w:rPr>
        <w:t>, s.l., 2003, 57p. (</w:t>
      </w:r>
      <w:hyperlink r:id="rId48" w:history="1">
        <w:r w:rsidR="007E429E" w:rsidRPr="00ED5FE6">
          <w:rPr>
            <w:rStyle w:val="Hyperlink"/>
            <w:kern w:val="0"/>
            <w:lang w:val="fr-BE" w:eastAsia="en-US" w:bidi="ar-SA"/>
          </w:rPr>
          <w:t>http://www.has-sante.fr/ portail/upload/docs/application/pdf/2009-08/dossier_du_patient_-_fascicule_1_ reglementation_et_recommandations_-_2003.pdf</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BERNARD, M.H.; CANAS, F.; </w:t>
      </w:r>
      <w:r w:rsidRPr="00D147A7">
        <w:rPr>
          <w:i/>
          <w:kern w:val="0"/>
          <w:lang w:val="fr-BE" w:eastAsia="en-US" w:bidi="ar-SA"/>
        </w:rPr>
        <w:t>Le dossier médical</w:t>
      </w:r>
      <w:r w:rsidRPr="00D147A7">
        <w:rPr>
          <w:kern w:val="0"/>
          <w:lang w:val="fr-BE" w:eastAsia="en-US" w:bidi="ar-SA"/>
        </w:rPr>
        <w:t>, s.l., 2003 (</w:t>
      </w:r>
      <w:hyperlink r:id="rId49" w:history="1">
        <w:r w:rsidR="00EC699C" w:rsidRPr="00D147A7">
          <w:rPr>
            <w:rStyle w:val="Hyperlink"/>
            <w:kern w:val="0"/>
            <w:lang w:val="fr-BE" w:eastAsia="en-US" w:bidi="ar-SA"/>
          </w:rPr>
          <w:t>http://www.univ-reims.fr/ gallery_files/site/1/90/1129/1384/1536/1561/1562.ppt</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en-US" w:eastAsia="en-US" w:bidi="ar-SA"/>
        </w:rPr>
      </w:pPr>
      <w:r w:rsidRPr="00D147A7">
        <w:rPr>
          <w:kern w:val="0"/>
          <w:lang w:val="en-US" w:eastAsia="en-US" w:bidi="ar-SA"/>
        </w:rPr>
        <w:t>BRANDNER, R.; VAN DER HAAK, M.; HARTMANN, M.; HAUX, R.; SCHMUCKER, P.; ‘Electronic signature for medical documents: Integration and evaluation of a public key infra</w:t>
      </w:r>
      <w:r w:rsidR="007E429E">
        <w:rPr>
          <w:kern w:val="0"/>
          <w:lang w:val="en-US" w:eastAsia="en-US" w:bidi="ar-SA"/>
        </w:rPr>
        <w:t>-</w:t>
      </w:r>
      <w:r w:rsidRPr="00D147A7">
        <w:rPr>
          <w:kern w:val="0"/>
          <w:lang w:val="en-US" w:eastAsia="en-US" w:bidi="ar-SA"/>
        </w:rPr>
        <w:t xml:space="preserve">structure in hospitals’, </w:t>
      </w:r>
      <w:r w:rsidRPr="00D147A7">
        <w:rPr>
          <w:i/>
          <w:kern w:val="0"/>
          <w:lang w:val="en-US" w:eastAsia="en-US" w:bidi="ar-SA"/>
        </w:rPr>
        <w:t>M.I.M.</w:t>
      </w:r>
      <w:r w:rsidRPr="00D147A7">
        <w:rPr>
          <w:kern w:val="0"/>
          <w:lang w:val="en-US" w:eastAsia="en-US" w:bidi="ar-SA"/>
        </w:rPr>
        <w:t>, 41/4 (2002), p. 321-330.</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BRETON, P.; LANG, G.; ‘Dossier médical et dossier de soins à l'hôpital local: les deux font la paire’, </w:t>
      </w:r>
      <w:r w:rsidRPr="00D147A7">
        <w:rPr>
          <w:i/>
          <w:kern w:val="0"/>
          <w:lang w:val="fr-BE" w:eastAsia="en-US" w:bidi="ar-SA"/>
        </w:rPr>
        <w:t>G.H.</w:t>
      </w:r>
      <w:r w:rsidRPr="00D147A7">
        <w:rPr>
          <w:kern w:val="0"/>
          <w:lang w:val="fr-BE" w:eastAsia="en-US" w:bidi="ar-SA"/>
        </w:rPr>
        <w:t>, 344 (1995), p. 232-233.</w:t>
      </w:r>
    </w:p>
    <w:p w:rsidR="009931C7" w:rsidRPr="00D147A7" w:rsidRDefault="009931C7" w:rsidP="009931C7">
      <w:pPr>
        <w:widowControl/>
        <w:suppressAutoHyphens w:val="0"/>
        <w:spacing w:line="240" w:lineRule="atLeast"/>
        <w:jc w:val="both"/>
        <w:rPr>
          <w:color w:val="00B0F0"/>
          <w:kern w:val="0"/>
          <w:lang w:val="fr-BE" w:eastAsia="en-US" w:bidi="ar-SA"/>
        </w:rPr>
      </w:pPr>
      <w:r w:rsidRPr="00D147A7">
        <w:rPr>
          <w:kern w:val="0"/>
          <w:lang w:val="fr-BE" w:eastAsia="en-US" w:bidi="ar-SA"/>
        </w:rPr>
        <w:t>BOUET, R.; PRADEAU, F.; PRADEAU, M.C.; ‘Le dossier du patient en établissement psy</w:t>
      </w:r>
      <w:r w:rsidR="007E429E">
        <w:rPr>
          <w:kern w:val="0"/>
          <w:lang w:val="fr-BE" w:eastAsia="en-US" w:bidi="ar-SA"/>
        </w:rPr>
        <w:t>-</w:t>
      </w:r>
      <w:r w:rsidRPr="00D147A7">
        <w:rPr>
          <w:kern w:val="0"/>
          <w:lang w:val="fr-BE" w:eastAsia="en-US" w:bidi="ar-SA"/>
        </w:rPr>
        <w:t xml:space="preserve">chiatrique. Structure, contenu et tenue’, </w:t>
      </w:r>
      <w:r w:rsidRPr="00D147A7">
        <w:rPr>
          <w:i/>
          <w:kern w:val="0"/>
          <w:lang w:val="fr-BE" w:eastAsia="en-US" w:bidi="ar-SA"/>
        </w:rPr>
        <w:t>G.H.</w:t>
      </w:r>
      <w:r w:rsidRPr="00D147A7">
        <w:rPr>
          <w:kern w:val="0"/>
          <w:lang w:val="fr-BE" w:eastAsia="en-US" w:bidi="ar-SA"/>
        </w:rPr>
        <w:t>, 392 (2000), p. 43-49.</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lastRenderedPageBreak/>
        <w:t>BRAMI, J.; DANIERE, M.; DE BRUN, A.; DOUMENC, M.; DURR, J.F.; ELKINE, J.; FALCOFF, H.; GALLAIS, J.L.; GALLOIS, P.; GAVID, B.; HUMBERT, J.; LAMBERT, A.; WAINSTEN, J.P.; ‘Recommendations pour la tenue du dossier du patient en médecine géné</w:t>
      </w:r>
      <w:r w:rsidR="007E429E">
        <w:rPr>
          <w:kern w:val="0"/>
          <w:lang w:val="fr-BE" w:eastAsia="en-US" w:bidi="ar-SA"/>
        </w:rPr>
        <w:t>-</w:t>
      </w:r>
      <w:r w:rsidRPr="00D147A7">
        <w:rPr>
          <w:kern w:val="0"/>
          <w:lang w:val="fr-BE" w:eastAsia="en-US" w:bidi="ar-SA"/>
        </w:rPr>
        <w:t xml:space="preserve">rale’, </w:t>
      </w:r>
      <w:r w:rsidRPr="00D147A7">
        <w:rPr>
          <w:i/>
          <w:kern w:val="0"/>
          <w:lang w:val="fr-BE" w:eastAsia="en-US" w:bidi="ar-SA"/>
        </w:rPr>
        <w:t>R.P.M.G.</w:t>
      </w:r>
      <w:r w:rsidRPr="00D147A7">
        <w:rPr>
          <w:kern w:val="0"/>
          <w:lang w:val="fr-BE" w:eastAsia="en-US" w:bidi="ar-SA"/>
        </w:rPr>
        <w:t>, 361 (1996), p. 41-49.</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BRAMI, J.; DOUMENC, M.; LAFONT, M.; ‘Le dossier médical en médecine générale: un audit clinique réalisé par 276 médecins généralistes’, </w:t>
      </w:r>
      <w:r w:rsidRPr="00D147A7">
        <w:rPr>
          <w:i/>
          <w:kern w:val="0"/>
          <w:lang w:val="fr-BE" w:eastAsia="en-US" w:bidi="ar-SA"/>
        </w:rPr>
        <w:t>R.P.M.G.</w:t>
      </w:r>
      <w:r w:rsidRPr="00D147A7">
        <w:rPr>
          <w:kern w:val="0"/>
          <w:lang w:val="fr-BE" w:eastAsia="en-US" w:bidi="ar-SA"/>
        </w:rPr>
        <w:t xml:space="preserve">, 481 (1999), p. 2081-2086. </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CANAS, F., ‘Le contenu du dossier médical hospitalier’, R.F.Q.H., 13 (2006), p. 289-320; </w:t>
      </w:r>
      <w:r w:rsidRPr="00D147A7">
        <w:rPr>
          <w:i/>
          <w:kern w:val="0"/>
          <w:lang w:val="fr-BE" w:eastAsia="en-US" w:bidi="ar-SA"/>
        </w:rPr>
        <w:t>B.J.P.H.</w:t>
      </w:r>
      <w:r w:rsidRPr="00D147A7">
        <w:rPr>
          <w:kern w:val="0"/>
          <w:lang w:val="fr-BE" w:eastAsia="en-US" w:bidi="ar-SA"/>
        </w:rPr>
        <w:t>, 84 (2006), p. 1-12.</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fr-BE" w:eastAsia="en-US" w:bidi="ar-SA"/>
        </w:rPr>
        <w:t xml:space="preserve">CERETTI, A.M.; ALBERTINI, L.; </w:t>
      </w:r>
      <w:r w:rsidRPr="00D147A7">
        <w:rPr>
          <w:i/>
          <w:kern w:val="0"/>
          <w:lang w:val="fr-BE" w:eastAsia="en-US" w:bidi="ar-SA"/>
        </w:rPr>
        <w:t>Bilan et propositions de réformes de la loi du 4 mars 2002 relative aux droits des malades et à la qualité du système de santé</w:t>
      </w:r>
      <w:r w:rsidRPr="00D147A7">
        <w:rPr>
          <w:kern w:val="0"/>
          <w:lang w:val="fr-BE" w:eastAsia="en-US" w:bidi="ar-SA"/>
        </w:rPr>
        <w:t xml:space="preserve">, 2011, 310p. </w:t>
      </w:r>
      <w:r w:rsidRPr="00D147A7">
        <w:rPr>
          <w:kern w:val="0"/>
          <w:lang w:val="nl-NL" w:eastAsia="en-US" w:bidi="ar-SA"/>
        </w:rPr>
        <w:t>(</w:t>
      </w:r>
      <w:hyperlink w:history="1">
        <w:r w:rsidR="007E429E" w:rsidRPr="00ED5FE6">
          <w:rPr>
            <w:rStyle w:val="Hyperlink"/>
            <w:kern w:val="0"/>
            <w:lang w:val="nl-NL" w:eastAsia="en-US" w:bidi="ar-SA"/>
          </w:rPr>
          <w:t>http:// www.ladocumentationfrancaise.fr/rapports-publics/114000096/index.shtml</w:t>
        </w:r>
      </w:hyperlink>
      <w:r w:rsidRPr="00D147A7">
        <w:rPr>
          <w:kern w:val="0"/>
          <w:lang w:val="nl-NL" w:eastAsia="en-US" w:bidi="ar-SA"/>
        </w:rPr>
        <w:t>, laatst geraad</w:t>
      </w:r>
      <w:r w:rsidR="007E429E">
        <w:rPr>
          <w:kern w:val="0"/>
          <w:lang w:val="nl-NL" w:eastAsia="en-US" w:bidi="ar-SA"/>
        </w:rPr>
        <w:t>-</w:t>
      </w:r>
      <w:r w:rsidRPr="00D147A7">
        <w:rPr>
          <w:kern w:val="0"/>
          <w:lang w:val="nl-NL" w:eastAsia="en-US" w:bidi="ar-SA"/>
        </w:rPr>
        <w:t>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CHABRUN-ROBERT, C., ‘La retraite du médecin libéral’, </w:t>
      </w:r>
      <w:r w:rsidRPr="00D147A7">
        <w:rPr>
          <w:i/>
          <w:kern w:val="0"/>
          <w:lang w:val="fr-BE" w:eastAsia="en-US" w:bidi="ar-SA"/>
        </w:rPr>
        <w:t>C.M.</w:t>
      </w:r>
      <w:r w:rsidRPr="00D147A7">
        <w:rPr>
          <w:kern w:val="0"/>
          <w:lang w:val="fr-BE" w:eastAsia="en-US" w:bidi="ar-SA"/>
        </w:rPr>
        <w:t>, 115/18 (1993), p. 1485-1487.</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CHABRUN-ROBERT, C., ‘Les nouvelles perspectives pour la retraite du médecin’, </w:t>
      </w:r>
      <w:r w:rsidRPr="00D147A7">
        <w:rPr>
          <w:i/>
          <w:kern w:val="0"/>
          <w:lang w:val="fr-BE" w:eastAsia="en-US" w:bidi="ar-SA"/>
        </w:rPr>
        <w:t>C.M.</w:t>
      </w:r>
      <w:r w:rsidRPr="00D147A7">
        <w:rPr>
          <w:kern w:val="0"/>
          <w:lang w:val="fr-BE" w:eastAsia="en-US" w:bidi="ar-SA"/>
        </w:rPr>
        <w:t>, 121/25-26 (1999), p. 2041-2044.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CHICHE, P., ‘Sanction de la mauvaise tenue du dossier médical: Conseil d'État, 28 avril 2003, n° 238181, M. André P.’, </w:t>
      </w:r>
      <w:r w:rsidRPr="00D147A7">
        <w:rPr>
          <w:i/>
          <w:kern w:val="0"/>
          <w:lang w:val="fr-BE" w:eastAsia="en-US" w:bidi="ar-SA"/>
        </w:rPr>
        <w:t>G.H.</w:t>
      </w:r>
      <w:r w:rsidRPr="00D147A7">
        <w:rPr>
          <w:kern w:val="0"/>
          <w:lang w:val="fr-BE" w:eastAsia="en-US" w:bidi="ar-SA"/>
        </w:rPr>
        <w:t>, 435 (2004), p. 284-285.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DOOZE, E.; MOREL, V. et al.; ‘Le dossier patient unique: la traçabilité des soins’, </w:t>
      </w:r>
      <w:r w:rsidRPr="00D147A7">
        <w:rPr>
          <w:i/>
          <w:kern w:val="0"/>
          <w:lang w:val="fr-BE" w:eastAsia="en-US" w:bidi="ar-SA"/>
        </w:rPr>
        <w:t>O.S.</w:t>
      </w:r>
      <w:r w:rsidRPr="00D147A7">
        <w:rPr>
          <w:kern w:val="0"/>
          <w:lang w:val="fr-BE" w:eastAsia="en-US" w:bidi="ar-SA"/>
        </w:rPr>
        <w:t>, 137 (2005), p. 22-31.</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DUBOIS, O., ‘Dossier de suivi médical et carnet de santé’, </w:t>
      </w:r>
      <w:r w:rsidRPr="00D147A7">
        <w:rPr>
          <w:i/>
          <w:kern w:val="0"/>
          <w:lang w:val="fr-BE" w:eastAsia="en-US" w:bidi="ar-SA"/>
        </w:rPr>
        <w:t>B.O.M.</w:t>
      </w:r>
      <w:r w:rsidRPr="00D147A7">
        <w:rPr>
          <w:kern w:val="0"/>
          <w:lang w:val="fr-BE" w:eastAsia="en-US" w:bidi="ar-SA"/>
        </w:rPr>
        <w:t>, 3 1994, 3, p. 3-5.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DUSSERRE, L., ‘Le dossier de suivi médical’, </w:t>
      </w:r>
      <w:r w:rsidRPr="00D147A7">
        <w:rPr>
          <w:i/>
          <w:kern w:val="0"/>
          <w:lang w:val="fr-BE" w:eastAsia="en-US" w:bidi="ar-SA"/>
        </w:rPr>
        <w:t>B.O.M.</w:t>
      </w:r>
      <w:r w:rsidRPr="00D147A7">
        <w:rPr>
          <w:kern w:val="0"/>
          <w:lang w:val="fr-BE" w:eastAsia="en-US" w:bidi="ar-SA"/>
        </w:rPr>
        <w:t>, 1994, 5, p. 6-8.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FALCOFF, H., ‘Le dossier médical en medicine générale’, </w:t>
      </w:r>
      <w:r w:rsidRPr="00D147A7">
        <w:rPr>
          <w:i/>
          <w:kern w:val="0"/>
          <w:lang w:val="fr-BE" w:eastAsia="en-US" w:bidi="ar-SA"/>
        </w:rPr>
        <w:t>R.P.M.G.</w:t>
      </w:r>
      <w:r w:rsidRPr="00D147A7">
        <w:rPr>
          <w:kern w:val="0"/>
          <w:lang w:val="fr-BE" w:eastAsia="en-US" w:bidi="ar-SA"/>
        </w:rPr>
        <w:t>, 404/11 (1997), p. 71-78.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FINLAY, I.G.; WILLIAMS, J.E.; ‘Dossiers conservés par le patient: peuvent-ils être gérés par lui même ou par les professionnels?’, </w:t>
      </w:r>
      <w:r w:rsidRPr="00D147A7">
        <w:rPr>
          <w:i/>
          <w:kern w:val="0"/>
          <w:lang w:val="fr-BE" w:eastAsia="en-US" w:bidi="ar-SA"/>
        </w:rPr>
        <w:t>E.J.P.C.</w:t>
      </w:r>
      <w:r w:rsidRPr="00D147A7">
        <w:rPr>
          <w:kern w:val="0"/>
          <w:lang w:val="fr-BE" w:eastAsia="en-US" w:bidi="ar-SA"/>
        </w:rPr>
        <w:t>, 9/5 (2002), p. 192-196.</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FRANCAIS MINOT, A., ‘Contenu et tenue du dossier médical: commentaire de l’arrêt en Conseil d’Etat du 28 avril 2003, n° 238.181’, </w:t>
      </w:r>
      <w:r w:rsidRPr="00D147A7">
        <w:rPr>
          <w:i/>
          <w:kern w:val="0"/>
          <w:lang w:val="fr-BE" w:eastAsia="en-US" w:bidi="ar-SA"/>
        </w:rPr>
        <w:t>G.H.</w:t>
      </w:r>
      <w:r w:rsidRPr="00D147A7">
        <w:rPr>
          <w:kern w:val="0"/>
          <w:lang w:val="fr-BE" w:eastAsia="en-US" w:bidi="ar-SA"/>
        </w:rPr>
        <w:t>, 431 (2003), p. 846-847.</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GENOT-POK, I., ‘Des archives publiques aux archives hospitalières: points de droits’, </w:t>
      </w:r>
      <w:r w:rsidRPr="00D147A7">
        <w:rPr>
          <w:i/>
          <w:kern w:val="0"/>
          <w:lang w:val="fr-BE" w:eastAsia="en-US" w:bidi="ar-SA"/>
        </w:rPr>
        <w:t>A.J.S.</w:t>
      </w:r>
      <w:r w:rsidRPr="00D147A7">
        <w:rPr>
          <w:kern w:val="0"/>
          <w:lang w:val="fr-BE" w:eastAsia="en-US" w:bidi="ar-SA"/>
        </w:rPr>
        <w:t>, 69 (2010), p. 4-14.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GENOT-POK, I., ‘Le dossier médical archives hospitalières, sous le feu de l’actualité juridi</w:t>
      </w:r>
      <w:r w:rsidR="007E429E">
        <w:rPr>
          <w:kern w:val="0"/>
          <w:lang w:val="fr-BE" w:eastAsia="en-US" w:bidi="ar-SA"/>
        </w:rPr>
        <w:t>-</w:t>
      </w:r>
      <w:r w:rsidRPr="00D147A7">
        <w:rPr>
          <w:kern w:val="0"/>
          <w:lang w:val="fr-BE" w:eastAsia="en-US" w:bidi="ar-SA"/>
        </w:rPr>
        <w:t xml:space="preserve">que. Arrêt de la cour administrative d’appel de Lyon 23 mars 2010, n° 07LY01554’, </w:t>
      </w:r>
      <w:r w:rsidRPr="00D147A7">
        <w:rPr>
          <w:i/>
          <w:kern w:val="0"/>
          <w:lang w:val="fr-BE" w:eastAsia="en-US" w:bidi="ar-SA"/>
        </w:rPr>
        <w:t>A.J.S.</w:t>
      </w:r>
      <w:r w:rsidRPr="00D147A7">
        <w:rPr>
          <w:kern w:val="0"/>
          <w:lang w:val="fr-BE" w:eastAsia="en-US" w:bidi="ar-SA"/>
        </w:rPr>
        <w:t>, 71 (2010), p. 37-38.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KOUCHNER, C.; LAUDE, A.; TABUTEAU, D. (reds.); </w:t>
      </w:r>
      <w:r w:rsidRPr="00D147A7">
        <w:rPr>
          <w:i/>
          <w:kern w:val="0"/>
          <w:lang w:val="fr-BE" w:eastAsia="en-US" w:bidi="ar-SA"/>
        </w:rPr>
        <w:t>Rapport sur les droits des malades: 2007/2008</w:t>
      </w:r>
      <w:r w:rsidRPr="00D147A7">
        <w:rPr>
          <w:kern w:val="0"/>
          <w:lang w:val="fr-BE" w:eastAsia="en-US" w:bidi="ar-SA"/>
        </w:rPr>
        <w:t>, s.l., Presses de l’EHESP, 2009, 200p.</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LACOEUILHE, G., ‘Dossier médical: composition, conservation et informatisation’, </w:t>
      </w:r>
      <w:r w:rsidRPr="00D147A7">
        <w:rPr>
          <w:i/>
          <w:kern w:val="0"/>
          <w:lang w:val="fr-BE" w:eastAsia="en-US" w:bidi="ar-SA"/>
        </w:rPr>
        <w:t>C.M.</w:t>
      </w:r>
      <w:r w:rsidRPr="00D147A7">
        <w:rPr>
          <w:kern w:val="0"/>
          <w:lang w:val="fr-BE" w:eastAsia="en-US" w:bidi="ar-SA"/>
        </w:rPr>
        <w:t>, 122/12 (2000), p. 859-862.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LACOEUILHE, G., ‘Transmission du dossier médical’, </w:t>
      </w:r>
      <w:r w:rsidRPr="00D147A7">
        <w:rPr>
          <w:i/>
          <w:kern w:val="0"/>
          <w:lang w:val="fr-BE" w:eastAsia="en-US" w:bidi="ar-SA"/>
        </w:rPr>
        <w:t>C.M.</w:t>
      </w:r>
      <w:r w:rsidRPr="00D147A7">
        <w:rPr>
          <w:kern w:val="0"/>
          <w:lang w:val="fr-BE" w:eastAsia="en-US" w:bidi="ar-SA"/>
        </w:rPr>
        <w:t>, 122/13 (2000), p. 927-930.</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LENOIR, P., ‘Microfilm ou tradition: étude coût-efficacité en archivage médical’, </w:t>
      </w:r>
      <w:r w:rsidRPr="00D147A7">
        <w:rPr>
          <w:i/>
          <w:kern w:val="0"/>
          <w:lang w:val="fr-BE" w:eastAsia="en-US" w:bidi="ar-SA"/>
        </w:rPr>
        <w:t>G.H.</w:t>
      </w:r>
      <w:r w:rsidRPr="00D147A7">
        <w:rPr>
          <w:kern w:val="0"/>
          <w:lang w:val="fr-BE" w:eastAsia="en-US" w:bidi="ar-SA"/>
        </w:rPr>
        <w:t>, 184 (1979), p. 195-205.</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fr-BE" w:eastAsia="en-US" w:bidi="ar-SA"/>
        </w:rPr>
        <w:t xml:space="preserve">LEONFORTE, S., Repenser la gestion du Dossier Patient: L’exemple du Centre Hospitalier de La Rochelle, onuitgegeven meesterproef, Ecole Nationale de la Santé Publique, 2007, 98p. </w:t>
      </w:r>
      <w:r w:rsidRPr="00D147A7">
        <w:rPr>
          <w:kern w:val="0"/>
          <w:lang w:val="nl-NL" w:eastAsia="en-US" w:bidi="ar-SA"/>
        </w:rPr>
        <w:t>(</w:t>
      </w:r>
      <w:hyperlink r:id="rId50" w:history="1">
        <w:r w:rsidR="00EC699C" w:rsidRPr="00D147A7">
          <w:rPr>
            <w:rStyle w:val="Hyperlink"/>
            <w:kern w:val="0"/>
            <w:lang w:val="nl-NL" w:eastAsia="en-US" w:bidi="ar-SA"/>
          </w:rPr>
          <w:t>http://ressources.ensp.fr/memoires/2007/edh/leonforte.pdf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LOUBRY, N., ‘Propriété, conservation en transmission des dossiers médicaux’, </w:t>
      </w:r>
      <w:r w:rsidRPr="00D147A7">
        <w:rPr>
          <w:i/>
          <w:kern w:val="0"/>
          <w:lang w:val="fr-BE" w:eastAsia="en-US" w:bidi="ar-SA"/>
        </w:rPr>
        <w:t>C.M.</w:t>
      </w:r>
      <w:r w:rsidRPr="00D147A7">
        <w:rPr>
          <w:kern w:val="0"/>
          <w:lang w:val="fr-BE" w:eastAsia="en-US" w:bidi="ar-SA"/>
        </w:rPr>
        <w:t>, 113/30 (1991), p. 2633-2635.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MANAOUIL, C.; MARGRAFF, A.; MORIUSER, J.; JARDE, O.; ‘Le dossier médical: con</w:t>
      </w:r>
      <w:r w:rsidR="007E429E">
        <w:rPr>
          <w:kern w:val="0"/>
          <w:lang w:val="fr-BE" w:eastAsia="en-US" w:bidi="ar-SA"/>
        </w:rPr>
        <w:t>-</w:t>
      </w:r>
      <w:r w:rsidRPr="00D147A7">
        <w:rPr>
          <w:kern w:val="0"/>
          <w:lang w:val="fr-BE" w:eastAsia="en-US" w:bidi="ar-SA"/>
        </w:rPr>
        <w:t xml:space="preserve">servation, contenu et accès’, </w:t>
      </w:r>
      <w:r w:rsidRPr="00D147A7">
        <w:rPr>
          <w:i/>
          <w:kern w:val="0"/>
          <w:lang w:val="fr-BE" w:eastAsia="en-US" w:bidi="ar-SA"/>
        </w:rPr>
        <w:t>J.M.L.</w:t>
      </w:r>
      <w:r w:rsidRPr="00D147A7">
        <w:rPr>
          <w:kern w:val="0"/>
          <w:lang w:val="fr-BE" w:eastAsia="en-US" w:bidi="ar-SA"/>
        </w:rPr>
        <w:t>, 49/1 (2006), p. 23-40.</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MANAOUIT, C.; FONTAINE, M.P.; JARDE, O.; ‘Dossier médical’, </w:t>
      </w:r>
      <w:r w:rsidRPr="00D147A7">
        <w:rPr>
          <w:i/>
          <w:kern w:val="0"/>
          <w:lang w:val="fr-BE" w:eastAsia="en-US" w:bidi="ar-SA"/>
        </w:rPr>
        <w:t>R.P.M.G.</w:t>
      </w:r>
      <w:r w:rsidRPr="00D147A7">
        <w:rPr>
          <w:kern w:val="0"/>
          <w:lang w:val="fr-BE" w:eastAsia="en-US" w:bidi="ar-SA"/>
        </w:rPr>
        <w:t xml:space="preserve">, 762-763 (2007), p. 277-282. </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lastRenderedPageBreak/>
        <w:t xml:space="preserve">MARIN LA MESLEE, R., ‘Le point sur le rôle du médecin généraliste dans la préparation à la retraite’, </w:t>
      </w:r>
      <w:r w:rsidRPr="00D147A7">
        <w:rPr>
          <w:i/>
          <w:kern w:val="0"/>
          <w:lang w:val="fr-BE" w:eastAsia="en-US" w:bidi="ar-SA"/>
        </w:rPr>
        <w:t>C.M.</w:t>
      </w:r>
      <w:r w:rsidRPr="00D147A7">
        <w:rPr>
          <w:kern w:val="0"/>
          <w:lang w:val="fr-BE" w:eastAsia="en-US" w:bidi="ar-SA"/>
        </w:rPr>
        <w:t>, 119/38 (1997), p. 2894-2896.</w:t>
      </w:r>
    </w:p>
    <w:p w:rsidR="009931C7" w:rsidRPr="00D147A7" w:rsidRDefault="009931C7" w:rsidP="009931C7">
      <w:pPr>
        <w:widowControl/>
        <w:suppressAutoHyphens w:val="0"/>
        <w:spacing w:line="240" w:lineRule="atLeast"/>
        <w:jc w:val="both"/>
        <w:rPr>
          <w:color w:val="00B0F0"/>
          <w:kern w:val="0"/>
          <w:lang w:val="fr-BE" w:eastAsia="en-US" w:bidi="ar-SA"/>
        </w:rPr>
      </w:pPr>
      <w:r w:rsidRPr="00D147A7">
        <w:rPr>
          <w:kern w:val="0"/>
          <w:lang w:val="fr-BE" w:eastAsia="en-US" w:bidi="ar-SA"/>
        </w:rPr>
        <w:t>MISSE, A., ‘Archivage des dossiers médicaux avant le vidéodisque: le microfilmage’,</w:t>
      </w:r>
      <w:r w:rsidRPr="00D147A7">
        <w:rPr>
          <w:i/>
          <w:kern w:val="0"/>
          <w:lang w:val="fr-BE" w:eastAsia="en-US" w:bidi="ar-SA"/>
        </w:rPr>
        <w:t xml:space="preserve"> G.H.</w:t>
      </w:r>
      <w:r w:rsidRPr="00D147A7">
        <w:rPr>
          <w:kern w:val="0"/>
          <w:lang w:val="fr-BE" w:eastAsia="en-US" w:bidi="ar-SA"/>
        </w:rPr>
        <w:t xml:space="preserve">, 246 (1985), p. 410-415; </w:t>
      </w:r>
      <w:r w:rsidRPr="00D147A7">
        <w:rPr>
          <w:i/>
          <w:kern w:val="0"/>
          <w:lang w:val="fr-BE" w:eastAsia="en-US" w:bidi="ar-SA"/>
        </w:rPr>
        <w:t>T.H.M.S.</w:t>
      </w:r>
      <w:r w:rsidRPr="00D147A7">
        <w:rPr>
          <w:kern w:val="0"/>
          <w:lang w:val="fr-BE" w:eastAsia="en-US" w:bidi="ar-SA"/>
        </w:rPr>
        <w:t>, 476/40 (1985), p. 52-56.</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MOQUET-ANGER, M.L.; HARICHAUX, M.; GHERARDI, E.; VACARIE, I.; ‘Loi n° 2002-303 du 4 mars relative aux droits des malades et à la qualité du système de santé : titre II – la démocratie sanitaire’, </w:t>
      </w:r>
      <w:r w:rsidRPr="00D147A7">
        <w:rPr>
          <w:i/>
          <w:kern w:val="0"/>
          <w:lang w:val="fr-BE" w:eastAsia="en-US" w:bidi="ar-SA"/>
        </w:rPr>
        <w:t>R.D.S.S.</w:t>
      </w:r>
      <w:r w:rsidRPr="00D147A7">
        <w:rPr>
          <w:kern w:val="0"/>
          <w:lang w:val="fr-BE" w:eastAsia="en-US" w:bidi="ar-SA"/>
        </w:rPr>
        <w:t>, 4 (2002), p. 657-704.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PAUCHET-TRAVERSAT, A.F. ; GEDDA, M. ; ‘Dossier du patient: de la qualité du contenu à l’information du patient’, </w:t>
      </w:r>
      <w:r w:rsidRPr="00D147A7">
        <w:rPr>
          <w:i/>
          <w:kern w:val="0"/>
          <w:lang w:val="fr-BE" w:eastAsia="en-US" w:bidi="ar-SA"/>
        </w:rPr>
        <w:t>J.P.C.</w:t>
      </w:r>
      <w:r w:rsidRPr="00D147A7">
        <w:rPr>
          <w:kern w:val="0"/>
          <w:lang w:val="fr-BE" w:eastAsia="en-US" w:bidi="ar-SA"/>
        </w:rPr>
        <w:t>, 32 (2002), p. 11-14.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PEDROT, P., ‘Dossier de suivi médical et carnet médical’, </w:t>
      </w:r>
      <w:r w:rsidRPr="00D147A7">
        <w:rPr>
          <w:i/>
          <w:kern w:val="0"/>
          <w:lang w:val="fr-BE" w:eastAsia="en-US" w:bidi="ar-SA"/>
        </w:rPr>
        <w:t>R.D.S.S.</w:t>
      </w:r>
      <w:r w:rsidRPr="00D147A7">
        <w:rPr>
          <w:kern w:val="0"/>
          <w:lang w:val="fr-BE" w:eastAsia="en-US" w:bidi="ar-SA"/>
        </w:rPr>
        <w:t>, 3 (1995), p. 610-613.</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PONTE, C., ‘Le dossier du patient, contenu et règles de bonne tenue (1/2)’, </w:t>
      </w:r>
      <w:r w:rsidRPr="00D147A7">
        <w:rPr>
          <w:i/>
          <w:kern w:val="0"/>
          <w:lang w:val="fr-BE" w:eastAsia="en-US" w:bidi="ar-SA"/>
        </w:rPr>
        <w:t>Soins</w:t>
      </w:r>
      <w:r w:rsidRPr="00D147A7">
        <w:rPr>
          <w:kern w:val="0"/>
          <w:lang w:val="fr-BE" w:eastAsia="en-US" w:bidi="ar-SA"/>
        </w:rPr>
        <w:t>, 703 (2007), p. 17-18.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PRADEAU, F., ‘Le dossier du patient dans les établissements de santé. Tenue, contenu, ar</w:t>
      </w:r>
      <w:r w:rsidR="003A670E">
        <w:rPr>
          <w:kern w:val="0"/>
          <w:lang w:val="fr-BE" w:eastAsia="en-US" w:bidi="ar-SA"/>
        </w:rPr>
        <w:t>-</w:t>
      </w:r>
      <w:r w:rsidRPr="00D147A7">
        <w:rPr>
          <w:kern w:val="0"/>
          <w:lang w:val="fr-BE" w:eastAsia="en-US" w:bidi="ar-SA"/>
        </w:rPr>
        <w:t>chivage et communication’, Poitiers, s.d., 6p. (</w:t>
      </w:r>
      <w:hyperlink r:id="rId51" w:history="1">
        <w:r w:rsidR="003A670E" w:rsidRPr="00ED5FE6">
          <w:rPr>
            <w:rStyle w:val="Hyperlink"/>
            <w:kern w:val="0"/>
            <w:lang w:val="fr-BE" w:eastAsia="en-US" w:bidi="ar-SA"/>
          </w:rPr>
          <w:t>http://membres.multimania.fr/pradeau/exposes /DosMed/dossier_medical_synthese_011015.pdf</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PRADEAU, F.; PRADEAU, M.C.; BENZ-LEMOINE, E.; INGRAND, P.; ‘Le dossier du patient dans les établissements de santé. Tenue, contenu, archivage et communication </w:t>
      </w:r>
      <w:r w:rsidR="003A670E">
        <w:rPr>
          <w:kern w:val="0"/>
          <w:lang w:val="fr-BE" w:eastAsia="en-US" w:bidi="ar-SA"/>
        </w:rPr>
        <w:t>–</w:t>
      </w:r>
      <w:r w:rsidRPr="00D147A7">
        <w:rPr>
          <w:kern w:val="0"/>
          <w:lang w:val="fr-BE" w:eastAsia="en-US" w:bidi="ar-SA"/>
        </w:rPr>
        <w:t xml:space="preserve"> as</w:t>
      </w:r>
      <w:r w:rsidR="003A670E">
        <w:rPr>
          <w:kern w:val="0"/>
          <w:lang w:val="fr-BE" w:eastAsia="en-US" w:bidi="ar-SA"/>
        </w:rPr>
        <w:t>-</w:t>
      </w:r>
      <w:r w:rsidRPr="00D147A7">
        <w:rPr>
          <w:kern w:val="0"/>
          <w:lang w:val="fr-BE" w:eastAsia="en-US" w:bidi="ar-SA"/>
        </w:rPr>
        <w:t xml:space="preserve">pects médico-légaux - revue de littérature’, </w:t>
      </w:r>
      <w:r w:rsidRPr="00D147A7">
        <w:rPr>
          <w:i/>
          <w:kern w:val="0"/>
          <w:lang w:val="fr-BE" w:eastAsia="en-US" w:bidi="ar-SA"/>
        </w:rPr>
        <w:t>J.M.L.</w:t>
      </w:r>
      <w:r w:rsidRPr="00D147A7">
        <w:rPr>
          <w:kern w:val="0"/>
          <w:lang w:val="fr-BE" w:eastAsia="en-US" w:bidi="ar-SA"/>
        </w:rPr>
        <w:t>, 41/5 (1998), p. 355-366.</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PROVILLE, S.; CHICHE, P.; ‘Le dossier médical du patient: son contenu à la lumière de la loi du 4 mars et du décret du 19 avril 2002’, </w:t>
      </w:r>
      <w:r w:rsidRPr="00D147A7">
        <w:rPr>
          <w:i/>
          <w:kern w:val="0"/>
          <w:lang w:val="fr-BE" w:eastAsia="en-US" w:bidi="ar-SA"/>
        </w:rPr>
        <w:t>B.J.S.P.</w:t>
      </w:r>
      <w:r w:rsidRPr="00D147A7">
        <w:rPr>
          <w:kern w:val="0"/>
          <w:lang w:val="fr-BE" w:eastAsia="en-US" w:bidi="ar-SA"/>
        </w:rPr>
        <w:t>, 52 (2002), p. 14-18.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RIQUIER, S.; PAILLARD, P.; FRERE, J.P.; BOFFELLI, G.; FERNET, P.; MOINARD, D.; TRENARD-LEBLANC, A.; ‘Dossier : L’archivage médical et administratif: un secteur en mutation’, </w:t>
      </w:r>
      <w:r w:rsidRPr="003A670E">
        <w:rPr>
          <w:i/>
          <w:kern w:val="0"/>
          <w:lang w:val="fr-BE" w:eastAsia="en-US" w:bidi="ar-SA"/>
        </w:rPr>
        <w:t>R.H.F.</w:t>
      </w:r>
      <w:r w:rsidRPr="00D147A7">
        <w:rPr>
          <w:kern w:val="0"/>
          <w:lang w:val="fr-BE" w:eastAsia="en-US" w:bidi="ar-SA"/>
        </w:rPr>
        <w:t>, 5, Dossier technique nr. 24, 1998, 14p.</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ROGER, P., ‘Le dossier médical dans les établissements de santé’, </w:t>
      </w:r>
      <w:r w:rsidRPr="00D147A7">
        <w:rPr>
          <w:i/>
          <w:kern w:val="0"/>
          <w:lang w:val="fr-BE" w:eastAsia="en-US" w:bidi="ar-SA"/>
        </w:rPr>
        <w:t>M.D.</w:t>
      </w:r>
      <w:r w:rsidRPr="00D147A7">
        <w:rPr>
          <w:kern w:val="0"/>
          <w:lang w:val="fr-BE" w:eastAsia="en-US" w:bidi="ar-SA"/>
        </w:rPr>
        <w:t>, 40 (2000), p. 10-14.</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ROGER, F.H.; JOOS, M.; SERVAIS, P.; ‘Les archives médicales aux cliniques universitaires de Louvain: historiques et perspectives’, </w:t>
      </w:r>
      <w:r w:rsidRPr="00D147A7">
        <w:rPr>
          <w:i/>
          <w:kern w:val="0"/>
          <w:lang w:val="fr-BE" w:eastAsia="en-US" w:bidi="ar-SA"/>
        </w:rPr>
        <w:t>L’hôpital belge</w:t>
      </w:r>
      <w:r w:rsidRPr="00D147A7">
        <w:rPr>
          <w:kern w:val="0"/>
          <w:lang w:val="fr-BE" w:eastAsia="en-US" w:bidi="ar-SA"/>
        </w:rPr>
        <w:t xml:space="preserve">, 2 (1989), p. 35-39; </w:t>
      </w:r>
      <w:r w:rsidRPr="00D147A7">
        <w:rPr>
          <w:i/>
          <w:kern w:val="0"/>
          <w:lang w:val="fr-BE" w:eastAsia="en-US" w:bidi="ar-SA"/>
        </w:rPr>
        <w:t>L’hôpital de Pa</w:t>
      </w:r>
      <w:r w:rsidR="003A670E">
        <w:rPr>
          <w:i/>
          <w:kern w:val="0"/>
          <w:lang w:val="fr-BE" w:eastAsia="en-US" w:bidi="ar-SA"/>
        </w:rPr>
        <w:t>-</w:t>
      </w:r>
      <w:r w:rsidRPr="00D147A7">
        <w:rPr>
          <w:i/>
          <w:kern w:val="0"/>
          <w:lang w:val="fr-BE" w:eastAsia="en-US" w:bidi="ar-SA"/>
        </w:rPr>
        <w:t>ris</w:t>
      </w:r>
      <w:r w:rsidRPr="00D147A7">
        <w:rPr>
          <w:kern w:val="0"/>
          <w:lang w:val="fr-BE" w:eastAsia="en-US" w:bidi="ar-SA"/>
        </w:rPr>
        <w:t>, 120 (1990), p. 53-58.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ROUBERT, J., ‘Les archives médicales en France’, </w:t>
      </w:r>
      <w:r w:rsidRPr="00D147A7">
        <w:rPr>
          <w:i/>
          <w:kern w:val="0"/>
          <w:lang w:val="fr-BE" w:eastAsia="en-US" w:bidi="ar-SA"/>
        </w:rPr>
        <w:t>Archivaria</w:t>
      </w:r>
      <w:r w:rsidRPr="00D147A7">
        <w:rPr>
          <w:kern w:val="0"/>
          <w:lang w:val="fr-BE" w:eastAsia="en-US" w:bidi="ar-SA"/>
        </w:rPr>
        <w:t>, 10 (1980), p. 253-258.</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ROUGE-MAILLART, C., ‘Le dossier infirmier: composante essentielle du dossier patient: Le dossier médical’, </w:t>
      </w:r>
      <w:r w:rsidRPr="00D147A7">
        <w:rPr>
          <w:i/>
          <w:kern w:val="0"/>
          <w:lang w:val="fr-BE" w:eastAsia="en-US" w:bidi="ar-SA"/>
        </w:rPr>
        <w:t>J.M.L.</w:t>
      </w:r>
      <w:r w:rsidRPr="00D147A7">
        <w:rPr>
          <w:kern w:val="0"/>
          <w:lang w:val="fr-BE" w:eastAsia="en-US" w:bidi="ar-SA"/>
        </w:rPr>
        <w:t xml:space="preserve">, 49/1 (2006), p. 61-63. </w:t>
      </w:r>
    </w:p>
    <w:p w:rsidR="009931C7" w:rsidRPr="00D147A7" w:rsidRDefault="009931C7" w:rsidP="009931C7">
      <w:pPr>
        <w:widowControl/>
        <w:suppressAutoHyphens w:val="0"/>
        <w:spacing w:line="240" w:lineRule="atLeast"/>
        <w:jc w:val="both"/>
        <w:rPr>
          <w:kern w:val="0"/>
          <w:lang w:val="nl-NL" w:eastAsia="en-US" w:bidi="ar-SA"/>
        </w:rPr>
      </w:pPr>
      <w:r w:rsidRPr="00D147A7">
        <w:rPr>
          <w:kern w:val="0"/>
          <w:lang w:val="fr-BE" w:eastAsia="en-US" w:bidi="ar-SA"/>
        </w:rPr>
        <w:t xml:space="preserve">ROY, C., </w:t>
      </w:r>
      <w:r w:rsidRPr="00D147A7">
        <w:rPr>
          <w:i/>
          <w:kern w:val="0"/>
          <w:lang w:val="fr-BE" w:eastAsia="en-US" w:bidi="ar-SA"/>
        </w:rPr>
        <w:t>Audit de pratique sur la tenue du dossier médical en médicine générale</w:t>
      </w:r>
      <w:r w:rsidRPr="00D147A7">
        <w:rPr>
          <w:kern w:val="0"/>
          <w:lang w:val="fr-BE" w:eastAsia="en-US" w:bidi="ar-SA"/>
        </w:rPr>
        <w:t xml:space="preserve">, onuitgeg. </w:t>
      </w:r>
      <w:r w:rsidR="003A670E">
        <w:rPr>
          <w:kern w:val="0"/>
          <w:lang w:val="fr-BE" w:eastAsia="en-US" w:bidi="ar-SA"/>
        </w:rPr>
        <w:t>d</w:t>
      </w:r>
      <w:r w:rsidRPr="00D147A7">
        <w:rPr>
          <w:kern w:val="0"/>
          <w:lang w:val="fr-BE" w:eastAsia="en-US" w:bidi="ar-SA"/>
        </w:rPr>
        <w:t>octoraatsverhandeling, Faculté de Médecine et de Pharmacie, Université de Poitiers, promo</w:t>
      </w:r>
      <w:r w:rsidR="003A670E">
        <w:rPr>
          <w:kern w:val="0"/>
          <w:lang w:val="fr-BE" w:eastAsia="en-US" w:bidi="ar-SA"/>
        </w:rPr>
        <w:t>-</w:t>
      </w:r>
      <w:r w:rsidRPr="00D147A7">
        <w:rPr>
          <w:kern w:val="0"/>
          <w:lang w:val="fr-BE" w:eastAsia="en-US" w:bidi="ar-SA"/>
        </w:rPr>
        <w:t xml:space="preserve">tor dr. </w:t>
      </w:r>
      <w:r w:rsidRPr="00D147A7">
        <w:rPr>
          <w:kern w:val="0"/>
          <w:lang w:val="nl-NL" w:eastAsia="en-US" w:bidi="ar-SA"/>
        </w:rPr>
        <w:t>Olivier Kandel, 2006, 45p.  (</w:t>
      </w:r>
      <w:hyperlink r:id="rId52" w:history="1">
        <w:r w:rsidR="003A670E" w:rsidRPr="00ED5FE6">
          <w:rPr>
            <w:rStyle w:val="Hyperlink"/>
            <w:kern w:val="0"/>
            <w:lang w:val="nl-NL" w:eastAsia="en-US" w:bidi="ar-SA"/>
          </w:rPr>
          <w:t>http://www.sfmg.org/data/generateur/generateur_fiche/ 194/fichier_these_roy1fad7.pdf</w:t>
        </w:r>
      </w:hyperlink>
      <w:r w:rsidRPr="00D147A7">
        <w:rPr>
          <w:kern w:val="0"/>
          <w:lang w:val="nl-NL"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SOKOLOFF, V., ‘Le dossier médical en secteur hospitalier’, </w:t>
      </w:r>
      <w:r w:rsidRPr="00D147A7">
        <w:rPr>
          <w:i/>
          <w:kern w:val="0"/>
          <w:lang w:val="fr-BE" w:eastAsia="en-US" w:bidi="ar-SA"/>
        </w:rPr>
        <w:t>R.I.P.</w:t>
      </w:r>
      <w:r w:rsidRPr="00D147A7">
        <w:rPr>
          <w:kern w:val="0"/>
          <w:lang w:val="fr-BE" w:eastAsia="en-US" w:bidi="ar-SA"/>
        </w:rPr>
        <w:t>, 307 (2000), p. 19-20</w:t>
      </w:r>
      <w:r w:rsidR="003A670E">
        <w:rPr>
          <w:kern w:val="0"/>
          <w:lang w:val="fr-BE" w:eastAsia="en-US" w:bidi="ar-SA"/>
        </w:rPr>
        <w:t>.</w:t>
      </w:r>
      <w:r w:rsidRPr="00D147A7">
        <w:rPr>
          <w:kern w:val="0"/>
          <w:lang w:val="fr-BE" w:eastAsia="en-US" w:bidi="ar-SA"/>
        </w:rPr>
        <w:t xml:space="preserve"> </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TAMBURINI, S., ‘Départ en retraite: que deviennent les dossiers?’, 2007 (</w:t>
      </w:r>
      <w:hyperlink w:history="1">
        <w:r w:rsidR="003A670E" w:rsidRPr="00ED5FE6">
          <w:rPr>
            <w:rStyle w:val="Hyperlink"/>
            <w:kern w:val="0"/>
            <w:lang w:val="fr-BE" w:eastAsia="en-US" w:bidi="ar-SA"/>
          </w:rPr>
          <w:t>http://www.macsf. fr/vous-informer/depart-retraite-que-deviennent-dossiers.html</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TAMBURINI, S., ‘Perte et destruction du dossier médical’, 2007 (</w:t>
      </w:r>
      <w:hyperlink r:id="rId53" w:history="1">
        <w:r w:rsidR="00EC699C" w:rsidRPr="00D147A7">
          <w:rPr>
            <w:rStyle w:val="Hyperlink"/>
            <w:kern w:val="0"/>
            <w:lang w:val="fr-BE" w:eastAsia="en-US" w:bidi="ar-SA"/>
          </w:rPr>
          <w:t>http://www.macsf.fr/vous-informer/perte-et-destruction-dossier-medical.html</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TAMBURINI, S., ‘Quand un tribunal sanctionne la perte du dossier médical’, 2007 (</w:t>
      </w:r>
      <w:hyperlink r:id="rId54" w:history="1">
        <w:r w:rsidR="00EC699C" w:rsidRPr="00D147A7">
          <w:rPr>
            <w:rStyle w:val="Hyperlink"/>
            <w:kern w:val="0"/>
            <w:lang w:val="fr-BE" w:eastAsia="en-US" w:bidi="ar-SA"/>
          </w:rPr>
          <w:t>http://www.macsf.fr/vous-informer/perte-du-dossier-medical.html</w:t>
        </w:r>
      </w:hyperlink>
      <w:r w:rsidRPr="00D147A7">
        <w:rPr>
          <w:kern w:val="0"/>
          <w:lang w:val="fr-BE" w:eastAsia="en-US" w:bidi="ar-SA"/>
        </w:rPr>
        <w:t>, laatst geraadpleegd op 23 juli 2012).</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VEILLEROT, G., ‘Le dossier médical hospitalier’, </w:t>
      </w:r>
      <w:r w:rsidRPr="00D147A7">
        <w:rPr>
          <w:i/>
          <w:kern w:val="0"/>
          <w:lang w:val="fr-BE" w:eastAsia="en-US" w:bidi="ar-SA"/>
        </w:rPr>
        <w:t>B.J.P.H.</w:t>
      </w:r>
      <w:r w:rsidRPr="00D147A7">
        <w:rPr>
          <w:kern w:val="0"/>
          <w:lang w:val="fr-BE" w:eastAsia="en-US" w:bidi="ar-SA"/>
        </w:rPr>
        <w:t>, 139 (2011), p. 12-15.</w:t>
      </w:r>
    </w:p>
    <w:p w:rsidR="009931C7" w:rsidRPr="00D147A7" w:rsidRDefault="009931C7" w:rsidP="009931C7">
      <w:pPr>
        <w:widowControl/>
        <w:suppressAutoHyphens w:val="0"/>
        <w:spacing w:line="240" w:lineRule="atLeast"/>
        <w:jc w:val="both"/>
        <w:rPr>
          <w:kern w:val="0"/>
          <w:lang w:val="fr-BE" w:eastAsia="en-US" w:bidi="ar-SA"/>
        </w:rPr>
      </w:pPr>
      <w:r w:rsidRPr="00D147A7">
        <w:rPr>
          <w:kern w:val="0"/>
          <w:lang w:val="fr-BE" w:eastAsia="en-US" w:bidi="ar-SA"/>
        </w:rPr>
        <w:t xml:space="preserve">WAINSTEIN, J.P., ‘Réflexions sur le dossier médical en médecine générale’, </w:t>
      </w:r>
      <w:r w:rsidRPr="00D147A7">
        <w:rPr>
          <w:i/>
          <w:kern w:val="0"/>
          <w:lang w:val="fr-BE" w:eastAsia="en-US" w:bidi="ar-SA"/>
        </w:rPr>
        <w:t>C.M.</w:t>
      </w:r>
      <w:r w:rsidRPr="00D147A7">
        <w:rPr>
          <w:kern w:val="0"/>
          <w:lang w:val="fr-BE" w:eastAsia="en-US" w:bidi="ar-SA"/>
        </w:rPr>
        <w:t>, 1986, p. 2907-2910.</w:t>
      </w:r>
    </w:p>
    <w:p w:rsidR="009931C7" w:rsidRPr="00D147A7" w:rsidRDefault="009931C7" w:rsidP="009931C7">
      <w:pPr>
        <w:widowControl/>
        <w:suppressAutoHyphens w:val="0"/>
        <w:spacing w:line="240" w:lineRule="atLeast"/>
        <w:jc w:val="both"/>
        <w:rPr>
          <w:kern w:val="0"/>
          <w:lang w:val="fr-BE" w:eastAsia="en-US" w:bidi="ar-SA"/>
        </w:rPr>
      </w:pPr>
    </w:p>
    <w:p w:rsidR="00040B8D" w:rsidRDefault="00040B8D">
      <w:pPr>
        <w:widowControl/>
        <w:suppressAutoHyphens w:val="0"/>
        <w:spacing w:after="200" w:line="276" w:lineRule="auto"/>
        <w:rPr>
          <w:b/>
          <w:kern w:val="0"/>
          <w:lang w:val="fr-BE" w:eastAsia="en-US" w:bidi="ar-SA"/>
        </w:rPr>
      </w:pPr>
      <w:r>
        <w:rPr>
          <w:b/>
          <w:kern w:val="0"/>
          <w:lang w:val="fr-BE" w:eastAsia="en-US" w:bidi="ar-SA"/>
        </w:rPr>
        <w:br w:type="page"/>
      </w:r>
    </w:p>
    <w:p w:rsidR="009931C7" w:rsidRPr="00D147A7" w:rsidRDefault="009931C7" w:rsidP="009931C7">
      <w:pPr>
        <w:widowControl/>
        <w:suppressAutoHyphens w:val="0"/>
        <w:spacing w:line="240" w:lineRule="atLeast"/>
        <w:jc w:val="both"/>
        <w:rPr>
          <w:b/>
          <w:kern w:val="0"/>
          <w:lang w:eastAsia="en-US" w:bidi="ar-SA"/>
        </w:rPr>
      </w:pPr>
      <w:r w:rsidRPr="00D147A7">
        <w:rPr>
          <w:b/>
          <w:kern w:val="0"/>
          <w:lang w:val="fr-BE" w:eastAsia="en-US" w:bidi="ar-SA"/>
        </w:rPr>
        <w:lastRenderedPageBreak/>
        <w:tab/>
      </w:r>
      <w:r w:rsidRPr="00D147A7">
        <w:rPr>
          <w:b/>
          <w:kern w:val="0"/>
          <w:lang w:val="fr-BE" w:eastAsia="en-US" w:bidi="ar-SA"/>
        </w:rPr>
        <w:tab/>
      </w:r>
      <w:r w:rsidRPr="00D147A7">
        <w:rPr>
          <w:b/>
          <w:kern w:val="0"/>
          <w:lang w:val="nl-NL" w:eastAsia="en-US" w:bidi="ar-SA"/>
        </w:rPr>
        <w:t>1.5.</w:t>
      </w:r>
      <w:r w:rsidRPr="00D147A7">
        <w:rPr>
          <w:b/>
          <w:kern w:val="0"/>
          <w:lang w:eastAsia="en-US" w:bidi="ar-SA"/>
        </w:rPr>
        <w:t>3.5 Websites</w:t>
      </w:r>
    </w:p>
    <w:p w:rsidR="009931C7" w:rsidRPr="00D147A7" w:rsidRDefault="009931C7" w:rsidP="009931C7">
      <w:pPr>
        <w:widowControl/>
        <w:suppressAutoHyphens w:val="0"/>
        <w:spacing w:line="240" w:lineRule="atLeast"/>
        <w:jc w:val="both"/>
        <w:rPr>
          <w:b/>
          <w:kern w:val="0"/>
          <w:lang w:eastAsia="en-US" w:bidi="ar-SA"/>
        </w:rPr>
      </w:pPr>
    </w:p>
    <w:p w:rsidR="009931C7" w:rsidRPr="00D147A7" w:rsidRDefault="002E7E12" w:rsidP="009931C7">
      <w:pPr>
        <w:widowControl/>
        <w:suppressAutoHyphens w:val="0"/>
        <w:spacing w:line="240" w:lineRule="atLeast"/>
        <w:jc w:val="both"/>
        <w:rPr>
          <w:b/>
          <w:kern w:val="0"/>
          <w:lang w:val="nl-NL" w:eastAsia="en-US" w:bidi="ar-SA"/>
        </w:rPr>
      </w:pPr>
      <w:hyperlink r:id="rId55" w:history="1">
        <w:r w:rsidR="00EC699C" w:rsidRPr="00D147A7">
          <w:rPr>
            <w:rStyle w:val="Hyperlink"/>
            <w:kern w:val="0"/>
            <w:lang w:val="nl-NL" w:eastAsia="en-US" w:bidi="ar-SA"/>
          </w:rPr>
          <w:t>http://www.axis-consultants.fr/Modules/Sanitaire/index_assets/Plan-detaille-Secret-Professionnel.pdf</w:t>
        </w:r>
      </w:hyperlink>
      <w:r w:rsidR="009931C7" w:rsidRPr="00D147A7">
        <w:rPr>
          <w:kern w:val="0"/>
          <w:lang w:val="nl-NL" w:eastAsia="en-US" w:bidi="ar-SA"/>
        </w:rPr>
        <w:t xml:space="preserve"> (laatst geraadpleegd op 23 juli 2012).</w:t>
      </w:r>
    </w:p>
    <w:p w:rsidR="009931C7" w:rsidRPr="00D147A7" w:rsidRDefault="002E7E12" w:rsidP="009931C7">
      <w:pPr>
        <w:widowControl/>
        <w:suppressAutoHyphens w:val="0"/>
        <w:spacing w:line="240" w:lineRule="atLeast"/>
        <w:jc w:val="both"/>
        <w:rPr>
          <w:kern w:val="0"/>
          <w:lang w:val="nl-NL" w:eastAsia="en-US" w:bidi="ar-SA"/>
        </w:rPr>
      </w:pPr>
      <w:hyperlink r:id="rId56" w:history="1">
        <w:r w:rsidR="00EC699C" w:rsidRPr="00D147A7">
          <w:rPr>
            <w:rStyle w:val="Hyperlink"/>
            <w:kern w:val="0"/>
            <w:lang w:val="nl-NL" w:eastAsia="en-US" w:bidi="ar-SA"/>
          </w:rPr>
          <w:t>http://www.ladocumentationfrancaise.fr/</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57" w:history="1">
        <w:r w:rsidR="00EC699C" w:rsidRPr="00D147A7">
          <w:rPr>
            <w:rStyle w:val="Hyperlink"/>
            <w:kern w:val="0"/>
            <w:lang w:val="nl-NL" w:eastAsia="en-US" w:bidi="ar-SA"/>
          </w:rPr>
          <w:t>http://www.macsf.fr/</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58" w:history="1">
        <w:r w:rsidR="00EC699C" w:rsidRPr="00D147A7">
          <w:rPr>
            <w:rStyle w:val="Hyperlink"/>
            <w:kern w:val="0"/>
            <w:lang w:val="nl-NL" w:eastAsia="en-US" w:bidi="ar-SA"/>
          </w:rPr>
          <w:t>http://www.sfmg.org/</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59" w:history="1">
        <w:r w:rsidR="00EC699C" w:rsidRPr="00D147A7">
          <w:rPr>
            <w:rStyle w:val="Hyperlink"/>
            <w:kern w:val="0"/>
            <w:lang w:val="nl-NL" w:eastAsia="en-US" w:bidi="ar-SA"/>
          </w:rPr>
          <w:t>http://membres.multimania.fr/pradeau/</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60" w:history="1">
        <w:r w:rsidR="00EC699C" w:rsidRPr="00D147A7">
          <w:rPr>
            <w:rStyle w:val="Hyperlink"/>
            <w:kern w:val="0"/>
            <w:lang w:val="nl-NL" w:eastAsia="en-US" w:bidi="ar-SA"/>
          </w:rPr>
          <w:t>http://ressources.ensp.fr/</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61" w:history="1">
        <w:r w:rsidR="00EC699C" w:rsidRPr="00D147A7">
          <w:rPr>
            <w:rStyle w:val="Hyperlink"/>
            <w:kern w:val="0"/>
            <w:lang w:val="nl-NL" w:eastAsia="en-US" w:bidi="ar-SA"/>
          </w:rPr>
          <w:t>http://www.univ-reims.fr/</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62" w:history="1">
        <w:r w:rsidR="00EC699C" w:rsidRPr="00D147A7">
          <w:rPr>
            <w:rStyle w:val="Hyperlink"/>
            <w:kern w:val="0"/>
            <w:lang w:val="nl-NL" w:eastAsia="en-US" w:bidi="ar-SA"/>
          </w:rPr>
          <w:t>http://www.has-sante.fr/</w:t>
        </w:r>
      </w:hyperlink>
      <w:r w:rsidR="009931C7" w:rsidRPr="00D147A7">
        <w:rPr>
          <w:kern w:val="0"/>
          <w:lang w:val="nl-NL" w:eastAsia="en-US" w:bidi="ar-SA"/>
        </w:rPr>
        <w:t>.</w:t>
      </w:r>
    </w:p>
    <w:p w:rsidR="009931C7" w:rsidRPr="00D147A7" w:rsidRDefault="002E7E12" w:rsidP="009931C7">
      <w:pPr>
        <w:widowControl/>
        <w:suppressAutoHyphens w:val="0"/>
        <w:spacing w:line="240" w:lineRule="atLeast"/>
        <w:jc w:val="both"/>
        <w:rPr>
          <w:kern w:val="0"/>
          <w:lang w:val="nl-NL" w:eastAsia="en-US" w:bidi="ar-SA"/>
        </w:rPr>
      </w:pPr>
      <w:hyperlink r:id="rId63" w:history="1">
        <w:r w:rsidR="00EC699C" w:rsidRPr="00D147A7">
          <w:rPr>
            <w:rStyle w:val="Hyperlink"/>
            <w:kern w:val="0"/>
            <w:lang w:val="nl-NL" w:eastAsia="en-US" w:bidi="ar-SA"/>
          </w:rPr>
          <w:t>http://www.conseil-national.medecin.fr/</w:t>
        </w:r>
      </w:hyperlink>
      <w:r w:rsidR="009931C7" w:rsidRPr="00D147A7">
        <w:rPr>
          <w:kern w:val="0"/>
          <w:lang w:val="nl-NL" w:eastAsia="en-US" w:bidi="ar-SA"/>
        </w:rPr>
        <w:t>.</w:t>
      </w:r>
    </w:p>
    <w:p w:rsidR="009931C7" w:rsidRPr="00D147A7" w:rsidRDefault="009931C7">
      <w:pPr>
        <w:widowControl/>
        <w:suppressAutoHyphens w:val="0"/>
        <w:spacing w:after="200" w:line="276" w:lineRule="auto"/>
        <w:rPr>
          <w:kern w:val="0"/>
          <w:lang w:val="nl-NL" w:eastAsia="en-US" w:bidi="ar-SA"/>
        </w:rPr>
      </w:pPr>
      <w:r w:rsidRPr="00D147A7">
        <w:rPr>
          <w:lang w:val="nl-NL"/>
        </w:rPr>
        <w:br w:type="page"/>
      </w:r>
    </w:p>
    <w:p w:rsidR="009931C7" w:rsidRPr="00D147A7" w:rsidRDefault="009931C7" w:rsidP="009931C7">
      <w:pPr>
        <w:pStyle w:val="Geenafstand"/>
        <w:jc w:val="center"/>
        <w:rPr>
          <w:rFonts w:ascii="Times New Roman" w:hAnsi="Times New Roman" w:cs="Times New Roman"/>
          <w:b/>
          <w:smallCaps/>
          <w:sz w:val="32"/>
          <w:szCs w:val="32"/>
        </w:rPr>
      </w:pPr>
      <w:r w:rsidRPr="00D147A7">
        <w:rPr>
          <w:rFonts w:ascii="Times New Roman" w:hAnsi="Times New Roman" w:cs="Times New Roman"/>
          <w:b/>
          <w:sz w:val="32"/>
          <w:szCs w:val="32"/>
        </w:rPr>
        <w:lastRenderedPageBreak/>
        <w:t>D</w:t>
      </w:r>
      <w:r w:rsidRPr="00D147A7">
        <w:rPr>
          <w:rFonts w:ascii="Times New Roman" w:hAnsi="Times New Roman" w:cs="Times New Roman"/>
          <w:b/>
          <w:smallCaps/>
          <w:sz w:val="32"/>
          <w:szCs w:val="32"/>
        </w:rPr>
        <w:t xml:space="preserve">eel 2: </w:t>
      </w:r>
      <w:r w:rsidR="005E39F6" w:rsidRPr="00D147A7">
        <w:rPr>
          <w:rFonts w:ascii="Times New Roman" w:hAnsi="Times New Roman" w:cs="Times New Roman"/>
          <w:b/>
          <w:smallCaps/>
          <w:sz w:val="32"/>
          <w:szCs w:val="32"/>
        </w:rPr>
        <w:t>Vastlegging, r</w:t>
      </w:r>
      <w:r w:rsidR="000E4BDA">
        <w:rPr>
          <w:rFonts w:ascii="Times New Roman" w:hAnsi="Times New Roman" w:cs="Times New Roman"/>
          <w:b/>
          <w:smallCaps/>
          <w:sz w:val="32"/>
          <w:szCs w:val="32"/>
        </w:rPr>
        <w:t>egistratie en c</w:t>
      </w:r>
      <w:r w:rsidRPr="00D147A7">
        <w:rPr>
          <w:rFonts w:ascii="Times New Roman" w:hAnsi="Times New Roman" w:cs="Times New Roman"/>
          <w:b/>
          <w:smallCaps/>
          <w:sz w:val="32"/>
          <w:szCs w:val="32"/>
        </w:rPr>
        <w:t>lassificatie</w:t>
      </w:r>
    </w:p>
    <w:p w:rsidR="009931C7" w:rsidRPr="00D147A7" w:rsidRDefault="009931C7" w:rsidP="009931C7">
      <w:pPr>
        <w:pStyle w:val="Geenafstand"/>
        <w:jc w:val="both"/>
        <w:rPr>
          <w:rFonts w:ascii="Times New Roman" w:hAnsi="Times New Roman" w:cs="Times New Roman"/>
          <w:b/>
          <w:sz w:val="24"/>
          <w:szCs w:val="24"/>
        </w:rPr>
      </w:pPr>
    </w:p>
    <w:p w:rsidR="009931C7" w:rsidRPr="00D147A7" w:rsidRDefault="009931C7" w:rsidP="009931C7">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2.1 Inleiding</w:t>
      </w:r>
    </w:p>
    <w:p w:rsidR="009931C7" w:rsidRPr="00D147A7" w:rsidRDefault="009931C7" w:rsidP="009931C7">
      <w:pPr>
        <w:pStyle w:val="Geenafstand"/>
        <w:ind w:firstLine="708"/>
        <w:jc w:val="both"/>
        <w:rPr>
          <w:rFonts w:ascii="Times New Roman" w:hAnsi="Times New Roman" w:cs="Times New Roman"/>
          <w:b/>
          <w:sz w:val="24"/>
          <w:szCs w:val="24"/>
        </w:rPr>
      </w:pPr>
    </w:p>
    <w:p w:rsidR="009931C7" w:rsidRPr="00D147A7" w:rsidRDefault="009931C7" w:rsidP="009931C7">
      <w:pPr>
        <w:pStyle w:val="Geenafstand"/>
        <w:ind w:left="708"/>
        <w:jc w:val="both"/>
        <w:rPr>
          <w:rFonts w:ascii="Times New Roman" w:hAnsi="Times New Roman" w:cs="Times New Roman"/>
          <w:b/>
          <w:sz w:val="24"/>
          <w:szCs w:val="24"/>
        </w:rPr>
      </w:pPr>
      <w:r w:rsidRPr="00D147A7">
        <w:rPr>
          <w:rFonts w:ascii="Times New Roman" w:hAnsi="Times New Roman" w:cs="Times New Roman"/>
          <w:b/>
          <w:sz w:val="24"/>
          <w:szCs w:val="24"/>
        </w:rPr>
        <w:t>Hoofdstuk 1: De begripp</w:t>
      </w:r>
      <w:r w:rsidR="005E39F6" w:rsidRPr="00D147A7">
        <w:rPr>
          <w:rFonts w:ascii="Times New Roman" w:hAnsi="Times New Roman" w:cs="Times New Roman"/>
          <w:b/>
          <w:sz w:val="24"/>
          <w:szCs w:val="24"/>
        </w:rPr>
        <w:t>en ‘vastlegging’, ‘registratie’,</w:t>
      </w:r>
      <w:r w:rsidRPr="00D147A7">
        <w:rPr>
          <w:rFonts w:ascii="Times New Roman" w:hAnsi="Times New Roman" w:cs="Times New Roman"/>
          <w:b/>
          <w:sz w:val="24"/>
          <w:szCs w:val="24"/>
        </w:rPr>
        <w:t xml:space="preserve"> ‘classificatie’ en ‘orde</w:t>
      </w:r>
      <w:r w:rsidR="00A0619E">
        <w:rPr>
          <w:rFonts w:ascii="Times New Roman" w:hAnsi="Times New Roman" w:cs="Times New Roman"/>
          <w:b/>
          <w:sz w:val="24"/>
          <w:szCs w:val="24"/>
        </w:rPr>
        <w:t>-</w:t>
      </w:r>
      <w:r w:rsidRPr="00D147A7">
        <w:rPr>
          <w:rFonts w:ascii="Times New Roman" w:hAnsi="Times New Roman" w:cs="Times New Roman"/>
          <w:b/>
          <w:sz w:val="24"/>
          <w:szCs w:val="24"/>
        </w:rPr>
        <w:t>ning’</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Vastlegging bestaat in principe uit twee stappen: registratie en classificatie. Wat </w:t>
      </w:r>
      <w:r w:rsidRPr="00D147A7">
        <w:rPr>
          <w:rFonts w:ascii="Times New Roman" w:hAnsi="Times New Roman" w:cs="Times New Roman"/>
          <w:i/>
          <w:sz w:val="24"/>
          <w:szCs w:val="24"/>
        </w:rPr>
        <w:t>records ma</w:t>
      </w:r>
      <w:r w:rsidR="00A0619E">
        <w:rPr>
          <w:rFonts w:ascii="Times New Roman" w:hAnsi="Times New Roman" w:cs="Times New Roman"/>
          <w:i/>
          <w:sz w:val="24"/>
          <w:szCs w:val="24"/>
        </w:rPr>
        <w:t>-</w:t>
      </w:r>
      <w:r w:rsidRPr="00D147A7">
        <w:rPr>
          <w:rFonts w:ascii="Times New Roman" w:hAnsi="Times New Roman" w:cs="Times New Roman"/>
          <w:i/>
          <w:sz w:val="24"/>
          <w:szCs w:val="24"/>
        </w:rPr>
        <w:t>nagers</w:t>
      </w:r>
      <w:r w:rsidRPr="00D147A7">
        <w:rPr>
          <w:rFonts w:ascii="Times New Roman" w:hAnsi="Times New Roman" w:cs="Times New Roman"/>
          <w:sz w:val="24"/>
          <w:szCs w:val="24"/>
        </w:rPr>
        <w:t xml:space="preserve"> en archivarissen onder registratie verstaan, verschilt grondig van de betekenis die hier in medische milieus aan gegeven wordt. Deze Babylonische spraakverwarring zal niet de eni</w:t>
      </w:r>
      <w:r w:rsidR="00A0619E">
        <w:rPr>
          <w:rFonts w:ascii="Times New Roman" w:hAnsi="Times New Roman" w:cs="Times New Roman"/>
          <w:sz w:val="24"/>
          <w:szCs w:val="24"/>
        </w:rPr>
        <w:t>-</w:t>
      </w:r>
      <w:r w:rsidRPr="00D147A7">
        <w:rPr>
          <w:rFonts w:ascii="Times New Roman" w:hAnsi="Times New Roman" w:cs="Times New Roman"/>
          <w:sz w:val="24"/>
          <w:szCs w:val="24"/>
        </w:rPr>
        <w:t>ge hindernis blijken om de vastlegging van patiëntendossiers in Belgische, Nederlandse en Franse zorginformatiesystemen te onderzoeken</w:t>
      </w:r>
      <w:r w:rsidR="00200D45" w:rsidRPr="00D147A7">
        <w:rPr>
          <w:rFonts w:ascii="Times New Roman" w:hAnsi="Times New Roman" w:cs="Times New Roman"/>
          <w:sz w:val="24"/>
          <w:szCs w:val="24"/>
        </w:rPr>
        <w:t xml:space="preserve"> vanuit een archivistisch perspectief</w:t>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‘medische registratie’ heeft geenszins tot doel om archiefbescheiden definitief vast te leggen in zorginformatiesystemen. In vrijwel alle verzorgingsinstellingen zijn het ‘archief’ en de dienst ‘medische registratie’ dan ook twee afzonderlijke entiteiten. De medische registratie verschaft belangrijke parameters aan </w:t>
      </w:r>
      <w:r w:rsidR="00EF4A95" w:rsidRPr="00D147A7">
        <w:rPr>
          <w:rFonts w:ascii="Times New Roman" w:hAnsi="Times New Roman" w:cs="Times New Roman"/>
          <w:sz w:val="24"/>
          <w:szCs w:val="24"/>
        </w:rPr>
        <w:t>het</w:t>
      </w:r>
      <w:r w:rsidRPr="00D147A7">
        <w:rPr>
          <w:rFonts w:ascii="Times New Roman" w:hAnsi="Times New Roman" w:cs="Times New Roman"/>
          <w:sz w:val="24"/>
          <w:szCs w:val="24"/>
        </w:rPr>
        <w:t xml:space="preserve"> </w:t>
      </w:r>
      <w:r w:rsidR="00EF4A95" w:rsidRPr="00D147A7">
        <w:rPr>
          <w:rFonts w:ascii="Times New Roman" w:hAnsi="Times New Roman" w:cs="Times New Roman"/>
          <w:sz w:val="24"/>
          <w:szCs w:val="24"/>
        </w:rPr>
        <w:t>voor Volksgezondheid bevoegde Ministerie</w:t>
      </w:r>
      <w:r w:rsidRPr="00D147A7">
        <w:rPr>
          <w:rFonts w:ascii="Times New Roman" w:hAnsi="Times New Roman" w:cs="Times New Roman"/>
          <w:sz w:val="24"/>
          <w:szCs w:val="24"/>
        </w:rPr>
        <w:t>, aan de hand waarvan de behoeften van ziekenhuizen bepaald</w:t>
      </w:r>
      <w:r w:rsidR="00EF4A95" w:rsidRPr="00D147A7">
        <w:rPr>
          <w:rFonts w:ascii="Times New Roman" w:hAnsi="Times New Roman" w:cs="Times New Roman"/>
          <w:sz w:val="24"/>
          <w:szCs w:val="24"/>
        </w:rPr>
        <w:t xml:space="preserve"> worden</w:t>
      </w:r>
      <w:r w:rsidRPr="00D147A7">
        <w:rPr>
          <w:rFonts w:ascii="Times New Roman" w:hAnsi="Times New Roman" w:cs="Times New Roman"/>
          <w:sz w:val="24"/>
          <w:szCs w:val="24"/>
        </w:rPr>
        <w:t xml:space="preserve">, kwalitatieve en kwantitatieve erkenningsnormen voor ziekenhuizen en ziekenhuisdiensten </w:t>
      </w:r>
      <w:r w:rsidR="00EF4A95"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 xml:space="preserve">vastgesteld, subsidies </w:t>
      </w:r>
      <w:r w:rsidR="00EF4A95" w:rsidRPr="00D147A7">
        <w:rPr>
          <w:rFonts w:ascii="Times New Roman" w:hAnsi="Times New Roman" w:cs="Times New Roman"/>
          <w:sz w:val="24"/>
          <w:szCs w:val="24"/>
        </w:rPr>
        <w:t>voor</w:t>
      </w:r>
      <w:r w:rsidRPr="00D147A7">
        <w:rPr>
          <w:rFonts w:ascii="Times New Roman" w:hAnsi="Times New Roman" w:cs="Times New Roman"/>
          <w:sz w:val="24"/>
          <w:szCs w:val="24"/>
        </w:rPr>
        <w:t xml:space="preserve"> ziekenhuizen </w:t>
      </w:r>
      <w:r w:rsidR="00EF4A95"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berekend, het epidemiologisch beleid en het beleid betreffende de uitoefening van de geneeskunde, de verpleegkunde en de paramedische beroepen uitge</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stippeld</w:t>
      </w:r>
      <w:r w:rsidR="00EF4A95" w:rsidRPr="00D147A7">
        <w:rPr>
          <w:rFonts w:ascii="Times New Roman" w:hAnsi="Times New Roman" w:cs="Times New Roman"/>
          <w:sz w:val="24"/>
          <w:szCs w:val="24"/>
        </w:rPr>
        <w:t xml:space="preserve"> worden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26"/>
      </w:r>
      <w:r w:rsidRPr="00D147A7">
        <w:rPr>
          <w:rFonts w:ascii="Times New Roman" w:hAnsi="Times New Roman" w:cs="Times New Roman"/>
          <w:sz w:val="24"/>
          <w:szCs w:val="24"/>
        </w:rPr>
        <w:t xml:space="preserve"> Acute ziekenhuizen in België moeten Minimale Ziekenhuisgegevens (die sinds 2008 de Minimale Klinische Gegevens</w:t>
      </w:r>
      <w:r w:rsidRPr="00D147A7">
        <w:rPr>
          <w:rStyle w:val="Voetnootmarkering"/>
          <w:rFonts w:ascii="Times New Roman" w:hAnsi="Times New Roman" w:cs="Times New Roman"/>
          <w:sz w:val="24"/>
          <w:szCs w:val="24"/>
        </w:rPr>
        <w:footnoteReference w:id="327"/>
      </w:r>
      <w:r w:rsidRPr="00D147A7">
        <w:rPr>
          <w:rFonts w:ascii="Times New Roman" w:hAnsi="Times New Roman" w:cs="Times New Roman"/>
          <w:sz w:val="24"/>
          <w:szCs w:val="24"/>
        </w:rPr>
        <w:t xml:space="preserve"> en de Minimale Verpleegkundige Gegevens</w:t>
      </w:r>
      <w:r w:rsidRPr="00D147A7">
        <w:rPr>
          <w:rStyle w:val="Voetnootmarkering"/>
          <w:rFonts w:ascii="Times New Roman" w:hAnsi="Times New Roman" w:cs="Times New Roman"/>
          <w:sz w:val="24"/>
          <w:szCs w:val="24"/>
        </w:rPr>
        <w:footnoteReference w:id="328"/>
      </w:r>
      <w:r w:rsidRPr="00D147A7">
        <w:rPr>
          <w:rFonts w:ascii="Times New Roman" w:hAnsi="Times New Roman" w:cs="Times New Roman"/>
          <w:sz w:val="24"/>
          <w:szCs w:val="24"/>
        </w:rPr>
        <w:t xml:space="preserve"> vervangen</w:t>
      </w:r>
      <w:r w:rsidRPr="00D147A7">
        <w:rPr>
          <w:rStyle w:val="Voetnootmarkering"/>
          <w:rFonts w:ascii="Times New Roman" w:hAnsi="Times New Roman" w:cs="Times New Roman"/>
          <w:sz w:val="24"/>
          <w:szCs w:val="24"/>
        </w:rPr>
        <w:footnoteReference w:id="329"/>
      </w:r>
      <w:r w:rsidR="00EF4A95" w:rsidRPr="00D147A7">
        <w:rPr>
          <w:rFonts w:ascii="Times New Roman" w:hAnsi="Times New Roman" w:cs="Times New Roman"/>
          <w:sz w:val="24"/>
          <w:szCs w:val="24"/>
        </w:rPr>
        <w:t>)</w:t>
      </w:r>
      <w:r w:rsidRPr="00D147A7">
        <w:rPr>
          <w:rFonts w:ascii="Times New Roman" w:hAnsi="Times New Roman" w:cs="Times New Roman"/>
          <w:sz w:val="24"/>
          <w:szCs w:val="24"/>
        </w:rPr>
        <w:t xml:space="preserve"> registreren. Psychiatrische ziekenhuizen en psychiatrische afdelingen van alge</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mene ziekenhuizen moeten </w:t>
      </w:r>
      <w:r w:rsidR="00EF4A95" w:rsidRPr="00D147A7">
        <w:rPr>
          <w:rFonts w:ascii="Times New Roman" w:hAnsi="Times New Roman" w:cs="Times New Roman"/>
          <w:sz w:val="24"/>
          <w:szCs w:val="24"/>
        </w:rPr>
        <w:t xml:space="preserve">daarnaast ook </w:t>
      </w:r>
      <w:r w:rsidRPr="00D147A7">
        <w:rPr>
          <w:rFonts w:ascii="Times New Roman" w:hAnsi="Times New Roman" w:cs="Times New Roman"/>
          <w:sz w:val="24"/>
          <w:szCs w:val="24"/>
        </w:rPr>
        <w:t>Minimale Psychiatrische Gegevens bijhouden en ten gepaste tijde in gecodeerde vorm aan het Ministerie van Volksgezondheid overmaken.</w:t>
      </w:r>
      <w:r w:rsidRPr="00D147A7">
        <w:rPr>
          <w:rStyle w:val="Voetnootmarkering"/>
          <w:rFonts w:ascii="Times New Roman" w:hAnsi="Times New Roman" w:cs="Times New Roman"/>
          <w:sz w:val="24"/>
          <w:szCs w:val="24"/>
        </w:rPr>
        <w:footnoteReference w:id="330"/>
      </w:r>
      <w:r w:rsidRPr="00D147A7">
        <w:rPr>
          <w:rFonts w:ascii="Times New Roman" w:hAnsi="Times New Roman" w:cs="Times New Roman"/>
          <w:sz w:val="24"/>
          <w:szCs w:val="24"/>
        </w:rPr>
        <w:t xml:space="preserve"> </w:t>
      </w:r>
      <w:r w:rsidRPr="00D147A7">
        <w:rPr>
          <w:rFonts w:ascii="Times New Roman" w:hAnsi="Times New Roman" w:cs="Times New Roman"/>
          <w:sz w:val="24"/>
          <w:szCs w:val="24"/>
        </w:rPr>
        <w:lastRenderedPageBreak/>
        <w:t xml:space="preserve">Terwijl medische en administratieve gegevens continu geregistreerd moeten worden, </w:t>
      </w:r>
      <w:r w:rsidR="00EF4A95" w:rsidRPr="00D147A7">
        <w:rPr>
          <w:rFonts w:ascii="Times New Roman" w:hAnsi="Times New Roman" w:cs="Times New Roman"/>
          <w:sz w:val="24"/>
          <w:szCs w:val="24"/>
        </w:rPr>
        <w:t>moeten</w:t>
      </w:r>
      <w:r w:rsidRPr="00D147A7">
        <w:rPr>
          <w:rFonts w:ascii="Times New Roman" w:hAnsi="Times New Roman" w:cs="Times New Roman"/>
          <w:sz w:val="24"/>
          <w:szCs w:val="24"/>
        </w:rPr>
        <w:t xml:space="preserve"> verpleegkundige en personeelsgegevens enkel tijdens de eerste vijftien dagen van de maanden maart, juni, september en december van ieder jaar geregistreerd worden. De geregistreerde ge</w:t>
      </w:r>
      <w:r w:rsidR="00A0619E">
        <w:rPr>
          <w:rFonts w:ascii="Times New Roman" w:hAnsi="Times New Roman" w:cs="Times New Roman"/>
          <w:sz w:val="24"/>
          <w:szCs w:val="24"/>
        </w:rPr>
        <w:t>-</w:t>
      </w:r>
      <w:r w:rsidRPr="00D147A7">
        <w:rPr>
          <w:rFonts w:ascii="Times New Roman" w:hAnsi="Times New Roman" w:cs="Times New Roman"/>
          <w:sz w:val="24"/>
          <w:szCs w:val="24"/>
        </w:rPr>
        <w:t>gevens moeten ten laatste vijf maanden na het einde van de betrokken registratieperiode</w:t>
      </w:r>
      <w:r w:rsidR="00EF4A95"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 na controle en validering door het ziekenhuis</w:t>
      </w:r>
      <w:r w:rsidR="00EF4A95"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 in gecodeerde en geïnfor</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matiseerde vorm aan de FOD Volksgezondheid worden overgedragen. Al deze persoons</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gegevens worden binnen de FOD in een beveiligde databank opgeslagen en worden geduren</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de een termijn van dertig jaar bewaard. De sleutel om de gegevens met het medisch dossier van de patiënt binnen het be</w:t>
      </w:r>
      <w:r w:rsidR="00A0619E">
        <w:rPr>
          <w:rFonts w:ascii="Times New Roman" w:hAnsi="Times New Roman" w:cs="Times New Roman"/>
          <w:sz w:val="24"/>
          <w:szCs w:val="24"/>
        </w:rPr>
        <w:t>-</w:t>
      </w:r>
      <w:r w:rsidRPr="00D147A7">
        <w:rPr>
          <w:rFonts w:ascii="Times New Roman" w:hAnsi="Times New Roman" w:cs="Times New Roman"/>
          <w:sz w:val="24"/>
          <w:szCs w:val="24"/>
        </w:rPr>
        <w:t>trokken ziekenhuis te verbinden (en dus te decoderen), de registratie- en verblijfsnummers van patiënten, word</w:t>
      </w:r>
      <w:r w:rsidR="00EF4A95" w:rsidRPr="00D147A7">
        <w:rPr>
          <w:rFonts w:ascii="Times New Roman" w:hAnsi="Times New Roman" w:cs="Times New Roman"/>
          <w:sz w:val="24"/>
          <w:szCs w:val="24"/>
        </w:rPr>
        <w:t>en</w:t>
      </w:r>
      <w:r w:rsidRPr="00D147A7">
        <w:rPr>
          <w:rFonts w:ascii="Times New Roman" w:hAnsi="Times New Roman" w:cs="Times New Roman"/>
          <w:sz w:val="24"/>
          <w:szCs w:val="24"/>
        </w:rPr>
        <w:t xml:space="preserve"> echter</w:t>
      </w:r>
      <w:r w:rsidR="00EF4A95" w:rsidRPr="00D147A7">
        <w:rPr>
          <w:rFonts w:ascii="Times New Roman" w:hAnsi="Times New Roman" w:cs="Times New Roman"/>
          <w:sz w:val="24"/>
          <w:szCs w:val="24"/>
        </w:rPr>
        <w:t xml:space="preserve"> reeds na tien jaar vernietigd.</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Nederland heet dit proces ‘Landelijke Registratie’ en in Frankrijk ‘</w:t>
      </w:r>
      <w:r w:rsidRPr="00D147A7">
        <w:rPr>
          <w:rFonts w:ascii="Times New Roman" w:hAnsi="Times New Roman" w:cs="Times New Roman"/>
          <w:i/>
          <w:sz w:val="24"/>
          <w:szCs w:val="24"/>
        </w:rPr>
        <w:t>Enregistrement médi</w:t>
      </w:r>
      <w:r w:rsidR="00A0619E">
        <w:rPr>
          <w:rFonts w:ascii="Times New Roman" w:hAnsi="Times New Roman" w:cs="Times New Roman"/>
          <w:i/>
          <w:sz w:val="24"/>
          <w:szCs w:val="24"/>
        </w:rPr>
        <w:t>-</w:t>
      </w:r>
      <w:r w:rsidRPr="00D147A7">
        <w:rPr>
          <w:rFonts w:ascii="Times New Roman" w:hAnsi="Times New Roman" w:cs="Times New Roman"/>
          <w:i/>
          <w:sz w:val="24"/>
          <w:szCs w:val="24"/>
        </w:rPr>
        <w:t>cal</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3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Voor medische archieven werden wel tal van classificatiehulpmiddelen ontwikkeld</w:t>
      </w:r>
      <w:r w:rsidRPr="00D147A7">
        <w:rPr>
          <w:rStyle w:val="Voetnootmarkering"/>
          <w:rFonts w:ascii="Times New Roman" w:hAnsi="Times New Roman" w:cs="Times New Roman"/>
          <w:sz w:val="24"/>
          <w:szCs w:val="24"/>
        </w:rPr>
        <w:footnoteReference w:id="332"/>
      </w:r>
      <w:r w:rsidR="00EF4A95" w:rsidRPr="00D147A7">
        <w:rPr>
          <w:rFonts w:ascii="Times New Roman" w:hAnsi="Times New Roman" w:cs="Times New Roman"/>
          <w:sz w:val="24"/>
          <w:szCs w:val="24"/>
        </w:rPr>
        <w:t>, met</w:t>
      </w:r>
      <w:r w:rsidRPr="00D147A7">
        <w:rPr>
          <w:rFonts w:ascii="Times New Roman" w:hAnsi="Times New Roman" w:cs="Times New Roman"/>
          <w:sz w:val="24"/>
          <w:szCs w:val="24"/>
        </w:rPr>
        <w:t xml:space="preserve"> de (algemene) </w:t>
      </w:r>
      <w:r w:rsidRPr="00D147A7">
        <w:rPr>
          <w:rFonts w:ascii="Times New Roman" w:hAnsi="Times New Roman" w:cs="Times New Roman"/>
          <w:i/>
          <w:sz w:val="24"/>
          <w:szCs w:val="24"/>
        </w:rPr>
        <w:t xml:space="preserve">International Classification of Diseases, 9th Revision, Clinical Modification </w:t>
      </w:r>
      <w:r w:rsidRPr="00D147A7">
        <w:rPr>
          <w:rFonts w:ascii="Times New Roman" w:hAnsi="Times New Roman" w:cs="Times New Roman"/>
          <w:sz w:val="24"/>
          <w:szCs w:val="24"/>
        </w:rPr>
        <w:t>(ICD</w:t>
      </w:r>
      <w:r w:rsidR="00A0619E">
        <w:rPr>
          <w:rFonts w:ascii="Times New Roman" w:hAnsi="Times New Roman" w:cs="Times New Roman"/>
          <w:sz w:val="24"/>
          <w:szCs w:val="24"/>
        </w:rPr>
        <w:t xml:space="preserve"> </w:t>
      </w:r>
      <w:r w:rsidRPr="00D147A7">
        <w:rPr>
          <w:rFonts w:ascii="Times New Roman" w:hAnsi="Times New Roman" w:cs="Times New Roman"/>
          <w:sz w:val="24"/>
          <w:szCs w:val="24"/>
        </w:rPr>
        <w:t xml:space="preserve">-9-CM) die op de negende herziening van de </w:t>
      </w:r>
      <w:r w:rsidRPr="00D147A7">
        <w:rPr>
          <w:rFonts w:ascii="Times New Roman" w:hAnsi="Times New Roman" w:cs="Times New Roman"/>
          <w:i/>
          <w:sz w:val="24"/>
          <w:szCs w:val="24"/>
        </w:rPr>
        <w:t>Manual of the International Classification of Di</w:t>
      </w:r>
      <w:r w:rsidR="00A0619E">
        <w:rPr>
          <w:rFonts w:ascii="Times New Roman" w:hAnsi="Times New Roman" w:cs="Times New Roman"/>
          <w:i/>
          <w:sz w:val="24"/>
          <w:szCs w:val="24"/>
        </w:rPr>
        <w:t>-</w:t>
      </w:r>
      <w:r w:rsidRPr="00D147A7">
        <w:rPr>
          <w:rFonts w:ascii="Times New Roman" w:hAnsi="Times New Roman" w:cs="Times New Roman"/>
          <w:i/>
          <w:sz w:val="24"/>
          <w:szCs w:val="24"/>
        </w:rPr>
        <w:t xml:space="preserve">seases </w:t>
      </w:r>
      <w:r w:rsidRPr="00D147A7">
        <w:rPr>
          <w:rFonts w:ascii="Times New Roman" w:hAnsi="Times New Roman" w:cs="Times New Roman"/>
          <w:sz w:val="24"/>
          <w:szCs w:val="24"/>
        </w:rPr>
        <w:t>van de Wereldgezondheidsorganisatie gebaseerd is</w:t>
      </w:r>
      <w:r w:rsidR="00EF4A95" w:rsidRPr="00D147A7">
        <w:rPr>
          <w:rFonts w:ascii="Times New Roman" w:hAnsi="Times New Roman" w:cs="Times New Roman"/>
          <w:sz w:val="24"/>
          <w:szCs w:val="24"/>
        </w:rPr>
        <w:t xml:space="preserve"> in het bijzonder</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33"/>
      </w:r>
      <w:r w:rsidRPr="00D147A7">
        <w:rPr>
          <w:rFonts w:ascii="Times New Roman" w:hAnsi="Times New Roman" w:cs="Times New Roman"/>
          <w:sz w:val="24"/>
          <w:szCs w:val="24"/>
        </w:rPr>
        <w:t xml:space="preserve"> ICD-9-CM is een gesloten (of beperkte) classificatietabel, en voorziet zowel voor diagnoses als voor proce</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dures een systematische lijst en een alfabetische index. Onbelangrijke en zeldzame diagnoses en procedures worden niet in het classificatiesysteem opgenomen maar </w:t>
      </w:r>
      <w:r w:rsidR="00EF4A95" w:rsidRPr="00D147A7">
        <w:rPr>
          <w:rFonts w:ascii="Times New Roman" w:hAnsi="Times New Roman" w:cs="Times New Roman"/>
          <w:sz w:val="24"/>
          <w:szCs w:val="24"/>
        </w:rPr>
        <w:t>krijgen het label</w:t>
      </w:r>
      <w:r w:rsidRPr="00D147A7">
        <w:rPr>
          <w:rFonts w:ascii="Times New Roman" w:hAnsi="Times New Roman" w:cs="Times New Roman"/>
          <w:sz w:val="24"/>
          <w:szCs w:val="24"/>
        </w:rPr>
        <w:t xml:space="preserve"> ‘other’ of ‘not elsewhere classified’ (NEC). Iedere diagnose heeft een code van drie cijfers. Als deze onvoldoende of aspecifiek zijn, kan deze code met één of twee cijfers na het deci</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maalpunt worden uitgebreid. De vertakkingsstructuur [hoofdstuk </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 xml:space="preserve"> sectie </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 xml:space="preserve"> categorie (of ba</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siscode van drie cijfers) </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 xml:space="preserve"> subcategorie (één cijfer extra na het decimaalpunt) </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 xml:space="preserve"> vijfcijfer on</w:t>
      </w:r>
      <w:r w:rsidR="00A0619E">
        <w:rPr>
          <w:rFonts w:ascii="Times New Roman" w:hAnsi="Times New Roman" w:cs="Times New Roman"/>
          <w:sz w:val="24"/>
          <w:szCs w:val="24"/>
        </w:rPr>
        <w:t>-</w:t>
      </w:r>
      <w:r w:rsidRPr="00D147A7">
        <w:rPr>
          <w:rFonts w:ascii="Times New Roman" w:hAnsi="Times New Roman" w:cs="Times New Roman"/>
          <w:sz w:val="24"/>
          <w:szCs w:val="24"/>
        </w:rPr>
        <w:t>derverdeling (of twee extra cijfers na het decimaalpunt)] lijkt sterk op de Universele Decimale Classificatie (UDC)</w:t>
      </w:r>
      <w:r w:rsidRPr="00D147A7">
        <w:rPr>
          <w:rStyle w:val="Voetnootmarkering"/>
          <w:rFonts w:ascii="Times New Roman" w:hAnsi="Times New Roman" w:cs="Times New Roman"/>
          <w:sz w:val="24"/>
          <w:szCs w:val="24"/>
        </w:rPr>
        <w:footnoteReference w:id="334"/>
      </w:r>
      <w:r w:rsidRPr="00D147A7">
        <w:rPr>
          <w:rFonts w:ascii="Times New Roman" w:hAnsi="Times New Roman" w:cs="Times New Roman"/>
          <w:sz w:val="24"/>
          <w:szCs w:val="24"/>
        </w:rPr>
        <w:t xml:space="preserve"> en de hiervan afgeleide Nationale Decimale Classificatie (NDC)</w:t>
      </w:r>
      <w:r w:rsidRPr="00D147A7">
        <w:rPr>
          <w:rStyle w:val="Voetnootmarkering"/>
          <w:rFonts w:ascii="Times New Roman" w:hAnsi="Times New Roman" w:cs="Times New Roman"/>
          <w:sz w:val="24"/>
          <w:szCs w:val="24"/>
        </w:rPr>
        <w:footnoteReference w:id="335"/>
      </w:r>
      <w:r w:rsidRPr="00D147A7">
        <w:rPr>
          <w:rFonts w:ascii="Times New Roman" w:hAnsi="Times New Roman" w:cs="Times New Roman"/>
          <w:sz w:val="24"/>
          <w:szCs w:val="24"/>
        </w:rPr>
        <w:t xml:space="preserve"> uit de bibliotheekwereld, met dat </w:t>
      </w:r>
      <w:r w:rsidR="00EF4A95" w:rsidRPr="00D147A7">
        <w:rPr>
          <w:rFonts w:ascii="Times New Roman" w:hAnsi="Times New Roman" w:cs="Times New Roman"/>
          <w:sz w:val="24"/>
          <w:szCs w:val="24"/>
        </w:rPr>
        <w:t>nuance</w:t>
      </w:r>
      <w:r w:rsidRPr="00D147A7">
        <w:rPr>
          <w:rFonts w:ascii="Times New Roman" w:hAnsi="Times New Roman" w:cs="Times New Roman"/>
          <w:sz w:val="24"/>
          <w:szCs w:val="24"/>
        </w:rPr>
        <w:t xml:space="preserve">verschil dat de codes van de ICD-9-CM regelmatig – op impuls van de overheid – </w:t>
      </w:r>
      <w:r w:rsidR="00EF4A95" w:rsidRPr="00D147A7">
        <w:rPr>
          <w:rFonts w:ascii="Times New Roman" w:hAnsi="Times New Roman" w:cs="Times New Roman"/>
          <w:sz w:val="24"/>
          <w:szCs w:val="24"/>
        </w:rPr>
        <w:t xml:space="preserve">gewijzigd </w:t>
      </w:r>
      <w:r w:rsidRPr="00D147A7">
        <w:rPr>
          <w:rFonts w:ascii="Times New Roman" w:hAnsi="Times New Roman" w:cs="Times New Roman"/>
          <w:sz w:val="24"/>
          <w:szCs w:val="24"/>
        </w:rPr>
        <w:t>worden. Het systematische classificatie</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systeem van aan</w:t>
      </w:r>
      <w:r w:rsidR="00A0619E">
        <w:rPr>
          <w:rFonts w:ascii="Times New Roman" w:hAnsi="Times New Roman" w:cs="Times New Roman"/>
          <w:sz w:val="24"/>
          <w:szCs w:val="24"/>
        </w:rPr>
        <w:t>-</w:t>
      </w:r>
      <w:r w:rsidRPr="00D147A7">
        <w:rPr>
          <w:rFonts w:ascii="Times New Roman" w:hAnsi="Times New Roman" w:cs="Times New Roman"/>
          <w:sz w:val="24"/>
          <w:szCs w:val="24"/>
        </w:rPr>
        <w:t>doeningen en verwondingen bestaat uit 17 hoofdstukken en word</w:t>
      </w:r>
      <w:r w:rsidR="00EF4A95" w:rsidRPr="00D147A7">
        <w:rPr>
          <w:rFonts w:ascii="Times New Roman" w:hAnsi="Times New Roman" w:cs="Times New Roman"/>
          <w:sz w:val="24"/>
          <w:szCs w:val="24"/>
        </w:rPr>
        <w:t>t</w:t>
      </w:r>
      <w:r w:rsidRPr="00D147A7">
        <w:rPr>
          <w:rFonts w:ascii="Times New Roman" w:hAnsi="Times New Roman" w:cs="Times New Roman"/>
          <w:sz w:val="24"/>
          <w:szCs w:val="24"/>
        </w:rPr>
        <w:t xml:space="preserve"> geclassifi</w:t>
      </w:r>
      <w:r w:rsidR="00EF4A95" w:rsidRPr="00D147A7">
        <w:rPr>
          <w:rFonts w:ascii="Times New Roman" w:hAnsi="Times New Roman" w:cs="Times New Roman"/>
          <w:sz w:val="24"/>
          <w:szCs w:val="24"/>
        </w:rPr>
        <w:t>-</w:t>
      </w:r>
      <w:r w:rsidRPr="00D147A7">
        <w:rPr>
          <w:rFonts w:ascii="Times New Roman" w:hAnsi="Times New Roman" w:cs="Times New Roman"/>
          <w:sz w:val="24"/>
          <w:szCs w:val="24"/>
        </w:rPr>
        <w:t>ceerd in functie van het aangetaste orgaanstelsel, de etiologie (i.e. het onderdeel van de pathologie dat zich met de oorzaken van aandoeningen bezighoudt), de anatomie, de evolutie van de aandoening, etc. Daarnaast is er een alfabetische index van aandoeningen en verwondingen, waarin alle hoofd- en subtermen (of modificatoren) opgenomen zijn. De hoofdtermen identificeren de omstandigheden van de aandoeningen of verwondingen, terwijl de subtermen informatie be</w:t>
      </w:r>
      <w:r w:rsidR="00A0619E">
        <w:rPr>
          <w:rFonts w:ascii="Times New Roman" w:hAnsi="Times New Roman" w:cs="Times New Roman"/>
          <w:sz w:val="24"/>
          <w:szCs w:val="24"/>
        </w:rPr>
        <w:t>-</w:t>
      </w:r>
      <w:r w:rsidRPr="00D147A7">
        <w:rPr>
          <w:rFonts w:ascii="Times New Roman" w:hAnsi="Times New Roman" w:cs="Times New Roman"/>
          <w:sz w:val="24"/>
          <w:szCs w:val="24"/>
        </w:rPr>
        <w:t>vatten over de lokalisatie, het type of de etiologie. Aan één hoofdterm kan één of meerdere subtermen worden toegekend. De relatie tussen hoofd- en subterm(en) wordt door verbin</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dingswoorden (zoals </w:t>
      </w:r>
      <w:r w:rsidRPr="00D147A7">
        <w:rPr>
          <w:rFonts w:ascii="Times New Roman" w:hAnsi="Times New Roman" w:cs="Times New Roman"/>
          <w:i/>
          <w:sz w:val="24"/>
          <w:szCs w:val="24"/>
        </w:rPr>
        <w:t>with</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in</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due to</w:t>
      </w:r>
      <w:r w:rsidRPr="00D147A7">
        <w:rPr>
          <w:rFonts w:ascii="Times New Roman" w:hAnsi="Times New Roman" w:cs="Times New Roman"/>
          <w:sz w:val="24"/>
          <w:szCs w:val="24"/>
        </w:rPr>
        <w:t xml:space="preserve"> en </w:t>
      </w:r>
      <w:r w:rsidRPr="00D147A7">
        <w:rPr>
          <w:rFonts w:ascii="Times New Roman" w:hAnsi="Times New Roman" w:cs="Times New Roman"/>
          <w:i/>
          <w:sz w:val="24"/>
          <w:szCs w:val="24"/>
        </w:rPr>
        <w:t>associated with</w:t>
      </w:r>
      <w:r w:rsidRPr="00D147A7">
        <w:rPr>
          <w:rFonts w:ascii="Times New Roman" w:hAnsi="Times New Roman" w:cs="Times New Roman"/>
          <w:sz w:val="24"/>
          <w:szCs w:val="24"/>
        </w:rPr>
        <w:t xml:space="preserve">) </w:t>
      </w:r>
      <w:r w:rsidR="00EF4A95" w:rsidRPr="00D147A7">
        <w:rPr>
          <w:rFonts w:ascii="Times New Roman" w:hAnsi="Times New Roman" w:cs="Times New Roman"/>
          <w:sz w:val="24"/>
          <w:szCs w:val="24"/>
        </w:rPr>
        <w:t>geformuleerd</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 xml:space="preserve">With </w:t>
      </w:r>
      <w:r w:rsidRPr="00D147A7">
        <w:rPr>
          <w:rFonts w:ascii="Times New Roman" w:hAnsi="Times New Roman" w:cs="Times New Roman"/>
          <w:sz w:val="24"/>
          <w:szCs w:val="24"/>
        </w:rPr>
        <w:t xml:space="preserve">en </w:t>
      </w:r>
      <w:r w:rsidRPr="00D147A7">
        <w:rPr>
          <w:rFonts w:ascii="Times New Roman" w:hAnsi="Times New Roman" w:cs="Times New Roman"/>
          <w:i/>
          <w:sz w:val="24"/>
          <w:szCs w:val="24"/>
        </w:rPr>
        <w:t xml:space="preserve">without </w:t>
      </w:r>
      <w:r w:rsidRPr="00D147A7">
        <w:rPr>
          <w:rFonts w:ascii="Times New Roman" w:hAnsi="Times New Roman" w:cs="Times New Roman"/>
          <w:sz w:val="24"/>
          <w:szCs w:val="24"/>
        </w:rPr>
        <w:t>wor</w:t>
      </w:r>
      <w:r w:rsidR="00A0619E">
        <w:rPr>
          <w:rFonts w:ascii="Times New Roman" w:hAnsi="Times New Roman" w:cs="Times New Roman"/>
          <w:sz w:val="24"/>
          <w:szCs w:val="24"/>
        </w:rPr>
        <w:t>-</w:t>
      </w:r>
      <w:r w:rsidRPr="00D147A7">
        <w:rPr>
          <w:rFonts w:ascii="Times New Roman" w:hAnsi="Times New Roman" w:cs="Times New Roman"/>
          <w:sz w:val="24"/>
          <w:szCs w:val="24"/>
        </w:rPr>
        <w:lastRenderedPageBreak/>
        <w:t>den onmiddellijk onder de hoofdterm geplaatst, terwijl alle andere verbindingswoorden alfa</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betisch </w:t>
      </w:r>
      <w:r w:rsidR="00EF4A95"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weergegeven.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Daarnaast is er ook een systematische lijst en een alfabetische index van procedures, waarvan de indeling </w:t>
      </w:r>
      <w:r w:rsidR="003A3F31" w:rsidRPr="00D147A7">
        <w:rPr>
          <w:rFonts w:ascii="Times New Roman" w:hAnsi="Times New Roman" w:cs="Times New Roman"/>
          <w:sz w:val="24"/>
          <w:szCs w:val="24"/>
        </w:rPr>
        <w:t>analoog</w:t>
      </w:r>
      <w:r w:rsidRPr="00D147A7">
        <w:rPr>
          <w:rFonts w:ascii="Times New Roman" w:hAnsi="Times New Roman" w:cs="Times New Roman"/>
          <w:sz w:val="24"/>
          <w:szCs w:val="24"/>
        </w:rPr>
        <w:t xml:space="preserve"> is aan die voor de diagnosen. Aan procedures worden een code van </w:t>
      </w:r>
      <w:r w:rsidR="003A3F31" w:rsidRPr="00D147A7">
        <w:rPr>
          <w:rFonts w:ascii="Times New Roman" w:hAnsi="Times New Roman" w:cs="Times New Roman"/>
          <w:sz w:val="24"/>
          <w:szCs w:val="24"/>
        </w:rPr>
        <w:t xml:space="preserve">slechts </w:t>
      </w:r>
      <w:r w:rsidRPr="00D147A7">
        <w:rPr>
          <w:rFonts w:ascii="Times New Roman" w:hAnsi="Times New Roman" w:cs="Times New Roman"/>
          <w:sz w:val="24"/>
          <w:szCs w:val="24"/>
        </w:rPr>
        <w:t>twee (i.p.v. drie) cijfers toegekend. De bijkomende cijfers (na het decimaalpunt) speci</w:t>
      </w:r>
      <w:r w:rsidR="00A0619E">
        <w:rPr>
          <w:rFonts w:ascii="Times New Roman" w:hAnsi="Times New Roman" w:cs="Times New Roman"/>
          <w:sz w:val="24"/>
          <w:szCs w:val="24"/>
        </w:rPr>
        <w:t>-</w:t>
      </w:r>
      <w:r w:rsidRPr="00D147A7">
        <w:rPr>
          <w:rFonts w:ascii="Times New Roman" w:hAnsi="Times New Roman" w:cs="Times New Roman"/>
          <w:sz w:val="24"/>
          <w:szCs w:val="24"/>
        </w:rPr>
        <w:t>fiëren de procedure: lokalisatie, techniek, enz. De systematische lijst van procedures is in 16 hoofdstukken onderverdeeld</w:t>
      </w:r>
      <w:r w:rsidR="003A3F31" w:rsidRPr="00D147A7">
        <w:rPr>
          <w:rFonts w:ascii="Times New Roman" w:hAnsi="Times New Roman" w:cs="Times New Roman"/>
          <w:sz w:val="24"/>
          <w:szCs w:val="24"/>
        </w:rPr>
        <w:t>,</w:t>
      </w:r>
      <w:r w:rsidRPr="00D147A7">
        <w:rPr>
          <w:rFonts w:ascii="Times New Roman" w:hAnsi="Times New Roman" w:cs="Times New Roman"/>
          <w:sz w:val="24"/>
          <w:szCs w:val="24"/>
        </w:rPr>
        <w:t xml:space="preserve"> (in hoofdzaak) op basis van het orgaanstelsel. </w:t>
      </w:r>
      <w:r w:rsidR="003A3F31" w:rsidRPr="00D147A7">
        <w:rPr>
          <w:rFonts w:ascii="Times New Roman" w:hAnsi="Times New Roman" w:cs="Times New Roman"/>
          <w:sz w:val="24"/>
          <w:szCs w:val="24"/>
        </w:rPr>
        <w:t>Ook d</w:t>
      </w:r>
      <w:r w:rsidRPr="00D147A7">
        <w:rPr>
          <w:rFonts w:ascii="Times New Roman" w:hAnsi="Times New Roman" w:cs="Times New Roman"/>
          <w:sz w:val="24"/>
          <w:szCs w:val="24"/>
        </w:rPr>
        <w:t xml:space="preserve">e </w:t>
      </w:r>
      <w:r w:rsidR="003A3F31" w:rsidRPr="00D147A7">
        <w:rPr>
          <w:rFonts w:ascii="Times New Roman" w:hAnsi="Times New Roman" w:cs="Times New Roman"/>
          <w:sz w:val="24"/>
          <w:szCs w:val="24"/>
        </w:rPr>
        <w:t xml:space="preserve">opbouw van de </w:t>
      </w:r>
      <w:r w:rsidRPr="00D147A7">
        <w:rPr>
          <w:rFonts w:ascii="Times New Roman" w:hAnsi="Times New Roman" w:cs="Times New Roman"/>
          <w:sz w:val="24"/>
          <w:szCs w:val="24"/>
        </w:rPr>
        <w:t xml:space="preserve">alfabetische lijst van procedures </w:t>
      </w:r>
      <w:r w:rsidR="003A3F31" w:rsidRPr="00D147A7">
        <w:rPr>
          <w:rFonts w:ascii="Times New Roman" w:hAnsi="Times New Roman" w:cs="Times New Roman"/>
          <w:sz w:val="24"/>
          <w:szCs w:val="24"/>
        </w:rPr>
        <w:t>gelijkt</w:t>
      </w:r>
      <w:r w:rsidRPr="00D147A7">
        <w:rPr>
          <w:rFonts w:ascii="Times New Roman" w:hAnsi="Times New Roman" w:cs="Times New Roman"/>
          <w:sz w:val="24"/>
          <w:szCs w:val="24"/>
        </w:rPr>
        <w:t xml:space="preserve"> </w:t>
      </w:r>
      <w:r w:rsidR="003A3F31" w:rsidRPr="00D147A7">
        <w:rPr>
          <w:rFonts w:ascii="Times New Roman" w:hAnsi="Times New Roman" w:cs="Times New Roman"/>
          <w:sz w:val="24"/>
          <w:szCs w:val="24"/>
        </w:rPr>
        <w:t>sterk op</w:t>
      </w:r>
      <w:r w:rsidRPr="00D147A7">
        <w:rPr>
          <w:rFonts w:ascii="Times New Roman" w:hAnsi="Times New Roman" w:cs="Times New Roman"/>
          <w:sz w:val="24"/>
          <w:szCs w:val="24"/>
        </w:rPr>
        <w:t xml:space="preserve"> die van de aandoeningen en letsels.</w:t>
      </w:r>
      <w:r w:rsidRPr="00D147A7">
        <w:rPr>
          <w:rStyle w:val="Voetnootmarkering"/>
          <w:rFonts w:ascii="Times New Roman" w:hAnsi="Times New Roman" w:cs="Times New Roman"/>
          <w:sz w:val="24"/>
          <w:szCs w:val="24"/>
        </w:rPr>
        <w:footnoteReference w:id="336"/>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In Frankrijk werd reeds in 1854 een ordeningsstelsel voor (openbare) ziekenhuisarchieven voorzien. In een rondzendbrief worden acht (thematische) series vastgelegd (A tot H), </w:t>
      </w:r>
      <w:r w:rsidR="003A3F31" w:rsidRPr="00D147A7">
        <w:rPr>
          <w:rFonts w:ascii="Times New Roman" w:hAnsi="Times New Roman" w:cs="Times New Roman"/>
          <w:sz w:val="24"/>
          <w:szCs w:val="24"/>
        </w:rPr>
        <w:t>volgens dewelke</w:t>
      </w:r>
      <w:r w:rsidRPr="00D147A7">
        <w:rPr>
          <w:rFonts w:ascii="Times New Roman" w:hAnsi="Times New Roman" w:cs="Times New Roman"/>
          <w:sz w:val="24"/>
          <w:szCs w:val="24"/>
        </w:rPr>
        <w:t xml:space="preserve"> archiefbescheiden in departementale en communale archieven die vóór 1790 tot stand kwamen alfabetisch </w:t>
      </w:r>
      <w:r w:rsidR="003A3F31" w:rsidRPr="00D147A7">
        <w:rPr>
          <w:rFonts w:ascii="Times New Roman" w:hAnsi="Times New Roman" w:cs="Times New Roman"/>
          <w:sz w:val="24"/>
          <w:szCs w:val="24"/>
        </w:rPr>
        <w:t xml:space="preserve">moeten worden </w:t>
      </w:r>
      <w:r w:rsidRPr="00D147A7">
        <w:rPr>
          <w:rFonts w:ascii="Times New Roman" w:hAnsi="Times New Roman" w:cs="Times New Roman"/>
          <w:sz w:val="24"/>
          <w:szCs w:val="24"/>
        </w:rPr>
        <w:t>geordend.</w:t>
      </w:r>
      <w:r w:rsidRPr="00D147A7">
        <w:rPr>
          <w:rStyle w:val="Voetnootmarkering"/>
          <w:rFonts w:ascii="Times New Roman" w:hAnsi="Times New Roman" w:cs="Times New Roman"/>
          <w:sz w:val="24"/>
          <w:szCs w:val="24"/>
        </w:rPr>
        <w:footnoteReference w:id="337"/>
      </w:r>
      <w:r w:rsidRPr="00D147A7">
        <w:rPr>
          <w:rFonts w:ascii="Times New Roman" w:hAnsi="Times New Roman" w:cs="Times New Roman"/>
          <w:sz w:val="24"/>
          <w:szCs w:val="24"/>
        </w:rPr>
        <w:t xml:space="preserve"> Dit stelsel werd in 1944 met 12 nieuwe series uitgebreid (J tot U) voor </w:t>
      </w:r>
      <w:r w:rsidR="003A3F31" w:rsidRPr="00D147A7">
        <w:rPr>
          <w:rFonts w:ascii="Times New Roman" w:hAnsi="Times New Roman" w:cs="Times New Roman"/>
          <w:sz w:val="24"/>
          <w:szCs w:val="24"/>
        </w:rPr>
        <w:t xml:space="preserve">na 1790 gecreëerde </w:t>
      </w:r>
      <w:r w:rsidRPr="00D147A7">
        <w:rPr>
          <w:rFonts w:ascii="Times New Roman" w:hAnsi="Times New Roman" w:cs="Times New Roman"/>
          <w:sz w:val="24"/>
          <w:szCs w:val="24"/>
        </w:rPr>
        <w:t>bescheiden.</w:t>
      </w:r>
      <w:r w:rsidRPr="00D147A7">
        <w:rPr>
          <w:rStyle w:val="Voetnootmarkering"/>
          <w:rFonts w:ascii="Times New Roman" w:hAnsi="Times New Roman" w:cs="Times New Roman"/>
          <w:sz w:val="24"/>
          <w:szCs w:val="24"/>
        </w:rPr>
        <w:footnoteReference w:id="338"/>
      </w:r>
      <w:r w:rsidRPr="00D147A7">
        <w:rPr>
          <w:rFonts w:ascii="Times New Roman" w:hAnsi="Times New Roman" w:cs="Times New Roman"/>
          <w:sz w:val="24"/>
          <w:szCs w:val="24"/>
        </w:rPr>
        <w:t xml:space="preserve"> Deze twee afzon</w:t>
      </w:r>
      <w:r w:rsidR="003A3F31" w:rsidRPr="00D147A7">
        <w:rPr>
          <w:rFonts w:ascii="Times New Roman" w:hAnsi="Times New Roman" w:cs="Times New Roman"/>
          <w:sz w:val="24"/>
          <w:szCs w:val="24"/>
        </w:rPr>
        <w:t>-</w:t>
      </w:r>
      <w:r w:rsidRPr="00D147A7">
        <w:rPr>
          <w:rFonts w:ascii="Times New Roman" w:hAnsi="Times New Roman" w:cs="Times New Roman"/>
          <w:sz w:val="24"/>
          <w:szCs w:val="24"/>
        </w:rPr>
        <w:t xml:space="preserve">derlijke ordeningsstelsels werden in 1968 tot één geactualiseerd geheel versmolten. De acht series uit 1854 werden </w:t>
      </w:r>
      <w:r w:rsidR="003A3F31" w:rsidRPr="00D147A7">
        <w:rPr>
          <w:rFonts w:ascii="Times New Roman" w:hAnsi="Times New Roman" w:cs="Times New Roman"/>
          <w:sz w:val="24"/>
          <w:szCs w:val="24"/>
        </w:rPr>
        <w:t xml:space="preserve">integraal </w:t>
      </w:r>
      <w:r w:rsidRPr="00D147A7">
        <w:rPr>
          <w:rFonts w:ascii="Times New Roman" w:hAnsi="Times New Roman" w:cs="Times New Roman"/>
          <w:sz w:val="24"/>
          <w:szCs w:val="24"/>
        </w:rPr>
        <w:t>overgenomen, terwijl het ordeningssch</w:t>
      </w:r>
      <w:r w:rsidR="003A3F31" w:rsidRPr="00D147A7">
        <w:rPr>
          <w:rFonts w:ascii="Times New Roman" w:hAnsi="Times New Roman" w:cs="Times New Roman"/>
          <w:sz w:val="24"/>
          <w:szCs w:val="24"/>
        </w:rPr>
        <w:t>ema voor bescheiden die na 1790</w:t>
      </w:r>
      <w:r w:rsidRPr="00D147A7">
        <w:rPr>
          <w:rFonts w:ascii="Times New Roman" w:hAnsi="Times New Roman" w:cs="Times New Roman"/>
          <w:sz w:val="24"/>
          <w:szCs w:val="24"/>
        </w:rPr>
        <w:t xml:space="preserve"> </w:t>
      </w:r>
      <w:r w:rsidR="003A3F31" w:rsidRPr="00D147A7">
        <w:rPr>
          <w:rFonts w:ascii="Times New Roman" w:hAnsi="Times New Roman" w:cs="Times New Roman"/>
          <w:sz w:val="24"/>
          <w:szCs w:val="24"/>
        </w:rPr>
        <w:t xml:space="preserve">dateren </w:t>
      </w:r>
      <w:r w:rsidRPr="00D147A7">
        <w:rPr>
          <w:rFonts w:ascii="Times New Roman" w:hAnsi="Times New Roman" w:cs="Times New Roman"/>
          <w:sz w:val="24"/>
          <w:szCs w:val="24"/>
        </w:rPr>
        <w:t xml:space="preserve">lichtjes </w:t>
      </w:r>
      <w:r w:rsidR="003A3F31" w:rsidRPr="00D147A7">
        <w:rPr>
          <w:rFonts w:ascii="Times New Roman" w:hAnsi="Times New Roman" w:cs="Times New Roman"/>
          <w:sz w:val="24"/>
          <w:szCs w:val="24"/>
        </w:rPr>
        <w:t>gewijzigd werd</w:t>
      </w:r>
      <w:r w:rsidRPr="00D147A7">
        <w:rPr>
          <w:rFonts w:ascii="Times New Roman" w:hAnsi="Times New Roman" w:cs="Times New Roman"/>
          <w:sz w:val="24"/>
          <w:szCs w:val="24"/>
        </w:rPr>
        <w:t>. Voortaan bestaan ‘moderne’ ziekenhuisarchieven officieel uit 219 documenttypes, die in dertien series (J tot Z) gerangschikt worden. Boven</w:t>
      </w:r>
      <w:r w:rsidR="00A0619E">
        <w:rPr>
          <w:rFonts w:ascii="Times New Roman" w:hAnsi="Times New Roman" w:cs="Times New Roman"/>
          <w:sz w:val="24"/>
          <w:szCs w:val="24"/>
        </w:rPr>
        <w:t>-</w:t>
      </w:r>
      <w:r w:rsidRPr="00D147A7">
        <w:rPr>
          <w:rFonts w:ascii="Times New Roman" w:hAnsi="Times New Roman" w:cs="Times New Roman"/>
          <w:sz w:val="24"/>
          <w:szCs w:val="24"/>
        </w:rPr>
        <w:t>dien werd</w:t>
      </w:r>
      <w:r w:rsidR="003A3F31" w:rsidRPr="00D147A7">
        <w:rPr>
          <w:rFonts w:ascii="Times New Roman" w:hAnsi="Times New Roman" w:cs="Times New Roman"/>
          <w:sz w:val="24"/>
          <w:szCs w:val="24"/>
        </w:rPr>
        <w:t xml:space="preserve"> het ordeningsschema</w:t>
      </w:r>
      <w:r w:rsidRPr="00D147A7">
        <w:rPr>
          <w:rFonts w:ascii="Times New Roman" w:hAnsi="Times New Roman" w:cs="Times New Roman"/>
          <w:sz w:val="24"/>
          <w:szCs w:val="24"/>
        </w:rPr>
        <w:t xml:space="preserve"> in 1968 </w:t>
      </w:r>
      <w:r w:rsidR="003A3F31" w:rsidRPr="00D147A7">
        <w:rPr>
          <w:rFonts w:ascii="Times New Roman" w:hAnsi="Times New Roman" w:cs="Times New Roman"/>
          <w:sz w:val="24"/>
          <w:szCs w:val="24"/>
        </w:rPr>
        <w:t xml:space="preserve">met </w:t>
      </w:r>
      <w:r w:rsidRPr="00D147A7">
        <w:rPr>
          <w:rFonts w:ascii="Times New Roman" w:hAnsi="Times New Roman" w:cs="Times New Roman"/>
          <w:sz w:val="24"/>
          <w:szCs w:val="24"/>
        </w:rPr>
        <w:t xml:space="preserve">bewaartermijnen </w:t>
      </w:r>
      <w:r w:rsidR="003A3F31" w:rsidRPr="00D147A7">
        <w:rPr>
          <w:rFonts w:ascii="Times New Roman" w:hAnsi="Times New Roman" w:cs="Times New Roman"/>
          <w:sz w:val="24"/>
          <w:szCs w:val="24"/>
        </w:rPr>
        <w:t>verrijkt</w:t>
      </w:r>
      <w:r w:rsidRPr="00D147A7">
        <w:rPr>
          <w:rFonts w:ascii="Times New Roman" w:hAnsi="Times New Roman" w:cs="Times New Roman"/>
          <w:sz w:val="24"/>
          <w:szCs w:val="24"/>
        </w:rPr>
        <w:t xml:space="preserve">, zodat </w:t>
      </w:r>
      <w:r w:rsidRPr="00D147A7">
        <w:rPr>
          <w:rFonts w:ascii="Times New Roman" w:hAnsi="Times New Roman" w:cs="Times New Roman"/>
          <w:i/>
          <w:sz w:val="24"/>
          <w:szCs w:val="24"/>
        </w:rPr>
        <w:t>de facto</w:t>
      </w:r>
      <w:r w:rsidRPr="00D147A7">
        <w:rPr>
          <w:rFonts w:ascii="Times New Roman" w:hAnsi="Times New Roman" w:cs="Times New Roman"/>
          <w:sz w:val="24"/>
          <w:szCs w:val="24"/>
        </w:rPr>
        <w:t xml:space="preserve"> sprake is van een selectielijst. Voor kleine ziekenhuizen (die minder dan 50 bedden hebben) is er een vereenvoudigde versie uitgewerkt. Hieronder worden de verschillende series (zonder de bijbe</w:t>
      </w:r>
      <w:r w:rsidR="00A0619E">
        <w:rPr>
          <w:rFonts w:ascii="Times New Roman" w:hAnsi="Times New Roman" w:cs="Times New Roman"/>
          <w:sz w:val="24"/>
          <w:szCs w:val="24"/>
        </w:rPr>
        <w:t>-</w:t>
      </w:r>
      <w:r w:rsidRPr="00D147A7">
        <w:rPr>
          <w:rFonts w:ascii="Times New Roman" w:hAnsi="Times New Roman" w:cs="Times New Roman"/>
          <w:sz w:val="24"/>
          <w:szCs w:val="24"/>
        </w:rPr>
        <w:t>horende documenttypes) opgesomd.</w:t>
      </w:r>
      <w:r w:rsidRPr="00D147A7">
        <w:rPr>
          <w:rStyle w:val="Voetnootmarkering"/>
          <w:rFonts w:ascii="Times New Roman" w:hAnsi="Times New Roman" w:cs="Times New Roman"/>
          <w:sz w:val="24"/>
          <w:szCs w:val="24"/>
        </w:rPr>
        <w:footnoteReference w:id="33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i/>
          <w:smallCaps/>
          <w:sz w:val="24"/>
          <w:szCs w:val="24"/>
          <w:lang w:val="fr-BE"/>
        </w:rPr>
      </w:pPr>
      <w:r w:rsidRPr="00D147A7">
        <w:rPr>
          <w:rFonts w:ascii="Times New Roman" w:hAnsi="Times New Roman" w:cs="Times New Roman"/>
          <w:i/>
          <w:smallCaps/>
          <w:sz w:val="24"/>
          <w:szCs w:val="24"/>
          <w:lang w:val="fr-BE"/>
        </w:rPr>
        <w:t>Cadre de classement des archives hospitalières antérieures à 1790</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A: </w:t>
      </w:r>
      <w:r w:rsidRPr="00D147A7">
        <w:rPr>
          <w:rFonts w:ascii="Times New Roman" w:hAnsi="Times New Roman" w:cs="Times New Roman"/>
          <w:i/>
          <w:sz w:val="24"/>
          <w:szCs w:val="24"/>
          <w:lang w:val="fr-BE"/>
        </w:rPr>
        <w:tab/>
        <w:t>Actes de fondation de l’établiss</w:t>
      </w:r>
      <w:r w:rsidR="003A3F31" w:rsidRPr="00D147A7">
        <w:rPr>
          <w:rFonts w:ascii="Times New Roman" w:hAnsi="Times New Roman" w:cs="Times New Roman"/>
          <w:i/>
          <w:sz w:val="24"/>
          <w:szCs w:val="24"/>
          <w:lang w:val="fr-BE"/>
        </w:rPr>
        <w:t>ement - Privilèges, cartulaires</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B: </w:t>
      </w:r>
      <w:r w:rsidRPr="00D147A7">
        <w:rPr>
          <w:rFonts w:ascii="Times New Roman" w:hAnsi="Times New Roman" w:cs="Times New Roman"/>
          <w:i/>
          <w:sz w:val="24"/>
          <w:szCs w:val="24"/>
          <w:lang w:val="fr-BE"/>
        </w:rPr>
        <w:tab/>
        <w:t>Titres de propriété</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Sér</w:t>
      </w:r>
      <w:r w:rsidR="003A3F31" w:rsidRPr="00D147A7">
        <w:rPr>
          <w:rFonts w:ascii="Times New Roman" w:hAnsi="Times New Roman" w:cs="Times New Roman"/>
          <w:i/>
          <w:sz w:val="24"/>
          <w:szCs w:val="24"/>
          <w:lang w:val="fr-BE"/>
        </w:rPr>
        <w:t xml:space="preserve">ie C: </w:t>
      </w:r>
      <w:r w:rsidR="003A3F31" w:rsidRPr="00D147A7">
        <w:rPr>
          <w:rFonts w:ascii="Times New Roman" w:hAnsi="Times New Roman" w:cs="Times New Roman"/>
          <w:i/>
          <w:sz w:val="24"/>
          <w:szCs w:val="24"/>
          <w:lang w:val="fr-BE"/>
        </w:rPr>
        <w:tab/>
        <w:t>Matières ecclésiastiques</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D: </w:t>
      </w:r>
      <w:r w:rsidRPr="00D147A7">
        <w:rPr>
          <w:rFonts w:ascii="Times New Roman" w:hAnsi="Times New Roman" w:cs="Times New Roman"/>
          <w:i/>
          <w:sz w:val="24"/>
          <w:szCs w:val="24"/>
          <w:lang w:val="fr-BE"/>
        </w:rPr>
        <w:tab/>
        <w:t>Inventaires</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E: </w:t>
      </w:r>
      <w:r w:rsidRPr="00D147A7">
        <w:rPr>
          <w:rFonts w:ascii="Times New Roman" w:hAnsi="Times New Roman" w:cs="Times New Roman"/>
          <w:i/>
          <w:sz w:val="24"/>
          <w:szCs w:val="24"/>
          <w:lang w:val="fr-BE"/>
        </w:rPr>
        <w:tab/>
        <w:t>Ad</w:t>
      </w:r>
      <w:r w:rsidR="003A3F31" w:rsidRPr="00D147A7">
        <w:rPr>
          <w:rFonts w:ascii="Times New Roman" w:hAnsi="Times New Roman" w:cs="Times New Roman"/>
          <w:i/>
          <w:sz w:val="24"/>
          <w:szCs w:val="24"/>
          <w:lang w:val="fr-BE"/>
        </w:rPr>
        <w:t>ministration de l’établissement</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Série F:</w:t>
      </w:r>
      <w:r w:rsidRPr="00D147A7">
        <w:rPr>
          <w:rFonts w:ascii="Times New Roman" w:hAnsi="Times New Roman" w:cs="Times New Roman"/>
          <w:i/>
          <w:sz w:val="24"/>
          <w:szCs w:val="24"/>
          <w:lang w:val="fr-BE"/>
        </w:rPr>
        <w:tab/>
        <w:t>Registres d’entrée et de sortie des malad</w:t>
      </w:r>
      <w:r w:rsidR="003A3F31" w:rsidRPr="00D147A7">
        <w:rPr>
          <w:rFonts w:ascii="Times New Roman" w:hAnsi="Times New Roman" w:cs="Times New Roman"/>
          <w:i/>
          <w:sz w:val="24"/>
          <w:szCs w:val="24"/>
          <w:lang w:val="fr-BE"/>
        </w:rPr>
        <w:t>es. Personnel hospitalier</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Série G:</w:t>
      </w:r>
      <w:r w:rsidRPr="00D147A7">
        <w:rPr>
          <w:rFonts w:ascii="Times New Roman" w:hAnsi="Times New Roman" w:cs="Times New Roman"/>
          <w:i/>
          <w:sz w:val="24"/>
          <w:szCs w:val="24"/>
          <w:lang w:val="fr-BE"/>
        </w:rPr>
        <w:tab/>
        <w:t>Institutions</w:t>
      </w:r>
      <w:r w:rsidR="003A3F31" w:rsidRPr="00D147A7">
        <w:rPr>
          <w:rFonts w:ascii="Times New Roman" w:hAnsi="Times New Roman" w:cs="Times New Roman"/>
          <w:i/>
          <w:sz w:val="24"/>
          <w:szCs w:val="24"/>
          <w:lang w:val="fr-BE"/>
        </w:rPr>
        <w:t xml:space="preserve"> succursales de l’établissement</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H: </w:t>
      </w:r>
      <w:r w:rsidRPr="00D147A7">
        <w:rPr>
          <w:rFonts w:ascii="Times New Roman" w:hAnsi="Times New Roman" w:cs="Times New Roman"/>
          <w:i/>
          <w:sz w:val="24"/>
          <w:szCs w:val="24"/>
          <w:lang w:val="fr-BE"/>
        </w:rPr>
        <w:tab/>
        <w:t>Divers</w:t>
      </w:r>
    </w:p>
    <w:p w:rsidR="009931C7" w:rsidRPr="00D147A7" w:rsidRDefault="009931C7" w:rsidP="009931C7">
      <w:pPr>
        <w:pStyle w:val="Geenafstand"/>
        <w:jc w:val="both"/>
        <w:rPr>
          <w:rFonts w:ascii="Times New Roman" w:hAnsi="Times New Roman" w:cs="Times New Roman"/>
          <w:i/>
          <w:smallCaps/>
          <w:sz w:val="24"/>
          <w:szCs w:val="24"/>
          <w:lang w:val="fr-BE"/>
        </w:rPr>
      </w:pPr>
    </w:p>
    <w:p w:rsidR="009931C7" w:rsidRPr="00D147A7" w:rsidRDefault="009931C7" w:rsidP="009931C7">
      <w:pPr>
        <w:pStyle w:val="Geenafstand"/>
        <w:jc w:val="both"/>
        <w:rPr>
          <w:rFonts w:ascii="Times New Roman" w:hAnsi="Times New Roman" w:cs="Times New Roman"/>
          <w:i/>
          <w:smallCaps/>
          <w:sz w:val="24"/>
          <w:szCs w:val="24"/>
          <w:lang w:val="fr-BE"/>
        </w:rPr>
      </w:pPr>
      <w:r w:rsidRPr="00D147A7">
        <w:rPr>
          <w:rFonts w:ascii="Times New Roman" w:hAnsi="Times New Roman" w:cs="Times New Roman"/>
          <w:i/>
          <w:smallCaps/>
          <w:sz w:val="24"/>
          <w:szCs w:val="24"/>
          <w:lang w:val="fr-BE"/>
        </w:rPr>
        <w:t>Cadre de classement des archives hospitalières postérieures à 1790</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J: </w:t>
      </w:r>
      <w:r w:rsidRPr="00D147A7">
        <w:rPr>
          <w:rFonts w:ascii="Times New Roman" w:hAnsi="Times New Roman" w:cs="Times New Roman"/>
          <w:i/>
          <w:sz w:val="24"/>
          <w:szCs w:val="24"/>
          <w:lang w:val="fr-BE"/>
        </w:rPr>
        <w:tab/>
        <w:t>Ré</w:t>
      </w:r>
      <w:r w:rsidR="003A3F31" w:rsidRPr="00D147A7">
        <w:rPr>
          <w:rFonts w:ascii="Times New Roman" w:hAnsi="Times New Roman" w:cs="Times New Roman"/>
          <w:i/>
          <w:sz w:val="24"/>
          <w:szCs w:val="24"/>
          <w:lang w:val="fr-BE"/>
        </w:rPr>
        <w:t>glementation générale et locale</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K: </w:t>
      </w:r>
      <w:r w:rsidRPr="00D147A7">
        <w:rPr>
          <w:rFonts w:ascii="Times New Roman" w:hAnsi="Times New Roman" w:cs="Times New Roman"/>
          <w:i/>
          <w:sz w:val="24"/>
          <w:szCs w:val="24"/>
          <w:lang w:val="fr-BE"/>
        </w:rPr>
        <w:tab/>
        <w:t>Personnel - Commissions administra</w:t>
      </w:r>
      <w:r w:rsidR="003A3F31" w:rsidRPr="00D147A7">
        <w:rPr>
          <w:rFonts w:ascii="Times New Roman" w:hAnsi="Times New Roman" w:cs="Times New Roman"/>
          <w:i/>
          <w:sz w:val="24"/>
          <w:szCs w:val="24"/>
          <w:lang w:val="fr-BE"/>
        </w:rPr>
        <w:t>tives</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Sé</w:t>
      </w:r>
      <w:r w:rsidR="003A3F31" w:rsidRPr="00D147A7">
        <w:rPr>
          <w:rFonts w:ascii="Times New Roman" w:hAnsi="Times New Roman" w:cs="Times New Roman"/>
          <w:i/>
          <w:sz w:val="24"/>
          <w:szCs w:val="24"/>
          <w:lang w:val="fr-BE"/>
        </w:rPr>
        <w:t xml:space="preserve">rie L: </w:t>
      </w:r>
      <w:r w:rsidR="003A3F31" w:rsidRPr="00D147A7">
        <w:rPr>
          <w:rFonts w:ascii="Times New Roman" w:hAnsi="Times New Roman" w:cs="Times New Roman"/>
          <w:i/>
          <w:sz w:val="24"/>
          <w:szCs w:val="24"/>
          <w:lang w:val="fr-BE"/>
        </w:rPr>
        <w:tab/>
        <w:t>Administration générale</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M: </w:t>
      </w:r>
      <w:r w:rsidRPr="00D147A7">
        <w:rPr>
          <w:rFonts w:ascii="Times New Roman" w:hAnsi="Times New Roman" w:cs="Times New Roman"/>
          <w:i/>
          <w:sz w:val="24"/>
          <w:szCs w:val="24"/>
          <w:lang w:val="fr-BE"/>
        </w:rPr>
        <w:tab/>
        <w:t>Financement</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w:t>
      </w:r>
      <w:r w:rsidR="003A3F31" w:rsidRPr="00D147A7">
        <w:rPr>
          <w:rFonts w:ascii="Times New Roman" w:hAnsi="Times New Roman" w:cs="Times New Roman"/>
          <w:i/>
          <w:sz w:val="24"/>
          <w:szCs w:val="24"/>
          <w:lang w:val="fr-BE"/>
        </w:rPr>
        <w:t>érie N:</w:t>
      </w:r>
      <w:r w:rsidR="003A3F31" w:rsidRPr="00D147A7">
        <w:rPr>
          <w:rFonts w:ascii="Times New Roman" w:hAnsi="Times New Roman" w:cs="Times New Roman"/>
          <w:i/>
          <w:sz w:val="24"/>
          <w:szCs w:val="24"/>
          <w:lang w:val="fr-BE"/>
        </w:rPr>
        <w:tab/>
        <w:t>Capital, immobilisation</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O: </w:t>
      </w:r>
      <w:r w:rsidRPr="00D147A7">
        <w:rPr>
          <w:rFonts w:ascii="Times New Roman" w:hAnsi="Times New Roman" w:cs="Times New Roman"/>
          <w:i/>
          <w:sz w:val="24"/>
          <w:szCs w:val="24"/>
          <w:lang w:val="fr-BE"/>
        </w:rPr>
        <w:tab/>
        <w:t>Travaux et matériel</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P: </w:t>
      </w:r>
      <w:r w:rsidRPr="00D147A7">
        <w:rPr>
          <w:rFonts w:ascii="Times New Roman" w:hAnsi="Times New Roman" w:cs="Times New Roman"/>
          <w:i/>
          <w:sz w:val="24"/>
          <w:szCs w:val="24"/>
          <w:lang w:val="fr-BE"/>
        </w:rPr>
        <w:tab/>
        <w:t>Economat</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lastRenderedPageBreak/>
        <w:t xml:space="preserve">Série Q: </w:t>
      </w:r>
      <w:r w:rsidRPr="00D147A7">
        <w:rPr>
          <w:rFonts w:ascii="Times New Roman" w:hAnsi="Times New Roman" w:cs="Times New Roman"/>
          <w:i/>
          <w:sz w:val="24"/>
          <w:szCs w:val="24"/>
          <w:lang w:val="fr-BE"/>
        </w:rPr>
        <w:tab/>
        <w:t>Po</w:t>
      </w:r>
      <w:r w:rsidR="003A3F31" w:rsidRPr="00D147A7">
        <w:rPr>
          <w:rFonts w:ascii="Times New Roman" w:hAnsi="Times New Roman" w:cs="Times New Roman"/>
          <w:i/>
          <w:sz w:val="24"/>
          <w:szCs w:val="24"/>
          <w:lang w:val="fr-BE"/>
        </w:rPr>
        <w:t>pulation (malades hospitalisés)</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R: </w:t>
      </w:r>
      <w:r w:rsidRPr="00D147A7">
        <w:rPr>
          <w:rFonts w:ascii="Times New Roman" w:hAnsi="Times New Roman" w:cs="Times New Roman"/>
          <w:i/>
          <w:sz w:val="24"/>
          <w:szCs w:val="24"/>
          <w:lang w:val="fr-BE"/>
        </w:rPr>
        <w:tab/>
        <w:t>Archives médicales</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S: </w:t>
      </w:r>
      <w:r w:rsidRPr="00D147A7">
        <w:rPr>
          <w:rFonts w:ascii="Times New Roman" w:hAnsi="Times New Roman" w:cs="Times New Roman"/>
          <w:i/>
          <w:sz w:val="24"/>
          <w:szCs w:val="24"/>
          <w:lang w:val="fr-BE"/>
        </w:rPr>
        <w:tab/>
        <w:t>Aumônerie</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T: </w:t>
      </w:r>
      <w:r w:rsidRPr="00D147A7">
        <w:rPr>
          <w:rFonts w:ascii="Times New Roman" w:hAnsi="Times New Roman" w:cs="Times New Roman"/>
          <w:i/>
          <w:sz w:val="24"/>
          <w:szCs w:val="24"/>
          <w:lang w:val="fr-BE"/>
        </w:rPr>
        <w:tab/>
        <w:t>Bibliothèque administrative et méd</w:t>
      </w:r>
      <w:r w:rsidR="003A3F31" w:rsidRPr="00D147A7">
        <w:rPr>
          <w:rFonts w:ascii="Times New Roman" w:hAnsi="Times New Roman" w:cs="Times New Roman"/>
          <w:i/>
          <w:sz w:val="24"/>
          <w:szCs w:val="24"/>
          <w:lang w:val="fr-BE"/>
        </w:rPr>
        <w:t>icale, bibliothèque des malades</w:t>
      </w:r>
    </w:p>
    <w:p w:rsidR="009931C7" w:rsidRPr="00D147A7" w:rsidRDefault="003A3F31"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 xml:space="preserve">Série U: </w:t>
      </w:r>
      <w:r w:rsidRPr="00D147A7">
        <w:rPr>
          <w:rFonts w:ascii="Times New Roman" w:hAnsi="Times New Roman" w:cs="Times New Roman"/>
          <w:i/>
          <w:sz w:val="24"/>
          <w:szCs w:val="24"/>
          <w:lang w:val="fr-BE"/>
        </w:rPr>
        <w:tab/>
        <w:t>Service des archives</w:t>
      </w:r>
    </w:p>
    <w:p w:rsidR="009931C7" w:rsidRPr="00D147A7" w:rsidRDefault="009931C7" w:rsidP="009931C7">
      <w:pPr>
        <w:pStyle w:val="Geenafstand"/>
        <w:jc w:val="both"/>
        <w:rPr>
          <w:rFonts w:ascii="Times New Roman" w:hAnsi="Times New Roman" w:cs="Times New Roman"/>
          <w:i/>
          <w:sz w:val="24"/>
          <w:szCs w:val="24"/>
          <w:lang w:val="fr-BE"/>
        </w:rPr>
      </w:pPr>
      <w:r w:rsidRPr="00D147A7">
        <w:rPr>
          <w:rFonts w:ascii="Times New Roman" w:hAnsi="Times New Roman" w:cs="Times New Roman"/>
          <w:i/>
          <w:sz w:val="24"/>
          <w:szCs w:val="24"/>
          <w:lang w:val="fr-BE"/>
        </w:rPr>
        <w:t>Série W:</w:t>
      </w:r>
      <w:r w:rsidRPr="00D147A7">
        <w:rPr>
          <w:rFonts w:ascii="Times New Roman" w:hAnsi="Times New Roman" w:cs="Times New Roman"/>
          <w:i/>
          <w:sz w:val="24"/>
          <w:szCs w:val="24"/>
          <w:lang w:val="fr-BE"/>
        </w:rPr>
        <w:tab/>
        <w:t>Documents d’archives postérieures au 31 décembre 1970</w:t>
      </w:r>
    </w:p>
    <w:p w:rsidR="009931C7" w:rsidRPr="00D147A7" w:rsidRDefault="009931C7" w:rsidP="009931C7">
      <w:pPr>
        <w:pStyle w:val="Geenafstand"/>
        <w:jc w:val="both"/>
        <w:rPr>
          <w:rFonts w:ascii="Times New Roman" w:hAnsi="Times New Roman" w:cs="Times New Roman"/>
          <w:i/>
          <w:sz w:val="24"/>
          <w:szCs w:val="24"/>
        </w:rPr>
      </w:pPr>
      <w:r w:rsidRPr="00D147A7">
        <w:rPr>
          <w:rFonts w:ascii="Times New Roman" w:hAnsi="Times New Roman" w:cs="Times New Roman"/>
          <w:i/>
          <w:sz w:val="24"/>
          <w:szCs w:val="24"/>
        </w:rPr>
        <w:t xml:space="preserve">Série Z: </w:t>
      </w:r>
      <w:r w:rsidRPr="00D147A7">
        <w:rPr>
          <w:rFonts w:ascii="Times New Roman" w:hAnsi="Times New Roman" w:cs="Times New Roman"/>
          <w:i/>
          <w:sz w:val="24"/>
          <w:szCs w:val="24"/>
        </w:rPr>
        <w:tab/>
        <w:t>Divers</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 medische classificatie ligt de nadruk dus veelal op ordening, terwijl de archivistische be</w:t>
      </w:r>
      <w:r w:rsidR="00A0619E">
        <w:rPr>
          <w:rFonts w:ascii="Times New Roman" w:hAnsi="Times New Roman" w:cs="Times New Roman"/>
          <w:sz w:val="24"/>
          <w:szCs w:val="24"/>
        </w:rPr>
        <w:t>-</w:t>
      </w:r>
      <w:r w:rsidRPr="00D147A7">
        <w:rPr>
          <w:rFonts w:ascii="Times New Roman" w:hAnsi="Times New Roman" w:cs="Times New Roman"/>
          <w:sz w:val="24"/>
          <w:szCs w:val="24"/>
        </w:rPr>
        <w:t>grippen ‘vastlegging’ – de overkoepelende term voor ‘registratie’ en ‘classificatie’ – en ‘orde</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ning’ geenszins synoniemen zijn. Toch wordt de ordening van medische archieven hier kort onder de aandacht gebracht. Opdat het bos door de bomen kan </w:t>
      </w:r>
      <w:r w:rsidR="003A3F31" w:rsidRPr="00D147A7">
        <w:rPr>
          <w:rFonts w:ascii="Times New Roman" w:hAnsi="Times New Roman" w:cs="Times New Roman"/>
          <w:sz w:val="24"/>
          <w:szCs w:val="24"/>
        </w:rPr>
        <w:t xml:space="preserve">gezien </w:t>
      </w:r>
      <w:r w:rsidRPr="00D147A7">
        <w:rPr>
          <w:rFonts w:ascii="Times New Roman" w:hAnsi="Times New Roman" w:cs="Times New Roman"/>
          <w:sz w:val="24"/>
          <w:szCs w:val="24"/>
        </w:rPr>
        <w:t xml:space="preserve">worden, zijn accurate nadere toegangen </w:t>
      </w:r>
      <w:r w:rsidR="003A3F31" w:rsidRPr="00D147A7">
        <w:rPr>
          <w:rFonts w:ascii="Times New Roman" w:hAnsi="Times New Roman" w:cs="Times New Roman"/>
          <w:sz w:val="24"/>
          <w:szCs w:val="24"/>
        </w:rPr>
        <w:t xml:space="preserve">tot medische archieven </w:t>
      </w:r>
      <w:r w:rsidRPr="00D147A7">
        <w:rPr>
          <w:rFonts w:ascii="Times New Roman" w:hAnsi="Times New Roman" w:cs="Times New Roman"/>
          <w:sz w:val="24"/>
          <w:szCs w:val="24"/>
        </w:rPr>
        <w:t>van elementair belang. Zowel ziekenhuizen als indi</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viduele zorgverleners moeten ieder patiëntendossier in een index of register opnemen, </w:t>
      </w:r>
      <w:r w:rsidR="003A3F31" w:rsidRPr="00D147A7">
        <w:rPr>
          <w:rFonts w:ascii="Times New Roman" w:hAnsi="Times New Roman" w:cs="Times New Roman"/>
          <w:sz w:val="24"/>
          <w:szCs w:val="24"/>
        </w:rPr>
        <w:t xml:space="preserve">zij het </w:t>
      </w:r>
      <w:r w:rsidRPr="00D147A7">
        <w:rPr>
          <w:rFonts w:ascii="Times New Roman" w:hAnsi="Times New Roman" w:cs="Times New Roman"/>
          <w:sz w:val="24"/>
          <w:szCs w:val="24"/>
        </w:rPr>
        <w:t>in klassieke kaartenbakken of in een databank. In ziekenhuizen kunnen de toegangen op pa</w:t>
      </w:r>
      <w:r w:rsidR="00CC43B8">
        <w:rPr>
          <w:rFonts w:ascii="Times New Roman" w:hAnsi="Times New Roman" w:cs="Times New Roman"/>
          <w:sz w:val="24"/>
          <w:szCs w:val="24"/>
        </w:rPr>
        <w:t>-</w:t>
      </w:r>
      <w:r w:rsidRPr="00D147A7">
        <w:rPr>
          <w:rFonts w:ascii="Times New Roman" w:hAnsi="Times New Roman" w:cs="Times New Roman"/>
          <w:sz w:val="24"/>
          <w:szCs w:val="24"/>
        </w:rPr>
        <w:t>tiëntendossiers centraal en/of decentraal aangemaakt en onderhouden worden. Deze toegang</w:t>
      </w:r>
      <w:r w:rsidR="00CC43B8">
        <w:rPr>
          <w:rFonts w:ascii="Times New Roman" w:hAnsi="Times New Roman" w:cs="Times New Roman"/>
          <w:sz w:val="24"/>
          <w:szCs w:val="24"/>
        </w:rPr>
        <w:t>-</w:t>
      </w:r>
      <w:r w:rsidRPr="00D147A7">
        <w:rPr>
          <w:rFonts w:ascii="Times New Roman" w:hAnsi="Times New Roman" w:cs="Times New Roman"/>
          <w:sz w:val="24"/>
          <w:szCs w:val="24"/>
        </w:rPr>
        <w:t xml:space="preserve">en vermelden niet alleen voor welke patiënten er reeds een dossier bestaat, maar verwijzen ook naar de opslagplaats van die archieven (a.d.h.v. de archiefcode). Omdat ziekenhuizen in </w:t>
      </w:r>
      <w:r w:rsidR="003A3F31" w:rsidRPr="00D147A7">
        <w:rPr>
          <w:rFonts w:ascii="Times New Roman" w:hAnsi="Times New Roman" w:cs="Times New Roman"/>
          <w:sz w:val="24"/>
          <w:szCs w:val="24"/>
        </w:rPr>
        <w:t xml:space="preserve">het </w:t>
      </w:r>
      <w:r w:rsidRPr="00D147A7">
        <w:rPr>
          <w:rFonts w:ascii="Times New Roman" w:hAnsi="Times New Roman" w:cs="Times New Roman"/>
          <w:sz w:val="24"/>
          <w:szCs w:val="24"/>
        </w:rPr>
        <w:t xml:space="preserve">bijzonder over een zeer groot aantal patiëntendossiers beschikken, moet de opslagruimte (voor papieren dossiers) optimaal benut worden door het systeem van een continue berging te hanteren. </w:t>
      </w:r>
      <w:r w:rsidR="003A3F31" w:rsidRPr="00D147A7">
        <w:rPr>
          <w:rFonts w:ascii="Times New Roman" w:hAnsi="Times New Roman" w:cs="Times New Roman"/>
          <w:sz w:val="24"/>
          <w:szCs w:val="24"/>
        </w:rPr>
        <w:t>Omdat d</w:t>
      </w:r>
      <w:r w:rsidRPr="00D147A7">
        <w:rPr>
          <w:rFonts w:ascii="Times New Roman" w:hAnsi="Times New Roman" w:cs="Times New Roman"/>
          <w:sz w:val="24"/>
          <w:szCs w:val="24"/>
        </w:rPr>
        <w:t xml:space="preserve">it een doorgedreven intellectueel beheer vereist, introduceerde de </w:t>
      </w:r>
      <w:r w:rsidR="003A3F31" w:rsidRPr="00D147A7">
        <w:rPr>
          <w:rFonts w:ascii="Times New Roman" w:hAnsi="Times New Roman" w:cs="Times New Roman"/>
          <w:sz w:val="24"/>
          <w:szCs w:val="24"/>
        </w:rPr>
        <w:t xml:space="preserve">Belgische </w:t>
      </w:r>
      <w:r w:rsidRPr="00D147A7">
        <w:rPr>
          <w:rFonts w:ascii="Times New Roman" w:hAnsi="Times New Roman" w:cs="Times New Roman"/>
          <w:sz w:val="24"/>
          <w:szCs w:val="24"/>
        </w:rPr>
        <w:t>firma JALEMA een nieuw archiveringssysteem. Papieren patiëntendossiers werden nog steeds horizontaal opgehangen, maar de archiefcode werd d.m.v. gekleurde stickers op de zij</w:t>
      </w:r>
      <w:r w:rsidR="00CC43B8">
        <w:rPr>
          <w:rFonts w:ascii="Times New Roman" w:hAnsi="Times New Roman" w:cs="Times New Roman"/>
          <w:sz w:val="24"/>
          <w:szCs w:val="24"/>
        </w:rPr>
        <w:t>-</w:t>
      </w:r>
      <w:r w:rsidRPr="00D147A7">
        <w:rPr>
          <w:rFonts w:ascii="Times New Roman" w:hAnsi="Times New Roman" w:cs="Times New Roman"/>
          <w:sz w:val="24"/>
          <w:szCs w:val="24"/>
        </w:rPr>
        <w:t>kant van de farden aangebracht, waarbij voor elk tiental de lijn van niveau verspringt. Omdat ieder cijfer een eigen kleur heeft, kunnen verkeerd opgehangen patiëntendossiers meteen ge</w:t>
      </w:r>
      <w:r w:rsidR="00CC43B8">
        <w:rPr>
          <w:rFonts w:ascii="Times New Roman" w:hAnsi="Times New Roman" w:cs="Times New Roman"/>
          <w:sz w:val="24"/>
          <w:szCs w:val="24"/>
        </w:rPr>
        <w:t>-</w:t>
      </w:r>
      <w:r w:rsidRPr="00D147A7">
        <w:rPr>
          <w:rFonts w:ascii="Times New Roman" w:hAnsi="Times New Roman" w:cs="Times New Roman"/>
          <w:sz w:val="24"/>
          <w:szCs w:val="24"/>
        </w:rPr>
        <w:t>detecteerd worden. Dit archiveringssysteem heeft niet alleen organisatorische, maar ook fi</w:t>
      </w:r>
      <w:r w:rsidR="00CC43B8">
        <w:rPr>
          <w:rFonts w:ascii="Times New Roman" w:hAnsi="Times New Roman" w:cs="Times New Roman"/>
          <w:sz w:val="24"/>
          <w:szCs w:val="24"/>
        </w:rPr>
        <w:t>-</w:t>
      </w:r>
      <w:r w:rsidRPr="00D147A7">
        <w:rPr>
          <w:rFonts w:ascii="Times New Roman" w:hAnsi="Times New Roman" w:cs="Times New Roman"/>
          <w:sz w:val="24"/>
          <w:szCs w:val="24"/>
        </w:rPr>
        <w:t>nanciële voordelen.</w:t>
      </w:r>
      <w:r w:rsidRPr="00D147A7">
        <w:rPr>
          <w:rStyle w:val="Voetnootmarkering"/>
          <w:rFonts w:ascii="Times New Roman" w:hAnsi="Times New Roman" w:cs="Times New Roman"/>
          <w:sz w:val="24"/>
          <w:szCs w:val="24"/>
        </w:rPr>
        <w:footnoteReference w:id="340"/>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44257E26" wp14:editId="6D654A60">
            <wp:extent cx="2981325" cy="2245072"/>
            <wp:effectExtent l="0" t="0" r="0" b="3175"/>
            <wp:docPr id="9" name="Afbeelding 9" descr="http://www.qem.nl/p?id=13700&amp;a=5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em.nl/p?id=13700&amp;a=512593"/>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985524" cy="2248234"/>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5: Voorbeeld van een ophangsysteem met kleurenstickers</w:t>
      </w:r>
      <w:r w:rsidRPr="00D147A7">
        <w:rPr>
          <w:rStyle w:val="Voetnootmarkering"/>
          <w:rFonts w:ascii="Times New Roman" w:hAnsi="Times New Roman" w:cs="Times New Roman"/>
          <w:sz w:val="24"/>
          <w:szCs w:val="24"/>
        </w:rPr>
        <w:footnoteReference w:id="34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Patiëntendossiers worden op basis van hun archiefcode in het informatiebeheersysteem van de verzorgingsinstelling opgenomen. Omdat de ordening van medische archieven door iedere in</w:t>
      </w:r>
      <w:r w:rsidR="00A0619E">
        <w:rPr>
          <w:rFonts w:ascii="Times New Roman" w:hAnsi="Times New Roman" w:cs="Times New Roman"/>
          <w:sz w:val="24"/>
          <w:szCs w:val="24"/>
        </w:rPr>
        <w:t>-</w:t>
      </w:r>
      <w:r w:rsidRPr="00D147A7">
        <w:rPr>
          <w:rFonts w:ascii="Times New Roman" w:hAnsi="Times New Roman" w:cs="Times New Roman"/>
          <w:sz w:val="24"/>
          <w:szCs w:val="24"/>
        </w:rPr>
        <w:t xml:space="preserve">stelling vrij </w:t>
      </w:r>
      <w:r w:rsidR="003A3F31" w:rsidRPr="00D147A7">
        <w:rPr>
          <w:rFonts w:ascii="Times New Roman" w:hAnsi="Times New Roman" w:cs="Times New Roman"/>
          <w:sz w:val="24"/>
          <w:szCs w:val="24"/>
        </w:rPr>
        <w:t xml:space="preserve">kan worden </w:t>
      </w:r>
      <w:r w:rsidRPr="00D147A7">
        <w:rPr>
          <w:rFonts w:ascii="Times New Roman" w:hAnsi="Times New Roman" w:cs="Times New Roman"/>
          <w:sz w:val="24"/>
          <w:szCs w:val="24"/>
        </w:rPr>
        <w:t xml:space="preserve">gekozen, bestaan er geen monolithisch documentbeheersystemen voor (delen van) de zorgsector. Bovendien zijn er zodanig veel soorten informatiesystemen op </w:t>
      </w:r>
      <w:r w:rsidRPr="00D147A7">
        <w:rPr>
          <w:rFonts w:ascii="Times New Roman" w:hAnsi="Times New Roman" w:cs="Times New Roman"/>
          <w:sz w:val="24"/>
          <w:szCs w:val="24"/>
        </w:rPr>
        <w:lastRenderedPageBreak/>
        <w:t xml:space="preserve">de markt, dat verschillende afdelingen binnen eenzelfde ziekenhuis soms met verschillende softwareprogramma’s werken. Het </w:t>
      </w:r>
      <w:r w:rsidR="00783C56" w:rsidRPr="00D147A7">
        <w:rPr>
          <w:rFonts w:ascii="Times New Roman" w:hAnsi="Times New Roman" w:cs="Times New Roman"/>
          <w:sz w:val="24"/>
          <w:szCs w:val="24"/>
        </w:rPr>
        <w:t>b</w:t>
      </w:r>
      <w:r w:rsidRPr="00D147A7">
        <w:rPr>
          <w:rFonts w:ascii="Times New Roman" w:hAnsi="Times New Roman" w:cs="Times New Roman"/>
          <w:sz w:val="24"/>
          <w:szCs w:val="24"/>
        </w:rPr>
        <w:t xml:space="preserve">leek </w:t>
      </w:r>
      <w:r w:rsidR="00783C56" w:rsidRPr="00D147A7">
        <w:rPr>
          <w:rFonts w:ascii="Times New Roman" w:hAnsi="Times New Roman" w:cs="Times New Roman"/>
          <w:sz w:val="24"/>
          <w:szCs w:val="24"/>
        </w:rPr>
        <w:t xml:space="preserve">binnen het bestek van deze uiteenzetting </w:t>
      </w:r>
      <w:r w:rsidRPr="00D147A7">
        <w:rPr>
          <w:rFonts w:ascii="Times New Roman" w:hAnsi="Times New Roman" w:cs="Times New Roman"/>
          <w:sz w:val="24"/>
          <w:szCs w:val="24"/>
        </w:rPr>
        <w:t>een te inge</w:t>
      </w:r>
      <w:r w:rsidR="00A0619E">
        <w:rPr>
          <w:rFonts w:ascii="Times New Roman" w:hAnsi="Times New Roman" w:cs="Times New Roman"/>
          <w:sz w:val="24"/>
          <w:szCs w:val="24"/>
        </w:rPr>
        <w:t>-</w:t>
      </w:r>
      <w:r w:rsidRPr="00D147A7">
        <w:rPr>
          <w:rFonts w:ascii="Times New Roman" w:hAnsi="Times New Roman" w:cs="Times New Roman"/>
          <w:sz w:val="24"/>
          <w:szCs w:val="24"/>
        </w:rPr>
        <w:t>wikkelde materie om zowel in België, Nederland en Frankrijk te bestuderen.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783C56"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w:t>
      </w:r>
      <w:r w:rsidR="009931C7" w:rsidRPr="00D147A7">
        <w:rPr>
          <w:rFonts w:ascii="Times New Roman" w:hAnsi="Times New Roman" w:cs="Times New Roman"/>
          <w:sz w:val="24"/>
          <w:szCs w:val="24"/>
        </w:rPr>
        <w:t xml:space="preserve"> moet </w:t>
      </w:r>
      <w:r w:rsidRPr="00D147A7">
        <w:rPr>
          <w:rFonts w:ascii="Times New Roman" w:hAnsi="Times New Roman" w:cs="Times New Roman"/>
          <w:sz w:val="24"/>
          <w:szCs w:val="24"/>
        </w:rPr>
        <w:t>worden</w:t>
      </w:r>
      <w:r w:rsidR="009931C7" w:rsidRPr="00D147A7">
        <w:rPr>
          <w:rFonts w:ascii="Times New Roman" w:hAnsi="Times New Roman" w:cs="Times New Roman"/>
          <w:sz w:val="24"/>
          <w:szCs w:val="24"/>
        </w:rPr>
        <w:t xml:space="preserve"> opgemerkt dat op ieder in een (papieren) patiëntendossier opgenomen</w:t>
      </w:r>
      <w:r w:rsidRPr="00D147A7">
        <w:rPr>
          <w:rFonts w:ascii="Times New Roman" w:hAnsi="Times New Roman" w:cs="Times New Roman"/>
          <w:sz w:val="24"/>
          <w:szCs w:val="24"/>
        </w:rPr>
        <w:t xml:space="preserve"> docu</w:t>
      </w:r>
      <w:r w:rsidR="00A0619E">
        <w:rPr>
          <w:rFonts w:ascii="Times New Roman" w:hAnsi="Times New Roman" w:cs="Times New Roman"/>
          <w:sz w:val="24"/>
          <w:szCs w:val="24"/>
        </w:rPr>
        <w:t>-</w:t>
      </w:r>
      <w:r w:rsidRPr="00D147A7">
        <w:rPr>
          <w:rFonts w:ascii="Times New Roman" w:hAnsi="Times New Roman" w:cs="Times New Roman"/>
          <w:sz w:val="24"/>
          <w:szCs w:val="24"/>
        </w:rPr>
        <w:t>ment</w:t>
      </w:r>
      <w:r w:rsidR="009931C7" w:rsidRPr="00D147A7">
        <w:rPr>
          <w:rFonts w:ascii="Times New Roman" w:hAnsi="Times New Roman" w:cs="Times New Roman"/>
          <w:sz w:val="24"/>
          <w:szCs w:val="24"/>
        </w:rPr>
        <w:t xml:space="preserve"> een sticker met een barcode aangebracht</w:t>
      </w:r>
      <w:r w:rsidRPr="00D147A7">
        <w:rPr>
          <w:rFonts w:ascii="Times New Roman" w:hAnsi="Times New Roman" w:cs="Times New Roman"/>
          <w:sz w:val="24"/>
          <w:szCs w:val="24"/>
        </w:rPr>
        <w:t xml:space="preserve"> wordt</w:t>
      </w:r>
      <w:r w:rsidR="009931C7" w:rsidRPr="00D147A7">
        <w:rPr>
          <w:rFonts w:ascii="Times New Roman" w:hAnsi="Times New Roman" w:cs="Times New Roman"/>
          <w:sz w:val="24"/>
          <w:szCs w:val="24"/>
        </w:rPr>
        <w:t xml:space="preserve">. Aan de hand van deze barcodes kunnen bescheiden in- en uitgescand worden door de medewerkers van de centrale archiefdienst van </w:t>
      </w:r>
      <w:r w:rsidRPr="00D147A7">
        <w:rPr>
          <w:rFonts w:ascii="Times New Roman" w:hAnsi="Times New Roman" w:cs="Times New Roman"/>
          <w:sz w:val="24"/>
          <w:szCs w:val="24"/>
        </w:rPr>
        <w:t>een</w:t>
      </w:r>
      <w:r w:rsidR="009931C7" w:rsidRPr="00D147A7">
        <w:rPr>
          <w:rFonts w:ascii="Times New Roman" w:hAnsi="Times New Roman" w:cs="Times New Roman"/>
          <w:sz w:val="24"/>
          <w:szCs w:val="24"/>
        </w:rPr>
        <w:t xml:space="preserve"> verzorgingsinstelling zodat te allen tijde gekend is welke zorgverlener welke stukken heeft uitgeleend. Deze barcodes zijn overigens ook een hulpmiddel bij de digitalisatie. Aan de hand van bepaalde softwareprogramma’s – zoals Medical Viewer van de firma Allgeier, dat onder meer door het Universitair Ziekenhuis Brugmann te Brussel</w:t>
      </w:r>
      <w:r w:rsidR="009931C7" w:rsidRPr="00D147A7">
        <w:rPr>
          <w:rStyle w:val="Voetnootmarkering"/>
          <w:rFonts w:ascii="Times New Roman" w:hAnsi="Times New Roman" w:cs="Times New Roman"/>
          <w:sz w:val="24"/>
          <w:szCs w:val="24"/>
        </w:rPr>
        <w:footnoteReference w:id="342"/>
      </w:r>
      <w:r w:rsidR="009931C7" w:rsidRPr="00D147A7">
        <w:rPr>
          <w:rFonts w:ascii="Times New Roman" w:hAnsi="Times New Roman" w:cs="Times New Roman"/>
          <w:sz w:val="24"/>
          <w:szCs w:val="24"/>
        </w:rPr>
        <w:t xml:space="preserve"> en door de drie locaties van het </w:t>
      </w:r>
      <w:r w:rsidRPr="00D147A7">
        <w:rPr>
          <w:rFonts w:ascii="Times New Roman" w:hAnsi="Times New Roman" w:cs="Times New Roman"/>
          <w:sz w:val="24"/>
          <w:szCs w:val="24"/>
        </w:rPr>
        <w:t xml:space="preserve">Nederlandse </w:t>
      </w:r>
      <w:r w:rsidR="009931C7" w:rsidRPr="00D147A7">
        <w:rPr>
          <w:rFonts w:ascii="Times New Roman" w:hAnsi="Times New Roman" w:cs="Times New Roman"/>
          <w:sz w:val="24"/>
          <w:szCs w:val="24"/>
        </w:rPr>
        <w:t>Amphia Ziekenhuis gebruikt worden</w:t>
      </w:r>
      <w:r w:rsidR="009931C7" w:rsidRPr="00D147A7">
        <w:rPr>
          <w:rStyle w:val="Voetnootmarkering"/>
          <w:rFonts w:ascii="Times New Roman" w:hAnsi="Times New Roman" w:cs="Times New Roman"/>
          <w:sz w:val="24"/>
          <w:szCs w:val="24"/>
        </w:rPr>
        <w:footnoteReference w:id="343"/>
      </w:r>
      <w:r w:rsidR="009931C7" w:rsidRPr="00D147A7">
        <w:rPr>
          <w:rFonts w:ascii="Times New Roman" w:hAnsi="Times New Roman" w:cs="Times New Roman"/>
          <w:sz w:val="24"/>
          <w:szCs w:val="24"/>
        </w:rPr>
        <w:t xml:space="preserve"> – worden gescande documenten aan de hand van deze barcodes </w:t>
      </w:r>
      <w:r w:rsidRPr="00D147A7">
        <w:rPr>
          <w:rFonts w:ascii="Times New Roman" w:hAnsi="Times New Roman" w:cs="Times New Roman"/>
          <w:sz w:val="24"/>
          <w:szCs w:val="24"/>
        </w:rPr>
        <w:t>automatisch in</w:t>
      </w:r>
      <w:r w:rsidR="009931C7" w:rsidRPr="00D147A7">
        <w:rPr>
          <w:rFonts w:ascii="Times New Roman" w:hAnsi="Times New Roman" w:cs="Times New Roman"/>
          <w:sz w:val="24"/>
          <w:szCs w:val="24"/>
        </w:rPr>
        <w:t xml:space="preserve"> de juiste </w:t>
      </w:r>
      <w:r w:rsidRPr="00D147A7">
        <w:rPr>
          <w:rFonts w:ascii="Times New Roman" w:hAnsi="Times New Roman" w:cs="Times New Roman"/>
          <w:sz w:val="24"/>
          <w:szCs w:val="24"/>
        </w:rPr>
        <w:t>submappen</w:t>
      </w:r>
      <w:r w:rsidR="009931C7" w:rsidRPr="00D147A7">
        <w:rPr>
          <w:rFonts w:ascii="Times New Roman" w:hAnsi="Times New Roman" w:cs="Times New Roman"/>
          <w:sz w:val="24"/>
          <w:szCs w:val="24"/>
        </w:rPr>
        <w:t xml:space="preserve"> in het elektronisch dossier van de desbetreffende patiënt opgeslagen. </w:t>
      </w:r>
    </w:p>
    <w:p w:rsidR="009931C7" w:rsidRPr="00D147A7" w:rsidRDefault="009931C7" w:rsidP="009931C7">
      <w:pPr>
        <w:pStyle w:val="Geenafstand"/>
        <w:jc w:val="both"/>
        <w:rPr>
          <w:rFonts w:ascii="Times New Roman" w:hAnsi="Times New Roman" w:cs="Times New Roman"/>
          <w:b/>
          <w:sz w:val="24"/>
          <w:szCs w:val="24"/>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2: De keuze voor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rPr>
        <w:t xml:space="preserve">Er bestaat geen treffende definitie voor eHealth. Er is zelfs verdeeldheid over de eerste letter van deze term. In hoofdzaak biedt eHealth aan zorgverleners de mogelijkheid om (delen van) elektronische patiëntendossiers met elkaar uit te wisselen. Het ligt voor de hand dat de eerste ‘e’ voor </w:t>
      </w:r>
      <w:r w:rsidRPr="00D147A7">
        <w:rPr>
          <w:rFonts w:ascii="Times New Roman" w:hAnsi="Times New Roman" w:cs="Times New Roman"/>
          <w:i/>
          <w:sz w:val="24"/>
          <w:szCs w:val="24"/>
        </w:rPr>
        <w:t xml:space="preserve">electronic </w:t>
      </w:r>
      <w:r w:rsidRPr="00D147A7">
        <w:rPr>
          <w:rFonts w:ascii="Times New Roman" w:hAnsi="Times New Roman" w:cs="Times New Roman"/>
          <w:sz w:val="24"/>
          <w:szCs w:val="24"/>
        </w:rPr>
        <w:t xml:space="preserve">staat. </w:t>
      </w:r>
      <w:r w:rsidRPr="00D147A7">
        <w:rPr>
          <w:rFonts w:ascii="Times New Roman" w:hAnsi="Times New Roman" w:cs="Times New Roman"/>
          <w:sz w:val="24"/>
          <w:szCs w:val="24"/>
          <w:lang w:val="en-US"/>
        </w:rPr>
        <w:t xml:space="preserve">Toch kan ook wat gezegd worden voor </w:t>
      </w:r>
      <w:r w:rsidRPr="00D147A7">
        <w:rPr>
          <w:rFonts w:ascii="Times New Roman" w:hAnsi="Times New Roman" w:cs="Times New Roman"/>
          <w:i/>
          <w:sz w:val="24"/>
          <w:szCs w:val="24"/>
          <w:lang w:val="en-US"/>
        </w:rPr>
        <w:t>efficiency</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enhancing quality of care</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evidence based</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empowerment of consumers and patients</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encouragement of a new relationship between the patient and health professional</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education of physicians through on</w:t>
      </w:r>
      <w:r w:rsidR="00A0619E">
        <w:rPr>
          <w:rFonts w:ascii="Times New Roman" w:hAnsi="Times New Roman" w:cs="Times New Roman"/>
          <w:i/>
          <w:sz w:val="24"/>
          <w:szCs w:val="24"/>
          <w:lang w:val="en-US"/>
        </w:rPr>
        <w:t>-</w:t>
      </w:r>
      <w:r w:rsidRPr="00D147A7">
        <w:rPr>
          <w:rFonts w:ascii="Times New Roman" w:hAnsi="Times New Roman" w:cs="Times New Roman"/>
          <w:i/>
          <w:sz w:val="24"/>
          <w:szCs w:val="24"/>
          <w:lang w:val="en-US"/>
        </w:rPr>
        <w:t>line sources</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enabling information exchange and communication in a standardized way be</w:t>
      </w:r>
      <w:r w:rsidR="00A0619E">
        <w:rPr>
          <w:rFonts w:ascii="Times New Roman" w:hAnsi="Times New Roman" w:cs="Times New Roman"/>
          <w:i/>
          <w:sz w:val="24"/>
          <w:szCs w:val="24"/>
          <w:lang w:val="en-US"/>
        </w:rPr>
        <w:t>-</w:t>
      </w:r>
      <w:r w:rsidRPr="00D147A7">
        <w:rPr>
          <w:rFonts w:ascii="Times New Roman" w:hAnsi="Times New Roman" w:cs="Times New Roman"/>
          <w:i/>
          <w:sz w:val="24"/>
          <w:szCs w:val="24"/>
          <w:lang w:val="en-US"/>
        </w:rPr>
        <w:t>tween health care establishments</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 xml:space="preserve">extending the scope of health care beyond its </w:t>
      </w:r>
      <w:r w:rsidR="00783C56" w:rsidRPr="00D147A7">
        <w:rPr>
          <w:rFonts w:ascii="Times New Roman" w:hAnsi="Times New Roman" w:cs="Times New Roman"/>
          <w:i/>
          <w:sz w:val="24"/>
          <w:szCs w:val="24"/>
          <w:lang w:val="en-US"/>
        </w:rPr>
        <w:t>convention</w:t>
      </w:r>
      <w:r w:rsidRPr="00D147A7">
        <w:rPr>
          <w:rFonts w:ascii="Times New Roman" w:hAnsi="Times New Roman" w:cs="Times New Roman"/>
          <w:i/>
          <w:sz w:val="24"/>
          <w:szCs w:val="24"/>
          <w:lang w:val="en-US"/>
        </w:rPr>
        <w:t>nal boundaries</w:t>
      </w:r>
      <w:r w:rsidRPr="00D147A7">
        <w:rPr>
          <w:rFonts w:ascii="Times New Roman" w:hAnsi="Times New Roman" w:cs="Times New Roman"/>
          <w:sz w:val="24"/>
          <w:szCs w:val="24"/>
          <w:lang w:val="en-US"/>
        </w:rPr>
        <w:t xml:space="preserve">; </w:t>
      </w:r>
      <w:r w:rsidRPr="00D147A7">
        <w:rPr>
          <w:rFonts w:ascii="Times New Roman" w:hAnsi="Times New Roman" w:cs="Times New Roman"/>
          <w:i/>
          <w:sz w:val="24"/>
          <w:szCs w:val="24"/>
          <w:lang w:val="en-US"/>
        </w:rPr>
        <w:t>ethics</w:t>
      </w:r>
      <w:r w:rsidRPr="00D147A7">
        <w:rPr>
          <w:rFonts w:ascii="Times New Roman" w:hAnsi="Times New Roman" w:cs="Times New Roman"/>
          <w:sz w:val="24"/>
          <w:szCs w:val="24"/>
          <w:lang w:val="en-US"/>
        </w:rPr>
        <w:t xml:space="preserve">; en </w:t>
      </w:r>
      <w:r w:rsidRPr="00D147A7">
        <w:rPr>
          <w:rFonts w:ascii="Times New Roman" w:hAnsi="Times New Roman" w:cs="Times New Roman"/>
          <w:i/>
          <w:sz w:val="24"/>
          <w:szCs w:val="24"/>
          <w:lang w:val="en-US"/>
        </w:rPr>
        <w:t>equity</w:t>
      </w:r>
      <w:r w:rsidRPr="00D147A7">
        <w:rPr>
          <w:rFonts w:ascii="Times New Roman" w:hAnsi="Times New Roman" w:cs="Times New Roman"/>
          <w:sz w:val="24"/>
          <w:szCs w:val="24"/>
          <w:lang w:val="en-US"/>
        </w:rPr>
        <w:t>.</w:t>
      </w:r>
      <w:r w:rsidRPr="00D147A7">
        <w:rPr>
          <w:rStyle w:val="Voetnootmarkering"/>
          <w:rFonts w:ascii="Times New Roman" w:hAnsi="Times New Roman" w:cs="Times New Roman"/>
          <w:sz w:val="24"/>
          <w:szCs w:val="24"/>
          <w:lang w:val="en-US"/>
        </w:rPr>
        <w:footnoteReference w:id="344"/>
      </w:r>
    </w:p>
    <w:p w:rsidR="009931C7" w:rsidRPr="00D147A7" w:rsidRDefault="009931C7" w:rsidP="009931C7">
      <w:pPr>
        <w:pStyle w:val="Geenafstand"/>
        <w:jc w:val="both"/>
        <w:rPr>
          <w:rFonts w:ascii="Times New Roman" w:hAnsi="Times New Roman" w:cs="Times New Roman"/>
          <w:sz w:val="24"/>
          <w:szCs w:val="24"/>
          <w:lang w:val="en-US"/>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Ondanks het gebrek aan een alomvattende definitie is eHealth een algemeen aanvaard en universeel gebruikt neologisme. Zoals bij de meeste neologismen het geval is, zal de precieze inhoud variëren naargelang de context waarin de term gebruikt</w:t>
      </w:r>
      <w:r w:rsidR="00783C56" w:rsidRPr="00D147A7">
        <w:rPr>
          <w:rFonts w:ascii="Times New Roman" w:hAnsi="Times New Roman" w:cs="Times New Roman"/>
          <w:sz w:val="24"/>
          <w:szCs w:val="24"/>
        </w:rPr>
        <w:t xml:space="preserve"> wordt</w:t>
      </w:r>
      <w:r w:rsidRPr="00D147A7">
        <w:rPr>
          <w:rFonts w:ascii="Times New Roman" w:hAnsi="Times New Roman" w:cs="Times New Roman"/>
          <w:sz w:val="24"/>
          <w:szCs w:val="24"/>
        </w:rPr>
        <w:t>. Niettemin wordt het begrip eHealth doorgaans tamelijk goed begrepen.</w:t>
      </w:r>
      <w:r w:rsidRPr="00D147A7">
        <w:rPr>
          <w:rStyle w:val="Voetnootmarkering"/>
          <w:rFonts w:ascii="Times New Roman" w:hAnsi="Times New Roman" w:cs="Times New Roman"/>
          <w:sz w:val="24"/>
          <w:szCs w:val="24"/>
        </w:rPr>
        <w:footnoteReference w:id="345"/>
      </w:r>
      <w:r w:rsidRPr="00D147A7">
        <w:rPr>
          <w:rFonts w:ascii="Times New Roman" w:hAnsi="Times New Roman" w:cs="Times New Roman"/>
          <w:sz w:val="24"/>
          <w:szCs w:val="24"/>
        </w:rPr>
        <w:t xml:space="preserve"> Van de vele definities lijkt de volgende – die duidelijk op de omschrijving van ‘web 2.0’ door Tim O’Reilly</w:t>
      </w:r>
      <w:r w:rsidRPr="00D147A7">
        <w:rPr>
          <w:rStyle w:val="Voetnootmarkering"/>
          <w:rFonts w:ascii="Times New Roman" w:hAnsi="Times New Roman" w:cs="Times New Roman"/>
          <w:sz w:val="24"/>
          <w:szCs w:val="24"/>
        </w:rPr>
        <w:footnoteReference w:id="346"/>
      </w:r>
      <w:r w:rsidRPr="00D147A7">
        <w:rPr>
          <w:rFonts w:ascii="Times New Roman" w:hAnsi="Times New Roman" w:cs="Times New Roman"/>
          <w:sz w:val="24"/>
          <w:szCs w:val="24"/>
        </w:rPr>
        <w:t xml:space="preserve"> geïnspireerd is – de meest </w:t>
      </w:r>
      <w:r w:rsidR="00783C56" w:rsidRPr="00D147A7">
        <w:rPr>
          <w:rFonts w:ascii="Times New Roman" w:hAnsi="Times New Roman" w:cs="Times New Roman"/>
          <w:sz w:val="24"/>
          <w:szCs w:val="24"/>
        </w:rPr>
        <w:t>treffende.</w:t>
      </w: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i/>
          <w:sz w:val="24"/>
          <w:szCs w:val="24"/>
        </w:rPr>
        <w:t>eHealth is een opkomende sector die zich op het kruispunt van de medische informa</w:t>
      </w:r>
      <w:r w:rsidR="000D708B">
        <w:rPr>
          <w:rFonts w:ascii="Times New Roman" w:hAnsi="Times New Roman" w:cs="Times New Roman"/>
          <w:i/>
          <w:sz w:val="24"/>
          <w:szCs w:val="24"/>
        </w:rPr>
        <w:t>-</w:t>
      </w:r>
      <w:r w:rsidRPr="00D147A7">
        <w:rPr>
          <w:rFonts w:ascii="Times New Roman" w:hAnsi="Times New Roman" w:cs="Times New Roman"/>
          <w:i/>
          <w:sz w:val="24"/>
          <w:szCs w:val="24"/>
        </w:rPr>
        <w:t>tica, de openbare gezondheidszorg en de bedrijfswereld bevindt en verwijst naar zorg</w:t>
      </w:r>
      <w:r w:rsidR="000D708B">
        <w:rPr>
          <w:rFonts w:ascii="Times New Roman" w:hAnsi="Times New Roman" w:cs="Times New Roman"/>
          <w:i/>
          <w:sz w:val="24"/>
          <w:szCs w:val="24"/>
        </w:rPr>
        <w:t>-</w:t>
      </w:r>
      <w:r w:rsidRPr="00D147A7">
        <w:rPr>
          <w:rFonts w:ascii="Times New Roman" w:hAnsi="Times New Roman" w:cs="Times New Roman"/>
          <w:i/>
          <w:sz w:val="24"/>
          <w:szCs w:val="24"/>
        </w:rPr>
        <w:t>verleningsdiensten, de overdracht en uitwisseling van informatie via het internet en aanverwante technologieën. In bredere zin typeert de term niet alleen de technolo</w:t>
      </w:r>
      <w:r w:rsidR="000D708B">
        <w:rPr>
          <w:rFonts w:ascii="Times New Roman" w:hAnsi="Times New Roman" w:cs="Times New Roman"/>
          <w:i/>
          <w:sz w:val="24"/>
          <w:szCs w:val="24"/>
        </w:rPr>
        <w:t>-</w:t>
      </w:r>
      <w:r w:rsidRPr="00D147A7">
        <w:rPr>
          <w:rFonts w:ascii="Times New Roman" w:hAnsi="Times New Roman" w:cs="Times New Roman"/>
          <w:i/>
          <w:sz w:val="24"/>
          <w:szCs w:val="24"/>
        </w:rPr>
        <w:t>gische evolutie, maar ook een manier van denken, een houding en een overtuiging van een universele, via netwerk verbonden denkwijze om de gezondheidszorg lokaal, re</w:t>
      </w:r>
      <w:r w:rsidR="000D708B">
        <w:rPr>
          <w:rFonts w:ascii="Times New Roman" w:hAnsi="Times New Roman" w:cs="Times New Roman"/>
          <w:i/>
          <w:sz w:val="24"/>
          <w:szCs w:val="24"/>
        </w:rPr>
        <w:t>-</w:t>
      </w:r>
      <w:r w:rsidRPr="00D147A7">
        <w:rPr>
          <w:rFonts w:ascii="Times New Roman" w:hAnsi="Times New Roman" w:cs="Times New Roman"/>
          <w:i/>
          <w:sz w:val="24"/>
          <w:szCs w:val="24"/>
        </w:rPr>
        <w:lastRenderedPageBreak/>
        <w:t>gionaal en wereldwijd te verbeteren door het gebruik van informatie- en communica</w:t>
      </w:r>
      <w:r w:rsidR="000D708B">
        <w:rPr>
          <w:rFonts w:ascii="Times New Roman" w:hAnsi="Times New Roman" w:cs="Times New Roman"/>
          <w:i/>
          <w:sz w:val="24"/>
          <w:szCs w:val="24"/>
        </w:rPr>
        <w:t>-</w:t>
      </w:r>
      <w:r w:rsidRPr="00D147A7">
        <w:rPr>
          <w:rFonts w:ascii="Times New Roman" w:hAnsi="Times New Roman" w:cs="Times New Roman"/>
          <w:i/>
          <w:sz w:val="24"/>
          <w:szCs w:val="24"/>
        </w:rPr>
        <w:t>tietechnologie</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47"/>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Europese Commissie houdt het simpeler en definieert eHealth als </w:t>
      </w:r>
      <w:r w:rsidRPr="00D147A7">
        <w:rPr>
          <w:rFonts w:ascii="Times New Roman" w:hAnsi="Times New Roman" w:cs="Times New Roman"/>
          <w:i/>
          <w:sz w:val="24"/>
          <w:szCs w:val="24"/>
        </w:rPr>
        <w:t>ICT-tools en services voor de gezondheid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4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opkomst van eHealth kadert in twee maatschappelijke ontwikkelingen. Door de toenemende welvaart, </w:t>
      </w:r>
      <w:r w:rsidR="00783C56" w:rsidRPr="00D147A7">
        <w:rPr>
          <w:rFonts w:ascii="Times New Roman" w:hAnsi="Times New Roman" w:cs="Times New Roman"/>
          <w:sz w:val="24"/>
          <w:szCs w:val="24"/>
        </w:rPr>
        <w:t xml:space="preserve">mobiliteit en </w:t>
      </w:r>
      <w:r w:rsidRPr="00D147A7">
        <w:rPr>
          <w:rFonts w:ascii="Times New Roman" w:hAnsi="Times New Roman" w:cs="Times New Roman"/>
          <w:sz w:val="24"/>
          <w:szCs w:val="24"/>
        </w:rPr>
        <w:t>emancipatie van de patiënt zijn patiënte</w:t>
      </w:r>
      <w:r w:rsidR="00783C56" w:rsidRPr="00D147A7">
        <w:rPr>
          <w:rFonts w:ascii="Times New Roman" w:hAnsi="Times New Roman" w:cs="Times New Roman"/>
          <w:sz w:val="24"/>
          <w:szCs w:val="24"/>
        </w:rPr>
        <w:t xml:space="preserve">n almaar minder afhankelijk van </w:t>
      </w:r>
      <w:r w:rsidRPr="00D147A7">
        <w:rPr>
          <w:rFonts w:ascii="Times New Roman" w:hAnsi="Times New Roman" w:cs="Times New Roman"/>
          <w:sz w:val="24"/>
          <w:szCs w:val="24"/>
        </w:rPr>
        <w:t>zorgverleners</w:t>
      </w:r>
      <w:r w:rsidR="00783C56" w:rsidRPr="00D147A7">
        <w:rPr>
          <w:rFonts w:ascii="Times New Roman" w:hAnsi="Times New Roman" w:cs="Times New Roman"/>
          <w:sz w:val="24"/>
          <w:szCs w:val="24"/>
        </w:rPr>
        <w:t xml:space="preserve"> binnen de landsgrenzen</w:t>
      </w:r>
      <w:r w:rsidRPr="00D147A7">
        <w:rPr>
          <w:rFonts w:ascii="Times New Roman" w:hAnsi="Times New Roman" w:cs="Times New Roman"/>
          <w:sz w:val="24"/>
          <w:szCs w:val="24"/>
        </w:rPr>
        <w:t xml:space="preserve">. Patiënten zullen steeds meer beroep doen op buitenlandse zorgverleners als er in het land van herkomst wachtlijsten bestaan. Daarnaast is het ook niet ondenkbaar dat in de loop van een reis een dokter bezocht moet worden. Daarvoor moeten er relevante medische gegevens beschikbaar zijn voor de zorgverleners met wie een behandelingsovereenkomst aangegaan wordt. </w:t>
      </w:r>
      <w:r w:rsidR="00783C56" w:rsidRPr="00D147A7">
        <w:rPr>
          <w:rFonts w:ascii="Times New Roman" w:hAnsi="Times New Roman" w:cs="Times New Roman"/>
          <w:sz w:val="24"/>
          <w:szCs w:val="24"/>
        </w:rPr>
        <w:t xml:space="preserve">Het voornaamste doel van </w:t>
      </w:r>
      <w:r w:rsidRPr="00D147A7">
        <w:rPr>
          <w:rFonts w:ascii="Times New Roman" w:hAnsi="Times New Roman" w:cs="Times New Roman"/>
          <w:sz w:val="24"/>
          <w:szCs w:val="24"/>
        </w:rPr>
        <w:t xml:space="preserve">eHealth </w:t>
      </w:r>
      <w:r w:rsidR="00783C56" w:rsidRPr="00D147A7">
        <w:rPr>
          <w:rFonts w:ascii="Times New Roman" w:hAnsi="Times New Roman" w:cs="Times New Roman"/>
          <w:sz w:val="24"/>
          <w:szCs w:val="24"/>
        </w:rPr>
        <w:t>is om</w:t>
      </w:r>
      <w:r w:rsidRPr="00D147A7">
        <w:rPr>
          <w:rFonts w:ascii="Times New Roman" w:hAnsi="Times New Roman" w:cs="Times New Roman"/>
          <w:sz w:val="24"/>
          <w:szCs w:val="24"/>
        </w:rPr>
        <w:t xml:space="preserve"> een grensoverschrijdende zorgverlening mogelijk </w:t>
      </w:r>
      <w:r w:rsidR="00783C56" w:rsidRPr="00D147A7">
        <w:rPr>
          <w:rFonts w:ascii="Times New Roman" w:hAnsi="Times New Roman" w:cs="Times New Roman"/>
          <w:sz w:val="24"/>
          <w:szCs w:val="24"/>
        </w:rPr>
        <w:t>te maken.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Daarnaast moet eHealth binnen de opkomst van eGovernment gesitueerd worden. Steeds meer diensten worden via internet verleend. </w:t>
      </w:r>
      <w:r w:rsidR="00783C56" w:rsidRPr="00D147A7">
        <w:rPr>
          <w:rFonts w:ascii="Times New Roman" w:hAnsi="Times New Roman" w:cs="Times New Roman"/>
          <w:sz w:val="24"/>
          <w:szCs w:val="24"/>
        </w:rPr>
        <w:t>Ook d</w:t>
      </w:r>
      <w:r w:rsidRPr="00D147A7">
        <w:rPr>
          <w:rFonts w:ascii="Times New Roman" w:hAnsi="Times New Roman" w:cs="Times New Roman"/>
          <w:sz w:val="24"/>
          <w:szCs w:val="24"/>
        </w:rPr>
        <w:t xml:space="preserve">e zorgverlening </w:t>
      </w:r>
      <w:r w:rsidR="00783C56" w:rsidRPr="00D147A7">
        <w:rPr>
          <w:rFonts w:ascii="Times New Roman" w:hAnsi="Times New Roman" w:cs="Times New Roman"/>
          <w:sz w:val="24"/>
          <w:szCs w:val="24"/>
        </w:rPr>
        <w:t>moest</w:t>
      </w:r>
      <w:r w:rsidRPr="00D147A7">
        <w:rPr>
          <w:rFonts w:ascii="Times New Roman" w:hAnsi="Times New Roman" w:cs="Times New Roman"/>
          <w:sz w:val="24"/>
          <w:szCs w:val="24"/>
        </w:rPr>
        <w:t xml:space="preserve"> op deze nieuwe ontwikkelingen </w:t>
      </w:r>
      <w:r w:rsidR="00783C56" w:rsidRPr="00D147A7">
        <w:rPr>
          <w:rFonts w:ascii="Times New Roman" w:hAnsi="Times New Roman" w:cs="Times New Roman"/>
          <w:sz w:val="24"/>
          <w:szCs w:val="24"/>
        </w:rPr>
        <w:t>inspelen</w:t>
      </w:r>
      <w:r w:rsidRPr="00D147A7">
        <w:rPr>
          <w:rFonts w:ascii="Times New Roman" w:hAnsi="Times New Roman" w:cs="Times New Roman"/>
          <w:sz w:val="24"/>
          <w:szCs w:val="24"/>
        </w:rPr>
        <w:t xml:space="preserve">. </w:t>
      </w:r>
      <w:r w:rsidR="00783C56" w:rsidRPr="00D147A7">
        <w:rPr>
          <w:rFonts w:ascii="Times New Roman" w:hAnsi="Times New Roman" w:cs="Times New Roman"/>
          <w:sz w:val="24"/>
          <w:szCs w:val="24"/>
        </w:rPr>
        <w:t>P</w:t>
      </w:r>
      <w:r w:rsidRPr="00D147A7">
        <w:rPr>
          <w:rFonts w:ascii="Times New Roman" w:hAnsi="Times New Roman" w:cs="Times New Roman"/>
          <w:sz w:val="24"/>
          <w:szCs w:val="24"/>
        </w:rPr>
        <w:t xml:space="preserve">atiënten met een functiebeperking moeten immers </w:t>
      </w:r>
      <w:r w:rsidR="00783C56" w:rsidRPr="00D147A7">
        <w:rPr>
          <w:rFonts w:ascii="Times New Roman" w:hAnsi="Times New Roman" w:cs="Times New Roman"/>
          <w:sz w:val="24"/>
          <w:szCs w:val="24"/>
        </w:rPr>
        <w:t xml:space="preserve">ook </w:t>
      </w:r>
      <w:r w:rsidRPr="00D147A7">
        <w:rPr>
          <w:rFonts w:ascii="Times New Roman" w:hAnsi="Times New Roman" w:cs="Times New Roman"/>
          <w:sz w:val="24"/>
          <w:szCs w:val="24"/>
        </w:rPr>
        <w:t xml:space="preserve">de mogelijkheid hebben om hun rechten uit te oefenen. Het internet leent zich daar uitstekend toe. Bovendien wordt de nieuwe technologie aangewend om aan de nadelen van de klassieke zorgverlening tegemoet te komen. Lange wachttijden in brandhaarden van ziektekiemen en virussen worden – althans door mijzelf – als één van de grootste </w:t>
      </w:r>
      <w:r w:rsidR="00476D40" w:rsidRPr="00D147A7">
        <w:rPr>
          <w:rFonts w:ascii="Times New Roman" w:hAnsi="Times New Roman" w:cs="Times New Roman"/>
          <w:sz w:val="24"/>
          <w:szCs w:val="24"/>
        </w:rPr>
        <w:t>struikelblokken</w:t>
      </w:r>
      <w:r w:rsidRPr="00D147A7">
        <w:rPr>
          <w:rFonts w:ascii="Times New Roman" w:hAnsi="Times New Roman" w:cs="Times New Roman"/>
          <w:sz w:val="24"/>
          <w:szCs w:val="24"/>
        </w:rPr>
        <w:t xml:space="preserve"> </w:t>
      </w:r>
      <w:r w:rsidR="00476D40" w:rsidRPr="00D147A7">
        <w:rPr>
          <w:rFonts w:ascii="Times New Roman" w:hAnsi="Times New Roman" w:cs="Times New Roman"/>
          <w:sz w:val="24"/>
          <w:szCs w:val="24"/>
        </w:rPr>
        <w:t>ervaren om naar een dokter te gaan</w:t>
      </w:r>
      <w:r w:rsidRPr="00D147A7">
        <w:rPr>
          <w:rFonts w:ascii="Times New Roman" w:hAnsi="Times New Roman" w:cs="Times New Roman"/>
          <w:sz w:val="24"/>
          <w:szCs w:val="24"/>
        </w:rPr>
        <w:t xml:space="preserve">. Sommige </w:t>
      </w:r>
      <w:r w:rsidR="00476D40" w:rsidRPr="00D147A7">
        <w:rPr>
          <w:rFonts w:ascii="Times New Roman" w:hAnsi="Times New Roman" w:cs="Times New Roman"/>
          <w:sz w:val="24"/>
          <w:szCs w:val="24"/>
        </w:rPr>
        <w:t xml:space="preserve">zorgverleners tackelen deze hindernis </w:t>
      </w:r>
      <w:r w:rsidRPr="00D147A7">
        <w:rPr>
          <w:rFonts w:ascii="Times New Roman" w:hAnsi="Times New Roman" w:cs="Times New Roman"/>
          <w:sz w:val="24"/>
          <w:szCs w:val="24"/>
        </w:rPr>
        <w:t xml:space="preserve">door hun spreekuren via twitter te houden, vragen van patiënten </w:t>
      </w:r>
      <w:r w:rsidR="00476D40" w:rsidRPr="00D147A7">
        <w:rPr>
          <w:rFonts w:ascii="Times New Roman" w:hAnsi="Times New Roman" w:cs="Times New Roman"/>
          <w:sz w:val="24"/>
          <w:szCs w:val="24"/>
        </w:rPr>
        <w:t xml:space="preserve">beantwoorden </w:t>
      </w:r>
      <w:r w:rsidRPr="00D147A7">
        <w:rPr>
          <w:rFonts w:ascii="Times New Roman" w:hAnsi="Times New Roman" w:cs="Times New Roman"/>
          <w:sz w:val="24"/>
          <w:szCs w:val="24"/>
        </w:rPr>
        <w:t>en/of afspraken via e-mail of sociale netwerksites</w:t>
      </w:r>
      <w:r w:rsidR="00476D40" w:rsidRPr="00D147A7">
        <w:rPr>
          <w:rFonts w:ascii="Times New Roman" w:hAnsi="Times New Roman" w:cs="Times New Roman"/>
          <w:sz w:val="24"/>
          <w:szCs w:val="24"/>
        </w:rPr>
        <w:t xml:space="preserve"> maken</w:t>
      </w:r>
      <w:r w:rsidRPr="00D147A7">
        <w:rPr>
          <w:rFonts w:ascii="Times New Roman" w:hAnsi="Times New Roman" w:cs="Times New Roman"/>
          <w:sz w:val="24"/>
          <w:szCs w:val="24"/>
        </w:rPr>
        <w:t>, etc.</w:t>
      </w:r>
      <w:r w:rsidRPr="00D147A7">
        <w:rPr>
          <w:rStyle w:val="Voetnootmarkering"/>
          <w:rFonts w:ascii="Times New Roman" w:hAnsi="Times New Roman" w:cs="Times New Roman"/>
          <w:sz w:val="24"/>
          <w:szCs w:val="24"/>
        </w:rPr>
        <w:footnoteReference w:id="349"/>
      </w:r>
      <w:r w:rsidRPr="00D147A7">
        <w:rPr>
          <w:rFonts w:ascii="Times New Roman" w:hAnsi="Times New Roman" w:cs="Times New Roman"/>
          <w:sz w:val="24"/>
          <w:szCs w:val="24"/>
        </w:rPr>
        <w:t xml:space="preserve"> De communicatie tussen patiënt en zorgverlener of tussen zorgverleners onderling waarbij de gesprekpartners enkel virtueel contact hebben, wordt met de term ‘telegeneeskunde’ aangeduid.</w:t>
      </w:r>
      <w:r w:rsidRPr="00D147A7">
        <w:rPr>
          <w:rStyle w:val="Voetnootmarkering"/>
          <w:rFonts w:ascii="Times New Roman" w:hAnsi="Times New Roman" w:cs="Times New Roman"/>
          <w:sz w:val="24"/>
          <w:szCs w:val="24"/>
        </w:rPr>
        <w:footnoteReference w:id="350"/>
      </w:r>
      <w:r w:rsidRPr="00D147A7">
        <w:rPr>
          <w:rFonts w:ascii="Times New Roman" w:hAnsi="Times New Roman" w:cs="Times New Roman"/>
          <w:sz w:val="24"/>
          <w:szCs w:val="24"/>
        </w:rPr>
        <w:t xml:space="preserve"> Enkele van de vele juridische vraagstukken rond telegeneeskunde hebben betrekking op de aansprakelijkheid van zorgverleners (</w:t>
      </w:r>
      <w:r w:rsidR="00476D40" w:rsidRPr="00D147A7">
        <w:rPr>
          <w:rFonts w:ascii="Times New Roman" w:hAnsi="Times New Roman" w:cs="Times New Roman"/>
          <w:sz w:val="24"/>
          <w:szCs w:val="24"/>
        </w:rPr>
        <w:t>in gevalle een medische fout wordt begaan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51"/>
      </w:r>
      <w:r w:rsidRPr="00D147A7">
        <w:rPr>
          <w:rFonts w:ascii="Times New Roman" w:hAnsi="Times New Roman" w:cs="Times New Roman"/>
          <w:sz w:val="24"/>
          <w:szCs w:val="24"/>
        </w:rPr>
        <w:t xml:space="preserve"> en de terugbetaling van de zorgverlening op afstand.</w:t>
      </w:r>
      <w:r w:rsidRPr="00D147A7">
        <w:rPr>
          <w:rStyle w:val="Voetnootmarkering"/>
          <w:rFonts w:ascii="Times New Roman" w:hAnsi="Times New Roman" w:cs="Times New Roman"/>
          <w:sz w:val="24"/>
          <w:szCs w:val="24"/>
        </w:rPr>
        <w:footnoteReference w:id="352"/>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Recent werd een nieuw soort eHealth ontwikkeld, mHealth (waarbij ‘m’ de eenduidig afkorting is voor mobile), waarmee handig ingespeeld wordt op de </w:t>
      </w:r>
      <w:r w:rsidR="00476D40" w:rsidRPr="00D147A7">
        <w:rPr>
          <w:rFonts w:ascii="Times New Roman" w:hAnsi="Times New Roman" w:cs="Times New Roman"/>
          <w:sz w:val="24"/>
          <w:szCs w:val="24"/>
        </w:rPr>
        <w:t xml:space="preserve">stijgende </w:t>
      </w:r>
      <w:r w:rsidRPr="00D147A7">
        <w:rPr>
          <w:rFonts w:ascii="Times New Roman" w:hAnsi="Times New Roman" w:cs="Times New Roman"/>
          <w:sz w:val="24"/>
          <w:szCs w:val="24"/>
        </w:rPr>
        <w:t>populariteit van ‘smartphones’.</w:t>
      </w:r>
      <w:r w:rsidRPr="00D147A7">
        <w:rPr>
          <w:rStyle w:val="Voetnootmarkering"/>
          <w:rFonts w:ascii="Times New Roman" w:hAnsi="Times New Roman" w:cs="Times New Roman"/>
          <w:sz w:val="24"/>
          <w:szCs w:val="24"/>
        </w:rPr>
        <w:footnoteReference w:id="35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feite moet het fenomeen eHealth in het licht van de privacywet behandeld worden, wat pas in deel 4 van deze verhandeling aan bod komt. eHealth-toepassingen zijn immers geautomatiseerde verwerkingen van gezondheidsgegevens en vallen daardoor – net als</w:t>
      </w:r>
      <w:r w:rsidR="00476D40" w:rsidRPr="00D147A7">
        <w:rPr>
          <w:rFonts w:ascii="Times New Roman" w:hAnsi="Times New Roman" w:cs="Times New Roman"/>
          <w:sz w:val="24"/>
          <w:szCs w:val="24"/>
        </w:rPr>
        <w:t>, bijvoorbeeld,</w:t>
      </w:r>
      <w:r w:rsidRPr="00D147A7">
        <w:rPr>
          <w:rFonts w:ascii="Times New Roman" w:hAnsi="Times New Roman" w:cs="Times New Roman"/>
          <w:sz w:val="24"/>
          <w:szCs w:val="24"/>
        </w:rPr>
        <w:t xml:space="preserve"> de Kruispuntbank van de Sociale Zekerheid – onder het toepassingsgebied van de privacywet.</w:t>
      </w:r>
      <w:r w:rsidRPr="00D147A7">
        <w:rPr>
          <w:rStyle w:val="Voetnootmarkering"/>
          <w:rFonts w:ascii="Times New Roman" w:hAnsi="Times New Roman" w:cs="Times New Roman"/>
          <w:sz w:val="24"/>
          <w:szCs w:val="24"/>
        </w:rPr>
        <w:footnoteReference w:id="354"/>
      </w:r>
      <w:r w:rsidRPr="00D147A7">
        <w:rPr>
          <w:rFonts w:ascii="Times New Roman" w:hAnsi="Times New Roman" w:cs="Times New Roman"/>
          <w:sz w:val="24"/>
          <w:szCs w:val="24"/>
        </w:rPr>
        <w:t xml:space="preserve"> Maar </w:t>
      </w:r>
      <w:r w:rsidR="00476D40" w:rsidRPr="00D147A7">
        <w:rPr>
          <w:rFonts w:ascii="Times New Roman" w:hAnsi="Times New Roman" w:cs="Times New Roman"/>
          <w:sz w:val="24"/>
          <w:szCs w:val="24"/>
        </w:rPr>
        <w:t xml:space="preserve">daar </w:t>
      </w:r>
      <w:r w:rsidRPr="00D147A7">
        <w:rPr>
          <w:rFonts w:ascii="Times New Roman" w:hAnsi="Times New Roman" w:cs="Times New Roman"/>
          <w:sz w:val="24"/>
          <w:szCs w:val="24"/>
        </w:rPr>
        <w:t xml:space="preserve">waar de Europese wetgeving – ter bescherming van de persoonlijke levenssfeer van de personen wiens </w:t>
      </w:r>
      <w:r w:rsidR="00476D40" w:rsidRPr="00D147A7">
        <w:rPr>
          <w:rFonts w:ascii="Times New Roman" w:hAnsi="Times New Roman" w:cs="Times New Roman"/>
          <w:sz w:val="24"/>
          <w:szCs w:val="24"/>
        </w:rPr>
        <w:t xml:space="preserve">(gevoelige) </w:t>
      </w:r>
      <w:r w:rsidRPr="00D147A7">
        <w:rPr>
          <w:rFonts w:ascii="Times New Roman" w:hAnsi="Times New Roman" w:cs="Times New Roman"/>
          <w:sz w:val="24"/>
          <w:szCs w:val="24"/>
        </w:rPr>
        <w:t xml:space="preserve">gegevens verwerkt worden – in grote mate op Europees niveau </w:t>
      </w:r>
      <w:r w:rsidR="00476D40" w:rsidRPr="00D147A7">
        <w:rPr>
          <w:rFonts w:ascii="Times New Roman" w:hAnsi="Times New Roman" w:cs="Times New Roman"/>
          <w:sz w:val="24"/>
          <w:szCs w:val="24"/>
        </w:rPr>
        <w:t>gelijkgeschakeld</w:t>
      </w:r>
      <w:r w:rsidRPr="00D147A7">
        <w:rPr>
          <w:rFonts w:ascii="Times New Roman" w:hAnsi="Times New Roman" w:cs="Times New Roman"/>
          <w:sz w:val="24"/>
          <w:szCs w:val="24"/>
        </w:rPr>
        <w:t xml:space="preserve"> is, </w:t>
      </w:r>
      <w:r w:rsidR="00476D40" w:rsidRPr="00D147A7">
        <w:rPr>
          <w:rFonts w:ascii="Times New Roman" w:hAnsi="Times New Roman" w:cs="Times New Roman"/>
          <w:sz w:val="24"/>
          <w:szCs w:val="24"/>
        </w:rPr>
        <w:t>vertonen</w:t>
      </w:r>
      <w:r w:rsidRPr="00D147A7">
        <w:rPr>
          <w:rFonts w:ascii="Times New Roman" w:hAnsi="Times New Roman" w:cs="Times New Roman"/>
          <w:sz w:val="24"/>
          <w:szCs w:val="24"/>
        </w:rPr>
        <w:t xml:space="preserve"> </w:t>
      </w:r>
      <w:r w:rsidR="00476D40" w:rsidRPr="00D147A7">
        <w:rPr>
          <w:rFonts w:ascii="Times New Roman" w:hAnsi="Times New Roman" w:cs="Times New Roman"/>
          <w:sz w:val="24"/>
          <w:szCs w:val="24"/>
        </w:rPr>
        <w:t>de</w:t>
      </w:r>
      <w:r w:rsidRPr="00D147A7">
        <w:rPr>
          <w:rFonts w:ascii="Times New Roman" w:hAnsi="Times New Roman" w:cs="Times New Roman"/>
          <w:sz w:val="24"/>
          <w:szCs w:val="24"/>
        </w:rPr>
        <w:t xml:space="preserve"> nationale eHealth-systemen </w:t>
      </w:r>
      <w:r w:rsidR="00476D40" w:rsidRPr="00D147A7">
        <w:rPr>
          <w:rFonts w:ascii="Times New Roman" w:hAnsi="Times New Roman" w:cs="Times New Roman"/>
          <w:sz w:val="24"/>
          <w:szCs w:val="24"/>
        </w:rPr>
        <w:t>i</w:t>
      </w:r>
      <w:r w:rsidRPr="00D147A7">
        <w:rPr>
          <w:rFonts w:ascii="Times New Roman" w:hAnsi="Times New Roman" w:cs="Times New Roman"/>
          <w:sz w:val="24"/>
          <w:szCs w:val="24"/>
        </w:rPr>
        <w:t>n België, Nederland en Frankrijk</w:t>
      </w:r>
      <w:r w:rsidR="00476D40" w:rsidRPr="00D147A7">
        <w:rPr>
          <w:rFonts w:ascii="Times New Roman" w:hAnsi="Times New Roman" w:cs="Times New Roman"/>
          <w:sz w:val="24"/>
          <w:szCs w:val="24"/>
        </w:rPr>
        <w:t xml:space="preserve"> grote verschillen</w:t>
      </w:r>
      <w:r w:rsidRPr="00D147A7">
        <w:rPr>
          <w:rFonts w:ascii="Times New Roman" w:hAnsi="Times New Roman" w:cs="Times New Roman"/>
          <w:sz w:val="24"/>
          <w:szCs w:val="24"/>
        </w:rPr>
        <w:t>. De Europese Unie heeft slechts één bepaling uit het ‘harde recht’ m.b.t. eHealth, wat in schril contrast staat met de privacy</w:t>
      </w:r>
      <w:r w:rsidR="00476D40" w:rsidRPr="00D147A7">
        <w:rPr>
          <w:rFonts w:ascii="Times New Roman" w:hAnsi="Times New Roman" w:cs="Times New Roman"/>
          <w:sz w:val="24"/>
          <w:szCs w:val="24"/>
        </w:rPr>
        <w:t>-</w:t>
      </w:r>
      <w:r w:rsidRPr="00D147A7">
        <w:rPr>
          <w:rFonts w:ascii="Times New Roman" w:hAnsi="Times New Roman" w:cs="Times New Roman"/>
          <w:sz w:val="24"/>
          <w:szCs w:val="24"/>
        </w:rPr>
        <w:t>reg</w:t>
      </w:r>
      <w:r w:rsidR="00476D40" w:rsidRPr="00D147A7">
        <w:rPr>
          <w:rFonts w:ascii="Times New Roman" w:hAnsi="Times New Roman" w:cs="Times New Roman"/>
          <w:sz w:val="24"/>
          <w:szCs w:val="24"/>
        </w:rPr>
        <w:t>u</w:t>
      </w:r>
      <w:r w:rsidRPr="00D147A7">
        <w:rPr>
          <w:rFonts w:ascii="Times New Roman" w:hAnsi="Times New Roman" w:cs="Times New Roman"/>
          <w:sz w:val="24"/>
          <w:szCs w:val="24"/>
        </w:rPr>
        <w:t>l</w:t>
      </w:r>
      <w:r w:rsidR="00476D40" w:rsidRPr="00D147A7">
        <w:rPr>
          <w:rFonts w:ascii="Times New Roman" w:hAnsi="Times New Roman" w:cs="Times New Roman"/>
          <w:sz w:val="24"/>
          <w:szCs w:val="24"/>
        </w:rPr>
        <w:t>er</w:t>
      </w:r>
      <w:r w:rsidRPr="00D147A7">
        <w:rPr>
          <w:rFonts w:ascii="Times New Roman" w:hAnsi="Times New Roman" w:cs="Times New Roman"/>
          <w:sz w:val="24"/>
          <w:szCs w:val="24"/>
        </w:rPr>
        <w:t>ing.</w:t>
      </w:r>
      <w:r w:rsidRPr="00D147A7">
        <w:rPr>
          <w:rStyle w:val="Voetnootmarkering"/>
          <w:rFonts w:ascii="Times New Roman" w:hAnsi="Times New Roman" w:cs="Times New Roman"/>
          <w:sz w:val="24"/>
          <w:szCs w:val="24"/>
        </w:rPr>
        <w:footnoteReference w:id="355"/>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Hoewel eHealth geen echt archiefsysteem is – en dus </w:t>
      </w:r>
      <w:r w:rsidRPr="00D147A7">
        <w:rPr>
          <w:rFonts w:ascii="Times New Roman" w:hAnsi="Times New Roman" w:cs="Times New Roman"/>
          <w:i/>
          <w:iCs/>
          <w:sz w:val="24"/>
          <w:szCs w:val="24"/>
        </w:rPr>
        <w:t xml:space="preserve">strictu sensu </w:t>
      </w:r>
      <w:r w:rsidRPr="00D147A7">
        <w:rPr>
          <w:rFonts w:ascii="Times New Roman" w:hAnsi="Times New Roman" w:cs="Times New Roman"/>
          <w:sz w:val="24"/>
          <w:szCs w:val="24"/>
        </w:rPr>
        <w:t>geen betrekking heeft op de vastlegging van patiëntendossiers in informatiesystemen – kan de opname van patiënten</w:t>
      </w:r>
      <w:r w:rsidR="00476D40" w:rsidRPr="00D147A7">
        <w:rPr>
          <w:rFonts w:ascii="Times New Roman" w:hAnsi="Times New Roman" w:cs="Times New Roman"/>
          <w:sz w:val="24"/>
          <w:szCs w:val="24"/>
        </w:rPr>
        <w:t>-</w:t>
      </w:r>
      <w:r w:rsidRPr="00D147A7">
        <w:rPr>
          <w:rFonts w:ascii="Times New Roman" w:hAnsi="Times New Roman" w:cs="Times New Roman"/>
          <w:sz w:val="24"/>
          <w:szCs w:val="24"/>
        </w:rPr>
        <w:t>dossiers in eHealth toch als ‘secundaire classificatie’ beschouwd worden.</w:t>
      </w:r>
      <w:r w:rsidRPr="00D147A7">
        <w:rPr>
          <w:rStyle w:val="Voetnootmarkering"/>
          <w:rFonts w:ascii="Times New Roman" w:hAnsi="Times New Roman" w:cs="Times New Roman"/>
          <w:sz w:val="24"/>
          <w:szCs w:val="24"/>
        </w:rPr>
        <w:footnoteReference w:id="356"/>
      </w:r>
      <w:r w:rsidRPr="00D147A7">
        <w:rPr>
          <w:rFonts w:ascii="Times New Roman" w:hAnsi="Times New Roman" w:cs="Times New Roman"/>
          <w:sz w:val="24"/>
          <w:szCs w:val="24"/>
        </w:rPr>
        <w:t xml:space="preserve"> De </w:t>
      </w:r>
      <w:r w:rsidR="00476D40" w:rsidRPr="00D147A7">
        <w:rPr>
          <w:rFonts w:ascii="Times New Roman" w:hAnsi="Times New Roman" w:cs="Times New Roman"/>
          <w:sz w:val="24"/>
          <w:szCs w:val="24"/>
        </w:rPr>
        <w:t>finaliteit</w:t>
      </w:r>
      <w:r w:rsidRPr="00D147A7">
        <w:rPr>
          <w:rFonts w:ascii="Times New Roman" w:hAnsi="Times New Roman" w:cs="Times New Roman"/>
          <w:sz w:val="24"/>
          <w:szCs w:val="24"/>
        </w:rPr>
        <w:t xml:space="preserve"> </w:t>
      </w:r>
      <w:r w:rsidR="00476D40" w:rsidRPr="00D147A7">
        <w:rPr>
          <w:rFonts w:ascii="Times New Roman" w:hAnsi="Times New Roman" w:cs="Times New Roman"/>
          <w:sz w:val="24"/>
          <w:szCs w:val="24"/>
        </w:rPr>
        <w:t>is</w:t>
      </w:r>
      <w:r w:rsidRPr="00D147A7">
        <w:rPr>
          <w:rFonts w:ascii="Times New Roman" w:hAnsi="Times New Roman" w:cs="Times New Roman"/>
          <w:sz w:val="24"/>
          <w:szCs w:val="24"/>
        </w:rPr>
        <w:t xml:space="preserve"> immers dezelfde: het overzicht en de toegankelijkheid van archiefbescheiden bevorderen. Op het hoogste niveau worden patiëntendossiers op basis van een </w:t>
      </w:r>
      <w:r w:rsidRPr="00D147A7">
        <w:rPr>
          <w:rFonts w:ascii="Times New Roman" w:hAnsi="Times New Roman" w:cs="Times New Roman"/>
          <w:i/>
          <w:sz w:val="24"/>
          <w:szCs w:val="24"/>
        </w:rPr>
        <w:t>unique persistent identifier</w:t>
      </w:r>
      <w:r w:rsidRPr="00D147A7">
        <w:rPr>
          <w:rFonts w:ascii="Times New Roman" w:hAnsi="Times New Roman" w:cs="Times New Roman"/>
          <w:sz w:val="24"/>
          <w:szCs w:val="24"/>
        </w:rPr>
        <w:t xml:space="preserve"> ingedeeld. Vervolgens wordt een onderscheid gemaakt op basis van de verschillende pathologieën. Niet elke zorgverlener met wie een patiënt een therapeutische relatie heeft, kan immers diens integrale elektronis</w:t>
      </w:r>
      <w:r w:rsidR="00476D40" w:rsidRPr="00D147A7">
        <w:rPr>
          <w:rFonts w:ascii="Times New Roman" w:hAnsi="Times New Roman" w:cs="Times New Roman"/>
          <w:sz w:val="24"/>
          <w:szCs w:val="24"/>
        </w:rPr>
        <w:t>ch patiëntendossier raadplegen.</w:t>
      </w:r>
    </w:p>
    <w:p w:rsidR="005E39F6" w:rsidRPr="00D147A7" w:rsidRDefault="005E39F6"/>
    <w:tbl>
      <w:tblPr>
        <w:tblStyle w:val="Tabelraster"/>
        <w:tblW w:w="0" w:type="auto"/>
        <w:tblLook w:val="04A0" w:firstRow="1" w:lastRow="0" w:firstColumn="1" w:lastColumn="0" w:noHBand="0" w:noVBand="1"/>
      </w:tblPr>
      <w:tblGrid>
        <w:gridCol w:w="9212"/>
      </w:tblGrid>
      <w:tr w:rsidR="009931C7" w:rsidRPr="00D147A7" w:rsidTr="004721B1">
        <w:tc>
          <w:tcPr>
            <w:tcW w:w="9212" w:type="dxa"/>
          </w:tcPr>
          <w:p w:rsidR="009931C7" w:rsidRPr="00D147A7" w:rsidRDefault="009931C7" w:rsidP="004721B1">
            <w:pPr>
              <w:rPr>
                <w:b/>
                <w:smallCaps/>
              </w:rPr>
            </w:pPr>
            <w:r w:rsidRPr="00D147A7">
              <w:rPr>
                <w:b/>
                <w:smallCaps/>
              </w:rPr>
              <w:t>Relevante wetgeving</w:t>
            </w:r>
          </w:p>
        </w:tc>
      </w:tr>
      <w:tr w:rsidR="009931C7" w:rsidRPr="00D147A7" w:rsidTr="004721B1">
        <w:tc>
          <w:tcPr>
            <w:tcW w:w="9212" w:type="dxa"/>
          </w:tcPr>
          <w:p w:rsidR="009931C7" w:rsidRPr="00D147A7" w:rsidRDefault="009931C7" w:rsidP="004721B1">
            <w:r w:rsidRPr="00D147A7">
              <w:t>België: wet van 21 augustus 2008</w:t>
            </w:r>
          </w:p>
        </w:tc>
      </w:tr>
      <w:tr w:rsidR="009931C7" w:rsidRPr="00D147A7" w:rsidTr="004721B1">
        <w:tc>
          <w:tcPr>
            <w:tcW w:w="9212" w:type="dxa"/>
          </w:tcPr>
          <w:p w:rsidR="009931C7" w:rsidRPr="00D147A7" w:rsidRDefault="009931C7" w:rsidP="004721B1">
            <w:r w:rsidRPr="00D147A7">
              <w:t>Nederland: /</w:t>
            </w:r>
          </w:p>
        </w:tc>
      </w:tr>
      <w:tr w:rsidR="009931C7" w:rsidRPr="00D147A7" w:rsidTr="004721B1">
        <w:tc>
          <w:tcPr>
            <w:tcW w:w="9212" w:type="dxa"/>
          </w:tcPr>
          <w:p w:rsidR="009931C7" w:rsidRPr="00D147A7" w:rsidRDefault="009931C7" w:rsidP="004721B1">
            <w:r w:rsidRPr="00D147A7">
              <w:t>Frankrijk: wet nr. 2004-810 van 13 augustus 2004</w:t>
            </w:r>
          </w:p>
        </w:tc>
      </w:tr>
    </w:tbl>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de onderstaande radargrafieken worden recente statistieken weergegeven over het gebruik van (verschillende soorten toepassingen van) eHealth door Belgische, Nederlandse en Franse ziekenhuizen en huisartsen.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jc w:val="center"/>
        <w:rPr>
          <w:b/>
        </w:rPr>
      </w:pPr>
      <w:r w:rsidRPr="00D147A7">
        <w:rPr>
          <w:noProof/>
          <w:lang w:eastAsia="nl-BE" w:bidi="ar-SA"/>
        </w:rPr>
        <w:lastRenderedPageBreak/>
        <w:drawing>
          <wp:inline distT="0" distB="0" distL="0" distR="0" wp14:anchorId="0E6ED28D" wp14:editId="4C902A29">
            <wp:extent cx="5571429" cy="2076191"/>
            <wp:effectExtent l="0" t="0" r="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71429" cy="2076191"/>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1: Het gebruik van eHealth-toepassingen in Belgische ziekenhuizen anno 2011</w:t>
      </w:r>
      <w:r w:rsidRPr="00D147A7">
        <w:rPr>
          <w:rStyle w:val="Voetnootmarkering"/>
          <w:rFonts w:ascii="Times New Roman" w:hAnsi="Times New Roman" w:cs="Times New Roman"/>
          <w:sz w:val="24"/>
          <w:szCs w:val="24"/>
        </w:rPr>
        <w:footnoteReference w:id="357"/>
      </w:r>
    </w:p>
    <w:p w:rsidR="00BE6BB0" w:rsidRPr="00D147A7" w:rsidRDefault="00BE6BB0" w:rsidP="009931C7">
      <w:pPr>
        <w:pStyle w:val="Geenafstand"/>
        <w:jc w:val="center"/>
        <w:rPr>
          <w:rFonts w:ascii="Times New Roman" w:hAnsi="Times New Roman" w:cs="Times New Roman"/>
          <w:sz w:val="24"/>
          <w:szCs w:val="24"/>
        </w:rPr>
      </w:pPr>
    </w:p>
    <w:p w:rsidR="009931C7" w:rsidRPr="00D147A7" w:rsidRDefault="009931C7" w:rsidP="009931C7">
      <w:pPr>
        <w:rPr>
          <w:b/>
        </w:rPr>
      </w:pPr>
    </w:p>
    <w:p w:rsidR="009931C7" w:rsidRPr="00D147A7" w:rsidRDefault="009931C7" w:rsidP="009931C7">
      <w:pPr>
        <w:jc w:val="center"/>
        <w:rPr>
          <w:b/>
        </w:rPr>
      </w:pPr>
      <w:r w:rsidRPr="00D147A7">
        <w:rPr>
          <w:noProof/>
          <w:lang w:eastAsia="nl-BE" w:bidi="ar-SA"/>
        </w:rPr>
        <w:drawing>
          <wp:inline distT="0" distB="0" distL="0" distR="0" wp14:anchorId="51AE56E9" wp14:editId="284917B1">
            <wp:extent cx="5906953" cy="1897811"/>
            <wp:effectExtent l="0" t="0" r="0" b="76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05185" cy="1897243"/>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2: Het gebruik van eHealth-toepassingen door Belgische huisartsen anno 2010</w:t>
      </w:r>
      <w:r w:rsidRPr="00D147A7">
        <w:rPr>
          <w:rStyle w:val="Voetnootmarkering"/>
          <w:rFonts w:ascii="Times New Roman" w:hAnsi="Times New Roman" w:cs="Times New Roman"/>
          <w:sz w:val="24"/>
          <w:szCs w:val="24"/>
        </w:rPr>
        <w:footnoteReference w:id="35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171E9C1F" wp14:editId="0C581B4B">
            <wp:extent cx="5561905" cy="2000000"/>
            <wp:effectExtent l="0" t="0" r="1270"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61905" cy="2000000"/>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3: Het gebruik van eHealth-toepassingen in Nederlandse ziekenhuizen in 2011</w:t>
      </w:r>
      <w:r w:rsidRPr="00D147A7">
        <w:rPr>
          <w:rStyle w:val="Voetnootmarkering"/>
          <w:rFonts w:ascii="Times New Roman" w:hAnsi="Times New Roman" w:cs="Times New Roman"/>
          <w:sz w:val="24"/>
          <w:szCs w:val="24"/>
        </w:rPr>
        <w:footnoteReference w:id="359"/>
      </w: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lastRenderedPageBreak/>
        <w:drawing>
          <wp:inline distT="0" distB="0" distL="0" distR="0" wp14:anchorId="2B1BD168" wp14:editId="653D4F5B">
            <wp:extent cx="5760720" cy="1880235"/>
            <wp:effectExtent l="0" t="0" r="0"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1880235"/>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4: Het gebruik van eHealth-toepassingen door Nederlandse huisartsen in 2010</w:t>
      </w:r>
      <w:r w:rsidRPr="00D147A7">
        <w:rPr>
          <w:rStyle w:val="Voetnootmarkering"/>
          <w:rFonts w:ascii="Times New Roman" w:hAnsi="Times New Roman" w:cs="Times New Roman"/>
          <w:sz w:val="24"/>
          <w:szCs w:val="24"/>
        </w:rPr>
        <w:footnoteReference w:id="360"/>
      </w: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7C1A4852" wp14:editId="17557212">
            <wp:extent cx="5590477" cy="2057143"/>
            <wp:effectExtent l="0" t="0" r="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90477" cy="2057143"/>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5: Het gebruik van eHealth-toepassingen in Franse ziekenhuizen anno 2011</w:t>
      </w:r>
      <w:r w:rsidRPr="00D147A7">
        <w:rPr>
          <w:rStyle w:val="Voetnootmarkering"/>
          <w:rFonts w:ascii="Times New Roman" w:hAnsi="Times New Roman" w:cs="Times New Roman"/>
          <w:sz w:val="24"/>
          <w:szCs w:val="24"/>
        </w:rPr>
        <w:footnoteReference w:id="36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4405CED1" wp14:editId="2DDBFD32">
            <wp:extent cx="5760720" cy="1821815"/>
            <wp:effectExtent l="0" t="0" r="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1821815"/>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Grafiek 6: Het gebruik van eHealth-toepassingen door Franse huisartsen anno 2010</w:t>
      </w:r>
      <w:r w:rsidRPr="00D147A7">
        <w:rPr>
          <w:rStyle w:val="Voetnootmarkering"/>
          <w:rFonts w:ascii="Times New Roman" w:hAnsi="Times New Roman" w:cs="Times New Roman"/>
          <w:sz w:val="24"/>
          <w:szCs w:val="24"/>
        </w:rPr>
        <w:footnoteReference w:id="362"/>
      </w:r>
    </w:p>
    <w:p w:rsidR="009931C7" w:rsidRPr="00D147A7" w:rsidRDefault="009931C7" w:rsidP="009931C7">
      <w:pPr>
        <w:pStyle w:val="Geenafstand"/>
        <w:rPr>
          <w:rFonts w:ascii="Times New Roman" w:hAnsi="Times New Roman" w:cs="Times New Roman"/>
          <w:sz w:val="24"/>
          <w:szCs w:val="24"/>
        </w:rPr>
      </w:pPr>
    </w:p>
    <w:p w:rsidR="009931C7" w:rsidRPr="00D147A7" w:rsidRDefault="009931C7" w:rsidP="009931C7">
      <w:pPr>
        <w:pStyle w:val="Geenafstand"/>
        <w:rPr>
          <w:rFonts w:ascii="Times New Roman" w:hAnsi="Times New Roman" w:cs="Times New Roman"/>
          <w:sz w:val="24"/>
          <w:szCs w:val="24"/>
        </w:rPr>
      </w:pPr>
    </w:p>
    <w:p w:rsidR="00AF492F" w:rsidRDefault="00AF492F">
      <w:pPr>
        <w:widowControl/>
        <w:suppressAutoHyphens w:val="0"/>
        <w:spacing w:after="200" w:line="276" w:lineRule="auto"/>
        <w:rPr>
          <w:smallCaps/>
          <w:kern w:val="0"/>
          <w:lang w:eastAsia="en-US" w:bidi="ar-SA"/>
        </w:rPr>
      </w:pPr>
      <w:r>
        <w:rPr>
          <w:smallCaps/>
        </w:rPr>
        <w:br w:type="page"/>
      </w:r>
    </w:p>
    <w:p w:rsidR="009931C7" w:rsidRPr="00D147A7" w:rsidRDefault="009931C7" w:rsidP="009931C7">
      <w:pPr>
        <w:pStyle w:val="Geenafstand"/>
        <w:numPr>
          <w:ilvl w:val="1"/>
          <w:numId w:val="32"/>
        </w:numPr>
        <w:rPr>
          <w:rFonts w:ascii="Times New Roman" w:hAnsi="Times New Roman" w:cs="Times New Roman"/>
          <w:smallCaps/>
          <w:sz w:val="24"/>
          <w:szCs w:val="24"/>
        </w:rPr>
      </w:pPr>
      <w:r w:rsidRPr="00D147A7">
        <w:rPr>
          <w:rFonts w:ascii="Times New Roman" w:hAnsi="Times New Roman" w:cs="Times New Roman"/>
          <w:smallCaps/>
          <w:sz w:val="24"/>
          <w:szCs w:val="24"/>
        </w:rPr>
        <w:lastRenderedPageBreak/>
        <w:t>België</w:t>
      </w:r>
    </w:p>
    <w:p w:rsidR="009931C7" w:rsidRPr="00D147A7" w:rsidRDefault="009931C7" w:rsidP="009931C7">
      <w:pPr>
        <w:pStyle w:val="Geenafstand"/>
        <w:rPr>
          <w:rFonts w:ascii="Times New Roman" w:hAnsi="Times New Roman" w:cs="Times New Roman"/>
          <w:smallCaps/>
          <w:sz w:val="24"/>
          <w:szCs w:val="24"/>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1: Geschiedenis van ontwikkelingen rondom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Officieel heeft België geen nationale eHealth-strategie, maar verschillende wetten en beleids</w:t>
      </w:r>
      <w:r w:rsidR="00476D40" w:rsidRPr="00D147A7">
        <w:rPr>
          <w:rFonts w:ascii="Times New Roman" w:hAnsi="Times New Roman" w:cs="Times New Roman"/>
          <w:sz w:val="24"/>
          <w:szCs w:val="24"/>
        </w:rPr>
        <w:t>-</w:t>
      </w:r>
      <w:r w:rsidRPr="00D147A7">
        <w:rPr>
          <w:rFonts w:ascii="Times New Roman" w:hAnsi="Times New Roman" w:cs="Times New Roman"/>
          <w:sz w:val="24"/>
          <w:szCs w:val="24"/>
        </w:rPr>
        <w:t>beslissingen m.b.t. de implementatie van gezondheidsinformatie- en communicatietechnolo</w:t>
      </w:r>
      <w:r w:rsidR="00476D40" w:rsidRPr="00D147A7">
        <w:rPr>
          <w:rFonts w:ascii="Times New Roman" w:hAnsi="Times New Roman" w:cs="Times New Roman"/>
          <w:sz w:val="24"/>
          <w:szCs w:val="24"/>
        </w:rPr>
        <w:t>-</w:t>
      </w:r>
      <w:r w:rsidRPr="00D147A7">
        <w:rPr>
          <w:rFonts w:ascii="Times New Roman" w:hAnsi="Times New Roman" w:cs="Times New Roman"/>
          <w:sz w:val="24"/>
          <w:szCs w:val="24"/>
        </w:rPr>
        <w:t>gieën (HICT) en telematica in de zorg. Het voorlopige sluitstuk van deze ontwikkelingsgang is – althans op federaal niveau – de oprichting van het eHealth-platform in 2008, dat samen met de FOD Volksgezondheid en het RIZIV de gegevensuitwisseling in de zorgsector moet bevorderen en coördineren. Lange tijd werd betwijfeld of de elektronische verwerking van – uiterst privacygevoelige – gezondheidsgegevens voldoende waarborgen zou bieden om de persoonlijke levenssfeer van de betrokken patiënten te beschermen.</w:t>
      </w:r>
      <w:r w:rsidRPr="00D147A7">
        <w:rPr>
          <w:rStyle w:val="Voetnootmarkering"/>
          <w:rFonts w:ascii="Times New Roman" w:hAnsi="Times New Roman" w:cs="Times New Roman"/>
          <w:sz w:val="24"/>
          <w:szCs w:val="24"/>
        </w:rPr>
        <w:footnoteReference w:id="363"/>
      </w:r>
      <w:r w:rsidRPr="00D147A7">
        <w:rPr>
          <w:rFonts w:ascii="Times New Roman" w:hAnsi="Times New Roman" w:cs="Times New Roman"/>
          <w:sz w:val="24"/>
          <w:szCs w:val="24"/>
        </w:rPr>
        <w:t xml:space="preserve"> Hoewel de informatica</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steeds</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meer mogelijkheden aanreikt, blijven vele zorgverleners zich wantrouwig opstellen ten opzichte van een doorgedreven digitalisering in de zorg</w:t>
      </w:r>
      <w:r w:rsidR="00AE29DB" w:rsidRPr="00D147A7">
        <w:rPr>
          <w:rFonts w:ascii="Times New Roman" w:hAnsi="Times New Roman" w:cs="Times New Roman"/>
          <w:sz w:val="24"/>
          <w:szCs w:val="24"/>
        </w:rPr>
        <w:t>sector</w:t>
      </w:r>
      <w:r w:rsidRPr="00D147A7">
        <w:rPr>
          <w:rFonts w:ascii="Times New Roman" w:hAnsi="Times New Roman" w:cs="Times New Roman"/>
          <w:sz w:val="24"/>
          <w:szCs w:val="24"/>
        </w:rPr>
        <w:t>. Het eHealth-platform zou dan ook, meer dan enig ander eGovernment-project, geen enkele kans op slagen gehad hebben, mocht het van de ene dag op de andere worden</w:t>
      </w:r>
      <w:r w:rsidR="00AE29DB" w:rsidRPr="00D147A7">
        <w:rPr>
          <w:rFonts w:ascii="Times New Roman" w:hAnsi="Times New Roman" w:cs="Times New Roman"/>
          <w:sz w:val="24"/>
          <w:szCs w:val="24"/>
        </w:rPr>
        <w:t xml:space="preserve"> ingevoerd</w:t>
      </w:r>
      <w:r w:rsidRPr="00D147A7">
        <w:rPr>
          <w:rFonts w:ascii="Times New Roman" w:hAnsi="Times New Roman" w:cs="Times New Roman"/>
          <w:sz w:val="24"/>
          <w:szCs w:val="24"/>
        </w:rPr>
        <w:t xml:space="preserve">. Het stimuleren van de aanvaarding van gezondheidsinformatie- en communicatietechnologieën moet op duidelijke wetgeving steunen en op de zorgverlening afgestemd worden d.m.v. een </w:t>
      </w:r>
      <w:r w:rsidRPr="00D147A7">
        <w:rPr>
          <w:rFonts w:ascii="Times New Roman" w:hAnsi="Times New Roman" w:cs="Times New Roman"/>
          <w:i/>
          <w:sz w:val="24"/>
          <w:szCs w:val="24"/>
        </w:rPr>
        <w:t>bottom-up</w:t>
      </w:r>
      <w:r w:rsidRPr="00D147A7">
        <w:rPr>
          <w:rFonts w:ascii="Times New Roman" w:hAnsi="Times New Roman" w:cs="Times New Roman"/>
          <w:sz w:val="24"/>
          <w:szCs w:val="24"/>
        </w:rPr>
        <w:t xml:space="preserve"> benadering. Zonder politiek en maatschappelijk draagvlak – wat slechts stukje bij beetje kan worden opgebouwd – zijn investeringen in eHealth als water naar de zee dragen. Zorgverleners die niet overtuigd zijn over de opportuniteit en veiligheid van de elektronische uitwisseling van gezondheids</w:t>
      </w:r>
      <w:r w:rsidR="00AE29DB" w:rsidRPr="00D147A7">
        <w:rPr>
          <w:rFonts w:ascii="Times New Roman" w:hAnsi="Times New Roman" w:cs="Times New Roman"/>
          <w:sz w:val="24"/>
          <w:szCs w:val="24"/>
        </w:rPr>
        <w:t>-</w:t>
      </w:r>
      <w:r w:rsidRPr="00D147A7">
        <w:rPr>
          <w:rFonts w:ascii="Times New Roman" w:hAnsi="Times New Roman" w:cs="Times New Roman"/>
          <w:sz w:val="24"/>
          <w:szCs w:val="24"/>
        </w:rPr>
        <w:t xml:space="preserve">gegevens zullen immers geen beroep doen op deze (facultatieve) diensten. </w:t>
      </w:r>
      <w:r w:rsidR="00AE29DB" w:rsidRPr="00D147A7">
        <w:rPr>
          <w:rFonts w:ascii="Times New Roman" w:hAnsi="Times New Roman" w:cs="Times New Roman"/>
          <w:sz w:val="24"/>
          <w:szCs w:val="24"/>
        </w:rPr>
        <w:t xml:space="preserve">Verder </w:t>
      </w:r>
      <w:r w:rsidRPr="00D147A7">
        <w:rPr>
          <w:rFonts w:ascii="Times New Roman" w:hAnsi="Times New Roman" w:cs="Times New Roman"/>
          <w:sz w:val="24"/>
          <w:szCs w:val="24"/>
        </w:rPr>
        <w:t>moeten ook patiënten het nut van eHealth-toepassingen inzien opdat zij toestemming zouden verlenen om hun gezondheidsgegevens via het eHealth-</w:t>
      </w:r>
      <w:r w:rsidR="00AE29DB" w:rsidRPr="00D147A7">
        <w:rPr>
          <w:rFonts w:ascii="Times New Roman" w:hAnsi="Times New Roman" w:cs="Times New Roman"/>
          <w:sz w:val="24"/>
          <w:szCs w:val="24"/>
        </w:rPr>
        <w:t>platform uit te laten wisselen.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AE29DB" w:rsidP="009931C7">
      <w:pPr>
        <w:autoSpaceDE w:val="0"/>
        <w:autoSpaceDN w:val="0"/>
        <w:adjustRightInd w:val="0"/>
        <w:jc w:val="both"/>
        <w:rPr>
          <w:i/>
          <w:iCs/>
        </w:rPr>
      </w:pPr>
      <w:r w:rsidRPr="00D147A7">
        <w:t>Reeds i</w:t>
      </w:r>
      <w:r w:rsidR="009931C7" w:rsidRPr="00D147A7">
        <w:t xml:space="preserve">n 1999 </w:t>
      </w:r>
      <w:r w:rsidRPr="00D147A7">
        <w:t>heeft de wetgever</w:t>
      </w:r>
      <w:r w:rsidR="009931C7" w:rsidRPr="00D147A7">
        <w:t xml:space="preserve"> de eerste stappen gezet om de elektronische uitwisseling van gezondheidsgegevens mogelijk te maken. Voor het eerst bood de wetgever aan ziekenhuizen de mogelijkheid om medische dossiers – en in 2006 ook voor verpleegkundige dossiers</w:t>
      </w:r>
      <w:r w:rsidR="009931C7" w:rsidRPr="00D147A7">
        <w:rPr>
          <w:rStyle w:val="Voetnootmarkering"/>
        </w:rPr>
        <w:footnoteReference w:id="364"/>
      </w:r>
      <w:r w:rsidR="009931C7" w:rsidRPr="00D147A7">
        <w:t xml:space="preserve"> – op een elektronische gegevensdrager te bewaren.</w:t>
      </w:r>
      <w:r w:rsidR="009931C7" w:rsidRPr="00D147A7">
        <w:rPr>
          <w:rStyle w:val="Voetnootmarkering"/>
        </w:rPr>
        <w:footnoteReference w:id="365"/>
      </w:r>
      <w:r w:rsidR="009931C7" w:rsidRPr="00D147A7">
        <w:t xml:space="preserve"> Sterker nog, ziekenhuizen w</w:t>
      </w:r>
      <w:r w:rsidRPr="00D147A7">
        <w:t>o</w:t>
      </w:r>
      <w:r w:rsidR="009931C7" w:rsidRPr="00D147A7">
        <w:t xml:space="preserve">rden </w:t>
      </w:r>
      <w:r w:rsidRPr="00D147A7">
        <w:t xml:space="preserve">in de huidige wetgeving </w:t>
      </w:r>
      <w:r w:rsidR="009931C7" w:rsidRPr="00D147A7">
        <w:t>aanbevolen om semi-dynamische patiëntendossiers in digitale vorm bij te houden.</w:t>
      </w:r>
      <w:r w:rsidR="009931C7" w:rsidRPr="00D147A7">
        <w:rPr>
          <w:rStyle w:val="Voetnootmarkering"/>
        </w:rPr>
        <w:footnoteReference w:id="366"/>
      </w:r>
      <w:r w:rsidR="009931C7" w:rsidRPr="00D147A7">
        <w:t xml:space="preserve"> In datzelfde jaar somde de wetgever ook de minimale criteria op waaraan medische softwareprogramma’s van zorgverleners moeten voldoen om door het Ministerie van Volksgezondheid te worden erkend.</w:t>
      </w:r>
      <w:r w:rsidR="009931C7" w:rsidRPr="00D147A7">
        <w:rPr>
          <w:rStyle w:val="Voetnootmarkering"/>
        </w:rPr>
        <w:footnoteReference w:id="367"/>
      </w:r>
      <w:r w:rsidR="009931C7" w:rsidRPr="00D147A7">
        <w:t xml:space="preserve"> Deze criteria kunnen onder andere betrekking hebben op </w:t>
      </w:r>
      <w:r w:rsidR="009931C7" w:rsidRPr="00D147A7">
        <w:rPr>
          <w:i/>
          <w:iCs/>
          <w:color w:val="000000"/>
        </w:rPr>
        <w:t>de te vervullen functies, de interne medische en verpleegkundige gegevensbanken in de programmatuur en hun onderlinge uitwisselbaarheid, de opbouw van het patiënten</w:t>
      </w:r>
      <w:r w:rsidRPr="00D147A7">
        <w:rPr>
          <w:i/>
          <w:iCs/>
          <w:color w:val="000000"/>
        </w:rPr>
        <w:t>-</w:t>
      </w:r>
      <w:r w:rsidR="009931C7" w:rsidRPr="00D147A7">
        <w:rPr>
          <w:i/>
          <w:iCs/>
          <w:color w:val="000000"/>
        </w:rPr>
        <w:t>dossier, de codificatie van de aandoeningen, de toepassingen van de statistieken, de hulp bij de diagnose, de hulp bij de therapie en het voorschrift, de lijst van anonieme en niet-anonieme medische en verpleegkundige gegevens met betrekking tot patiënten die uitwissel</w:t>
      </w:r>
      <w:r w:rsidRPr="00D147A7">
        <w:rPr>
          <w:i/>
          <w:iCs/>
          <w:color w:val="000000"/>
        </w:rPr>
        <w:t>-</w:t>
      </w:r>
      <w:r w:rsidR="009931C7" w:rsidRPr="00D147A7">
        <w:rPr>
          <w:i/>
          <w:iCs/>
          <w:color w:val="000000"/>
        </w:rPr>
        <w:t>baar moeten zijn, alsook het gebruik van de sociale zekerheidskaart en de facturatie aan de verzekeringsinstellingen</w:t>
      </w:r>
      <w:r w:rsidR="009931C7" w:rsidRPr="00D147A7">
        <w:rPr>
          <w:color w:val="000000"/>
        </w:rPr>
        <w:t>.</w:t>
      </w:r>
      <w:r w:rsidR="009931C7" w:rsidRPr="00D147A7">
        <w:rPr>
          <w:rStyle w:val="Voetnootmarkering"/>
          <w:color w:val="000000"/>
        </w:rPr>
        <w:footnoteReference w:id="368"/>
      </w:r>
      <w:r w:rsidR="009931C7" w:rsidRPr="00D147A7">
        <w:rPr>
          <w:i/>
          <w:iCs/>
        </w:rPr>
        <w:t xml:space="preserve"> </w:t>
      </w:r>
      <w:r w:rsidR="009931C7" w:rsidRPr="00D147A7">
        <w:t>En tot slot werd in 1999 een Telematicacommissie – de rechts</w:t>
      </w:r>
      <w:r w:rsidRPr="00D147A7">
        <w:t>-</w:t>
      </w:r>
      <w:r w:rsidR="009931C7" w:rsidRPr="00D147A7">
        <w:t>voorganger van het huidige eHealth-platform – in het leven geroepen.</w:t>
      </w:r>
      <w:r w:rsidR="009931C7" w:rsidRPr="00D147A7">
        <w:rPr>
          <w:rStyle w:val="Voetnootmarkering"/>
        </w:rPr>
        <w:footnoteReference w:id="369"/>
      </w:r>
      <w:r w:rsidR="009931C7" w:rsidRPr="00D147A7">
        <w:t xml:space="preserve"> Deze commissie had </w:t>
      </w:r>
      <w:r w:rsidR="009931C7" w:rsidRPr="00D147A7">
        <w:lastRenderedPageBreak/>
        <w:t xml:space="preserve">de algemene opdracht om </w:t>
      </w:r>
      <w:r w:rsidR="009931C7" w:rsidRPr="00D147A7">
        <w:rPr>
          <w:i/>
          <w:iCs/>
        </w:rPr>
        <w:t>de elektronische uitwisseling van gegevens, inclusief van patiënten</w:t>
      </w:r>
      <w:r w:rsidR="00D22DD5" w:rsidRPr="00D147A7">
        <w:rPr>
          <w:i/>
          <w:iCs/>
        </w:rPr>
        <w:t>-</w:t>
      </w:r>
      <w:r w:rsidR="009931C7" w:rsidRPr="00D147A7">
        <w:rPr>
          <w:i/>
          <w:iCs/>
        </w:rPr>
        <w:t xml:space="preserve">gegevens, in de sector van de gezondheidszorg te bevorderen </w:t>
      </w:r>
      <w:r w:rsidR="009931C7" w:rsidRPr="00D147A7">
        <w:t xml:space="preserve">en </w:t>
      </w:r>
      <w:r w:rsidR="009931C7" w:rsidRPr="00D147A7">
        <w:rPr>
          <w:i/>
          <w:iCs/>
        </w:rPr>
        <w:t>het gebruik van elektronische dossiers die patiënt-georiënteerd zijn te bevorderen en dit zowel in ziekenhuis- als in ambu</w:t>
      </w:r>
      <w:r w:rsidR="00D22DD5" w:rsidRPr="00D147A7">
        <w:rPr>
          <w:i/>
          <w:iCs/>
        </w:rPr>
        <w:t>-</w:t>
      </w:r>
      <w:r w:rsidR="009931C7" w:rsidRPr="00D147A7">
        <w:rPr>
          <w:i/>
          <w:iCs/>
        </w:rPr>
        <w:t>lante omgeving</w:t>
      </w:r>
      <w:r w:rsidR="009931C7" w:rsidRPr="00D147A7">
        <w:rPr>
          <w:iCs/>
        </w:rPr>
        <w:t>.</w:t>
      </w:r>
      <w:r w:rsidR="009931C7" w:rsidRPr="00D147A7">
        <w:rPr>
          <w:rStyle w:val="Voetnootmarkering"/>
          <w:iCs/>
        </w:rPr>
        <w:footnoteReference w:id="370"/>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een nota van 20 juli 2004 wezen Johan Vande Lanotte als Minister van Begroting en Overheidsbedrijven, Rudy Demotte als Minister van Sociale Zaken en Volksgezondheid en Peter Vanvelthoven als Staatssecretaris voor de Informatisering van de Staat de leden van de Ministerraad op de nood aan een nationale strategie voor de modernisering van de zorgsector d.m.v. de gecoördineerde ontwikkeling van informatica en telematica. Opdat er geen verschillende</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 xml:space="preserve"> niet-compatibele gezondheidsinformatiesystemen naast elkaar tot stand zouden komen, keurde de Ministerraad deze nota op 23 december goed, waardoor de bevoegde Ministers en Staatssecretarissen de voorbereidingen van het digitaliseringsproject in de zorgsector – BeHealth genaamd – aan</w:t>
      </w:r>
      <w:r w:rsidR="00D22DD5" w:rsidRPr="00D147A7">
        <w:rPr>
          <w:rFonts w:ascii="Times New Roman" w:hAnsi="Times New Roman" w:cs="Times New Roman"/>
          <w:sz w:val="24"/>
          <w:szCs w:val="24"/>
        </w:rPr>
        <w:t xml:space="preserve"> konden </w:t>
      </w:r>
      <w:r w:rsidRPr="00D147A7">
        <w:rPr>
          <w:rFonts w:ascii="Times New Roman" w:hAnsi="Times New Roman" w:cs="Times New Roman"/>
          <w:sz w:val="24"/>
          <w:szCs w:val="24"/>
        </w:rPr>
        <w:t>vatten. BeHealth zou een platform worden waarlangs alle informatie en toepassingen van de Belgische zorgsector via een portaalsite ter beschikking gesteld zouden worden aan zowel bevoegde zorgverleners als patiënten. Het elektronische dienstenplatform BeHealth zou de netwerken van de FOD Informatie- en Communicatietechnologie (Fedict), het extranet van het Ministerie van de Sociale Zekerheid en Carenet overkoepelen en de verschillende gegevensstromen van zorgverleners, verzorg</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ingsinstellingen, ziekenfondsen, het RIZIV, de FOD Volksgezondheid en de overheids</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 xml:space="preserve">diensten op het niveau van de gemeenschappen en gewesten met elkaar verbinden.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Op 16 december 2005 vond de startvergadering van de </w:t>
      </w:r>
      <w:r w:rsidR="00D22DD5" w:rsidRPr="00D147A7">
        <w:rPr>
          <w:rFonts w:ascii="Times New Roman" w:hAnsi="Times New Roman" w:cs="Times New Roman"/>
          <w:sz w:val="24"/>
          <w:szCs w:val="24"/>
        </w:rPr>
        <w:t>visie</w:t>
      </w:r>
      <w:r w:rsidRPr="00D147A7">
        <w:rPr>
          <w:rFonts w:ascii="Times New Roman" w:hAnsi="Times New Roman" w:cs="Times New Roman"/>
          <w:sz w:val="24"/>
          <w:szCs w:val="24"/>
        </w:rPr>
        <w:t xml:space="preserve">groep plaats, waarin de graduele operationalisering van BeHealth uitgewerkt werd en het hoofd geboden werd aan de vele vragen en bedenkingen van zorgverleners </w:t>
      </w:r>
      <w:r w:rsidR="00D22DD5" w:rsidRPr="00D147A7">
        <w:rPr>
          <w:rFonts w:ascii="Times New Roman" w:hAnsi="Times New Roman" w:cs="Times New Roman"/>
          <w:sz w:val="24"/>
          <w:szCs w:val="24"/>
        </w:rPr>
        <w:t>en</w:t>
      </w:r>
      <w:r w:rsidRPr="00D147A7">
        <w:rPr>
          <w:rFonts w:ascii="Times New Roman" w:hAnsi="Times New Roman" w:cs="Times New Roman"/>
          <w:sz w:val="24"/>
          <w:szCs w:val="24"/>
        </w:rPr>
        <w:t xml:space="preserve"> burgers.</w:t>
      </w:r>
      <w:r w:rsidRPr="00D147A7">
        <w:rPr>
          <w:rStyle w:val="Voetnootmarkering"/>
          <w:rFonts w:ascii="Times New Roman" w:hAnsi="Times New Roman" w:cs="Times New Roman"/>
          <w:sz w:val="24"/>
          <w:szCs w:val="24"/>
        </w:rPr>
        <w:footnoteReference w:id="371"/>
      </w:r>
      <w:r w:rsidRPr="00D147A7">
        <w:rPr>
          <w:rFonts w:ascii="Times New Roman" w:hAnsi="Times New Roman" w:cs="Times New Roman"/>
          <w:sz w:val="24"/>
          <w:szCs w:val="24"/>
        </w:rPr>
        <w:t xml:space="preserve"> In 2006 werd BeHealth officieel opgericht als staatsdienst met afzonderlijk beheer binnen de FOD Volksgezondheid.</w:t>
      </w:r>
      <w:r w:rsidRPr="00D147A7">
        <w:rPr>
          <w:rStyle w:val="Voetnootmarkering"/>
          <w:rFonts w:ascii="Times New Roman" w:hAnsi="Times New Roman" w:cs="Times New Roman"/>
          <w:sz w:val="24"/>
          <w:szCs w:val="24"/>
        </w:rPr>
        <w:footnoteReference w:id="372"/>
      </w:r>
      <w:r w:rsidRPr="00D147A7">
        <w:rPr>
          <w:rFonts w:ascii="Times New Roman" w:hAnsi="Times New Roman" w:cs="Times New Roman"/>
          <w:sz w:val="24"/>
          <w:szCs w:val="24"/>
        </w:rPr>
        <w:t xml:space="preserve"> Het doel van BeHealth was drieledig. Een goed georganiseerde uitwisseling van relevante infor</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 xml:space="preserve">matie over patiënten en over de aan hen verleende zorgen </w:t>
      </w:r>
      <w:r w:rsidR="00D22DD5" w:rsidRPr="00D147A7">
        <w:rPr>
          <w:rFonts w:ascii="Times New Roman" w:hAnsi="Times New Roman" w:cs="Times New Roman"/>
          <w:sz w:val="24"/>
          <w:szCs w:val="24"/>
        </w:rPr>
        <w:t>ter verbetering van</w:t>
      </w:r>
      <w:r w:rsidRPr="00D147A7">
        <w:rPr>
          <w:rFonts w:ascii="Times New Roman" w:hAnsi="Times New Roman" w:cs="Times New Roman"/>
          <w:sz w:val="24"/>
          <w:szCs w:val="24"/>
        </w:rPr>
        <w:t xml:space="preserve"> de kwaliteit van de gezondheidszorg en de veiligheid van de patiënten</w:t>
      </w:r>
      <w:r w:rsidRPr="00D147A7">
        <w:rPr>
          <w:rStyle w:val="Voetnootmarkering"/>
          <w:rFonts w:ascii="Times New Roman" w:hAnsi="Times New Roman" w:cs="Times New Roman"/>
          <w:sz w:val="24"/>
          <w:szCs w:val="24"/>
        </w:rPr>
        <w:footnoteReference w:id="373"/>
      </w:r>
      <w:r w:rsidRPr="00D147A7">
        <w:rPr>
          <w:rFonts w:ascii="Times New Roman" w:hAnsi="Times New Roman" w:cs="Times New Roman"/>
          <w:sz w:val="24"/>
          <w:szCs w:val="24"/>
        </w:rPr>
        <w:t xml:space="preserve">; de administratieve </w:t>
      </w:r>
      <w:r w:rsidR="00D22DD5" w:rsidRPr="00D147A7">
        <w:rPr>
          <w:rFonts w:ascii="Times New Roman" w:hAnsi="Times New Roman" w:cs="Times New Roman"/>
          <w:sz w:val="24"/>
          <w:szCs w:val="24"/>
        </w:rPr>
        <w:t>vereenvoudiging</w:t>
      </w:r>
      <w:r w:rsidRPr="00D147A7">
        <w:rPr>
          <w:rFonts w:ascii="Times New Roman" w:hAnsi="Times New Roman" w:cs="Times New Roman"/>
          <w:sz w:val="24"/>
          <w:szCs w:val="24"/>
        </w:rPr>
        <w:t xml:space="preserve"> voor </w:t>
      </w:r>
      <w:r w:rsidR="00D22DD5" w:rsidRPr="00D147A7">
        <w:rPr>
          <w:rFonts w:ascii="Times New Roman" w:hAnsi="Times New Roman" w:cs="Times New Roman"/>
          <w:sz w:val="24"/>
          <w:szCs w:val="24"/>
        </w:rPr>
        <w:t xml:space="preserve">zowel </w:t>
      </w:r>
      <w:r w:rsidRPr="00D147A7">
        <w:rPr>
          <w:rFonts w:ascii="Times New Roman" w:hAnsi="Times New Roman" w:cs="Times New Roman"/>
          <w:sz w:val="24"/>
          <w:szCs w:val="24"/>
        </w:rPr>
        <w:t xml:space="preserve">patiënten, zorgverleners </w:t>
      </w:r>
      <w:r w:rsidR="00D22DD5" w:rsidRPr="00D147A7">
        <w:rPr>
          <w:rFonts w:ascii="Times New Roman" w:hAnsi="Times New Roman" w:cs="Times New Roman"/>
          <w:sz w:val="24"/>
          <w:szCs w:val="24"/>
        </w:rPr>
        <w:t>als</w:t>
      </w:r>
      <w:r w:rsidRPr="00D147A7">
        <w:rPr>
          <w:rFonts w:ascii="Times New Roman" w:hAnsi="Times New Roman" w:cs="Times New Roman"/>
          <w:sz w:val="24"/>
          <w:szCs w:val="24"/>
        </w:rPr>
        <w:t xml:space="preserve"> verzorgingsinstellingen</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 xml:space="preserve"> en het </w:t>
      </w:r>
      <w:r w:rsidR="00D22DD5" w:rsidRPr="00D147A7">
        <w:rPr>
          <w:rFonts w:ascii="Times New Roman" w:hAnsi="Times New Roman" w:cs="Times New Roman"/>
          <w:sz w:val="24"/>
          <w:szCs w:val="24"/>
        </w:rPr>
        <w:t xml:space="preserve">ondersteunen van het </w:t>
      </w:r>
      <w:r w:rsidRPr="00D147A7">
        <w:rPr>
          <w:rFonts w:ascii="Times New Roman" w:hAnsi="Times New Roman" w:cs="Times New Roman"/>
          <w:sz w:val="24"/>
          <w:szCs w:val="24"/>
        </w:rPr>
        <w:t>gezondheidszorgbeleid.</w:t>
      </w:r>
      <w:r w:rsidRPr="00D147A7">
        <w:rPr>
          <w:rStyle w:val="Voetnootmarkering"/>
          <w:rFonts w:ascii="Times New Roman" w:hAnsi="Times New Roman" w:cs="Times New Roman"/>
          <w:sz w:val="24"/>
          <w:szCs w:val="24"/>
        </w:rPr>
        <w:footnoteReference w:id="374"/>
      </w:r>
      <w:r w:rsidRPr="00D147A7">
        <w:rPr>
          <w:rFonts w:ascii="Times New Roman" w:hAnsi="Times New Roman" w:cs="Times New Roman"/>
          <w:sz w:val="24"/>
          <w:szCs w:val="24"/>
        </w:rPr>
        <w:t xml:space="preserve"> Om geen afbreuk aan de bepalingen van de Privacywet te doen, heeft de Belgische wetgever van meet af aan geopteerd om geen centrale databank maar een verwijzingsrepertorium te ontwikkelen, waarbij BeHealth enkel voor het gebruikers- en </w:t>
      </w:r>
      <w:r w:rsidRPr="00D147A7">
        <w:rPr>
          <w:rFonts w:ascii="Times New Roman" w:hAnsi="Times New Roman" w:cs="Times New Roman"/>
          <w:sz w:val="24"/>
          <w:szCs w:val="24"/>
        </w:rPr>
        <w:lastRenderedPageBreak/>
        <w:t xml:space="preserve">toegangsbeheer </w:t>
      </w:r>
      <w:r w:rsidR="00D22DD5" w:rsidRPr="00D147A7">
        <w:rPr>
          <w:rFonts w:ascii="Times New Roman" w:hAnsi="Times New Roman" w:cs="Times New Roman"/>
          <w:sz w:val="24"/>
          <w:szCs w:val="24"/>
        </w:rPr>
        <w:t xml:space="preserve">in </w:t>
      </w:r>
      <w:r w:rsidRPr="00D147A7">
        <w:rPr>
          <w:rFonts w:ascii="Times New Roman" w:hAnsi="Times New Roman" w:cs="Times New Roman"/>
          <w:sz w:val="24"/>
          <w:szCs w:val="24"/>
        </w:rPr>
        <w:t>zou staan.</w:t>
      </w:r>
      <w:r w:rsidRPr="00D147A7">
        <w:rPr>
          <w:rStyle w:val="Voetnootmarkering"/>
          <w:rFonts w:ascii="Times New Roman" w:hAnsi="Times New Roman" w:cs="Times New Roman"/>
          <w:sz w:val="24"/>
          <w:szCs w:val="24"/>
        </w:rPr>
        <w:footnoteReference w:id="375"/>
      </w:r>
      <w:r w:rsidRPr="00D147A7">
        <w:rPr>
          <w:rFonts w:ascii="Times New Roman" w:hAnsi="Times New Roman" w:cs="Times New Roman"/>
          <w:sz w:val="24"/>
          <w:szCs w:val="24"/>
        </w:rPr>
        <w:t xml:space="preserve"> Dit verwijzingsrepertorium is een netwerverbinding waarbij actoren in de gezondheidszorg enkel met elkaar in verbinding worden gebracht. Zo blijven alle gezondheidsgegevens decentraal – i.e. bij de individuele zorgverleners en verzorgings</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instellingen – bewaard. Dit verwijzingsrepertorium staat ook bekend als het hub en metahub</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project.</w:t>
      </w:r>
      <w:r w:rsidRPr="00D147A7">
        <w:rPr>
          <w:rStyle w:val="Voetnootmarkering"/>
          <w:rFonts w:ascii="Times New Roman" w:hAnsi="Times New Roman" w:cs="Times New Roman"/>
          <w:sz w:val="24"/>
          <w:szCs w:val="24"/>
        </w:rPr>
        <w:footnoteReference w:id="376"/>
      </w:r>
      <w:r w:rsidRPr="00D147A7">
        <w:rPr>
          <w:rFonts w:ascii="Times New Roman" w:hAnsi="Times New Roman" w:cs="Times New Roman"/>
          <w:sz w:val="24"/>
          <w:szCs w:val="24"/>
        </w:rPr>
        <w:t xml:space="preserve"> In de regionale hubs (of verwijzingsnetwerken) wordt bijgehouden bij welke zorg</w:t>
      </w:r>
      <w:r w:rsidR="00D22DD5" w:rsidRPr="00D147A7">
        <w:rPr>
          <w:rFonts w:ascii="Times New Roman" w:hAnsi="Times New Roman" w:cs="Times New Roman"/>
          <w:sz w:val="24"/>
          <w:szCs w:val="24"/>
        </w:rPr>
        <w:t>-</w:t>
      </w:r>
      <w:r w:rsidRPr="00D147A7">
        <w:rPr>
          <w:rFonts w:ascii="Times New Roman" w:hAnsi="Times New Roman" w:cs="Times New Roman"/>
          <w:sz w:val="24"/>
          <w:szCs w:val="24"/>
        </w:rPr>
        <w:t xml:space="preserve">verleners en verzorgingsinstellingen welke gezondheidsgegevens over welke patiënten beschikbaar zijn en elektronisch </w:t>
      </w:r>
      <w:r w:rsidR="00734F69" w:rsidRPr="00D147A7">
        <w:rPr>
          <w:rFonts w:ascii="Times New Roman" w:hAnsi="Times New Roman" w:cs="Times New Roman"/>
          <w:sz w:val="24"/>
          <w:szCs w:val="24"/>
        </w:rPr>
        <w:t xml:space="preserve">kunnen worden </w:t>
      </w:r>
      <w:r w:rsidRPr="00D147A7">
        <w:rPr>
          <w:rFonts w:ascii="Times New Roman" w:hAnsi="Times New Roman" w:cs="Times New Roman"/>
          <w:sz w:val="24"/>
          <w:szCs w:val="24"/>
        </w:rPr>
        <w:t>opgevraagd.</w:t>
      </w:r>
      <w:r w:rsidRPr="00D147A7">
        <w:rPr>
          <w:rStyle w:val="Voetnootmarkering"/>
          <w:rFonts w:ascii="Times New Roman" w:hAnsi="Times New Roman" w:cs="Times New Roman"/>
          <w:sz w:val="24"/>
          <w:szCs w:val="24"/>
        </w:rPr>
        <w:footnoteReference w:id="377"/>
      </w:r>
      <w:r w:rsidRPr="00D147A7">
        <w:rPr>
          <w:rFonts w:ascii="Times New Roman" w:hAnsi="Times New Roman" w:cs="Times New Roman"/>
          <w:sz w:val="24"/>
          <w:szCs w:val="24"/>
        </w:rPr>
        <w:t xml:space="preserve"> Daarnaast beheert het overkoepelende eHealth-platform een afzonderlijk verwijzingsrepertorium</w:t>
      </w:r>
      <w:r w:rsidR="00734F69"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 de metahub</w:t>
      </w:r>
      <w:r w:rsidR="00734F69"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 d</w:t>
      </w:r>
      <w:r w:rsidR="00734F69" w:rsidRPr="00D147A7">
        <w:rPr>
          <w:rFonts w:ascii="Times New Roman" w:hAnsi="Times New Roman" w:cs="Times New Roman"/>
          <w:sz w:val="24"/>
          <w:szCs w:val="24"/>
        </w:rPr>
        <w:t>at</w:t>
      </w:r>
      <w:r w:rsidRPr="00D147A7">
        <w:rPr>
          <w:rFonts w:ascii="Times New Roman" w:hAnsi="Times New Roman" w:cs="Times New Roman"/>
          <w:sz w:val="24"/>
          <w:szCs w:val="24"/>
        </w:rPr>
        <w:t xml:space="preserve"> zorgverleners doorverwijst naar de regionale hubs waarin referenties naar de gezondheids</w:t>
      </w:r>
      <w:r w:rsidR="00734F69" w:rsidRPr="00D147A7">
        <w:rPr>
          <w:rFonts w:ascii="Times New Roman" w:hAnsi="Times New Roman" w:cs="Times New Roman"/>
          <w:sz w:val="24"/>
          <w:szCs w:val="24"/>
        </w:rPr>
        <w:t>-</w:t>
      </w:r>
      <w:r w:rsidRPr="00D147A7">
        <w:rPr>
          <w:rFonts w:ascii="Times New Roman" w:hAnsi="Times New Roman" w:cs="Times New Roman"/>
          <w:sz w:val="24"/>
          <w:szCs w:val="24"/>
        </w:rPr>
        <w:t>gegevens van welbepaalde patiënten opgenomen zijn.</w:t>
      </w:r>
      <w:r w:rsidRPr="00D147A7">
        <w:rPr>
          <w:rStyle w:val="Voetnootmarkering"/>
          <w:rFonts w:ascii="Times New Roman" w:hAnsi="Times New Roman" w:cs="Times New Roman"/>
          <w:sz w:val="24"/>
          <w:szCs w:val="24"/>
        </w:rPr>
        <w:footnoteReference w:id="378"/>
      </w:r>
      <w:r w:rsidRPr="00D147A7">
        <w:rPr>
          <w:rFonts w:ascii="Times New Roman" w:hAnsi="Times New Roman" w:cs="Times New Roman"/>
          <w:sz w:val="24"/>
          <w:szCs w:val="24"/>
        </w:rPr>
        <w:t xml:space="preserve"> De voordelen van deze getrapte uitwerking is dat de organisatie van de regionale hubs gerespecteerd blijft en er niets over de gezondheidstoestand van de patiënten kan worden afgeleid uit de informatie die in de metahub opgenomen </w:t>
      </w:r>
      <w:r w:rsidR="00734F69" w:rsidRPr="00D147A7">
        <w:rPr>
          <w:rFonts w:ascii="Times New Roman" w:hAnsi="Times New Roman" w:cs="Times New Roman"/>
          <w:sz w:val="24"/>
          <w:szCs w:val="24"/>
        </w:rPr>
        <w:t>is</w:t>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Omdat de nodige uitvoeringsbesluiten uitbleven, werd de uitwerking van dit informatie-uitwisselingssysteem en de ontwikkeling van </w:t>
      </w:r>
      <w:r w:rsidR="00304F9A" w:rsidRPr="00D147A7">
        <w:rPr>
          <w:rFonts w:ascii="Times New Roman" w:hAnsi="Times New Roman" w:cs="Times New Roman"/>
          <w:sz w:val="24"/>
          <w:szCs w:val="24"/>
        </w:rPr>
        <w:t xml:space="preserve">verdere </w:t>
      </w:r>
      <w:r w:rsidRPr="00D147A7">
        <w:rPr>
          <w:rFonts w:ascii="Times New Roman" w:hAnsi="Times New Roman" w:cs="Times New Roman"/>
          <w:sz w:val="24"/>
          <w:szCs w:val="24"/>
        </w:rPr>
        <w:t xml:space="preserve">basisdiensten in de kiem gesmoord. Wel werd het </w:t>
      </w:r>
      <w:r w:rsidRPr="00D147A7">
        <w:rPr>
          <w:rFonts w:ascii="Times New Roman" w:hAnsi="Times New Roman" w:cs="Times New Roman"/>
          <w:i/>
          <w:sz w:val="24"/>
          <w:szCs w:val="24"/>
        </w:rPr>
        <w:t>wetsontwerp betreffende de verwerking en de informatisering van de gezondheids</w:t>
      </w:r>
      <w:r w:rsidR="00304F9A" w:rsidRPr="00D147A7">
        <w:rPr>
          <w:rFonts w:ascii="Times New Roman" w:hAnsi="Times New Roman" w:cs="Times New Roman"/>
          <w:i/>
          <w:sz w:val="24"/>
          <w:szCs w:val="24"/>
        </w:rPr>
        <w:t>-</w:t>
      </w:r>
      <w:r w:rsidRPr="00D147A7">
        <w:rPr>
          <w:rFonts w:ascii="Times New Roman" w:hAnsi="Times New Roman" w:cs="Times New Roman"/>
          <w:i/>
          <w:sz w:val="24"/>
          <w:szCs w:val="24"/>
        </w:rPr>
        <w:t>gegevens alsook de toepassingen voor telegeneeskunde</w:t>
      </w:r>
      <w:r w:rsidRPr="00D147A7">
        <w:rPr>
          <w:rFonts w:ascii="Times New Roman" w:hAnsi="Times New Roman" w:cs="Times New Roman"/>
          <w:sz w:val="24"/>
          <w:szCs w:val="24"/>
        </w:rPr>
        <w:t xml:space="preserve"> opgesteld</w:t>
      </w:r>
      <w:r w:rsidRPr="00D147A7">
        <w:rPr>
          <w:rStyle w:val="Voetnootmarkering"/>
          <w:rFonts w:ascii="Times New Roman" w:hAnsi="Times New Roman" w:cs="Times New Roman"/>
          <w:sz w:val="24"/>
          <w:szCs w:val="24"/>
        </w:rPr>
        <w:footnoteReference w:id="379"/>
      </w:r>
      <w:r w:rsidRPr="00D147A7">
        <w:rPr>
          <w:rFonts w:ascii="Times New Roman" w:hAnsi="Times New Roman" w:cs="Times New Roman"/>
          <w:sz w:val="24"/>
          <w:szCs w:val="24"/>
        </w:rPr>
        <w:t>, dat evenwel door de Nationale Raad van de Orde der geneesheren, de Privacycommissie en de Belgische Vereniging van Artsensyndicaten verworpen werd.</w:t>
      </w:r>
      <w:r w:rsidRPr="00D147A7">
        <w:rPr>
          <w:rStyle w:val="Voetnootmarkering"/>
          <w:rFonts w:ascii="Times New Roman" w:hAnsi="Times New Roman" w:cs="Times New Roman"/>
          <w:sz w:val="24"/>
          <w:szCs w:val="24"/>
        </w:rPr>
        <w:footnoteReference w:id="380"/>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Sinds 2003 kan de wetgever binnen de Privacycommissie afzonderlijke comités oprichten, die bevoegd zijn voor de bescherming van de persoonlijke levenssfeer en het toezicht op de verwerking van persoonsgegevens in één specifieke sector.</w:t>
      </w:r>
      <w:r w:rsidRPr="00D147A7">
        <w:rPr>
          <w:rStyle w:val="Voetnootmarkering"/>
          <w:rFonts w:ascii="Times New Roman" w:hAnsi="Times New Roman" w:cs="Times New Roman"/>
          <w:sz w:val="24"/>
          <w:szCs w:val="24"/>
        </w:rPr>
        <w:footnoteReference w:id="381"/>
      </w:r>
      <w:r w:rsidRPr="00D147A7">
        <w:rPr>
          <w:rFonts w:ascii="Times New Roman" w:hAnsi="Times New Roman" w:cs="Times New Roman"/>
          <w:sz w:val="24"/>
          <w:szCs w:val="24"/>
        </w:rPr>
        <w:t xml:space="preserve"> Vooralsnog zijn er zes dergelijke comités: het Sectoraal Comité van het Rijksregister</w:t>
      </w:r>
      <w:r w:rsidRPr="00D147A7">
        <w:rPr>
          <w:rStyle w:val="Voetnootmarkering"/>
          <w:rFonts w:ascii="Times New Roman" w:hAnsi="Times New Roman" w:cs="Times New Roman"/>
          <w:sz w:val="24"/>
          <w:szCs w:val="24"/>
        </w:rPr>
        <w:footnoteReference w:id="382"/>
      </w:r>
      <w:r w:rsidR="00304F9A" w:rsidRPr="00D147A7">
        <w:rPr>
          <w:rFonts w:ascii="Times New Roman" w:hAnsi="Times New Roman" w:cs="Times New Roman"/>
          <w:sz w:val="24"/>
          <w:szCs w:val="24"/>
        </w:rPr>
        <w:t>;</w:t>
      </w:r>
      <w:r w:rsidRPr="00D147A7">
        <w:rPr>
          <w:rFonts w:ascii="Times New Roman" w:hAnsi="Times New Roman" w:cs="Times New Roman"/>
          <w:sz w:val="24"/>
          <w:szCs w:val="24"/>
        </w:rPr>
        <w:t xml:space="preserve"> het Sectoraal Comité van de </w:t>
      </w:r>
      <w:r w:rsidRPr="00D147A7">
        <w:rPr>
          <w:rFonts w:ascii="Times New Roman" w:hAnsi="Times New Roman" w:cs="Times New Roman"/>
          <w:sz w:val="24"/>
          <w:szCs w:val="24"/>
        </w:rPr>
        <w:lastRenderedPageBreak/>
        <w:t>Sociale Zekerheid en van de Gezondheid</w:t>
      </w:r>
      <w:r w:rsidRPr="00D147A7">
        <w:rPr>
          <w:rStyle w:val="Voetnootmarkering"/>
          <w:rFonts w:ascii="Times New Roman" w:hAnsi="Times New Roman" w:cs="Times New Roman"/>
          <w:sz w:val="24"/>
          <w:szCs w:val="24"/>
        </w:rPr>
        <w:footnoteReference w:id="383"/>
      </w:r>
      <w:r w:rsidRPr="00D147A7">
        <w:rPr>
          <w:rFonts w:ascii="Times New Roman" w:hAnsi="Times New Roman" w:cs="Times New Roman"/>
          <w:sz w:val="24"/>
          <w:szCs w:val="24"/>
        </w:rPr>
        <w:t>; het Sectoraal Comité van de Federale Overheid</w:t>
      </w:r>
      <w:r w:rsidRPr="00D147A7">
        <w:rPr>
          <w:rStyle w:val="Voetnootmarkering"/>
          <w:rFonts w:ascii="Times New Roman" w:hAnsi="Times New Roman" w:cs="Times New Roman"/>
          <w:sz w:val="24"/>
          <w:szCs w:val="24"/>
        </w:rPr>
        <w:footnoteReference w:id="384"/>
      </w:r>
      <w:r w:rsidRPr="00D147A7">
        <w:rPr>
          <w:rFonts w:ascii="Times New Roman" w:hAnsi="Times New Roman" w:cs="Times New Roman"/>
          <w:sz w:val="24"/>
          <w:szCs w:val="24"/>
        </w:rPr>
        <w:t>; het Sectoraal Comité van de Kruispuntbank van Ondernemingen</w:t>
      </w:r>
      <w:r w:rsidRPr="00D147A7">
        <w:rPr>
          <w:rStyle w:val="Voetnootmarkering"/>
          <w:rFonts w:ascii="Times New Roman" w:hAnsi="Times New Roman" w:cs="Times New Roman"/>
          <w:sz w:val="24"/>
          <w:szCs w:val="24"/>
        </w:rPr>
        <w:footnoteReference w:id="385"/>
      </w:r>
      <w:r w:rsidRPr="00D147A7">
        <w:rPr>
          <w:rFonts w:ascii="Times New Roman" w:hAnsi="Times New Roman" w:cs="Times New Roman"/>
          <w:sz w:val="24"/>
          <w:szCs w:val="24"/>
        </w:rPr>
        <w:t>; het Sectoraal Toezichtscomité Phenix</w:t>
      </w:r>
      <w:r w:rsidRPr="00D147A7">
        <w:rPr>
          <w:rStyle w:val="Voetnootmarkering"/>
          <w:rFonts w:ascii="Times New Roman" w:hAnsi="Times New Roman" w:cs="Times New Roman"/>
          <w:sz w:val="24"/>
          <w:szCs w:val="24"/>
        </w:rPr>
        <w:footnoteReference w:id="386"/>
      </w:r>
      <w:r w:rsidRPr="00D147A7">
        <w:rPr>
          <w:rFonts w:ascii="Times New Roman" w:hAnsi="Times New Roman" w:cs="Times New Roman"/>
          <w:sz w:val="24"/>
          <w:szCs w:val="24"/>
        </w:rPr>
        <w:t>; en het Statistisch Toezichtscomité.</w:t>
      </w:r>
      <w:r w:rsidRPr="00D147A7">
        <w:rPr>
          <w:rStyle w:val="Voetnootmarkering"/>
          <w:rFonts w:ascii="Times New Roman" w:hAnsi="Times New Roman" w:cs="Times New Roman"/>
          <w:sz w:val="24"/>
          <w:szCs w:val="24"/>
        </w:rPr>
        <w:footnoteReference w:id="387"/>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december 2006 werd het Sectoraal Comité van de Sociale Zekerheid met een afdeling Gezondheid</w:t>
      </w:r>
      <w:r w:rsidR="00304F9A" w:rsidRPr="00D147A7">
        <w:rPr>
          <w:rFonts w:ascii="Times New Roman" w:hAnsi="Times New Roman" w:cs="Times New Roman"/>
          <w:sz w:val="24"/>
          <w:szCs w:val="24"/>
        </w:rPr>
        <w:t xml:space="preserve"> uitgebreid</w:t>
      </w:r>
      <w:r w:rsidRPr="00D147A7">
        <w:rPr>
          <w:rFonts w:ascii="Times New Roman" w:hAnsi="Times New Roman" w:cs="Times New Roman"/>
          <w:sz w:val="24"/>
          <w:szCs w:val="24"/>
        </w:rPr>
        <w:t>. Zowel de afdeling Sociale Zekerheid als de afdeling Gezondheid bestaan uit zes stemgerechtigde leden en een onbepaald aantal raadgevende leden. De stem</w:t>
      </w:r>
      <w:r w:rsidR="00FB2F64" w:rsidRPr="00D147A7">
        <w:rPr>
          <w:rFonts w:ascii="Times New Roman" w:hAnsi="Times New Roman" w:cs="Times New Roman"/>
          <w:sz w:val="24"/>
          <w:szCs w:val="24"/>
        </w:rPr>
        <w:t>-</w:t>
      </w:r>
      <w:r w:rsidRPr="00D147A7">
        <w:rPr>
          <w:rFonts w:ascii="Times New Roman" w:hAnsi="Times New Roman" w:cs="Times New Roman"/>
          <w:sz w:val="24"/>
          <w:szCs w:val="24"/>
        </w:rPr>
        <w:t>gerechtigde leden van de afdeling Gezondheid zijn twee vertegenwoordigers van de Privacy</w:t>
      </w:r>
      <w:r w:rsidR="00FB2F64" w:rsidRPr="00D147A7">
        <w:rPr>
          <w:rFonts w:ascii="Times New Roman" w:hAnsi="Times New Roman" w:cs="Times New Roman"/>
          <w:sz w:val="24"/>
          <w:szCs w:val="24"/>
        </w:rPr>
        <w:t>-</w:t>
      </w:r>
      <w:r w:rsidRPr="00D147A7">
        <w:rPr>
          <w:rFonts w:ascii="Times New Roman" w:hAnsi="Times New Roman" w:cs="Times New Roman"/>
          <w:sz w:val="24"/>
          <w:szCs w:val="24"/>
        </w:rPr>
        <w:t xml:space="preserve">commissie en vier onafhankelijke artsen die door de Kamer van Volksvertegenwoordigers </w:t>
      </w:r>
      <w:r w:rsidR="00FB2F64"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aangesteld. Zij moeten goedkeuringen verlenen voor de elektronische uitwisseling van gezondheidsgegevens (tenzij dit expliciet bij wet wordt toegelaten); de organisatie en het beleid inzake informatieveiligheid bij de verwerking van gezondheidsgegevens vaststellen; adviezen en aanbevelingen verstrekken inzake informatieveiligheid bij de verwerking van gezondheidsgegevens; en klachten over inbreuken op de informatieveiligheid behandelen. Verder verleent de afdeling Gezondheid ook adviezen en machtigingen voor de gegevensuit</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wisselingen via het dienstenplatform. Door de nauwe samenwerking tussen het Sectoraal Comité en het uitwisselingsplatform wordt de rechtszekerheid van alle gebruikers verhoogd. Bovendien voert het Sectoraal Comité een permanente controle uit over de legitimiteit van de uitgewisselde persoonsgegevens en de omstandigheden waarin deze uitwisselingen (na voor</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afgaande machtiging) geschied</w:t>
      </w:r>
      <w:r w:rsidR="00FC6BF7" w:rsidRPr="00D147A7">
        <w:rPr>
          <w:rFonts w:ascii="Times New Roman" w:hAnsi="Times New Roman" w:cs="Times New Roman"/>
          <w:sz w:val="24"/>
          <w:szCs w:val="24"/>
        </w:rPr>
        <w:t>en.</w:t>
      </w:r>
    </w:p>
    <w:p w:rsidR="009931C7" w:rsidRPr="00D147A7" w:rsidRDefault="009931C7" w:rsidP="009931C7">
      <w:pPr>
        <w:pStyle w:val="Geenafstand"/>
        <w:jc w:val="both"/>
        <w:rPr>
          <w:rFonts w:ascii="Times New Roman" w:hAnsi="Times New Roman" w:cs="Times New Roman"/>
          <w:sz w:val="24"/>
          <w:szCs w:val="24"/>
        </w:rPr>
      </w:pPr>
    </w:p>
    <w:p w:rsidR="00FC6BF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Ondanks al deze inspanningen bloedde het BeHealth-project dood tijdens de 194 dagen durende politieke impasse in de nasleep van de federale verkiezingen op 10 juni 2007.</w:t>
      </w:r>
      <w:r w:rsidRPr="00D147A7">
        <w:rPr>
          <w:rStyle w:val="Voetnootmarkering"/>
          <w:rFonts w:ascii="Times New Roman" w:hAnsi="Times New Roman" w:cs="Times New Roman"/>
          <w:sz w:val="24"/>
          <w:szCs w:val="24"/>
        </w:rPr>
        <w:footnoteReference w:id="388"/>
      </w:r>
      <w:r w:rsidRPr="00D147A7">
        <w:rPr>
          <w:rFonts w:ascii="Times New Roman" w:hAnsi="Times New Roman" w:cs="Times New Roman"/>
          <w:sz w:val="24"/>
          <w:szCs w:val="24"/>
        </w:rPr>
        <w:t xml:space="preserve"> Deze uitkomst betekende evenwel niet het definitieve einde van de eHealth-ontwikkelingen in België. Een goed jaar later werd een nieuwe doorbraak geboekt toen zowel Kamer als Senaat het wetsontwerp houdende de oprichting en de organisatie van een nieuwe overheids</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instelling, het eHealth-platform, goedkeurden.</w:t>
      </w:r>
      <w:r w:rsidRPr="00D147A7">
        <w:rPr>
          <w:rStyle w:val="Voetnootmarkering"/>
          <w:rFonts w:ascii="Times New Roman" w:hAnsi="Times New Roman" w:cs="Times New Roman"/>
          <w:sz w:val="24"/>
          <w:szCs w:val="24"/>
        </w:rPr>
        <w:footnoteReference w:id="389"/>
      </w:r>
      <w:r w:rsidRPr="00D147A7">
        <w:rPr>
          <w:rFonts w:ascii="Times New Roman" w:hAnsi="Times New Roman" w:cs="Times New Roman"/>
          <w:sz w:val="24"/>
          <w:szCs w:val="24"/>
        </w:rPr>
        <w:t xml:space="preserve"> Er was nog even consternatie toen Laurette </w:t>
      </w:r>
      <w:r w:rsidRPr="00D147A7">
        <w:rPr>
          <w:rFonts w:ascii="Times New Roman" w:hAnsi="Times New Roman" w:cs="Times New Roman"/>
          <w:sz w:val="24"/>
          <w:szCs w:val="24"/>
        </w:rPr>
        <w:lastRenderedPageBreak/>
        <w:t>Onckelinx de bepalingen m.b.t. eHealth uit de programmawet haalde</w:t>
      </w:r>
      <w:r w:rsidRPr="00D147A7">
        <w:rPr>
          <w:rStyle w:val="Voetnootmarkering"/>
          <w:rFonts w:ascii="Times New Roman" w:hAnsi="Times New Roman" w:cs="Times New Roman"/>
          <w:sz w:val="24"/>
          <w:szCs w:val="24"/>
        </w:rPr>
        <w:footnoteReference w:id="390"/>
      </w:r>
      <w:r w:rsidRPr="00D147A7">
        <w:rPr>
          <w:rFonts w:ascii="Times New Roman" w:hAnsi="Times New Roman" w:cs="Times New Roman"/>
          <w:sz w:val="24"/>
          <w:szCs w:val="24"/>
        </w:rPr>
        <w:t>, maar op 21 augustus 2008 werd het nieuwe eHealth-platform als openbare instelling met rechtspersoonlijkheid</w:t>
      </w:r>
      <w:r w:rsidRPr="00D147A7">
        <w:rPr>
          <w:rStyle w:val="Voetnootmarkering"/>
          <w:rFonts w:ascii="Times New Roman" w:hAnsi="Times New Roman" w:cs="Times New Roman"/>
          <w:sz w:val="24"/>
          <w:szCs w:val="24"/>
        </w:rPr>
        <w:footnoteReference w:id="391"/>
      </w:r>
      <w:r w:rsidRPr="00D147A7">
        <w:rPr>
          <w:rFonts w:ascii="Times New Roman" w:hAnsi="Times New Roman" w:cs="Times New Roman"/>
          <w:sz w:val="24"/>
          <w:szCs w:val="24"/>
        </w:rPr>
        <w:t xml:space="preserve"> in een afzonderlijke wet opgericht.</w:t>
      </w:r>
      <w:r w:rsidRPr="00D147A7">
        <w:rPr>
          <w:rStyle w:val="Voetnootmarkering"/>
          <w:rFonts w:ascii="Times New Roman" w:hAnsi="Times New Roman" w:cs="Times New Roman"/>
          <w:sz w:val="24"/>
          <w:szCs w:val="24"/>
        </w:rPr>
        <w:footnoteReference w:id="392"/>
      </w:r>
      <w:r w:rsidRPr="00D147A7">
        <w:rPr>
          <w:rFonts w:ascii="Times New Roman" w:hAnsi="Times New Roman" w:cs="Times New Roman"/>
          <w:sz w:val="24"/>
          <w:szCs w:val="24"/>
        </w:rPr>
        <w:t xml:space="preserve"> Ondanks de subtiele naamswijziging bleef de kernge</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 xml:space="preserve">dachte goeddeels intact. Wellicht liet de wetgever de letter ‘B’ vallen om – met het oog op de Europese integratie enerzijds en de grensoverschrijdende zorgverlening anderzijds – aan te geven dat de door dit platform aangeboden diensten niet enkel de </w:t>
      </w:r>
      <w:r w:rsidR="00FC6BF7" w:rsidRPr="00D147A7">
        <w:rPr>
          <w:rFonts w:ascii="Times New Roman" w:hAnsi="Times New Roman" w:cs="Times New Roman"/>
          <w:sz w:val="24"/>
          <w:szCs w:val="24"/>
        </w:rPr>
        <w:t xml:space="preserve">nationale </w:t>
      </w:r>
      <w:r w:rsidRPr="00D147A7">
        <w:rPr>
          <w:rFonts w:ascii="Times New Roman" w:hAnsi="Times New Roman" w:cs="Times New Roman"/>
          <w:sz w:val="24"/>
          <w:szCs w:val="24"/>
        </w:rPr>
        <w:t>zorgverlening moeten</w:t>
      </w:r>
      <w:r w:rsidR="00FC6BF7" w:rsidRPr="00D147A7">
        <w:rPr>
          <w:rFonts w:ascii="Times New Roman" w:hAnsi="Times New Roman" w:cs="Times New Roman"/>
          <w:sz w:val="24"/>
          <w:szCs w:val="24"/>
        </w:rPr>
        <w:t xml:space="preserve"> bevorderen.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Niet iedereen was echter even opgezet met </w:t>
      </w:r>
      <w:r w:rsidR="00FC6BF7" w:rsidRPr="00D147A7">
        <w:rPr>
          <w:rFonts w:ascii="Times New Roman" w:hAnsi="Times New Roman" w:cs="Times New Roman"/>
          <w:sz w:val="24"/>
          <w:szCs w:val="24"/>
        </w:rPr>
        <w:t>di</w:t>
      </w:r>
      <w:r w:rsidRPr="00D147A7">
        <w:rPr>
          <w:rFonts w:ascii="Times New Roman" w:hAnsi="Times New Roman" w:cs="Times New Roman"/>
          <w:sz w:val="24"/>
          <w:szCs w:val="24"/>
        </w:rPr>
        <w:t>t nieuwe leven dat in het eHealth-project geblazen werd. In een aangetekend schrijven van 10 april 2009 stelde het artsensyndicaat van de provincies Henegouwen, Namen en Waals-Brabant samen met een patiënte, Danièle Gillis, het beroep tot vernietiging van het eHealth-platform in bij het Grondwettelijk Hof. De eisende partij argumenteerde dat het eHealth-platform het recht op bescherming van de persoonlijke levenssfeer schond, het recht op de vrije keuze van de beroepsactiviteit en de vrijheid van diensten beperkte, verboden staatssteun genoot en de bevoegdheidsverdeling niet respec</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teerde.</w:t>
      </w:r>
      <w:r w:rsidRPr="00D147A7">
        <w:rPr>
          <w:rStyle w:val="Voetnootmarkering"/>
          <w:rFonts w:ascii="Times New Roman" w:hAnsi="Times New Roman" w:cs="Times New Roman"/>
          <w:sz w:val="24"/>
          <w:szCs w:val="24"/>
        </w:rPr>
        <w:footnoteReference w:id="393"/>
      </w:r>
      <w:r w:rsidRPr="00D147A7">
        <w:rPr>
          <w:rFonts w:ascii="Times New Roman" w:hAnsi="Times New Roman" w:cs="Times New Roman"/>
          <w:sz w:val="24"/>
          <w:szCs w:val="24"/>
        </w:rPr>
        <w:t xml:space="preserve"> Het Hof verwierp deze klacht integraal, maar benadrukte </w:t>
      </w:r>
      <w:r w:rsidR="00FC6BF7" w:rsidRPr="00D147A7">
        <w:rPr>
          <w:rFonts w:ascii="Times New Roman" w:hAnsi="Times New Roman" w:cs="Times New Roman"/>
          <w:sz w:val="24"/>
          <w:szCs w:val="24"/>
        </w:rPr>
        <w:t xml:space="preserve">wel </w:t>
      </w:r>
      <w:r w:rsidRPr="00D147A7">
        <w:rPr>
          <w:rFonts w:ascii="Times New Roman" w:hAnsi="Times New Roman" w:cs="Times New Roman"/>
          <w:sz w:val="24"/>
          <w:szCs w:val="24"/>
        </w:rPr>
        <w:t>dat de eHealth-wet restrictief geïnterpreteerd moet worden zodat op geen enkele wijze afbreuk wordt gedaan aan de bepalingen van de Privacywet.</w:t>
      </w:r>
      <w:r w:rsidRPr="00D147A7">
        <w:rPr>
          <w:rStyle w:val="Voetnootmarkering"/>
          <w:rFonts w:ascii="Times New Roman" w:hAnsi="Times New Roman" w:cs="Times New Roman"/>
          <w:sz w:val="24"/>
          <w:szCs w:val="24"/>
        </w:rPr>
        <w:footnoteReference w:id="394"/>
      </w:r>
      <w:r w:rsidRPr="00D147A7">
        <w:rPr>
          <w:rFonts w:ascii="Times New Roman" w:hAnsi="Times New Roman" w:cs="Times New Roman"/>
          <w:sz w:val="24"/>
          <w:szCs w:val="24"/>
        </w:rPr>
        <w:t xml:space="preserve"> Hiermee herhaalde het Hof enkel de intentie van de federale wetgever: </w:t>
      </w:r>
      <w:r w:rsidRPr="00D147A7">
        <w:rPr>
          <w:rFonts w:ascii="Times New Roman" w:hAnsi="Times New Roman" w:cs="Times New Roman"/>
          <w:i/>
          <w:sz w:val="24"/>
          <w:szCs w:val="24"/>
        </w:rPr>
        <w:t>Deze wet doet op geen enkele wijze afbreuk aan de wet van 8 december 1992 tot bescherming van de persoonlijke levenssfeer ten opzichte van de verwerking van persoonsgegevens, aan de wet van 22 augustus 2002 betreffende de rechten van de patiënt of aan de wettelijke en reglementaire bepalingen met betrekking tot de uitoefening van de geneeskunde</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395"/>
      </w:r>
      <w:r w:rsidRPr="00D147A7">
        <w:rPr>
          <w:rFonts w:ascii="Times New Roman" w:hAnsi="Times New Roman" w:cs="Times New Roman"/>
          <w:sz w:val="24"/>
          <w:szCs w:val="24"/>
        </w:rPr>
        <w:t xml:space="preserve"> In die optiek is het hoogst merkwaardig dat de wetgever voor de omschrijving van het basisbegrip ‘persoonsgegevens die de gezondheid betreffen’ teruggreep </w:t>
      </w:r>
      <w:r w:rsidRPr="00D147A7">
        <w:rPr>
          <w:rFonts w:ascii="Times New Roman" w:hAnsi="Times New Roman" w:cs="Times New Roman"/>
          <w:sz w:val="24"/>
          <w:szCs w:val="24"/>
        </w:rPr>
        <w:lastRenderedPageBreak/>
        <w:t xml:space="preserve">naar de definitie van de oorspronkelijke Privacywet uit 1992, </w:t>
      </w:r>
      <w:r w:rsidR="00FC6BF7" w:rsidRPr="00D147A7">
        <w:rPr>
          <w:rFonts w:ascii="Times New Roman" w:hAnsi="Times New Roman" w:cs="Times New Roman"/>
          <w:sz w:val="24"/>
          <w:szCs w:val="24"/>
        </w:rPr>
        <w:t>hoewel</w:t>
      </w:r>
      <w:r w:rsidRPr="00D147A7">
        <w:rPr>
          <w:rFonts w:ascii="Times New Roman" w:hAnsi="Times New Roman" w:cs="Times New Roman"/>
          <w:sz w:val="24"/>
          <w:szCs w:val="24"/>
        </w:rPr>
        <w:t xml:space="preserve"> deze </w:t>
      </w:r>
      <w:r w:rsidR="00FC6BF7" w:rsidRPr="00D147A7">
        <w:rPr>
          <w:rFonts w:ascii="Times New Roman" w:hAnsi="Times New Roman" w:cs="Times New Roman"/>
          <w:sz w:val="24"/>
          <w:szCs w:val="24"/>
        </w:rPr>
        <w:t xml:space="preserve">definitie </w:t>
      </w:r>
      <w:r w:rsidRPr="00D147A7">
        <w:rPr>
          <w:rFonts w:ascii="Times New Roman" w:hAnsi="Times New Roman" w:cs="Times New Roman"/>
          <w:sz w:val="24"/>
          <w:szCs w:val="24"/>
        </w:rPr>
        <w:t xml:space="preserve">in 1998 </w:t>
      </w:r>
      <w:r w:rsidR="00FC6BF7" w:rsidRPr="00D147A7">
        <w:rPr>
          <w:rFonts w:ascii="Times New Roman" w:hAnsi="Times New Roman" w:cs="Times New Roman"/>
          <w:sz w:val="24"/>
          <w:szCs w:val="24"/>
        </w:rPr>
        <w:t>herzien</w:t>
      </w:r>
      <w:r w:rsidRPr="00D147A7">
        <w:rPr>
          <w:rFonts w:ascii="Times New Roman" w:hAnsi="Times New Roman" w:cs="Times New Roman"/>
          <w:sz w:val="24"/>
          <w:szCs w:val="24"/>
        </w:rPr>
        <w:t xml:space="preserve"> werd.</w:t>
      </w:r>
      <w:r w:rsidRPr="00D147A7">
        <w:rPr>
          <w:rStyle w:val="Voetnootmarkering"/>
          <w:rFonts w:ascii="Times New Roman" w:hAnsi="Times New Roman" w:cs="Times New Roman"/>
          <w:sz w:val="24"/>
          <w:szCs w:val="24"/>
        </w:rPr>
        <w:footnoteReference w:id="396"/>
      </w:r>
      <w:r w:rsidRPr="00D147A7">
        <w:rPr>
          <w:rFonts w:ascii="Times New Roman" w:hAnsi="Times New Roman" w:cs="Times New Roman"/>
          <w:sz w:val="24"/>
          <w:szCs w:val="24"/>
        </w:rPr>
        <w:t xml:space="preserve"> Zo worden administratieve en boekhoudkundige gegevens betreffende de geneeskundige behandeling of verzorging in de eHealth-wet niet langer als gezondheids</w:t>
      </w:r>
      <w:r w:rsidR="00FC6BF7" w:rsidRPr="00D147A7">
        <w:rPr>
          <w:rFonts w:ascii="Times New Roman" w:hAnsi="Times New Roman" w:cs="Times New Roman"/>
          <w:sz w:val="24"/>
          <w:szCs w:val="24"/>
        </w:rPr>
        <w:t>-</w:t>
      </w:r>
      <w:r w:rsidRPr="00D147A7">
        <w:rPr>
          <w:rFonts w:ascii="Times New Roman" w:hAnsi="Times New Roman" w:cs="Times New Roman"/>
          <w:sz w:val="24"/>
          <w:szCs w:val="24"/>
        </w:rPr>
        <w:t xml:space="preserve">gegevens gekwalificeerd. Het is </w:t>
      </w:r>
      <w:r w:rsidR="00FC6BF7" w:rsidRPr="00D147A7">
        <w:rPr>
          <w:rFonts w:ascii="Times New Roman" w:hAnsi="Times New Roman" w:cs="Times New Roman"/>
          <w:sz w:val="24"/>
          <w:szCs w:val="24"/>
        </w:rPr>
        <w:t>opmerkelijk</w:t>
      </w:r>
      <w:r w:rsidRPr="00D147A7">
        <w:rPr>
          <w:rFonts w:ascii="Times New Roman" w:hAnsi="Times New Roman" w:cs="Times New Roman"/>
          <w:sz w:val="24"/>
          <w:szCs w:val="24"/>
        </w:rPr>
        <w:t xml:space="preserve"> dat </w:t>
      </w:r>
      <w:r w:rsidR="00FC6BF7" w:rsidRPr="00D147A7">
        <w:rPr>
          <w:rFonts w:ascii="Times New Roman" w:hAnsi="Times New Roman" w:cs="Times New Roman"/>
          <w:sz w:val="24"/>
          <w:szCs w:val="24"/>
        </w:rPr>
        <w:t xml:space="preserve">dit gegeven zowel aan </w:t>
      </w:r>
      <w:r w:rsidRPr="00D147A7">
        <w:rPr>
          <w:rFonts w:ascii="Times New Roman" w:hAnsi="Times New Roman" w:cs="Times New Roman"/>
          <w:sz w:val="24"/>
          <w:szCs w:val="24"/>
        </w:rPr>
        <w:t xml:space="preserve">de eisende partij </w:t>
      </w:r>
      <w:r w:rsidR="00FC6BF7" w:rsidRPr="00D147A7">
        <w:rPr>
          <w:rFonts w:ascii="Times New Roman" w:hAnsi="Times New Roman" w:cs="Times New Roman"/>
          <w:sz w:val="24"/>
          <w:szCs w:val="24"/>
        </w:rPr>
        <w:t>als aan</w:t>
      </w:r>
      <w:r w:rsidRPr="00D147A7">
        <w:rPr>
          <w:rFonts w:ascii="Times New Roman" w:hAnsi="Times New Roman" w:cs="Times New Roman"/>
          <w:sz w:val="24"/>
          <w:szCs w:val="24"/>
        </w:rPr>
        <w:t xml:space="preserve"> het Gron</w:t>
      </w:r>
      <w:r w:rsidR="00FC6BF7" w:rsidRPr="00D147A7">
        <w:rPr>
          <w:rFonts w:ascii="Times New Roman" w:hAnsi="Times New Roman" w:cs="Times New Roman"/>
          <w:sz w:val="24"/>
          <w:szCs w:val="24"/>
        </w:rPr>
        <w:t>dwettelijk Hof voorbij blijkt te zijn gegaan.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 de ontwikkeling van het eHealth-platform werd niet enkel op de fundamenten van Be</w:t>
      </w:r>
      <w:r w:rsidR="00003861" w:rsidRPr="00D147A7">
        <w:rPr>
          <w:rFonts w:ascii="Times New Roman" w:hAnsi="Times New Roman" w:cs="Times New Roman"/>
          <w:sz w:val="24"/>
          <w:szCs w:val="24"/>
        </w:rPr>
        <w:t>-</w:t>
      </w:r>
      <w:r w:rsidRPr="00D147A7">
        <w:rPr>
          <w:rFonts w:ascii="Times New Roman" w:hAnsi="Times New Roman" w:cs="Times New Roman"/>
          <w:sz w:val="24"/>
          <w:szCs w:val="24"/>
        </w:rPr>
        <w:t xml:space="preserve">Health voortgebouwd, ook </w:t>
      </w:r>
      <w:r w:rsidR="00003861" w:rsidRPr="00D147A7">
        <w:rPr>
          <w:rFonts w:ascii="Times New Roman" w:hAnsi="Times New Roman" w:cs="Times New Roman"/>
          <w:sz w:val="24"/>
          <w:szCs w:val="24"/>
        </w:rPr>
        <w:t xml:space="preserve">werd </w:t>
      </w:r>
      <w:r w:rsidRPr="00D147A7">
        <w:rPr>
          <w:rFonts w:ascii="Times New Roman" w:hAnsi="Times New Roman" w:cs="Times New Roman"/>
          <w:sz w:val="24"/>
          <w:szCs w:val="24"/>
        </w:rPr>
        <w:t xml:space="preserve">dankbaar gebruik gemaakt van de </w:t>
      </w:r>
      <w:r w:rsidRPr="00D147A7">
        <w:rPr>
          <w:rFonts w:ascii="Times New Roman" w:hAnsi="Times New Roman" w:cs="Times New Roman"/>
          <w:i/>
          <w:sz w:val="24"/>
          <w:szCs w:val="24"/>
        </w:rPr>
        <w:t>know how</w:t>
      </w:r>
      <w:r w:rsidRPr="00D147A7">
        <w:rPr>
          <w:rFonts w:ascii="Times New Roman" w:hAnsi="Times New Roman" w:cs="Times New Roman"/>
          <w:sz w:val="24"/>
          <w:szCs w:val="24"/>
        </w:rPr>
        <w:t xml:space="preserve"> die bij andere eGovernment-projecten, </w:t>
      </w:r>
      <w:r w:rsidR="00003861" w:rsidRPr="00D147A7">
        <w:rPr>
          <w:rFonts w:ascii="Times New Roman" w:hAnsi="Times New Roman" w:cs="Times New Roman"/>
          <w:sz w:val="24"/>
          <w:szCs w:val="24"/>
        </w:rPr>
        <w:t xml:space="preserve">met </w:t>
      </w:r>
      <w:r w:rsidRPr="00D147A7">
        <w:rPr>
          <w:rFonts w:ascii="Times New Roman" w:hAnsi="Times New Roman" w:cs="Times New Roman"/>
          <w:sz w:val="24"/>
          <w:szCs w:val="24"/>
        </w:rPr>
        <w:t>de Kruispuntbank voor de Sociale Zekerheid in het bijzonder, verworven waren.</w:t>
      </w:r>
      <w:r w:rsidRPr="00D147A7">
        <w:rPr>
          <w:rStyle w:val="Voetnootmarkering"/>
          <w:rFonts w:ascii="Times New Roman" w:hAnsi="Times New Roman" w:cs="Times New Roman"/>
          <w:sz w:val="24"/>
          <w:szCs w:val="24"/>
        </w:rPr>
        <w:footnoteReference w:id="397"/>
      </w:r>
      <w:r w:rsidRPr="00D147A7">
        <w:rPr>
          <w:rFonts w:ascii="Times New Roman" w:hAnsi="Times New Roman" w:cs="Times New Roman"/>
          <w:sz w:val="24"/>
          <w:szCs w:val="24"/>
        </w:rPr>
        <w:t xml:space="preserve"> Zowel bij de Kruispuntbank als bij eHealth lag Frank Robben – ‘de paus van succesvol eGovernment’ – aan de basis.</w:t>
      </w:r>
      <w:r w:rsidRPr="00D147A7">
        <w:rPr>
          <w:rStyle w:val="Voetnootmarkering"/>
          <w:rFonts w:ascii="Times New Roman" w:hAnsi="Times New Roman" w:cs="Times New Roman"/>
          <w:sz w:val="24"/>
          <w:szCs w:val="24"/>
        </w:rPr>
        <w:footnoteReference w:id="398"/>
      </w:r>
      <w:r w:rsidRPr="00D147A7">
        <w:rPr>
          <w:rFonts w:ascii="Times New Roman" w:hAnsi="Times New Roman" w:cs="Times New Roman"/>
          <w:sz w:val="24"/>
          <w:szCs w:val="24"/>
        </w:rPr>
        <w:t xml:space="preserve"> Net als de Kruispuntbank is het eHealth-platform geen echte databank, maar een wie-wat-waar repertorium. Er kan dus gesteld worden dat het eHealth-platform voor de gezondheidszorg is wat de Kruispuntbank voor de sociale zekerheid betekent.</w:t>
      </w:r>
      <w:r w:rsidRPr="00D147A7">
        <w:rPr>
          <w:rStyle w:val="Voetnootmarkering"/>
          <w:rFonts w:ascii="Times New Roman" w:hAnsi="Times New Roman" w:cs="Times New Roman"/>
          <w:sz w:val="24"/>
          <w:szCs w:val="24"/>
        </w:rPr>
        <w:footnoteReference w:id="399"/>
      </w:r>
      <w:r w:rsidRPr="00D147A7">
        <w:rPr>
          <w:rFonts w:ascii="Times New Roman" w:hAnsi="Times New Roman" w:cs="Times New Roman"/>
          <w:sz w:val="24"/>
          <w:szCs w:val="24"/>
        </w:rPr>
        <w:t xml:space="preserve"> Toch gaat deze vergelijking niet helemaal op. Eerst en vooral zijn de gegevens die via het eHealth-platform uitgewisseld worden van een andere aard dan die van de Kruispuntbank van de Sociale Zekerheid. Hoewel de gegevens die via het eHealth-platform uitgewisseld worden veel gevoeliger zijn, heeft de wetgever geen filters (zoals bij de Kruispuntbank) voorzien die ervoor kunnen zorgen dat gevoelige informatie niet zomaar zichtbaar is voor de gebruikers.</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 zijn beurt staat het eHealth-platform model voor andere eGov-initiatieven. Omdat de regering in 2007 na zes jaar de stekker uit ‘Phenix’</w:t>
      </w:r>
      <w:r w:rsidR="00003861" w:rsidRPr="00D147A7">
        <w:rPr>
          <w:rFonts w:ascii="Times New Roman" w:hAnsi="Times New Roman" w:cs="Times New Roman"/>
          <w:sz w:val="24"/>
          <w:szCs w:val="24"/>
        </w:rPr>
        <w:t xml:space="preserve"> </w:t>
      </w:r>
      <w:r w:rsidRPr="00D147A7">
        <w:rPr>
          <w:rFonts w:ascii="Times New Roman" w:hAnsi="Times New Roman" w:cs="Times New Roman"/>
          <w:sz w:val="24"/>
          <w:szCs w:val="24"/>
        </w:rPr>
        <w:t>– het informaticaproject dat de computer</w:t>
      </w:r>
      <w:r w:rsidR="00003861" w:rsidRPr="00D147A7">
        <w:rPr>
          <w:rFonts w:ascii="Times New Roman" w:hAnsi="Times New Roman" w:cs="Times New Roman"/>
          <w:sz w:val="24"/>
          <w:szCs w:val="24"/>
        </w:rPr>
        <w:t>-</w:t>
      </w:r>
      <w:r w:rsidRPr="00D147A7">
        <w:rPr>
          <w:rFonts w:ascii="Times New Roman" w:hAnsi="Times New Roman" w:cs="Times New Roman"/>
          <w:sz w:val="24"/>
          <w:szCs w:val="24"/>
        </w:rPr>
        <w:t>netwerken van Justitie uit hun as moest doen herrijzen</w:t>
      </w:r>
      <w:r w:rsidRPr="00D147A7">
        <w:rPr>
          <w:rStyle w:val="Voetnootmarkering"/>
          <w:rFonts w:ascii="Times New Roman" w:hAnsi="Times New Roman" w:cs="Times New Roman"/>
          <w:sz w:val="24"/>
          <w:szCs w:val="24"/>
        </w:rPr>
        <w:footnoteReference w:id="400"/>
      </w:r>
      <w:r w:rsidRPr="00D147A7">
        <w:rPr>
          <w:rFonts w:ascii="Times New Roman" w:hAnsi="Times New Roman" w:cs="Times New Roman"/>
          <w:sz w:val="24"/>
          <w:szCs w:val="24"/>
        </w:rPr>
        <w:t xml:space="preserve"> –</w:t>
      </w:r>
      <w:r w:rsidR="00003861" w:rsidRPr="00D147A7">
        <w:rPr>
          <w:rFonts w:ascii="Times New Roman" w:hAnsi="Times New Roman" w:cs="Times New Roman"/>
          <w:sz w:val="24"/>
          <w:szCs w:val="24"/>
        </w:rPr>
        <w:t xml:space="preserve"> trok</w:t>
      </w:r>
      <w:r w:rsidRPr="00D147A7">
        <w:rPr>
          <w:rFonts w:ascii="Times New Roman" w:hAnsi="Times New Roman" w:cs="Times New Roman"/>
          <w:sz w:val="24"/>
          <w:szCs w:val="24"/>
        </w:rPr>
        <w:t xml:space="preserve">, wil Annemie Turtelboom </w:t>
      </w:r>
      <w:r w:rsidR="00003861" w:rsidRPr="00D147A7">
        <w:rPr>
          <w:rFonts w:ascii="Times New Roman" w:hAnsi="Times New Roman" w:cs="Times New Roman"/>
          <w:sz w:val="24"/>
          <w:szCs w:val="24"/>
        </w:rPr>
        <w:t>een</w:t>
      </w:r>
      <w:r w:rsidRPr="00D147A7">
        <w:rPr>
          <w:rFonts w:ascii="Times New Roman" w:hAnsi="Times New Roman" w:cs="Times New Roman"/>
          <w:sz w:val="24"/>
          <w:szCs w:val="24"/>
        </w:rPr>
        <w:t xml:space="preserve"> </w:t>
      </w:r>
      <w:r w:rsidRPr="00D147A7">
        <w:rPr>
          <w:rFonts w:ascii="Times New Roman" w:hAnsi="Times New Roman" w:cs="Times New Roman"/>
          <w:sz w:val="24"/>
          <w:szCs w:val="24"/>
        </w:rPr>
        <w:lastRenderedPageBreak/>
        <w:t>nieuwe kruispuntbank v</w:t>
      </w:r>
      <w:r w:rsidR="00003861" w:rsidRPr="00D147A7">
        <w:rPr>
          <w:rFonts w:ascii="Times New Roman" w:hAnsi="Times New Roman" w:cs="Times New Roman"/>
          <w:sz w:val="24"/>
          <w:szCs w:val="24"/>
        </w:rPr>
        <w:t>oor</w:t>
      </w:r>
      <w:r w:rsidRPr="00D147A7">
        <w:rPr>
          <w:rFonts w:ascii="Times New Roman" w:hAnsi="Times New Roman" w:cs="Times New Roman"/>
          <w:sz w:val="24"/>
          <w:szCs w:val="24"/>
        </w:rPr>
        <w:t xml:space="preserve"> Justitie, ‘JustX’, uiterlijk tegen 2014 operationeel </w:t>
      </w:r>
      <w:r w:rsidR="00003861" w:rsidRPr="00D147A7">
        <w:rPr>
          <w:rFonts w:ascii="Times New Roman" w:hAnsi="Times New Roman" w:cs="Times New Roman"/>
          <w:sz w:val="24"/>
          <w:szCs w:val="24"/>
        </w:rPr>
        <w:t>maken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01"/>
      </w:r>
      <w:r w:rsidR="00C166F6" w:rsidRPr="00D147A7">
        <w:rPr>
          <w:rFonts w:ascii="Times New Roman" w:hAnsi="Times New Roman" w:cs="Times New Roman"/>
          <w:sz w:val="24"/>
          <w:szCs w:val="24"/>
        </w:rPr>
        <w:t xml:space="preserve"> Omdat ook Justitie met erg privacygevoelig gegevens te maken heeft, is het logisch dat deze kruispuntbank op eHealth gestoeld wordt.</w:t>
      </w:r>
    </w:p>
    <w:p w:rsidR="009931C7" w:rsidRPr="00D147A7" w:rsidRDefault="009931C7" w:rsidP="009931C7">
      <w:pPr>
        <w:rPr>
          <w:b/>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2: Werking en organisatie van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eHealth-platform heeft als missie om de elektronische uitwisseling van gezondheids</w:t>
      </w:r>
      <w:r w:rsidR="003305AF" w:rsidRPr="00D147A7">
        <w:rPr>
          <w:rFonts w:ascii="Times New Roman" w:hAnsi="Times New Roman" w:cs="Times New Roman"/>
          <w:sz w:val="24"/>
          <w:szCs w:val="24"/>
        </w:rPr>
        <w:t>-</w:t>
      </w:r>
      <w:r w:rsidRPr="00D147A7">
        <w:rPr>
          <w:rFonts w:ascii="Times New Roman" w:hAnsi="Times New Roman" w:cs="Times New Roman"/>
          <w:sz w:val="24"/>
          <w:szCs w:val="24"/>
        </w:rPr>
        <w:t xml:space="preserve">gegevens tussen zorgverleners, verzorgingsinstellingen, ziekenfondsen, overheidsdiensten en op termijn ook patiënten te organiseren, met de nodige waarborgen op het vlak van de informatieveiligheid, de bescherming van de persoonlijke levenssfeer (van </w:t>
      </w:r>
      <w:r w:rsidR="00A32E9A" w:rsidRPr="00D147A7">
        <w:rPr>
          <w:rFonts w:ascii="Times New Roman" w:hAnsi="Times New Roman" w:cs="Times New Roman"/>
          <w:sz w:val="24"/>
          <w:szCs w:val="24"/>
        </w:rPr>
        <w:t>zowel</w:t>
      </w:r>
      <w:r w:rsidRPr="00D147A7">
        <w:rPr>
          <w:rFonts w:ascii="Times New Roman" w:hAnsi="Times New Roman" w:cs="Times New Roman"/>
          <w:sz w:val="24"/>
          <w:szCs w:val="24"/>
        </w:rPr>
        <w:t xml:space="preserve"> patiënt </w:t>
      </w:r>
      <w:r w:rsidR="00A32E9A" w:rsidRPr="00D147A7">
        <w:rPr>
          <w:rFonts w:ascii="Times New Roman" w:hAnsi="Times New Roman" w:cs="Times New Roman"/>
          <w:sz w:val="24"/>
          <w:szCs w:val="24"/>
        </w:rPr>
        <w:t>als</w:t>
      </w:r>
      <w:r w:rsidRPr="00D147A7">
        <w:rPr>
          <w:rFonts w:ascii="Times New Roman" w:hAnsi="Times New Roman" w:cs="Times New Roman"/>
          <w:sz w:val="24"/>
          <w:szCs w:val="24"/>
        </w:rPr>
        <w:t xml:space="preserve"> zorgverlener) en het medisch beroepsgeheim.</w:t>
      </w:r>
      <w:r w:rsidRPr="00D147A7">
        <w:rPr>
          <w:rStyle w:val="Voetnootmarkering"/>
          <w:rFonts w:ascii="Times New Roman" w:hAnsi="Times New Roman" w:cs="Times New Roman"/>
          <w:sz w:val="24"/>
          <w:szCs w:val="24"/>
        </w:rPr>
        <w:footnoteReference w:id="402"/>
      </w:r>
      <w:r w:rsidRPr="00D147A7">
        <w:rPr>
          <w:rFonts w:ascii="Times New Roman" w:hAnsi="Times New Roman" w:cs="Times New Roman"/>
          <w:sz w:val="24"/>
          <w:szCs w:val="24"/>
        </w:rPr>
        <w:t xml:space="preserve"> Als zorgverleners op een eenvoudige en veilige manier gegevens </w:t>
      </w:r>
      <w:r w:rsidR="00A32E9A" w:rsidRPr="00D147A7">
        <w:rPr>
          <w:rFonts w:ascii="Times New Roman" w:hAnsi="Times New Roman" w:cs="Times New Roman"/>
          <w:sz w:val="24"/>
          <w:szCs w:val="24"/>
        </w:rPr>
        <w:t xml:space="preserve">met elkaar </w:t>
      </w:r>
      <w:r w:rsidRPr="00D147A7">
        <w:rPr>
          <w:rFonts w:ascii="Times New Roman" w:hAnsi="Times New Roman" w:cs="Times New Roman"/>
          <w:sz w:val="24"/>
          <w:szCs w:val="24"/>
        </w:rPr>
        <w:t>kunnen uitwisselen, wordt zowel de kwaliteit en de continuïteit van de zorgverlening als de veiligheid van de patiënten geoptimaliseerd. De elektronische gegevensuitwisseling bevordert tevens de vereenvoudiging van de administra</w:t>
      </w:r>
      <w:r w:rsidR="00A32E9A" w:rsidRPr="00D147A7">
        <w:rPr>
          <w:rFonts w:ascii="Times New Roman" w:hAnsi="Times New Roman" w:cs="Times New Roman"/>
          <w:sz w:val="24"/>
          <w:szCs w:val="24"/>
        </w:rPr>
        <w:t>-</w:t>
      </w:r>
      <w:r w:rsidRPr="00D147A7">
        <w:rPr>
          <w:rFonts w:ascii="Times New Roman" w:hAnsi="Times New Roman" w:cs="Times New Roman"/>
          <w:sz w:val="24"/>
          <w:szCs w:val="24"/>
        </w:rPr>
        <w:t>tieve formaliteiten voor alle actoren in de gezondheidszorg. Toelatingsprocedures tot welbe</w:t>
      </w:r>
      <w:r w:rsidR="00A32E9A" w:rsidRPr="00D147A7">
        <w:rPr>
          <w:rFonts w:ascii="Times New Roman" w:hAnsi="Times New Roman" w:cs="Times New Roman"/>
          <w:sz w:val="24"/>
          <w:szCs w:val="24"/>
        </w:rPr>
        <w:t>-</w:t>
      </w:r>
      <w:r w:rsidRPr="00D147A7">
        <w:rPr>
          <w:rFonts w:ascii="Times New Roman" w:hAnsi="Times New Roman" w:cs="Times New Roman"/>
          <w:sz w:val="24"/>
          <w:szCs w:val="24"/>
        </w:rPr>
        <w:t xml:space="preserve">paalde zorgverlening of informatie kunnen elektronisch (en dus sneller) gebeuren, waardoor de doorlooptijden aanzienlijk </w:t>
      </w:r>
      <w:r w:rsidR="00A32E9A"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ingekort.</w:t>
      </w:r>
      <w:r w:rsidRPr="00D147A7">
        <w:rPr>
          <w:rStyle w:val="Voetnootmarkering"/>
          <w:rFonts w:ascii="Times New Roman" w:hAnsi="Times New Roman" w:cs="Times New Roman"/>
          <w:sz w:val="24"/>
          <w:szCs w:val="24"/>
        </w:rPr>
        <w:footnoteReference w:id="403"/>
      </w:r>
      <w:r w:rsidRPr="00D147A7">
        <w:rPr>
          <w:rFonts w:ascii="Times New Roman" w:hAnsi="Times New Roman" w:cs="Times New Roman"/>
          <w:sz w:val="24"/>
          <w:szCs w:val="24"/>
        </w:rPr>
        <w:t xml:space="preserve"> Tot slot ondersteunt het eHealth-platform ook het gezondheidszorgbeleid</w:t>
      </w:r>
      <w:r w:rsidR="00A32E9A"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Beheerscomité is het beheersorgaan van het eHealth-platform</w:t>
      </w:r>
      <w:r w:rsidRPr="00D147A7">
        <w:rPr>
          <w:rStyle w:val="Voetnootmarkering"/>
          <w:rFonts w:ascii="Times New Roman" w:hAnsi="Times New Roman" w:cs="Times New Roman"/>
          <w:sz w:val="24"/>
          <w:szCs w:val="24"/>
        </w:rPr>
        <w:footnoteReference w:id="404"/>
      </w:r>
      <w:r w:rsidRPr="00D147A7">
        <w:rPr>
          <w:rFonts w:ascii="Times New Roman" w:hAnsi="Times New Roman" w:cs="Times New Roman"/>
          <w:sz w:val="24"/>
          <w:szCs w:val="24"/>
        </w:rPr>
        <w:t xml:space="preserve"> en bestaat uit één voorzitter en 31 leden die voor een periode van zes jaar benoemd worden door de Koning.</w:t>
      </w:r>
      <w:r w:rsidRPr="00D147A7">
        <w:rPr>
          <w:rStyle w:val="Voetnootmarkering"/>
          <w:rFonts w:ascii="Times New Roman" w:hAnsi="Times New Roman" w:cs="Times New Roman"/>
          <w:sz w:val="24"/>
          <w:szCs w:val="24"/>
        </w:rPr>
        <w:footnoteReference w:id="405"/>
      </w:r>
      <w:r w:rsidRPr="00D147A7">
        <w:rPr>
          <w:rFonts w:ascii="Times New Roman" w:hAnsi="Times New Roman" w:cs="Times New Roman"/>
          <w:sz w:val="24"/>
          <w:szCs w:val="24"/>
        </w:rPr>
        <w:t xml:space="preserve"> Het Beheerscomité moet onder meer de strategie en de visie goedkeuren; het begrotings</w:t>
      </w:r>
      <w:r w:rsidR="00A32E9A" w:rsidRPr="00D147A7">
        <w:rPr>
          <w:rFonts w:ascii="Times New Roman" w:hAnsi="Times New Roman" w:cs="Times New Roman"/>
          <w:sz w:val="24"/>
          <w:szCs w:val="24"/>
        </w:rPr>
        <w:t>-</w:t>
      </w:r>
      <w:r w:rsidRPr="00D147A7">
        <w:rPr>
          <w:rFonts w:ascii="Times New Roman" w:hAnsi="Times New Roman" w:cs="Times New Roman"/>
          <w:sz w:val="24"/>
          <w:szCs w:val="24"/>
        </w:rPr>
        <w:t xml:space="preserve">ontwerp opmaken en toezicht houden op de uitvoering ervan; de jaarrekening van inkomsten en uitgaven opmaken; en ieder jaar op 31 december de actieve en passieve toestand van het eHealth-platform opmaken.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stakeholders en gebruikers van het eHealth-platform worden in het Overlegcomité vertegenwoordigd.</w:t>
      </w:r>
      <w:r w:rsidRPr="00D147A7">
        <w:rPr>
          <w:rStyle w:val="Voetnootmarkering"/>
          <w:rFonts w:ascii="Times New Roman" w:hAnsi="Times New Roman" w:cs="Times New Roman"/>
          <w:sz w:val="24"/>
          <w:szCs w:val="24"/>
        </w:rPr>
        <w:footnoteReference w:id="406"/>
      </w:r>
      <w:r w:rsidRPr="00D147A7">
        <w:rPr>
          <w:rFonts w:ascii="Times New Roman" w:hAnsi="Times New Roman" w:cs="Times New Roman"/>
          <w:sz w:val="24"/>
          <w:szCs w:val="24"/>
        </w:rPr>
        <w:t xml:space="preserve"> Het Overlegcomité ondersteunt het Beheerscomité door initiatieven voor te stellen om de elektronische dienstverlening te bevorderen, alsook door maatregelen aan te reiken voor een veilige en vertrouwelijke behandeling van gezondheidsgegevens en voor een </w:t>
      </w:r>
      <w:r w:rsidR="00A32E9A" w:rsidRPr="00D147A7">
        <w:rPr>
          <w:rFonts w:ascii="Times New Roman" w:hAnsi="Times New Roman" w:cs="Times New Roman"/>
          <w:sz w:val="24"/>
          <w:szCs w:val="24"/>
        </w:rPr>
        <w:t>doorgedreven</w:t>
      </w:r>
      <w:r w:rsidRPr="00D147A7">
        <w:rPr>
          <w:rFonts w:ascii="Times New Roman" w:hAnsi="Times New Roman" w:cs="Times New Roman"/>
          <w:sz w:val="24"/>
          <w:szCs w:val="24"/>
        </w:rPr>
        <w:t xml:space="preserve"> administratieve vereenvoudiging.</w:t>
      </w:r>
    </w:p>
    <w:p w:rsidR="009931C7" w:rsidRPr="00D147A7" w:rsidRDefault="009931C7" w:rsidP="009931C7">
      <w:pPr>
        <w:pStyle w:val="Geenafstand"/>
        <w:jc w:val="both"/>
        <w:rPr>
          <w:rFonts w:ascii="Times New Roman" w:hAnsi="Times New Roman" w:cs="Times New Roman"/>
          <w:sz w:val="24"/>
          <w:szCs w:val="24"/>
          <w:highlight w:val="green"/>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Om zijn missie te realiseren, heeft het eHealth-platform tien opdrachten die haar rol duidelijk afbakenen. Deze wettelijke opdrachten worden hierna in cursief weergegeven, gevolgd door een uitvoerig</w:t>
      </w:r>
      <w:r w:rsidR="00A32E9A" w:rsidRPr="00D147A7">
        <w:rPr>
          <w:rFonts w:ascii="Times New Roman" w:hAnsi="Times New Roman" w:cs="Times New Roman"/>
          <w:sz w:val="24"/>
          <w:szCs w:val="24"/>
        </w:rPr>
        <w:t>e</w:t>
      </w:r>
      <w:r w:rsidRPr="00D147A7">
        <w:rPr>
          <w:rFonts w:ascii="Times New Roman" w:hAnsi="Times New Roman" w:cs="Times New Roman"/>
          <w:sz w:val="24"/>
          <w:szCs w:val="24"/>
        </w:rPr>
        <w:t xml:space="preserve"> toelichting.</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i/>
          <w:sz w:val="24"/>
          <w:szCs w:val="24"/>
        </w:rPr>
      </w:pPr>
      <w:r w:rsidRPr="00D147A7">
        <w:rPr>
          <w:rFonts w:ascii="Times New Roman" w:hAnsi="Times New Roman" w:cs="Times New Roman"/>
          <w:sz w:val="24"/>
          <w:szCs w:val="24"/>
        </w:rPr>
        <w:lastRenderedPageBreak/>
        <w:t xml:space="preserve">1. </w:t>
      </w:r>
      <w:r w:rsidRPr="00D147A7">
        <w:rPr>
          <w:rFonts w:ascii="Times New Roman" w:hAnsi="Times New Roman" w:cs="Times New Roman"/>
          <w:i/>
          <w:sz w:val="24"/>
          <w:szCs w:val="24"/>
        </w:rPr>
        <w:t>het ontwikkelen van een visie en een strategie voor een effectieve, efficiënte en goed beveiligde elektronische dienstverlening en informatie-uitwisseling in de gezondheids</w:t>
      </w:r>
      <w:r w:rsidR="006A53E3" w:rsidRPr="00D147A7">
        <w:rPr>
          <w:rFonts w:ascii="Times New Roman" w:hAnsi="Times New Roman" w:cs="Times New Roman"/>
          <w:i/>
          <w:sz w:val="24"/>
          <w:szCs w:val="24"/>
        </w:rPr>
        <w:t>-</w:t>
      </w:r>
      <w:r w:rsidRPr="00D147A7">
        <w:rPr>
          <w:rFonts w:ascii="Times New Roman" w:hAnsi="Times New Roman" w:cs="Times New Roman"/>
          <w:i/>
          <w:sz w:val="24"/>
          <w:szCs w:val="24"/>
        </w:rPr>
        <w:t>zorg, met respect voor de bescherming van de persoonlijke levenssfeer</w:t>
      </w:r>
      <w:r w:rsidRPr="00D147A7">
        <w:rPr>
          <w:rFonts w:ascii="Times New Roman" w:hAnsi="Times New Roman" w:cs="Times New Roman"/>
          <w:sz w:val="24"/>
          <w:szCs w:val="24"/>
        </w:rPr>
        <w:t xml:space="preserve"> [en het medisch beroepsgeheim];</w:t>
      </w:r>
    </w:p>
    <w:p w:rsidR="009931C7" w:rsidRPr="00D147A7" w:rsidRDefault="009931C7" w:rsidP="009931C7">
      <w:pPr>
        <w:pStyle w:val="Geenafstand"/>
        <w:jc w:val="both"/>
        <w:rPr>
          <w:rFonts w:ascii="Times New Roman" w:hAnsi="Times New Roman" w:cs="Times New Roman"/>
          <w:i/>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ontwikkeling van de visie en de strategie en de permanente bijsturing in functie van de veranderende wensen en behoeften enerzijds en de technologische evolutie anderzijds geschieden</w:t>
      </w:r>
      <w:r w:rsidRPr="00D147A7">
        <w:rPr>
          <w:rFonts w:ascii="Times New Roman" w:hAnsi="Times New Roman" w:cs="Times New Roman"/>
          <w:i/>
          <w:sz w:val="24"/>
          <w:szCs w:val="24"/>
        </w:rPr>
        <w:t xml:space="preserve"> in nauw overleg met de onderscheiden openbare en private actoren in de gezond</w:t>
      </w:r>
      <w:r w:rsidR="006A53E3" w:rsidRPr="00D147A7">
        <w:rPr>
          <w:rFonts w:ascii="Times New Roman" w:hAnsi="Times New Roman" w:cs="Times New Roman"/>
          <w:i/>
          <w:sz w:val="24"/>
          <w:szCs w:val="24"/>
        </w:rPr>
        <w:t>-</w:t>
      </w:r>
      <w:r w:rsidRPr="00D147A7">
        <w:rPr>
          <w:rFonts w:ascii="Times New Roman" w:hAnsi="Times New Roman" w:cs="Times New Roman"/>
          <w:i/>
          <w:sz w:val="24"/>
          <w:szCs w:val="24"/>
        </w:rPr>
        <w:t>heidszorg</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07"/>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2. </w:t>
      </w:r>
      <w:r w:rsidRPr="00D147A7">
        <w:rPr>
          <w:rFonts w:ascii="Times New Roman" w:hAnsi="Times New Roman" w:cs="Times New Roman"/>
          <w:i/>
          <w:sz w:val="24"/>
          <w:szCs w:val="24"/>
        </w:rPr>
        <w:t>het vastleggen van nuttige ICT-gerelateerde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 xml:space="preserve">functionele en technische normen, </w:t>
      </w:r>
      <w:r w:rsidRPr="00D147A7">
        <w:rPr>
          <w:rFonts w:ascii="Times New Roman" w:hAnsi="Times New Roman" w:cs="Times New Roman"/>
          <w:sz w:val="24"/>
          <w:szCs w:val="24"/>
        </w:rPr>
        <w:t xml:space="preserve">[open] </w:t>
      </w:r>
      <w:r w:rsidRPr="00D147A7">
        <w:rPr>
          <w:rFonts w:ascii="Times New Roman" w:hAnsi="Times New Roman" w:cs="Times New Roman"/>
          <w:i/>
          <w:sz w:val="24"/>
          <w:szCs w:val="24"/>
        </w:rPr>
        <w:t>standaarden, specificaties en basisarchitectuur voor een inzet van de ICT ter ondersteuning van deze visie en strategie</w:t>
      </w:r>
      <w:r w:rsidRPr="00D147A7">
        <w:rPr>
          <w:rStyle w:val="Voetnootmarkering"/>
          <w:rFonts w:ascii="Times New Roman" w:hAnsi="Times New Roman" w:cs="Times New Roman"/>
          <w:sz w:val="24"/>
          <w:szCs w:val="24"/>
        </w:rPr>
        <w:footnoteReference w:id="408"/>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BE6BB0">
      <w:pPr>
        <w:pStyle w:val="Geenafstand"/>
        <w:jc w:val="both"/>
        <w:rPr>
          <w:rFonts w:ascii="Times New Roman" w:hAnsi="Times New Roman" w:cs="Times New Roman"/>
        </w:rPr>
      </w:pPr>
      <w:r w:rsidRPr="00D147A7">
        <w:rPr>
          <w:rFonts w:ascii="Times New Roman" w:hAnsi="Times New Roman" w:cs="Times New Roman"/>
          <w:sz w:val="24"/>
          <w:szCs w:val="24"/>
        </w:rPr>
        <w:t xml:space="preserve">Duidelijke afspraken tussen alle actoren in de gezondheidszorg zijn dé </w:t>
      </w:r>
      <w:r w:rsidRPr="00D147A7">
        <w:rPr>
          <w:rFonts w:ascii="Times New Roman" w:hAnsi="Times New Roman" w:cs="Times New Roman"/>
          <w:i/>
          <w:sz w:val="24"/>
          <w:szCs w:val="24"/>
        </w:rPr>
        <w:t>conditio sine qua non</w:t>
      </w:r>
      <w:r w:rsidRPr="00D147A7">
        <w:rPr>
          <w:rFonts w:ascii="Times New Roman" w:hAnsi="Times New Roman" w:cs="Times New Roman"/>
          <w:sz w:val="24"/>
          <w:szCs w:val="24"/>
        </w:rPr>
        <w:t xml:space="preserve"> voor een geolied informatie-uitwisselingssysteem. De vastgelegde normen, standaarden en specificaties hebben voornamelijk betrekking op de kwaliteit, veiligheid, technische, seman</w:t>
      </w:r>
      <w:r w:rsidR="006A53E3" w:rsidRPr="00D147A7">
        <w:rPr>
          <w:rFonts w:ascii="Times New Roman" w:hAnsi="Times New Roman" w:cs="Times New Roman"/>
          <w:sz w:val="24"/>
          <w:szCs w:val="24"/>
        </w:rPr>
        <w:t>-</w:t>
      </w:r>
      <w:r w:rsidRPr="00D147A7">
        <w:rPr>
          <w:rFonts w:ascii="Times New Roman" w:hAnsi="Times New Roman" w:cs="Times New Roman"/>
          <w:sz w:val="24"/>
          <w:szCs w:val="24"/>
        </w:rPr>
        <w:t xml:space="preserve">tische en inhoudelijke interoperabiliteit. De </w:t>
      </w:r>
      <w:r w:rsidRPr="00D147A7">
        <w:rPr>
          <w:rFonts w:ascii="Times New Roman" w:hAnsi="Times New Roman" w:cs="Times New Roman"/>
          <w:i/>
          <w:sz w:val="24"/>
          <w:szCs w:val="24"/>
        </w:rPr>
        <w:t>Belgian Care Providers Telematic Advisory Group</w:t>
      </w:r>
      <w:r w:rsidRPr="00D147A7">
        <w:rPr>
          <w:rFonts w:ascii="Times New Roman" w:hAnsi="Times New Roman" w:cs="Times New Roman"/>
          <w:sz w:val="24"/>
          <w:szCs w:val="24"/>
        </w:rPr>
        <w:t xml:space="preserve"> (kortweg: Werkgroep G19) is verantwoordelijk voor de verdere uitwerking van de algemene architectuur van het uitwisselingssysteem, de uitgewisselde berichten, de structuur van medische documenten en de codificatie van informatie.</w:t>
      </w:r>
      <w:r w:rsidRPr="00D147A7">
        <w:rPr>
          <w:rStyle w:val="Voetnootmarkering"/>
          <w:rFonts w:ascii="Times New Roman" w:hAnsi="Times New Roman" w:cs="Times New Roman"/>
          <w:sz w:val="24"/>
          <w:szCs w:val="24"/>
        </w:rPr>
        <w:footnoteReference w:id="409"/>
      </w:r>
      <w:r w:rsidRPr="00D147A7">
        <w:rPr>
          <w:rFonts w:ascii="Times New Roman" w:hAnsi="Times New Roman" w:cs="Times New Roman"/>
          <w:sz w:val="24"/>
          <w:szCs w:val="24"/>
        </w:rPr>
        <w:t xml:space="preserve"> Hierbij wordt zo veel mogelijk toenadering gezocht tot de internationaal relevante normen zodat niet langer uitsluitend op </w:t>
      </w:r>
      <w:r w:rsidR="006A53E3" w:rsidRPr="00D147A7">
        <w:rPr>
          <w:rFonts w:ascii="Times New Roman" w:hAnsi="Times New Roman" w:cs="Times New Roman"/>
          <w:sz w:val="24"/>
          <w:szCs w:val="24"/>
        </w:rPr>
        <w:t xml:space="preserve">nationale </w:t>
      </w:r>
      <w:r w:rsidRPr="00D147A7">
        <w:rPr>
          <w:rFonts w:ascii="Times New Roman" w:hAnsi="Times New Roman" w:cs="Times New Roman"/>
          <w:sz w:val="24"/>
          <w:szCs w:val="24"/>
        </w:rPr>
        <w:t xml:space="preserve">marktspelers </w:t>
      </w:r>
      <w:r w:rsidR="006A53E3" w:rsidRPr="00D147A7">
        <w:rPr>
          <w:rFonts w:ascii="Times New Roman" w:hAnsi="Times New Roman" w:cs="Times New Roman"/>
          <w:sz w:val="24"/>
          <w:szCs w:val="24"/>
        </w:rPr>
        <w:t>moet worden beroepen</w:t>
      </w:r>
      <w:r w:rsidRPr="00D147A7">
        <w:rPr>
          <w:rFonts w:ascii="Times New Roman" w:hAnsi="Times New Roman" w:cs="Times New Roman"/>
          <w:sz w:val="24"/>
          <w:szCs w:val="24"/>
        </w:rPr>
        <w:t>. Als voorbeeld van een Belgische standaard voor elektronische patiëntendossiers, kan ProRec-BE vermeld worden.</w:t>
      </w:r>
      <w:r w:rsidRPr="00D147A7">
        <w:rPr>
          <w:rStyle w:val="Voetnootmarkering"/>
          <w:rFonts w:ascii="Times New Roman" w:hAnsi="Times New Roman" w:cs="Times New Roman"/>
          <w:sz w:val="24"/>
          <w:szCs w:val="24"/>
        </w:rPr>
        <w:footnoteReference w:id="410"/>
      </w:r>
      <w:r w:rsidRPr="00D147A7">
        <w:rPr>
          <w:rFonts w:ascii="Times New Roman" w:hAnsi="Times New Roman" w:cs="Times New Roman"/>
        </w:rPr>
        <w:br w:type="page"/>
      </w:r>
    </w:p>
    <w:tbl>
      <w:tblPr>
        <w:tblW w:w="8520" w:type="dxa"/>
        <w:tblInd w:w="55" w:type="dxa"/>
        <w:tblCellMar>
          <w:left w:w="70" w:type="dxa"/>
          <w:right w:w="70" w:type="dxa"/>
        </w:tblCellMar>
        <w:tblLook w:val="04A0" w:firstRow="1" w:lastRow="0" w:firstColumn="1" w:lastColumn="0" w:noHBand="0" w:noVBand="1"/>
      </w:tblPr>
      <w:tblGrid>
        <w:gridCol w:w="2283"/>
        <w:gridCol w:w="2694"/>
        <w:gridCol w:w="3543"/>
      </w:tblGrid>
      <w:tr w:rsidR="009931C7" w:rsidRPr="00D147A7" w:rsidTr="004721B1">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lastRenderedPageBreak/>
              <w:br w:type="page"/>
            </w:r>
            <w:r w:rsidRPr="00D147A7">
              <w:rPr>
                <w:smallCaps/>
                <w:color w:val="FFFFFF"/>
                <w:sz w:val="20"/>
                <w:szCs w:val="20"/>
                <w:lang w:eastAsia="nl-BE"/>
              </w:rPr>
              <w:t>Soorten standaard</w:t>
            </w:r>
          </w:p>
        </w:tc>
        <w:tc>
          <w:tcPr>
            <w:tcW w:w="2694"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Afgekorte naam</w:t>
            </w:r>
          </w:p>
        </w:tc>
        <w:tc>
          <w:tcPr>
            <w:tcW w:w="3543"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Volledige naam</w:t>
            </w:r>
          </w:p>
        </w:tc>
      </w:tr>
      <w:tr w:rsidR="009931C7" w:rsidRPr="002E7E12" w:rsidTr="004721B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Communicatiestandaard</w:t>
            </w: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KMEHR</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Kind Messages for Electronic Healthcare Record</w:t>
            </w:r>
          </w:p>
        </w:tc>
      </w:tr>
      <w:tr w:rsidR="009931C7" w:rsidRPr="00D147A7" w:rsidTr="004721B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Standaard voor het samenvatten van patiëntendossiers</w:t>
            </w: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SUMEHR</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Summarized Electronic Health Record</w:t>
            </w:r>
          </w:p>
        </w:tc>
      </w:tr>
      <w:tr w:rsidR="009931C7" w:rsidRPr="00D147A7" w:rsidTr="004721B1">
        <w:trPr>
          <w:trHeight w:val="300"/>
        </w:trPr>
        <w:tc>
          <w:tcPr>
            <w:tcW w:w="228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Codificatiestandaarden</w:t>
            </w: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ICD-9 of ICD-10, afhankelijk van de te rapporteren gegevens</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International Classification of Diseases</w:t>
            </w:r>
          </w:p>
        </w:tc>
      </w:tr>
      <w:tr w:rsidR="009931C7" w:rsidRPr="002E7E12" w:rsidTr="004721B1">
        <w:trPr>
          <w:trHeight w:val="300"/>
        </w:trPr>
        <w:tc>
          <w:tcPr>
            <w:tcW w:w="228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ICD-O</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International Classification of Diseases for Oncology</w:t>
            </w:r>
          </w:p>
        </w:tc>
      </w:tr>
      <w:tr w:rsidR="009931C7" w:rsidRPr="002E7E12" w:rsidTr="004721B1">
        <w:trPr>
          <w:trHeight w:val="300"/>
        </w:trPr>
        <w:tc>
          <w:tcPr>
            <w:tcW w:w="228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ICPC-2</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International Classification of Primary Care</w:t>
            </w:r>
          </w:p>
        </w:tc>
      </w:tr>
      <w:tr w:rsidR="009931C7" w:rsidRPr="00D147A7" w:rsidTr="004721B1">
        <w:trPr>
          <w:trHeight w:val="300"/>
        </w:trPr>
        <w:tc>
          <w:tcPr>
            <w:tcW w:w="228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Op IBUI gebaseerde thesaurus</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fr-BE" w:eastAsia="nl-BE"/>
              </w:rPr>
            </w:pPr>
            <w:r w:rsidRPr="00D147A7">
              <w:rPr>
                <w:color w:val="000000"/>
                <w:sz w:val="20"/>
                <w:szCs w:val="20"/>
                <w:lang w:val="fr-BE" w:eastAsia="nl-BE"/>
              </w:rPr>
              <w:t>Identificateur Belge Unique/Belgische Unieke Identificator</w:t>
            </w:r>
          </w:p>
        </w:tc>
      </w:tr>
      <w:tr w:rsidR="009931C7" w:rsidRPr="002E7E12" w:rsidTr="004721B1">
        <w:trPr>
          <w:trHeight w:val="300"/>
        </w:trPr>
        <w:tc>
          <w:tcPr>
            <w:tcW w:w="228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Specifieke standaarden</w:t>
            </w: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DICOM</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Digital Imaging and Communications in Medicine</w:t>
            </w:r>
          </w:p>
        </w:tc>
      </w:tr>
      <w:tr w:rsidR="009931C7" w:rsidRPr="002E7E12" w:rsidTr="004721B1">
        <w:trPr>
          <w:trHeight w:val="300"/>
        </w:trPr>
        <w:tc>
          <w:tcPr>
            <w:tcW w:w="228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ICF</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International Classification of Functioning, Disability and Health</w:t>
            </w:r>
          </w:p>
        </w:tc>
      </w:tr>
      <w:tr w:rsidR="009931C7" w:rsidRPr="002E7E12" w:rsidTr="004721B1">
        <w:trPr>
          <w:trHeight w:val="300"/>
        </w:trPr>
        <w:tc>
          <w:tcPr>
            <w:tcW w:w="228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269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LOINC</w:t>
            </w:r>
          </w:p>
        </w:tc>
        <w:tc>
          <w:tcPr>
            <w:tcW w:w="354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Logical Observation Identifiers Names and Codes</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Tabel 2: Door het eHealth-platform erkende semantische en technische interoperabiliteitsstandaarden</w:t>
      </w:r>
      <w:r w:rsidRPr="00D147A7">
        <w:rPr>
          <w:rStyle w:val="Voetnootmarkering"/>
          <w:rFonts w:ascii="Times New Roman" w:hAnsi="Times New Roman" w:cs="Times New Roman"/>
          <w:sz w:val="24"/>
          <w:szCs w:val="24"/>
        </w:rPr>
        <w:footnoteReference w:id="41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3. </w:t>
      </w:r>
      <w:r w:rsidRPr="00D147A7">
        <w:rPr>
          <w:rFonts w:ascii="Times New Roman" w:hAnsi="Times New Roman" w:cs="Times New Roman"/>
          <w:i/>
          <w:sz w:val="24"/>
          <w:szCs w:val="24"/>
        </w:rPr>
        <w:t>het nagaan of softwarepakketten voor het beheer van elektronische patiënten</w:t>
      </w:r>
      <w:r w:rsidR="006A53E3" w:rsidRPr="00D147A7">
        <w:rPr>
          <w:rFonts w:ascii="Times New Roman" w:hAnsi="Times New Roman" w:cs="Times New Roman"/>
          <w:i/>
          <w:sz w:val="24"/>
          <w:szCs w:val="24"/>
        </w:rPr>
        <w:t>-</w:t>
      </w:r>
      <w:r w:rsidRPr="00D147A7">
        <w:rPr>
          <w:rFonts w:ascii="Times New Roman" w:hAnsi="Times New Roman" w:cs="Times New Roman"/>
          <w:i/>
          <w:sz w:val="24"/>
          <w:szCs w:val="24"/>
        </w:rPr>
        <w:t>dossiers voldoen aan de vastgelegde ICT-gerelateerde functionele en technische normen, standaarden en specificaties, en het registreren van deze softwarepakket</w:t>
      </w:r>
      <w:r w:rsidR="006A53E3" w:rsidRPr="00D147A7">
        <w:rPr>
          <w:rFonts w:ascii="Times New Roman" w:hAnsi="Times New Roman" w:cs="Times New Roman"/>
          <w:i/>
          <w:sz w:val="24"/>
          <w:szCs w:val="24"/>
        </w:rPr>
        <w:t>-</w:t>
      </w:r>
      <w:r w:rsidRPr="00D147A7">
        <w:rPr>
          <w:rFonts w:ascii="Times New Roman" w:hAnsi="Times New Roman" w:cs="Times New Roman"/>
          <w:i/>
          <w:sz w:val="24"/>
          <w:szCs w:val="24"/>
        </w:rPr>
        <w:t>ten</w:t>
      </w:r>
      <w:r w:rsidRPr="00D147A7">
        <w:rPr>
          <w:rStyle w:val="Voetnootmarkering"/>
          <w:rFonts w:ascii="Times New Roman" w:hAnsi="Times New Roman" w:cs="Times New Roman"/>
          <w:sz w:val="24"/>
          <w:szCs w:val="24"/>
        </w:rPr>
        <w:footnoteReference w:id="412"/>
      </w:r>
      <w:r w:rsidR="006A53E3"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eHealth-platform ontwikkelt zelf geen software voor het beheer van elektronische patiëntendossiers. Dat blijft de taak van de door zorgverleners gekozen ICT-dienstverleners. Wel moeten de zorgverleners met zekerheid weten of de door hen gebruikte software aan de opgelegde normen, standaarden en specificaties voldoet. Enkel dan kan de succesvolle deel</w:t>
      </w:r>
      <w:r w:rsidR="006A53E3" w:rsidRPr="00D147A7">
        <w:rPr>
          <w:rFonts w:ascii="Times New Roman" w:hAnsi="Times New Roman" w:cs="Times New Roman"/>
          <w:sz w:val="24"/>
          <w:szCs w:val="24"/>
        </w:rPr>
        <w:t>-</w:t>
      </w:r>
      <w:r w:rsidRPr="00D147A7">
        <w:rPr>
          <w:rFonts w:ascii="Times New Roman" w:hAnsi="Times New Roman" w:cs="Times New Roman"/>
          <w:sz w:val="24"/>
          <w:szCs w:val="24"/>
        </w:rPr>
        <w:t>name aan de elektronische informatie-uitwisseling via het eHealth-platform gegarandeerd worden.</w:t>
      </w:r>
      <w:r w:rsidRPr="00D147A7">
        <w:rPr>
          <w:rFonts w:ascii="Times New Roman" w:hAnsi="Times New Roman" w:cs="Times New Roman"/>
        </w:rPr>
        <w:fldChar w:fldCharType="begin"/>
      </w:r>
      <w:r w:rsidRPr="00D147A7">
        <w:rPr>
          <w:rFonts w:ascii="Times New Roman" w:hAnsi="Times New Roman" w:cs="Times New Roman"/>
        </w:rPr>
        <w:instrText xml:space="preserve"> LINK Excel.Sheet.12 "G:\\2. Registratie en classificatie\\Tabellen deel 2 België.xlsx" Blad1!R7K4:R24K6 \a \f 4 \h  \* MERGEFORMAT </w:instrText>
      </w:r>
      <w:r w:rsidRPr="00D147A7">
        <w:rPr>
          <w:rFonts w:ascii="Times New Roman" w:hAnsi="Times New Roman" w:cs="Times New Roman"/>
        </w:rPr>
        <w:fldChar w:fldCharType="separate"/>
      </w:r>
    </w:p>
    <w:p w:rsidR="009931C7" w:rsidRPr="00D147A7" w:rsidRDefault="009931C7" w:rsidP="009931C7">
      <w:r w:rsidRPr="00D147A7">
        <w:br w:type="page"/>
      </w:r>
    </w:p>
    <w:tbl>
      <w:tblPr>
        <w:tblW w:w="8265" w:type="dxa"/>
        <w:jc w:val="center"/>
        <w:tblInd w:w="70" w:type="dxa"/>
        <w:tblCellMar>
          <w:left w:w="70" w:type="dxa"/>
          <w:right w:w="70" w:type="dxa"/>
        </w:tblCellMar>
        <w:tblLook w:val="04A0" w:firstRow="1" w:lastRow="0" w:firstColumn="1" w:lastColumn="0" w:noHBand="0" w:noVBand="1"/>
      </w:tblPr>
      <w:tblGrid>
        <w:gridCol w:w="3029"/>
        <w:gridCol w:w="1563"/>
        <w:gridCol w:w="3673"/>
      </w:tblGrid>
      <w:tr w:rsidR="009931C7" w:rsidRPr="00D147A7" w:rsidTr="004721B1">
        <w:trPr>
          <w:trHeight w:val="300"/>
          <w:jc w:val="center"/>
        </w:trPr>
        <w:tc>
          <w:tcPr>
            <w:tcW w:w="302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lastRenderedPageBreak/>
              <w:t>Naam van het softwarepakket</w:t>
            </w:r>
          </w:p>
        </w:tc>
        <w:tc>
          <w:tcPr>
            <w:tcW w:w="1563"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Geteste versie</w:t>
            </w:r>
          </w:p>
        </w:tc>
        <w:tc>
          <w:tcPr>
            <w:tcW w:w="3673"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Naam van de firma</w:t>
            </w:r>
          </w:p>
        </w:tc>
      </w:tr>
      <w:tr w:rsidR="009931C7" w:rsidRPr="002E7E12"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HealthOne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7.2.0</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Health Data Management Partners s.a./n.v.</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EpicureSoft</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15</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MedicalSoft Sprl</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MediDoc</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7.2</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OmniWin</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19.3.0</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MedSoft</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3.0</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Accrimed</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6.7.3</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SoSoeMe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11.3</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Medigest</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2011.2.1</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Corilus Vlaanderen</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Le Généraliste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55.070</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PC Sol</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OmniPro</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2.16.0.d</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MIMS</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MediNote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3.6</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The Virtuous Circle</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Pricare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 xml:space="preserve"> 5.3</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FIGAC Asbl</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Pro_Doc</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4.1</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Pro_doc vzw</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iCure</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3.5.0</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Taktik</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MediWin</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4.37</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Infodef</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Socrate Medical</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9</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Socratem</w:t>
            </w:r>
          </w:p>
        </w:tc>
      </w:tr>
      <w:tr w:rsidR="009931C7" w:rsidRPr="00D147A7" w:rsidTr="004721B1">
        <w:trPr>
          <w:trHeight w:val="300"/>
          <w:jc w:val="center"/>
        </w:trPr>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WinDoc</w:t>
            </w:r>
          </w:p>
        </w:tc>
        <w:tc>
          <w:tcPr>
            <w:tcW w:w="156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8.8</w:t>
            </w:r>
          </w:p>
        </w:tc>
        <w:tc>
          <w:tcPr>
            <w:tcW w:w="3673"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CompuGroup Medical Belgium bvba</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Tabel 3: Medische software die aan de vastgelegde ICT-gerelateerde normen, standaarden en specificaties van het eHealth-platform voldoen in 2012 en 2013</w:t>
      </w:r>
      <w:r w:rsidRPr="00D147A7">
        <w:rPr>
          <w:rStyle w:val="Voetnootmarkering"/>
          <w:rFonts w:ascii="Times New Roman" w:hAnsi="Times New Roman" w:cs="Times New Roman"/>
          <w:sz w:val="24"/>
          <w:szCs w:val="24"/>
        </w:rPr>
        <w:footnoteReference w:id="41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i/>
          <w:sz w:val="24"/>
          <w:szCs w:val="24"/>
        </w:rPr>
      </w:pPr>
      <w:r w:rsidRPr="00D147A7">
        <w:rPr>
          <w:rFonts w:ascii="Times New Roman" w:hAnsi="Times New Roman" w:cs="Times New Roman"/>
          <w:sz w:val="24"/>
          <w:szCs w:val="24"/>
        </w:rPr>
        <w:t xml:space="preserve">4. </w:t>
      </w:r>
      <w:r w:rsidRPr="00D147A7">
        <w:rPr>
          <w:rFonts w:ascii="Times New Roman" w:hAnsi="Times New Roman" w:cs="Times New Roman"/>
          <w:i/>
          <w:sz w:val="24"/>
          <w:szCs w:val="24"/>
        </w:rPr>
        <w:t xml:space="preserve">het concipiëren, beheren, ontwikkelen en in standaardvorm, gratis </w:t>
      </w:r>
      <w:r w:rsidRPr="00D147A7">
        <w:rPr>
          <w:rFonts w:ascii="Times New Roman" w:hAnsi="Times New Roman" w:cs="Times New Roman"/>
          <w:sz w:val="24"/>
          <w:szCs w:val="24"/>
        </w:rPr>
        <w:t>[en optioneel</w:t>
      </w:r>
      <w:r w:rsidRPr="00D147A7">
        <w:rPr>
          <w:rStyle w:val="Voetnootmarkering"/>
          <w:rFonts w:ascii="Times New Roman" w:hAnsi="Times New Roman" w:cs="Times New Roman"/>
          <w:sz w:val="24"/>
          <w:szCs w:val="24"/>
        </w:rPr>
        <w:footnoteReference w:id="414"/>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ter beschikking stellen aan de actoren in de gezondheidszorg van elektronische basis</w:t>
      </w:r>
      <w:r w:rsidR="00870A3B" w:rsidRPr="00D147A7">
        <w:rPr>
          <w:rFonts w:ascii="Times New Roman" w:hAnsi="Times New Roman" w:cs="Times New Roman"/>
          <w:i/>
          <w:sz w:val="24"/>
          <w:szCs w:val="24"/>
        </w:rPr>
        <w:t>-</w:t>
      </w:r>
      <w:r w:rsidRPr="00D147A7">
        <w:rPr>
          <w:rFonts w:ascii="Times New Roman" w:hAnsi="Times New Roman" w:cs="Times New Roman"/>
          <w:i/>
          <w:sz w:val="24"/>
          <w:szCs w:val="24"/>
        </w:rPr>
        <w:t>diensten die potentieel de actoren in de gezondheidszorg ondersteunen, zoals:</w:t>
      </w:r>
    </w:p>
    <w:p w:rsidR="009931C7" w:rsidRPr="00D147A7" w:rsidRDefault="009931C7" w:rsidP="009931C7">
      <w:pPr>
        <w:pStyle w:val="Geenafstand"/>
        <w:ind w:left="708"/>
        <w:jc w:val="both"/>
        <w:rPr>
          <w:rFonts w:ascii="Times New Roman" w:hAnsi="Times New Roman" w:cs="Times New Roman"/>
          <w:i/>
          <w:sz w:val="24"/>
          <w:szCs w:val="24"/>
        </w:rPr>
      </w:pPr>
      <w:r w:rsidRPr="00D147A7">
        <w:rPr>
          <w:rFonts w:ascii="Times New Roman" w:hAnsi="Times New Roman" w:cs="Times New Roman"/>
          <w:i/>
          <w:sz w:val="24"/>
          <w:szCs w:val="24"/>
        </w:rPr>
        <w:t>a) een samenwerkingsplatform voor de veilige elektronische gegevensuitwisseling, met inbegrip van een systeem voor de organisatie en logging van de elektronische gegevensuitwisseling, en een systeem voor de elektronische toegang tot de gegevens;</w:t>
      </w: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i/>
          <w:sz w:val="24"/>
          <w:szCs w:val="24"/>
        </w:rPr>
        <w:t>b) de nuttige basisdiensten ter ondersteuning van deze elektronische gegevensuitwis</w:t>
      </w:r>
      <w:r w:rsidR="00AD5729">
        <w:rPr>
          <w:rFonts w:ascii="Times New Roman" w:hAnsi="Times New Roman" w:cs="Times New Roman"/>
          <w:i/>
          <w:sz w:val="24"/>
          <w:szCs w:val="24"/>
        </w:rPr>
        <w:t>-</w:t>
      </w:r>
      <w:r w:rsidRPr="00D147A7">
        <w:rPr>
          <w:rFonts w:ascii="Times New Roman" w:hAnsi="Times New Roman" w:cs="Times New Roman"/>
          <w:i/>
          <w:sz w:val="24"/>
          <w:szCs w:val="24"/>
        </w:rPr>
        <w:t>seling, zoals een systeem van vercijfering van gegevens tussen verzender en bestem</w:t>
      </w:r>
      <w:r w:rsidR="00AD5729">
        <w:rPr>
          <w:rFonts w:ascii="Times New Roman" w:hAnsi="Times New Roman" w:cs="Times New Roman"/>
          <w:i/>
          <w:sz w:val="24"/>
          <w:szCs w:val="24"/>
        </w:rPr>
        <w:t>-</w:t>
      </w:r>
      <w:r w:rsidRPr="00D147A7">
        <w:rPr>
          <w:rFonts w:ascii="Times New Roman" w:hAnsi="Times New Roman" w:cs="Times New Roman"/>
          <w:i/>
          <w:sz w:val="24"/>
          <w:szCs w:val="24"/>
        </w:rPr>
        <w:t>meling, een systeem voor gebruikers- en toegangsbeheer, een beveiligde elektronische brievenbus voor elke actor in de gezondheidszorg, een systeem voor elektronische datering, een systeem voor codering en anonimisering van informatie, een verwij</w:t>
      </w:r>
      <w:r w:rsidR="00AD5729">
        <w:rPr>
          <w:rFonts w:ascii="Times New Roman" w:hAnsi="Times New Roman" w:cs="Times New Roman"/>
          <w:i/>
          <w:sz w:val="24"/>
          <w:szCs w:val="24"/>
        </w:rPr>
        <w:t>-</w:t>
      </w:r>
      <w:r w:rsidRPr="00D147A7">
        <w:rPr>
          <w:rFonts w:ascii="Times New Roman" w:hAnsi="Times New Roman" w:cs="Times New Roman"/>
          <w:i/>
          <w:sz w:val="24"/>
          <w:szCs w:val="24"/>
        </w:rPr>
        <w:t>zingsrepertorium met de aanduiding, met akkoord van de betrokken patiënten, bij welke actoren in de gezondheidszorg welke types van gegevens worden bewaard met betrekking tot welke patiënten; de implementatie van het verwijzingsrepertorium kan slechts geschieden na advies van de afdeling gezondheid van het sectoraal comité van de sociale zekerheid en van de gezondheid</w:t>
      </w:r>
      <w:r w:rsidRPr="00D147A7">
        <w:rPr>
          <w:rStyle w:val="Voetnootmarkering"/>
          <w:rFonts w:ascii="Times New Roman" w:hAnsi="Times New Roman" w:cs="Times New Roman"/>
          <w:sz w:val="24"/>
          <w:szCs w:val="24"/>
        </w:rPr>
        <w:footnoteReference w:id="415"/>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Door de diensten van het eHealth-platform gratis aan te bieden, wil de overheid vermijden dat er tal van niet</w:t>
      </w:r>
      <w:r w:rsidR="009831DB" w:rsidRPr="00D147A7">
        <w:rPr>
          <w:rFonts w:ascii="Times New Roman" w:hAnsi="Times New Roman" w:cs="Times New Roman"/>
          <w:sz w:val="24"/>
          <w:szCs w:val="24"/>
        </w:rPr>
        <w:t>-compatibele</w:t>
      </w:r>
      <w:r w:rsidRPr="00D147A7">
        <w:rPr>
          <w:rFonts w:ascii="Times New Roman" w:hAnsi="Times New Roman" w:cs="Times New Roman"/>
          <w:sz w:val="24"/>
          <w:szCs w:val="24"/>
        </w:rPr>
        <w:t xml:space="preserve"> uitwisselingsplatformen naast elkaar tot stand zouden komen. De door het eHealth-platform zelf ontwikkelde en aangeboden basisdiensten bieden ondersteun</w:t>
      </w:r>
      <w:r w:rsidR="009831DB" w:rsidRPr="00D147A7">
        <w:rPr>
          <w:rFonts w:ascii="Times New Roman" w:hAnsi="Times New Roman" w:cs="Times New Roman"/>
          <w:sz w:val="24"/>
          <w:szCs w:val="24"/>
        </w:rPr>
        <w:t>-</w:t>
      </w:r>
      <w:r w:rsidRPr="00D147A7">
        <w:rPr>
          <w:rFonts w:ascii="Times New Roman" w:hAnsi="Times New Roman" w:cs="Times New Roman"/>
          <w:sz w:val="24"/>
          <w:szCs w:val="24"/>
        </w:rPr>
        <w:t>ing aan de actoren in de gezondheidszorg die aan de elektronische uitwisseling van gezond</w:t>
      </w:r>
      <w:r w:rsidR="009831DB" w:rsidRPr="00D147A7">
        <w:rPr>
          <w:rFonts w:ascii="Times New Roman" w:hAnsi="Times New Roman" w:cs="Times New Roman"/>
          <w:sz w:val="24"/>
          <w:szCs w:val="24"/>
        </w:rPr>
        <w:t>-</w:t>
      </w:r>
      <w:r w:rsidRPr="00D147A7">
        <w:rPr>
          <w:rFonts w:ascii="Times New Roman" w:hAnsi="Times New Roman" w:cs="Times New Roman"/>
          <w:sz w:val="24"/>
          <w:szCs w:val="24"/>
        </w:rPr>
        <w:t>heidsgegevens willen participeren.</w:t>
      </w:r>
      <w:r w:rsidRPr="00D147A7">
        <w:rPr>
          <w:rStyle w:val="Voetnootmarkering"/>
          <w:rFonts w:ascii="Times New Roman" w:hAnsi="Times New Roman" w:cs="Times New Roman"/>
          <w:sz w:val="24"/>
          <w:szCs w:val="24"/>
        </w:rPr>
        <w:footnoteReference w:id="416"/>
      </w:r>
      <w:r w:rsidRPr="00D147A7">
        <w:rPr>
          <w:rFonts w:ascii="Times New Roman" w:hAnsi="Times New Roman" w:cs="Times New Roman"/>
          <w:sz w:val="24"/>
          <w:szCs w:val="24"/>
        </w:rPr>
        <w:t xml:space="preserve"> Het eHealth-platform besteedt zeer veel aandacht aan </w:t>
      </w:r>
      <w:r w:rsidRPr="00D147A7">
        <w:rPr>
          <w:rFonts w:ascii="Times New Roman" w:hAnsi="Times New Roman" w:cs="Times New Roman"/>
          <w:sz w:val="24"/>
          <w:szCs w:val="24"/>
        </w:rPr>
        <w:lastRenderedPageBreak/>
        <w:t>technische maatregelen om de veiligheid van de informatie-uitwisseling te garanderen. Zo wordt aan de gebruikers gegarandeerd dat de gegevensuitwisseling aan alle wettelijke vereisten inzake informatieveiligheid en de bescherming van de persoonlijke levenssfeer voldoe</w:t>
      </w:r>
      <w:r w:rsidR="009831DB" w:rsidRPr="00D147A7">
        <w:rPr>
          <w:rFonts w:ascii="Times New Roman" w:hAnsi="Times New Roman" w:cs="Times New Roman"/>
          <w:sz w:val="24"/>
          <w:szCs w:val="24"/>
        </w:rPr>
        <w:t>t</w:t>
      </w:r>
      <w:r w:rsidRPr="00D147A7">
        <w:rPr>
          <w:rFonts w:ascii="Times New Roman" w:hAnsi="Times New Roman" w:cs="Times New Roman"/>
          <w:sz w:val="24"/>
          <w:szCs w:val="24"/>
        </w:rPr>
        <w:t>. Hiervoor werden tal van hulpmiddelen ontwikkeld: het op authentieke bronnen geba</w:t>
      </w:r>
      <w:r w:rsidR="00AD5729">
        <w:rPr>
          <w:rFonts w:ascii="Times New Roman" w:hAnsi="Times New Roman" w:cs="Times New Roman"/>
          <w:sz w:val="24"/>
          <w:szCs w:val="24"/>
        </w:rPr>
        <w:t>-</w:t>
      </w:r>
      <w:r w:rsidRPr="00D147A7">
        <w:rPr>
          <w:rFonts w:ascii="Times New Roman" w:hAnsi="Times New Roman" w:cs="Times New Roman"/>
          <w:sz w:val="24"/>
          <w:szCs w:val="24"/>
        </w:rPr>
        <w:t>seerde gebruikers- en toegangsbeheer, innovatieve encryptie-technieken, de identificatie aan de hand van een uniek kenmerk en de authenticatie (of controle van de hoedanigheid) van de gebruikers door middel van paswoorden en logging-mechanismen. De ondersteunende basis</w:t>
      </w:r>
      <w:r w:rsidR="00AD5729">
        <w:rPr>
          <w:rFonts w:ascii="Times New Roman" w:hAnsi="Times New Roman" w:cs="Times New Roman"/>
          <w:sz w:val="24"/>
          <w:szCs w:val="24"/>
        </w:rPr>
        <w:t>-</w:t>
      </w:r>
      <w:r w:rsidRPr="00D147A7">
        <w:rPr>
          <w:rFonts w:ascii="Times New Roman" w:hAnsi="Times New Roman" w:cs="Times New Roman"/>
          <w:sz w:val="24"/>
          <w:szCs w:val="24"/>
        </w:rPr>
        <w:t>diensten die toelaten om het samenwerkingsplatform op een efficiënte, gecoördineerde en be</w:t>
      </w:r>
      <w:r w:rsidR="00AD5729">
        <w:rPr>
          <w:rFonts w:ascii="Times New Roman" w:hAnsi="Times New Roman" w:cs="Times New Roman"/>
          <w:sz w:val="24"/>
          <w:szCs w:val="24"/>
        </w:rPr>
        <w:t>-</w:t>
      </w:r>
      <w:r w:rsidRPr="00D147A7">
        <w:rPr>
          <w:rFonts w:ascii="Times New Roman" w:hAnsi="Times New Roman" w:cs="Times New Roman"/>
          <w:sz w:val="24"/>
          <w:szCs w:val="24"/>
        </w:rPr>
        <w:t>veiligde manier te gebruiken, worden hier opgesomd en kort besproken.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actoren in de gezondheidszorg kunnen via de portaalsite (</w:t>
      </w:r>
      <w:hyperlink r:id="rId72" w:history="1">
        <w:r w:rsidRPr="00D147A7">
          <w:rPr>
            <w:rStyle w:val="Hyperlink"/>
            <w:rFonts w:ascii="Times New Roman" w:hAnsi="Times New Roman" w:cs="Times New Roman"/>
            <w:sz w:val="24"/>
            <w:szCs w:val="24"/>
          </w:rPr>
          <w:t>ehealth.fgov.be</w:t>
        </w:r>
      </w:hyperlink>
      <w:r w:rsidRPr="00D147A7">
        <w:rPr>
          <w:rFonts w:ascii="Times New Roman" w:hAnsi="Times New Roman" w:cs="Times New Roman"/>
          <w:sz w:val="24"/>
          <w:szCs w:val="24"/>
        </w:rPr>
        <w:t xml:space="preserve">) gebruik maken van de verschillende door het eHealth-platform aangeboden diensten. Deze website is ook een hulpmiddel voor lokale beheerders van verzorgingsinstellingen om de juiste configuraties uit te voeren. Verder biedt de portaalsite algemene informatie </w:t>
      </w:r>
      <w:r w:rsidR="009831DB" w:rsidRPr="00D147A7">
        <w:rPr>
          <w:rFonts w:ascii="Times New Roman" w:hAnsi="Times New Roman" w:cs="Times New Roman"/>
          <w:sz w:val="24"/>
          <w:szCs w:val="24"/>
        </w:rPr>
        <w:t xml:space="preserve">aan </w:t>
      </w:r>
      <w:r w:rsidRPr="00D147A7">
        <w:rPr>
          <w:rFonts w:ascii="Times New Roman" w:hAnsi="Times New Roman" w:cs="Times New Roman"/>
          <w:sz w:val="24"/>
          <w:szCs w:val="24"/>
        </w:rPr>
        <w:t>over het eHealth-platform als openbare instelling</w:t>
      </w:r>
      <w:r w:rsidR="009831DB"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Hierboven werd reeds aangehaald dat het eHealth-platform louter als doorgeefluik fungeert voor de veilige elektronische gegevensuitwisseling in de zorgsector. Het eHealth-platform slaat zelf geen inhoudelijke informatie centraal op, maar treedt op als </w:t>
      </w:r>
      <w:r w:rsidRPr="00D147A7">
        <w:rPr>
          <w:rFonts w:ascii="Times New Roman" w:hAnsi="Times New Roman" w:cs="Times New Roman"/>
          <w:i/>
          <w:sz w:val="24"/>
          <w:szCs w:val="24"/>
        </w:rPr>
        <w:t>Trusted Third Party</w:t>
      </w:r>
      <w:r w:rsidRPr="00D147A7">
        <w:rPr>
          <w:rFonts w:ascii="Times New Roman" w:hAnsi="Times New Roman" w:cs="Times New Roman"/>
          <w:sz w:val="24"/>
          <w:szCs w:val="24"/>
        </w:rPr>
        <w:t xml:space="preserve"> tussen de gebruikers en aanbieders van gezondheidsgegevens.</w:t>
      </w:r>
      <w:r w:rsidRPr="00D147A7">
        <w:rPr>
          <w:rStyle w:val="Voetnootmarkering"/>
          <w:rFonts w:ascii="Times New Roman" w:hAnsi="Times New Roman" w:cs="Times New Roman"/>
          <w:sz w:val="24"/>
          <w:szCs w:val="24"/>
        </w:rPr>
        <w:footnoteReference w:id="417"/>
      </w:r>
      <w:r w:rsidRPr="00D147A7">
        <w:rPr>
          <w:rFonts w:ascii="Times New Roman" w:hAnsi="Times New Roman" w:cs="Times New Roman"/>
          <w:sz w:val="24"/>
          <w:szCs w:val="24"/>
        </w:rPr>
        <w:t xml:space="preserve"> Gezondheidsgegevens wor</w:t>
      </w:r>
      <w:r w:rsidR="00AD5729">
        <w:rPr>
          <w:rFonts w:ascii="Times New Roman" w:hAnsi="Times New Roman" w:cs="Times New Roman"/>
          <w:sz w:val="24"/>
          <w:szCs w:val="24"/>
        </w:rPr>
        <w:t>-</w:t>
      </w:r>
      <w:r w:rsidRPr="00D147A7">
        <w:rPr>
          <w:rFonts w:ascii="Times New Roman" w:hAnsi="Times New Roman" w:cs="Times New Roman"/>
          <w:sz w:val="24"/>
          <w:szCs w:val="24"/>
        </w:rPr>
        <w:t>den uitgewisseld via een getrapt verwijzingssysteem van hubs en de overkoepelende – door het eHealth-platform beheerde – metahub. Op dit moment zijn er vijf operationele hubs waar individuele zorgverleners en verzorgingsinstellingen zich op kunnen aansluiten: drie in Vlaan</w:t>
      </w:r>
      <w:r w:rsidR="00AD5729">
        <w:rPr>
          <w:rFonts w:ascii="Times New Roman" w:hAnsi="Times New Roman" w:cs="Times New Roman"/>
          <w:sz w:val="24"/>
          <w:szCs w:val="24"/>
        </w:rPr>
        <w:t>-</w:t>
      </w:r>
      <w:r w:rsidRPr="00D147A7">
        <w:rPr>
          <w:rFonts w:ascii="Times New Roman" w:hAnsi="Times New Roman" w:cs="Times New Roman"/>
          <w:sz w:val="24"/>
          <w:szCs w:val="24"/>
        </w:rPr>
        <w:t>deren (het Vlaams ziekenhuisnetwerk KULeuven, Regionale Hub Gent en het Antwerpse Regionaal Platform), één in Brussel (Abrument) en één in Wallonië (Réseau Santé Wallon).</w:t>
      </w:r>
      <w:r w:rsidRPr="00D147A7">
        <w:rPr>
          <w:rStyle w:val="Voetnootmarkering"/>
          <w:rFonts w:ascii="Times New Roman" w:hAnsi="Times New Roman" w:cs="Times New Roman"/>
          <w:sz w:val="24"/>
          <w:szCs w:val="24"/>
        </w:rPr>
        <w:footnoteReference w:id="41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Default="009931C7" w:rsidP="009931C7">
      <w:pPr>
        <w:pStyle w:val="Geenafstand"/>
        <w:jc w:val="both"/>
        <w:rPr>
          <w:rFonts w:ascii="Times New Roman" w:hAnsi="Times New Roman" w:cs="Times New Roman"/>
          <w:sz w:val="24"/>
          <w:szCs w:val="24"/>
        </w:rPr>
      </w:pPr>
    </w:p>
    <w:p w:rsidR="00AD5729" w:rsidRDefault="00AD5729" w:rsidP="009931C7">
      <w:pPr>
        <w:pStyle w:val="Geenafstand"/>
        <w:jc w:val="both"/>
        <w:rPr>
          <w:rFonts w:ascii="Times New Roman" w:hAnsi="Times New Roman" w:cs="Times New Roman"/>
          <w:sz w:val="24"/>
          <w:szCs w:val="24"/>
        </w:rPr>
      </w:pPr>
    </w:p>
    <w:p w:rsidR="00AD5729" w:rsidRDefault="00AD5729" w:rsidP="009931C7">
      <w:pPr>
        <w:pStyle w:val="Geenafstand"/>
        <w:jc w:val="both"/>
        <w:rPr>
          <w:rFonts w:ascii="Times New Roman" w:hAnsi="Times New Roman" w:cs="Times New Roman"/>
          <w:sz w:val="24"/>
          <w:szCs w:val="24"/>
        </w:rPr>
      </w:pPr>
    </w:p>
    <w:p w:rsidR="00AD5729" w:rsidRDefault="00AD5729" w:rsidP="009931C7">
      <w:pPr>
        <w:pStyle w:val="Geenafstand"/>
        <w:jc w:val="both"/>
        <w:rPr>
          <w:rFonts w:ascii="Times New Roman" w:hAnsi="Times New Roman" w:cs="Times New Roman"/>
          <w:sz w:val="24"/>
          <w:szCs w:val="24"/>
        </w:rPr>
      </w:pPr>
    </w:p>
    <w:p w:rsidR="00AD5729" w:rsidRDefault="00AD5729" w:rsidP="009931C7">
      <w:pPr>
        <w:pStyle w:val="Geenafstand"/>
        <w:jc w:val="both"/>
        <w:rPr>
          <w:rFonts w:ascii="Times New Roman" w:hAnsi="Times New Roman" w:cs="Times New Roman"/>
          <w:sz w:val="24"/>
          <w:szCs w:val="24"/>
        </w:rPr>
      </w:pPr>
    </w:p>
    <w:p w:rsidR="00AD5729" w:rsidRPr="00D147A7" w:rsidRDefault="00AD5729"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highlight w:val="black"/>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6B8D35C3" wp14:editId="23546870">
            <wp:extent cx="4085715" cy="3314286"/>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085715" cy="3314286"/>
                    </a:xfrm>
                    <a:prstGeom prst="rect">
                      <a:avLst/>
                    </a:prstGeom>
                  </pic:spPr>
                </pic:pic>
              </a:graphicData>
            </a:graphic>
          </wp:inline>
        </w:drawing>
      </w:r>
      <w:r w:rsidRPr="00D147A7">
        <w:rPr>
          <w:rFonts w:ascii="Times New Roman" w:hAnsi="Times New Roman" w:cs="Times New Roman"/>
          <w:sz w:val="24"/>
          <w:szCs w:val="24"/>
        </w:rPr>
        <w:t xml:space="preserve"> </w:t>
      </w:r>
      <w:r w:rsidRPr="00D147A7">
        <w:rPr>
          <w:rFonts w:ascii="Times New Roman" w:hAnsi="Times New Roman" w:cs="Times New Roman"/>
          <w:noProof/>
          <w:lang w:eastAsia="nl-BE"/>
        </w:rPr>
        <w:drawing>
          <wp:inline distT="0" distB="0" distL="0" distR="0" wp14:anchorId="7837480E" wp14:editId="7BD44A34">
            <wp:extent cx="1555423" cy="1294688"/>
            <wp:effectExtent l="0" t="0" r="6985"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53469" cy="1293062"/>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Kaart 1: Grafische weergave van de ziekenhuizen die in 2010 bij de vijf regionale hubs aangesloten waren</w:t>
      </w:r>
      <w:r w:rsidRPr="00D147A7">
        <w:rPr>
          <w:rStyle w:val="Voetnootmarkering"/>
          <w:rFonts w:ascii="Times New Roman" w:hAnsi="Times New Roman" w:cs="Times New Roman"/>
          <w:sz w:val="24"/>
          <w:szCs w:val="24"/>
        </w:rPr>
        <w:footnoteReference w:id="41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0"/>
          <w:szCs w:val="20"/>
          <w:lang w:eastAsia="nl-BE"/>
        </w:rPr>
      </w:pPr>
      <w:r w:rsidRPr="00D147A7">
        <w:rPr>
          <w:rFonts w:ascii="Times New Roman" w:hAnsi="Times New Roman" w:cs="Times New Roman"/>
          <w:sz w:val="24"/>
          <w:szCs w:val="24"/>
        </w:rPr>
        <w:fldChar w:fldCharType="begin"/>
      </w:r>
      <w:r w:rsidRPr="00D147A7">
        <w:rPr>
          <w:rFonts w:ascii="Times New Roman" w:hAnsi="Times New Roman" w:cs="Times New Roman"/>
          <w:sz w:val="24"/>
          <w:szCs w:val="24"/>
        </w:rPr>
        <w:instrText xml:space="preserve"> LINK Excel.Sheet.12 "G:\\2. Registratie en classificatie\\Kopie van Hubs list 2010.xlsx" Blad1!R3K2:R103K9 \a \f 4 \h  \* MERGEFORMAT </w:instrText>
      </w:r>
      <w:r w:rsidRPr="00D147A7">
        <w:rPr>
          <w:rFonts w:ascii="Times New Roman" w:hAnsi="Times New Roman" w:cs="Times New Roman"/>
          <w:sz w:val="24"/>
          <w:szCs w:val="24"/>
        </w:rPr>
        <w:fldChar w:fldCharType="separate"/>
      </w:r>
      <w:r w:rsidRPr="00D147A7">
        <w:rPr>
          <w:rFonts w:ascii="Times New Roman" w:hAnsi="Times New Roman" w:cs="Times New Roman"/>
          <w:sz w:val="24"/>
          <w:szCs w:val="24"/>
        </w:rPr>
        <w:fldChar w:fldCharType="begin"/>
      </w:r>
      <w:r w:rsidRPr="00D147A7">
        <w:rPr>
          <w:rFonts w:ascii="Times New Roman" w:hAnsi="Times New Roman" w:cs="Times New Roman"/>
          <w:sz w:val="24"/>
          <w:szCs w:val="24"/>
        </w:rPr>
        <w:instrText xml:space="preserve"> LINK Excel.Sheet.12 "G:\\2. Registratie en classificatie\\Kopie van Hubs list 2010.xlsx" Blad1!R3K2:R103K9 \a \f 4 \h  \* MERGEFORMAT </w:instrText>
      </w:r>
      <w:r w:rsidRPr="00D147A7">
        <w:rPr>
          <w:rFonts w:ascii="Times New Roman" w:hAnsi="Times New Roman" w:cs="Times New Roman"/>
          <w:sz w:val="24"/>
          <w:szCs w:val="24"/>
        </w:rPr>
        <w:fldChar w:fldCharType="separate"/>
      </w:r>
    </w:p>
    <w:p w:rsidR="009931C7" w:rsidRPr="00D147A7" w:rsidRDefault="009931C7" w:rsidP="009931C7">
      <w:r w:rsidRPr="00D147A7">
        <w:br w:type="page"/>
      </w:r>
    </w:p>
    <w:tbl>
      <w:tblPr>
        <w:tblW w:w="9302" w:type="dxa"/>
        <w:tblInd w:w="70" w:type="dxa"/>
        <w:tblCellMar>
          <w:left w:w="70" w:type="dxa"/>
          <w:right w:w="70" w:type="dxa"/>
        </w:tblCellMar>
        <w:tblLook w:val="04A0" w:firstRow="1" w:lastRow="0" w:firstColumn="1" w:lastColumn="0" w:noHBand="0" w:noVBand="1"/>
      </w:tblPr>
      <w:tblGrid>
        <w:gridCol w:w="993"/>
        <w:gridCol w:w="1134"/>
        <w:gridCol w:w="708"/>
        <w:gridCol w:w="768"/>
        <w:gridCol w:w="1654"/>
        <w:gridCol w:w="1871"/>
        <w:gridCol w:w="1207"/>
        <w:gridCol w:w="967"/>
      </w:tblGrid>
      <w:tr w:rsidR="009931C7" w:rsidRPr="00D147A7" w:rsidTr="004721B1">
        <w:trPr>
          <w:trHeight w:val="300"/>
        </w:trPr>
        <w:tc>
          <w:tcPr>
            <w:tcW w:w="99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lastRenderedPageBreak/>
              <w:t>Project</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Totaal aantal ziekenhuizen</w:t>
            </w:r>
          </w:p>
        </w:tc>
        <w:tc>
          <w:tcPr>
            <w:tcW w:w="708"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Totaal aantal bedden</w:t>
            </w:r>
          </w:p>
        </w:tc>
        <w:tc>
          <w:tcPr>
            <w:tcW w:w="768"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Bedden</w:t>
            </w:r>
          </w:p>
        </w:tc>
        <w:tc>
          <w:tcPr>
            <w:tcW w:w="1654"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Erkenningsnummer</w:t>
            </w:r>
          </w:p>
        </w:tc>
        <w:tc>
          <w:tcPr>
            <w:tcW w:w="1871"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Acute ziekenhuizen</w:t>
            </w:r>
          </w:p>
        </w:tc>
        <w:tc>
          <w:tcPr>
            <w:tcW w:w="1207"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Gemeente</w:t>
            </w:r>
          </w:p>
        </w:tc>
        <w:tc>
          <w:tcPr>
            <w:tcW w:w="967"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16"/>
                <w:szCs w:val="16"/>
                <w:lang w:eastAsia="nl-BE"/>
              </w:rPr>
            </w:pPr>
            <w:r w:rsidRPr="00D147A7">
              <w:rPr>
                <w:smallCaps/>
                <w:color w:val="FFFFFF"/>
                <w:sz w:val="16"/>
                <w:szCs w:val="16"/>
                <w:lang w:eastAsia="nl-BE"/>
              </w:rPr>
              <w:t>Opmerking</w:t>
            </w:r>
          </w:p>
        </w:tc>
      </w:tr>
      <w:tr w:rsidR="009931C7" w:rsidRPr="00D147A7" w:rsidTr="004721B1">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Vlaams ziekenhuis-netwerk KU Leuven</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19</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10720</w:t>
            </w: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844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126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Onze-Lieve-Vrouw 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Aalst</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502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689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Imelda 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Bonheiden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441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Sint-Blasius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Dendermonde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211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Diest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Diest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814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371</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Ziekenhuis Oost-Limburg</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Genk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1003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Jessaziekenhuis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Hasselt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308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Sint-Elisabeth</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Herentals</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Sint-Franciskusziekenhuis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Heusden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1088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396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Groeninge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Kortrijk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287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Regionaal Ziekenhuis Heilig-Hart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Leuven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1809</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322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b/>
                <w:bCs/>
                <w:color w:val="000000"/>
                <w:sz w:val="16"/>
                <w:szCs w:val="16"/>
                <w:lang w:eastAsia="nl-BE"/>
              </w:rPr>
            </w:pPr>
            <w:r w:rsidRPr="00D147A7">
              <w:rPr>
                <w:b/>
                <w:bCs/>
                <w:color w:val="000000"/>
                <w:sz w:val="16"/>
                <w:szCs w:val="16"/>
                <w:lang w:eastAsia="nl-BE"/>
              </w:rPr>
              <w:t>Universitaire Ziekenhuizen KUL</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Leuven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213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Ziekenhuis Maas en Kempen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Maaseik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694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Sint-Maarten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Mechelen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Mariaziekenhuis Noord-Limburg</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Overpelt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348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550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Alegemeen Ziekenhuis Zusters van Barmhartigheid</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Ronse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Regionaal Ziekenhuis Sint-Trudo</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Sint-Truiden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Regionaal Ziekenhuis Heilig Hart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Tienen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355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Vesalius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Tongeren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665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Algemeen Ziekenhuis Turnhout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Turnhout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Regionale Hub Gent</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21</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6655</w:t>
            </w: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2169</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Ziekenhuisnetwerk Antwerpen vzw (ZNA)</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Antwerpen</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Ex-Antwerps regionaal platform</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1243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Sint-Jan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Brugge</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412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140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Sint-Lucas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Brugge</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170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134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Sint-Vincentiusziekenhuis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Deinze</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451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Alma</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Eeklo</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554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Maria Middelares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Gent</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805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290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Sint-Lucas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Gent</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1062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670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b/>
                <w:bCs/>
                <w:color w:val="000000"/>
                <w:sz w:val="16"/>
                <w:szCs w:val="16"/>
                <w:lang w:eastAsia="nl-BE"/>
              </w:rPr>
            </w:pPr>
            <w:r w:rsidRPr="00D147A7">
              <w:rPr>
                <w:b/>
                <w:bCs/>
                <w:color w:val="000000"/>
                <w:sz w:val="16"/>
                <w:szCs w:val="16"/>
                <w:lang w:eastAsia="nl-BE"/>
              </w:rPr>
              <w:t>Universitair Ziekenhuis Gent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Gent</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526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Jan Palfijn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Gent</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481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Regionaal Ziekenhuis Jan Yperman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Ieper</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217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124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Sint-Jozefskliniek vzw</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Izegem</w:t>
            </w:r>
          </w:p>
        </w:tc>
        <w:tc>
          <w:tcPr>
            <w:tcW w:w="967" w:type="dxa"/>
            <w:tcBorders>
              <w:top w:val="nil"/>
              <w:left w:val="nil"/>
              <w:bottom w:val="single" w:sz="4" w:space="0" w:color="auto"/>
              <w:right w:val="single" w:sz="4" w:space="0" w:color="auto"/>
            </w:tcBorders>
            <w:shd w:val="clear" w:color="auto" w:fill="auto"/>
            <w:noWrap/>
            <w:vAlign w:val="bottom"/>
            <w:hideMark/>
          </w:tcPr>
          <w:p w:rsidR="009931C7" w:rsidRPr="00D147A7" w:rsidRDefault="009931C7" w:rsidP="004721B1">
            <w:pP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392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Gezondheidszorg Oostkust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Knokke-Heist</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523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525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Damiaan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Oostende</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170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Oudenaarde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Oudenaarde</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Stedelijk 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Roeselare</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883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117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Heilig-Hartziekenhuis Roeselare - Menen vzw</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Roeselare</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822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595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Nikolaas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Sint-Niklaas</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266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395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Sint-Andriesziekenhuis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Tielt</w:t>
            </w:r>
          </w:p>
        </w:tc>
        <w:tc>
          <w:tcPr>
            <w:tcW w:w="967"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197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378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Sint-Rembertziekenhuis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Torhout</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200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Sint-Augustinus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Veurne</w:t>
            </w:r>
          </w:p>
        </w:tc>
        <w:tc>
          <w:tcPr>
            <w:tcW w:w="96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Ex-Zorgnetwerk West-Vlaanderen</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217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Sint-Elisabeth</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Zottegem</w:t>
            </w:r>
          </w:p>
        </w:tc>
        <w:tc>
          <w:tcPr>
            <w:tcW w:w="967" w:type="dxa"/>
            <w:tcBorders>
              <w:top w:val="nil"/>
              <w:left w:val="nil"/>
              <w:bottom w:val="single" w:sz="4" w:space="0" w:color="auto"/>
              <w:right w:val="single" w:sz="4" w:space="0" w:color="auto"/>
            </w:tcBorders>
            <w:shd w:val="clear" w:color="auto" w:fill="auto"/>
            <w:noWrap/>
            <w:vAlign w:val="bottom"/>
            <w:hideMark/>
          </w:tcPr>
          <w:p w:rsidR="009931C7" w:rsidRPr="00D147A7" w:rsidRDefault="009931C7" w:rsidP="004721B1">
            <w:pP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Antwerps regionaal platform</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10</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3954</w:t>
            </w: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239</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Sint-Jozefkliniek</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Bornem</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435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Klina vzw</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Brasschaat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422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682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Monica</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Deurne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573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300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Universitair Ziekenhuis Antwerpen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Edegem</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295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709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Sint-Dimpna</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Geel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521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Heilig-Hartziekenhuis vzw</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Lier</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536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Sint-Jozef</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Malle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193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Heilig Hartziekenhuis vzw</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Mol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207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Algemeen Ziekenhuis Heilige Familie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Reet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1032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GZA-Ziekenhuizen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Wilrijk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ABruMeT</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12</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7133</w:t>
            </w: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111</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Europaziekenhuizen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Etterbeek</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506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Universitaire Saint-Pierre (iris)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Brussel-1</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Institut Jules Bordet (iris)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Brussel-1</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503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110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Kliniek Sint-Jan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Brussel-1</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Universitaire Brugmann (iris)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Brussel-2</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168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Hôpital Universitaire des Enfants Reine Fabiola (iris)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Brussel-2</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761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Iris Ziekenhuizen Zuid (iris)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Brussel-4</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864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406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Cliniques Universitaires de Bruxelles - Hôpital Erasme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Brussel-7</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258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723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Sainte-Anne - Saint-Rémi</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Brussel-7</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721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143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Universitair Ziekenhuis Brussel</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Brussel-9</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790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Interrégional Edith Cavell (Chirec)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Brussel-18</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975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403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Cliniques Universitaires Saint-Luc</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Brussel-20</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Réseau Santé Wallon</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38</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rsidR="009931C7" w:rsidRPr="00D147A7" w:rsidRDefault="009931C7" w:rsidP="004721B1">
            <w:pPr>
              <w:rPr>
                <w:color w:val="000000"/>
                <w:sz w:val="16"/>
                <w:szCs w:val="16"/>
                <w:lang w:eastAsia="nl-BE"/>
              </w:rPr>
            </w:pPr>
            <w:r w:rsidRPr="00D147A7">
              <w:rPr>
                <w:color w:val="000000"/>
                <w:sz w:val="16"/>
                <w:szCs w:val="16"/>
                <w:lang w:eastAsia="nl-BE"/>
              </w:rPr>
              <w:t>14578</w:t>
            </w: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403</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Cliniques du Sud-Luxembourg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Aarlen</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31C7" w:rsidRPr="00D147A7" w:rsidRDefault="009931C7" w:rsidP="004721B1">
            <w:pPr>
              <w:jc w:val="center"/>
              <w:rPr>
                <w:color w:val="000000"/>
                <w:sz w:val="16"/>
                <w:szCs w:val="16"/>
                <w:lang w:eastAsia="nl-BE"/>
              </w:rPr>
            </w:pPr>
            <w:r w:rsidRPr="00D147A7">
              <w:rPr>
                <w:color w:val="000000"/>
                <w:sz w:val="16"/>
                <w:szCs w:val="16"/>
                <w:lang w:eastAsia="nl-BE"/>
              </w:rPr>
              <w:t> </w:t>
            </w: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724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RHMS - Hôpital de la Madeleine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Ath</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Régional du Val de Sambre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Auvelais</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RHMS - Clinique Louis Caty</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Baudour</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511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266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Régional Cinique Saint-Joseph - Hôpital de Warquignies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Bergen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254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Universitaire Ambroise Paré</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Bergen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302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706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Saint-Luc</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Bouge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520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Grand Hôpital de Charleroi</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Charleroi</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805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Universitaire de Charleroi</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Charleroi</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136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de Santé des Fagnes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Chimay</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264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de Dinant</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Dinant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270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de Wallonie Picarde-Chwapi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Doornik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406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534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de Wallonie Picarde-Chwapi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Doornik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187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725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 xml:space="preserve">Centre Hospitalier de Wallonie Picarde-Chwapi </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Doornik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192</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Sankt Nikolaus Hospital Eupen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Eupen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604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Grand Hôpital de Charleroi</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Gilly</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196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409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Notre-Dame de Grâce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Gosselies</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146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Jolimont - Lobbes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Haine-Saint-Paul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160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23</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André Renard</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Herstal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391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410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Hornu - Frameries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Hornu</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317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Régional de Huy</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Huy</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518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Uuniversitaire Tivoli</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La Louvière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329</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168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de l'Ardenne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Libramont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1036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412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Régional de la Citadelle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Luik</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717</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152</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Cliniques Saint Joseph</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Luik-1</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925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707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Universitaire de Liège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Luik-1 (Sart-Tilman)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Reine Astrid</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Malmédy</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266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164</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Intercommunale hospitalière Famenne Ardenne Condroz</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Marche-en-Famenne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355</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de Mouscron</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Moeskroen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370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39</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Cliniques Universitaires U.C.L. de Mont-Godinne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Mont-Godinne</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631</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325</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Universitaire André Vésale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Montigny-le-Tilleul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419</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Régional de Namur</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Namen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288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166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Clinique et Maternité Sainte-Elisabeth</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Namen</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228</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346</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Tubize - Nivelles</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Nijvel</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334</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158</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Saint Vincent &amp; Sainte Elisabeth</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Rocourt</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156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257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Klinik Sankt-Josef</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Sankt-Vith</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240</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7</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Hospîtalier de la haute Senne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Soignies</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r w:rsidR="009931C7" w:rsidRPr="00D147A7" w:rsidTr="004721B1">
        <w:trPr>
          <w:trHeight w:val="300"/>
        </w:trPr>
        <w:tc>
          <w:tcPr>
            <w:tcW w:w="99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1134"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08"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c>
          <w:tcPr>
            <w:tcW w:w="76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486</w:t>
            </w:r>
          </w:p>
        </w:tc>
        <w:tc>
          <w:tcPr>
            <w:tcW w:w="165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20</w:t>
            </w:r>
          </w:p>
        </w:tc>
        <w:tc>
          <w:tcPr>
            <w:tcW w:w="187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Centre Hospitalier Peltzer - La Tourelle</w:t>
            </w:r>
          </w:p>
        </w:tc>
        <w:tc>
          <w:tcPr>
            <w:tcW w:w="120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16"/>
                <w:szCs w:val="16"/>
                <w:lang w:eastAsia="nl-BE"/>
              </w:rPr>
            </w:pPr>
            <w:r w:rsidRPr="00D147A7">
              <w:rPr>
                <w:color w:val="000000"/>
                <w:sz w:val="16"/>
                <w:szCs w:val="16"/>
                <w:lang w:eastAsia="nl-BE"/>
              </w:rPr>
              <w:t>Verviers</w:t>
            </w:r>
          </w:p>
        </w:tc>
        <w:tc>
          <w:tcPr>
            <w:tcW w:w="967"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rPr>
                <w:color w:val="000000"/>
                <w:sz w:val="16"/>
                <w:szCs w:val="16"/>
                <w:lang w:eastAsia="nl-BE"/>
              </w:rPr>
            </w:pPr>
          </w:p>
        </w:tc>
      </w:tr>
    </w:tbl>
    <w:p w:rsidR="009931C7" w:rsidRPr="00D147A7" w:rsidRDefault="009931C7" w:rsidP="009931C7">
      <w:pPr>
        <w:pStyle w:val="Geenafstand"/>
        <w:jc w:val="center"/>
        <w:rPr>
          <w:rFonts w:ascii="Times New Roman" w:hAnsi="Times New Roman" w:cs="Times New Roman"/>
          <w:b/>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Tabel 4: Uitgebreide informatie over de ziekenhuizen die in 2010 bij de vijf regionale hubs aangesloten waren</w:t>
      </w:r>
      <w:r w:rsidRPr="00D147A7">
        <w:rPr>
          <w:rStyle w:val="Voetnootmarkering"/>
          <w:rFonts w:ascii="Times New Roman" w:hAnsi="Times New Roman" w:cs="Times New Roman"/>
          <w:sz w:val="24"/>
          <w:szCs w:val="24"/>
        </w:rPr>
        <w:footnoteReference w:id="420"/>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Alvorens gezondheidsgegevens in het verwijzingsrepertorium opgenomen (en dus verwerkt) mogen worden, moet – in toepassing van de Privacywet – de toestemming van de betrokken patiënten én van de afdeling Gezondheid van het Sectoraal Comité van de Sociale Zekerheid en van de Gezondheid bekomen worden.</w:t>
      </w:r>
      <w:r w:rsidRPr="00D147A7">
        <w:rPr>
          <w:rStyle w:val="Voetnootmarkering"/>
          <w:rFonts w:ascii="Times New Roman" w:hAnsi="Times New Roman" w:cs="Times New Roman"/>
          <w:sz w:val="24"/>
          <w:szCs w:val="24"/>
        </w:rPr>
        <w:footnoteReference w:id="421"/>
      </w:r>
      <w:r w:rsidRPr="00D147A7">
        <w:rPr>
          <w:rFonts w:ascii="Times New Roman" w:hAnsi="Times New Roman" w:cs="Times New Roman"/>
          <w:sz w:val="24"/>
          <w:szCs w:val="24"/>
        </w:rPr>
        <w:t xml:space="preserve"> Voor de uitwisseling van gezondheidsgegevens in het kader van het hub en metahubproject is in principe geen toestemming van de patiënt vereist wanneer deze uitwisseling kadert in de verwerking </w:t>
      </w:r>
      <w:r w:rsidRPr="00D147A7">
        <w:rPr>
          <w:rFonts w:ascii="Times New Roman" w:hAnsi="Times New Roman" w:cs="Times New Roman"/>
          <w:i/>
          <w:sz w:val="24"/>
          <w:szCs w:val="24"/>
        </w:rPr>
        <w:t>voor doeleinden van preventieve geneeskunde of medische diagnose, het verstrekken van zorg of behandelingen aan de betrokkene of een verwant, of het beheer van gezondheidsdiensten handelend in het belang van de betrokkene en de gegevens worden verwerkt onder het toezicht van een beroepsbe</w:t>
      </w:r>
      <w:r w:rsidR="00D147A7" w:rsidRPr="00D147A7">
        <w:rPr>
          <w:rFonts w:ascii="Times New Roman" w:hAnsi="Times New Roman" w:cs="Times New Roman"/>
          <w:i/>
          <w:sz w:val="24"/>
          <w:szCs w:val="24"/>
        </w:rPr>
        <w:t>-</w:t>
      </w:r>
      <w:r w:rsidRPr="00D147A7">
        <w:rPr>
          <w:rFonts w:ascii="Times New Roman" w:hAnsi="Times New Roman" w:cs="Times New Roman"/>
          <w:i/>
          <w:sz w:val="24"/>
          <w:szCs w:val="24"/>
        </w:rPr>
        <w:t>oefenaar in de gezondheidszorg</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22"/>
      </w:r>
      <w:r w:rsidRPr="00D147A7">
        <w:rPr>
          <w:rFonts w:ascii="Times New Roman" w:hAnsi="Times New Roman" w:cs="Times New Roman"/>
          <w:sz w:val="24"/>
          <w:szCs w:val="24"/>
        </w:rPr>
        <w:t xml:space="preserve"> Voor de inschrijving va</w:t>
      </w:r>
      <w:r w:rsidR="00D147A7" w:rsidRPr="00D147A7">
        <w:rPr>
          <w:rFonts w:ascii="Times New Roman" w:hAnsi="Times New Roman" w:cs="Times New Roman"/>
          <w:sz w:val="24"/>
          <w:szCs w:val="24"/>
        </w:rPr>
        <w:t>n verwijzingsgegevens op de meta</w:t>
      </w:r>
      <w:r w:rsidRPr="00D147A7">
        <w:rPr>
          <w:rFonts w:ascii="Times New Roman" w:hAnsi="Times New Roman" w:cs="Times New Roman"/>
          <w:sz w:val="24"/>
          <w:szCs w:val="24"/>
        </w:rPr>
        <w:t>hub moet wel altijd de toestemming van de betrokkene verkregen worden.</w:t>
      </w:r>
      <w:r w:rsidRPr="00D147A7">
        <w:rPr>
          <w:rStyle w:val="Voetnootmarkering"/>
          <w:rFonts w:ascii="Times New Roman" w:hAnsi="Times New Roman" w:cs="Times New Roman"/>
          <w:sz w:val="24"/>
          <w:szCs w:val="24"/>
        </w:rPr>
        <w:footnoteReference w:id="423"/>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Een belangrijke vraagstuk betreft de wijze waarop de toestemming van patiënten bekomen moet worden o</w:t>
      </w:r>
      <w:r w:rsidR="00D147A7" w:rsidRPr="00D147A7">
        <w:rPr>
          <w:rFonts w:ascii="Times New Roman" w:hAnsi="Times New Roman" w:cs="Times New Roman"/>
          <w:sz w:val="24"/>
          <w:szCs w:val="24"/>
        </w:rPr>
        <w:t>m</w:t>
      </w:r>
      <w:r w:rsidRPr="00D147A7">
        <w:rPr>
          <w:rFonts w:ascii="Times New Roman" w:hAnsi="Times New Roman" w:cs="Times New Roman"/>
          <w:sz w:val="24"/>
          <w:szCs w:val="24"/>
        </w:rPr>
        <w:t xml:space="preserve"> hun gezondheidsgegevens in het verwijzingsrepertorium op</w:t>
      </w:r>
      <w:r w:rsidR="00D147A7" w:rsidRPr="00D147A7">
        <w:rPr>
          <w:rFonts w:ascii="Times New Roman" w:hAnsi="Times New Roman" w:cs="Times New Roman"/>
          <w:sz w:val="24"/>
          <w:szCs w:val="24"/>
        </w:rPr>
        <w:t xml:space="preserve"> t</w:t>
      </w:r>
      <w:r w:rsidRPr="00D147A7">
        <w:rPr>
          <w:rFonts w:ascii="Times New Roman" w:hAnsi="Times New Roman" w:cs="Times New Roman"/>
          <w:sz w:val="24"/>
          <w:szCs w:val="24"/>
        </w:rPr>
        <w:t>e</w:t>
      </w:r>
      <w:r w:rsidR="00D147A7" w:rsidRPr="00D147A7">
        <w:rPr>
          <w:rFonts w:ascii="Times New Roman" w:hAnsi="Times New Roman" w:cs="Times New Roman"/>
          <w:sz w:val="24"/>
          <w:szCs w:val="24"/>
        </w:rPr>
        <w:t xml:space="preserve"> </w:t>
      </w:r>
      <w:r w:rsidRPr="00D147A7">
        <w:rPr>
          <w:rFonts w:ascii="Times New Roman" w:hAnsi="Times New Roman" w:cs="Times New Roman"/>
          <w:sz w:val="24"/>
          <w:szCs w:val="24"/>
        </w:rPr>
        <w:t xml:space="preserve">mogen </w:t>
      </w:r>
      <w:r w:rsidR="00D147A7" w:rsidRPr="00D147A7">
        <w:rPr>
          <w:rFonts w:ascii="Times New Roman" w:hAnsi="Times New Roman" w:cs="Times New Roman"/>
          <w:sz w:val="24"/>
          <w:szCs w:val="24"/>
        </w:rPr>
        <w:t>nemen</w:t>
      </w:r>
      <w:r w:rsidRPr="00D147A7">
        <w:rPr>
          <w:rFonts w:ascii="Times New Roman" w:hAnsi="Times New Roman" w:cs="Times New Roman"/>
          <w:sz w:val="24"/>
          <w:szCs w:val="24"/>
        </w:rPr>
        <w:t xml:space="preserve">. Er zijn twee mogelijkheden. Ofwel </w:t>
      </w:r>
      <w:r w:rsidR="00D147A7" w:rsidRPr="00D147A7">
        <w:rPr>
          <w:rFonts w:ascii="Times New Roman" w:hAnsi="Times New Roman" w:cs="Times New Roman"/>
          <w:sz w:val="24"/>
          <w:szCs w:val="24"/>
        </w:rPr>
        <w:t>worden deze gegevens opgenomen</w:t>
      </w:r>
      <w:r w:rsidRPr="00D147A7">
        <w:rPr>
          <w:rFonts w:ascii="Times New Roman" w:hAnsi="Times New Roman" w:cs="Times New Roman"/>
          <w:sz w:val="24"/>
          <w:szCs w:val="24"/>
        </w:rPr>
        <w:t xml:space="preserve"> tenzij de be</w:t>
      </w:r>
      <w:r w:rsidR="00AD5729">
        <w:rPr>
          <w:rFonts w:ascii="Times New Roman" w:hAnsi="Times New Roman" w:cs="Times New Roman"/>
          <w:sz w:val="24"/>
          <w:szCs w:val="24"/>
        </w:rPr>
        <w:t>-</w:t>
      </w:r>
      <w:r w:rsidRPr="00D147A7">
        <w:rPr>
          <w:rFonts w:ascii="Times New Roman" w:hAnsi="Times New Roman" w:cs="Times New Roman"/>
          <w:sz w:val="24"/>
          <w:szCs w:val="24"/>
        </w:rPr>
        <w:t>trokkene zich daar uitdrukkelijk tegen verzet (opt-out systeem of systeem van de veronder</w:t>
      </w:r>
      <w:r w:rsidR="00AD5729">
        <w:rPr>
          <w:rFonts w:ascii="Times New Roman" w:hAnsi="Times New Roman" w:cs="Times New Roman"/>
          <w:sz w:val="24"/>
          <w:szCs w:val="24"/>
        </w:rPr>
        <w:t>-</w:t>
      </w:r>
      <w:r w:rsidRPr="00D147A7">
        <w:rPr>
          <w:rFonts w:ascii="Times New Roman" w:hAnsi="Times New Roman" w:cs="Times New Roman"/>
          <w:sz w:val="24"/>
          <w:szCs w:val="24"/>
        </w:rPr>
        <w:t>stelde toestemming), ofwel is de opname slechts toegestaan als de betrokken patiënt expliciet zijn toestemming heeft verleend (opt-in systeem of systeem van de expliciete toestem</w:t>
      </w:r>
      <w:r w:rsidR="00AD5729">
        <w:rPr>
          <w:rFonts w:ascii="Times New Roman" w:hAnsi="Times New Roman" w:cs="Times New Roman"/>
          <w:sz w:val="24"/>
          <w:szCs w:val="24"/>
        </w:rPr>
        <w:t>-</w:t>
      </w:r>
      <w:r w:rsidRPr="00D147A7">
        <w:rPr>
          <w:rFonts w:ascii="Times New Roman" w:hAnsi="Times New Roman" w:cs="Times New Roman"/>
          <w:sz w:val="24"/>
          <w:szCs w:val="24"/>
        </w:rPr>
        <w:t>ming).</w:t>
      </w:r>
      <w:r w:rsidRPr="00D147A7">
        <w:rPr>
          <w:rStyle w:val="Voetnootmarkering"/>
          <w:rFonts w:ascii="Times New Roman" w:hAnsi="Times New Roman" w:cs="Times New Roman"/>
          <w:sz w:val="24"/>
          <w:szCs w:val="24"/>
        </w:rPr>
        <w:footnoteReference w:id="424"/>
      </w:r>
      <w:r w:rsidRPr="00D147A7">
        <w:rPr>
          <w:rFonts w:ascii="Times New Roman" w:hAnsi="Times New Roman" w:cs="Times New Roman"/>
          <w:sz w:val="24"/>
          <w:szCs w:val="24"/>
        </w:rPr>
        <w:t xml:space="preserve"> Het opt-out systeem heeft als voordeel dat van meet af aan zeer veel gegevens in het repertorium opgenomen kunnen worden. Maar er is ook een keerzijde aan de medaille. Zo zou het opt-out systeem gepaard moeten gaan met een informatiecampagne op nationaal niveau, die regelmatig herhaald moet worden voor jongeren die de meerderjarigheid bereiken. Zelfs als dergelijke campagne geregeld gehouden wordt, kan de waarde van de veronderstelde toe</w:t>
      </w:r>
      <w:r w:rsidR="00AD5729">
        <w:rPr>
          <w:rFonts w:ascii="Times New Roman" w:hAnsi="Times New Roman" w:cs="Times New Roman"/>
          <w:sz w:val="24"/>
          <w:szCs w:val="24"/>
        </w:rPr>
        <w:t>-</w:t>
      </w:r>
      <w:r w:rsidRPr="00D147A7">
        <w:rPr>
          <w:rFonts w:ascii="Times New Roman" w:hAnsi="Times New Roman" w:cs="Times New Roman"/>
          <w:sz w:val="24"/>
          <w:szCs w:val="24"/>
        </w:rPr>
        <w:t xml:space="preserve">stemming in vraag </w:t>
      </w:r>
      <w:r w:rsidR="00751706"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gesteld. Er zullen immers altijd patiënten zijn die niet op de hoogte zijn van het systeem, het niet begrijpen of eenvoudigweg niet de wil hebben om zich ertegen te verzetten.</w:t>
      </w:r>
      <w:r w:rsidRPr="00D147A7">
        <w:rPr>
          <w:rStyle w:val="Voetnootmarkering"/>
          <w:rFonts w:ascii="Times New Roman" w:hAnsi="Times New Roman" w:cs="Times New Roman"/>
          <w:sz w:val="24"/>
          <w:szCs w:val="24"/>
        </w:rPr>
        <w:footnoteReference w:id="425"/>
      </w:r>
      <w:r w:rsidRPr="00D147A7">
        <w:rPr>
          <w:rFonts w:ascii="Times New Roman" w:hAnsi="Times New Roman" w:cs="Times New Roman"/>
          <w:sz w:val="24"/>
          <w:szCs w:val="24"/>
        </w:rPr>
        <w:t xml:space="preserve"> Inmiddels is men het er dan ook over eens dat de </w:t>
      </w:r>
      <w:r w:rsidR="00751706">
        <w:rPr>
          <w:rFonts w:ascii="Times New Roman" w:hAnsi="Times New Roman" w:cs="Times New Roman"/>
          <w:sz w:val="24"/>
          <w:szCs w:val="24"/>
        </w:rPr>
        <w:t>expliciete toestemming het best</w:t>
      </w:r>
      <w:r w:rsidRPr="00D147A7">
        <w:rPr>
          <w:rFonts w:ascii="Times New Roman" w:hAnsi="Times New Roman" w:cs="Times New Roman"/>
          <w:sz w:val="24"/>
          <w:szCs w:val="24"/>
        </w:rPr>
        <w:t xml:space="preserve"> tegemoet komt aan het recht op informatie </w:t>
      </w:r>
      <w:r w:rsidR="00751706">
        <w:rPr>
          <w:rFonts w:ascii="Times New Roman" w:hAnsi="Times New Roman" w:cs="Times New Roman"/>
          <w:sz w:val="24"/>
          <w:szCs w:val="24"/>
        </w:rPr>
        <w:t xml:space="preserve">enerzijds </w:t>
      </w:r>
      <w:r w:rsidRPr="00D147A7">
        <w:rPr>
          <w:rFonts w:ascii="Times New Roman" w:hAnsi="Times New Roman" w:cs="Times New Roman"/>
          <w:sz w:val="24"/>
          <w:szCs w:val="24"/>
        </w:rPr>
        <w:t>en het recht op toestemming van de patiënt</w:t>
      </w:r>
      <w:r w:rsidR="00751706">
        <w:rPr>
          <w:rFonts w:ascii="Times New Roman" w:hAnsi="Times New Roman" w:cs="Times New Roman"/>
          <w:sz w:val="24"/>
          <w:szCs w:val="24"/>
        </w:rPr>
        <w:t xml:space="preserve"> anderzijds</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26"/>
      </w:r>
      <w:r w:rsidRPr="00D147A7">
        <w:rPr>
          <w:rFonts w:ascii="Times New Roman" w:hAnsi="Times New Roman" w:cs="Times New Roman"/>
          <w:sz w:val="24"/>
          <w:szCs w:val="24"/>
        </w:rPr>
        <w:t xml:space="preserve"> Enkel dan kan de betrokkene een bewuste keuze op basis van een effec</w:t>
      </w:r>
      <w:r w:rsidR="00AD5729">
        <w:rPr>
          <w:rFonts w:ascii="Times New Roman" w:hAnsi="Times New Roman" w:cs="Times New Roman"/>
          <w:sz w:val="24"/>
          <w:szCs w:val="24"/>
        </w:rPr>
        <w:t>-</w:t>
      </w:r>
      <w:r w:rsidRPr="00D147A7">
        <w:rPr>
          <w:rFonts w:ascii="Times New Roman" w:hAnsi="Times New Roman" w:cs="Times New Roman"/>
          <w:sz w:val="24"/>
          <w:szCs w:val="24"/>
        </w:rPr>
        <w:t>tieve informatieverstrekking</w:t>
      </w:r>
      <w:r w:rsidR="00751706" w:rsidRPr="00751706">
        <w:rPr>
          <w:rFonts w:ascii="Times New Roman" w:hAnsi="Times New Roman" w:cs="Times New Roman"/>
          <w:sz w:val="24"/>
          <w:szCs w:val="24"/>
        </w:rPr>
        <w:t xml:space="preserve"> </w:t>
      </w:r>
      <w:r w:rsidR="00751706" w:rsidRPr="00D147A7">
        <w:rPr>
          <w:rFonts w:ascii="Times New Roman" w:hAnsi="Times New Roman" w:cs="Times New Roman"/>
          <w:sz w:val="24"/>
          <w:szCs w:val="24"/>
        </w:rPr>
        <w:t>maken</w:t>
      </w:r>
      <w:r w:rsidRPr="00D147A7">
        <w:rPr>
          <w:rFonts w:ascii="Times New Roman" w:hAnsi="Times New Roman" w:cs="Times New Roman"/>
          <w:sz w:val="24"/>
          <w:szCs w:val="24"/>
        </w:rPr>
        <w:t>. In de praktijk moet dus een expliciete geïnformeerde toe</w:t>
      </w:r>
      <w:r w:rsidR="00AD5729">
        <w:rPr>
          <w:rFonts w:ascii="Times New Roman" w:hAnsi="Times New Roman" w:cs="Times New Roman"/>
          <w:sz w:val="24"/>
          <w:szCs w:val="24"/>
        </w:rPr>
        <w:t>-</w:t>
      </w:r>
      <w:r w:rsidRPr="00D147A7">
        <w:rPr>
          <w:rFonts w:ascii="Times New Roman" w:hAnsi="Times New Roman" w:cs="Times New Roman"/>
          <w:sz w:val="24"/>
          <w:szCs w:val="24"/>
        </w:rPr>
        <w:lastRenderedPageBreak/>
        <w:t>stemming (</w:t>
      </w:r>
      <w:r w:rsidRPr="00D147A7">
        <w:rPr>
          <w:rFonts w:ascii="Times New Roman" w:hAnsi="Times New Roman" w:cs="Times New Roman"/>
          <w:i/>
          <w:sz w:val="24"/>
          <w:szCs w:val="24"/>
        </w:rPr>
        <w:t>explicit informed consent</w:t>
      </w:r>
      <w:r w:rsidRPr="00D147A7">
        <w:rPr>
          <w:rFonts w:ascii="Times New Roman" w:hAnsi="Times New Roman" w:cs="Times New Roman"/>
          <w:sz w:val="24"/>
          <w:szCs w:val="24"/>
        </w:rPr>
        <w:t>) bekomen worden. Het bestaan van deze toestemming moet expliciet geregistreerd worden. Geneesheren, apothekers, ziekenhuizen en mutualiteiten kunnen deze toestemming registreren op basis van het identificatienummer van de sociale zekerheid (INSZ) van de betrokkene, in combinatie met het Rijksregisternummer van de elek</w:t>
      </w:r>
      <w:r w:rsidR="00AD5729">
        <w:rPr>
          <w:rFonts w:ascii="Times New Roman" w:hAnsi="Times New Roman" w:cs="Times New Roman"/>
          <w:sz w:val="24"/>
          <w:szCs w:val="24"/>
        </w:rPr>
        <w:t>-</w:t>
      </w:r>
      <w:r w:rsidRPr="00D147A7">
        <w:rPr>
          <w:rFonts w:ascii="Times New Roman" w:hAnsi="Times New Roman" w:cs="Times New Roman"/>
          <w:sz w:val="24"/>
          <w:szCs w:val="24"/>
        </w:rPr>
        <w:t>tronische (sociale) identiteitskaart. Patiënten kunnen ook zelf hun toestemming registreren door middel van een specifieke internettoepassing, waarbij men zich aan de hand van de elek</w:t>
      </w:r>
      <w:r w:rsidR="00AD5729">
        <w:rPr>
          <w:rFonts w:ascii="Times New Roman" w:hAnsi="Times New Roman" w:cs="Times New Roman"/>
          <w:sz w:val="24"/>
          <w:szCs w:val="24"/>
        </w:rPr>
        <w:t>-</w:t>
      </w:r>
      <w:r w:rsidRPr="00D147A7">
        <w:rPr>
          <w:rFonts w:ascii="Times New Roman" w:hAnsi="Times New Roman" w:cs="Times New Roman"/>
          <w:sz w:val="24"/>
          <w:szCs w:val="24"/>
        </w:rPr>
        <w:t xml:space="preserve">tronische identiteitskaart moet identificeren, of door een verklaring op papier te ondertekenen. </w:t>
      </w:r>
      <w:r w:rsidR="00751706">
        <w:rPr>
          <w:rFonts w:ascii="Times New Roman" w:hAnsi="Times New Roman" w:cs="Times New Roman"/>
          <w:sz w:val="24"/>
          <w:szCs w:val="24"/>
        </w:rPr>
        <w:t>O</w:t>
      </w:r>
      <w:r w:rsidRPr="00D147A7">
        <w:rPr>
          <w:rFonts w:ascii="Times New Roman" w:hAnsi="Times New Roman" w:cs="Times New Roman"/>
          <w:sz w:val="24"/>
          <w:szCs w:val="24"/>
        </w:rPr>
        <w:t>ngeacht de registratiewijze</w:t>
      </w:r>
      <w:r w:rsidR="00751706" w:rsidRPr="00751706">
        <w:rPr>
          <w:rFonts w:ascii="Times New Roman" w:hAnsi="Times New Roman" w:cs="Times New Roman"/>
          <w:sz w:val="24"/>
          <w:szCs w:val="24"/>
        </w:rPr>
        <w:t xml:space="preserve"> </w:t>
      </w:r>
      <w:r w:rsidR="00751706" w:rsidRPr="00D147A7">
        <w:rPr>
          <w:rFonts w:ascii="Times New Roman" w:hAnsi="Times New Roman" w:cs="Times New Roman"/>
          <w:sz w:val="24"/>
          <w:szCs w:val="24"/>
        </w:rPr>
        <w:t xml:space="preserve">kunnen </w:t>
      </w:r>
      <w:r w:rsidR="00751706">
        <w:rPr>
          <w:rFonts w:ascii="Times New Roman" w:hAnsi="Times New Roman" w:cs="Times New Roman"/>
          <w:sz w:val="24"/>
          <w:szCs w:val="24"/>
        </w:rPr>
        <w:t xml:space="preserve">patiënten </w:t>
      </w:r>
      <w:r w:rsidR="00751706" w:rsidRPr="00D147A7">
        <w:rPr>
          <w:rFonts w:ascii="Times New Roman" w:hAnsi="Times New Roman" w:cs="Times New Roman"/>
          <w:sz w:val="24"/>
          <w:szCs w:val="24"/>
        </w:rPr>
        <w:t>hun toe</w:t>
      </w:r>
      <w:r w:rsidR="004D09D9">
        <w:rPr>
          <w:rFonts w:ascii="Times New Roman" w:hAnsi="Times New Roman" w:cs="Times New Roman"/>
          <w:sz w:val="24"/>
          <w:szCs w:val="24"/>
        </w:rPr>
        <w:t>-</w:t>
      </w:r>
      <w:r w:rsidR="00751706" w:rsidRPr="00D147A7">
        <w:rPr>
          <w:rFonts w:ascii="Times New Roman" w:hAnsi="Times New Roman" w:cs="Times New Roman"/>
          <w:sz w:val="24"/>
          <w:szCs w:val="24"/>
        </w:rPr>
        <w:t>stemming</w:t>
      </w:r>
      <w:r w:rsidRPr="00D147A7">
        <w:rPr>
          <w:rFonts w:ascii="Times New Roman" w:hAnsi="Times New Roman" w:cs="Times New Roman"/>
          <w:sz w:val="24"/>
          <w:szCs w:val="24"/>
        </w:rPr>
        <w:t xml:space="preserve"> op ieder ogenblik weer in</w:t>
      </w:r>
      <w:r w:rsidR="00AD5729">
        <w:rPr>
          <w:rFonts w:ascii="Times New Roman" w:hAnsi="Times New Roman" w:cs="Times New Roman"/>
          <w:sz w:val="24"/>
          <w:szCs w:val="24"/>
        </w:rPr>
        <w:t>-</w:t>
      </w:r>
      <w:r w:rsidRPr="00D147A7">
        <w:rPr>
          <w:rFonts w:ascii="Times New Roman" w:hAnsi="Times New Roman" w:cs="Times New Roman"/>
          <w:sz w:val="24"/>
          <w:szCs w:val="24"/>
        </w:rPr>
        <w:t>trekken.</w:t>
      </w:r>
      <w:r w:rsidRPr="00D147A7">
        <w:rPr>
          <w:rStyle w:val="Voetnootmarkering"/>
          <w:rFonts w:ascii="Times New Roman" w:hAnsi="Times New Roman" w:cs="Times New Roman"/>
          <w:sz w:val="24"/>
          <w:szCs w:val="24"/>
        </w:rPr>
        <w:footnoteReference w:id="427"/>
      </w:r>
      <w:r w:rsidRPr="00D147A7">
        <w:rPr>
          <w:rFonts w:ascii="Times New Roman" w:hAnsi="Times New Roman" w:cs="Times New Roman"/>
          <w:sz w:val="24"/>
          <w:szCs w:val="24"/>
        </w:rPr>
        <w:t xml:space="preserve"> Elke handeling m.b.t. de registratie van een toestemming wordt – net als alle andere lees-, schrijf- en verwijdertoegangen tot het gege</w:t>
      </w:r>
      <w:r w:rsidR="004D09D9">
        <w:rPr>
          <w:rFonts w:ascii="Times New Roman" w:hAnsi="Times New Roman" w:cs="Times New Roman"/>
          <w:sz w:val="24"/>
          <w:szCs w:val="24"/>
        </w:rPr>
        <w:t>-</w:t>
      </w:r>
      <w:r w:rsidRPr="00D147A7">
        <w:rPr>
          <w:rFonts w:ascii="Times New Roman" w:hAnsi="Times New Roman" w:cs="Times New Roman"/>
          <w:sz w:val="24"/>
          <w:szCs w:val="24"/>
        </w:rPr>
        <w:t xml:space="preserve">vensbeheersysteem – door het eHealth-platform gelogd via de module SecurityLogging. Patiënten hebben toegang tot de </w:t>
      </w:r>
      <w:r w:rsidRPr="00D147A7">
        <w:rPr>
          <w:rFonts w:ascii="Times New Roman" w:hAnsi="Times New Roman" w:cs="Times New Roman"/>
          <w:i/>
          <w:sz w:val="24"/>
          <w:szCs w:val="24"/>
        </w:rPr>
        <w:t xml:space="preserve">log files </w:t>
      </w:r>
      <w:r w:rsidRPr="00D147A7">
        <w:rPr>
          <w:rFonts w:ascii="Times New Roman" w:hAnsi="Times New Roman" w:cs="Times New Roman"/>
          <w:sz w:val="24"/>
          <w:szCs w:val="24"/>
        </w:rPr>
        <w:t>van hun elektronisch patiëntendossier.</w:t>
      </w:r>
      <w:r w:rsidRPr="00D147A7">
        <w:rPr>
          <w:rStyle w:val="Voetnootmarkering"/>
          <w:rFonts w:ascii="Times New Roman" w:hAnsi="Times New Roman" w:cs="Times New Roman"/>
          <w:sz w:val="24"/>
          <w:szCs w:val="24"/>
        </w:rPr>
        <w:footnoteReference w:id="428"/>
      </w:r>
    </w:p>
    <w:p w:rsidR="009931C7" w:rsidRPr="00D147A7" w:rsidRDefault="009931C7" w:rsidP="009931C7">
      <w:pPr>
        <w:pStyle w:val="Geenafstand"/>
        <w:jc w:val="both"/>
        <w:rPr>
          <w:rFonts w:ascii="Times New Roman" w:hAnsi="Times New Roman" w:cs="Times New Roman"/>
          <w:color w:val="FF0000"/>
          <w:sz w:val="24"/>
          <w:szCs w:val="24"/>
        </w:rPr>
      </w:pPr>
    </w:p>
    <w:p w:rsidR="009931C7" w:rsidRPr="00D147A7" w:rsidRDefault="009931C7" w:rsidP="009931C7">
      <w:pPr>
        <w:pStyle w:val="Geenafstand"/>
        <w:jc w:val="both"/>
        <w:rPr>
          <w:rFonts w:ascii="Times New Roman" w:hAnsi="Times New Roman" w:cs="Times New Roman"/>
          <w:sz w:val="24"/>
          <w:szCs w:val="24"/>
          <w:highlight w:val="green"/>
        </w:rPr>
      </w:pPr>
      <w:r w:rsidRPr="00D147A7">
        <w:rPr>
          <w:rFonts w:ascii="Times New Roman" w:hAnsi="Times New Roman" w:cs="Times New Roman"/>
          <w:sz w:val="24"/>
          <w:szCs w:val="24"/>
        </w:rPr>
        <w:t>Iedere beroepsbeoefenaar in de gezondheidszorg kan gebruik maken van een beveiligde elek</w:t>
      </w:r>
      <w:r w:rsidR="001E3B0A">
        <w:rPr>
          <w:rFonts w:ascii="Times New Roman" w:hAnsi="Times New Roman" w:cs="Times New Roman"/>
          <w:sz w:val="24"/>
          <w:szCs w:val="24"/>
        </w:rPr>
        <w:t>-</w:t>
      </w:r>
      <w:r w:rsidRPr="00D147A7">
        <w:rPr>
          <w:rFonts w:ascii="Times New Roman" w:hAnsi="Times New Roman" w:cs="Times New Roman"/>
          <w:sz w:val="24"/>
          <w:szCs w:val="24"/>
        </w:rPr>
        <w:t>tronische brievenbus (eHealthBox). Deze elektronische brievenbus is een persoonlijke plaats op de portaalsite van het eHealth-platform, waartoe andere beroepsbeoefenaren zich kunnen richten met hun verzoeken om gezondheidsgegevens uit te wisselen. Via deze weg kan bij</w:t>
      </w:r>
      <w:r w:rsidR="001E3B0A">
        <w:rPr>
          <w:rFonts w:ascii="Times New Roman" w:hAnsi="Times New Roman" w:cs="Times New Roman"/>
          <w:sz w:val="24"/>
          <w:szCs w:val="24"/>
        </w:rPr>
        <w:t>-</w:t>
      </w:r>
      <w:r w:rsidRPr="00D147A7">
        <w:rPr>
          <w:rFonts w:ascii="Times New Roman" w:hAnsi="Times New Roman" w:cs="Times New Roman"/>
          <w:sz w:val="24"/>
          <w:szCs w:val="24"/>
        </w:rPr>
        <w:t xml:space="preserve">voorbeeld ook een </w:t>
      </w:r>
      <w:r w:rsidRPr="00D147A7">
        <w:rPr>
          <w:rFonts w:ascii="Times New Roman" w:hAnsi="Times New Roman" w:cs="Times New Roman"/>
          <w:i/>
          <w:sz w:val="24"/>
          <w:szCs w:val="24"/>
        </w:rPr>
        <w:t>second opinion</w:t>
      </w:r>
      <w:r w:rsidRPr="00D147A7">
        <w:rPr>
          <w:rFonts w:ascii="Times New Roman" w:hAnsi="Times New Roman" w:cs="Times New Roman"/>
          <w:sz w:val="24"/>
          <w:szCs w:val="24"/>
        </w:rPr>
        <w:t xml:space="preserve"> gevraagd en geboden worden.</w:t>
      </w:r>
      <w:r w:rsidRPr="00D147A7">
        <w:rPr>
          <w:rStyle w:val="Voetnootmarkering"/>
          <w:rFonts w:ascii="Times New Roman" w:hAnsi="Times New Roman" w:cs="Times New Roman"/>
          <w:sz w:val="24"/>
          <w:szCs w:val="24"/>
        </w:rPr>
        <w:footnoteReference w:id="42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is evenwel niet omdat een patiënt de toestemming geeft om zijn gegevens in het verwij</w:t>
      </w:r>
      <w:r w:rsidR="005C1A56">
        <w:rPr>
          <w:rFonts w:ascii="Times New Roman" w:hAnsi="Times New Roman" w:cs="Times New Roman"/>
          <w:sz w:val="24"/>
          <w:szCs w:val="24"/>
        </w:rPr>
        <w:t>-</w:t>
      </w:r>
      <w:r w:rsidRPr="00D147A7">
        <w:rPr>
          <w:rFonts w:ascii="Times New Roman" w:hAnsi="Times New Roman" w:cs="Times New Roman"/>
          <w:sz w:val="24"/>
          <w:szCs w:val="24"/>
        </w:rPr>
        <w:t xml:space="preserve">zingsrepertorium op te laten nemen, dat iedere zorgverlener voortaan toegang tot </w:t>
      </w:r>
      <w:r w:rsidR="00751706">
        <w:rPr>
          <w:rFonts w:ascii="Times New Roman" w:hAnsi="Times New Roman" w:cs="Times New Roman"/>
          <w:sz w:val="24"/>
          <w:szCs w:val="24"/>
        </w:rPr>
        <w:t>deze</w:t>
      </w:r>
      <w:r w:rsidRPr="00D147A7">
        <w:rPr>
          <w:rFonts w:ascii="Times New Roman" w:hAnsi="Times New Roman" w:cs="Times New Roman"/>
          <w:sz w:val="24"/>
          <w:szCs w:val="24"/>
        </w:rPr>
        <w:t xml:space="preserve"> gege</w:t>
      </w:r>
      <w:r w:rsidR="005C1A56">
        <w:rPr>
          <w:rFonts w:ascii="Times New Roman" w:hAnsi="Times New Roman" w:cs="Times New Roman"/>
          <w:sz w:val="24"/>
          <w:szCs w:val="24"/>
        </w:rPr>
        <w:t>-</w:t>
      </w:r>
      <w:r w:rsidRPr="00D147A7">
        <w:rPr>
          <w:rFonts w:ascii="Times New Roman" w:hAnsi="Times New Roman" w:cs="Times New Roman"/>
          <w:sz w:val="24"/>
          <w:szCs w:val="24"/>
        </w:rPr>
        <w:t>vens heeft. Zorgverleners moeten kunnen aantonen dat ze een therapeutische relatie met de patiënt hebben alvorens ze diens gegevens kunnen uitwisselen of raadplegen.</w:t>
      </w:r>
      <w:r w:rsidRPr="00D147A7">
        <w:rPr>
          <w:rStyle w:val="Voetnootmarkering"/>
          <w:rFonts w:ascii="Times New Roman" w:hAnsi="Times New Roman" w:cs="Times New Roman"/>
          <w:sz w:val="24"/>
          <w:szCs w:val="24"/>
        </w:rPr>
        <w:footnoteReference w:id="430"/>
      </w:r>
      <w:r w:rsidRPr="00D147A7">
        <w:rPr>
          <w:rFonts w:ascii="Times New Roman" w:hAnsi="Times New Roman" w:cs="Times New Roman"/>
          <w:sz w:val="24"/>
          <w:szCs w:val="24"/>
        </w:rPr>
        <w:t xml:space="preserve"> De therapeut</w:t>
      </w:r>
      <w:r w:rsidR="005C1A56">
        <w:rPr>
          <w:rFonts w:ascii="Times New Roman" w:hAnsi="Times New Roman" w:cs="Times New Roman"/>
          <w:sz w:val="24"/>
          <w:szCs w:val="24"/>
        </w:rPr>
        <w:t>-</w:t>
      </w:r>
      <w:r w:rsidRPr="00D147A7">
        <w:rPr>
          <w:rFonts w:ascii="Times New Roman" w:hAnsi="Times New Roman" w:cs="Times New Roman"/>
          <w:sz w:val="24"/>
          <w:szCs w:val="24"/>
        </w:rPr>
        <w:t xml:space="preserve">ische relatie is </w:t>
      </w:r>
      <w:r w:rsidRPr="00D147A7">
        <w:rPr>
          <w:rFonts w:ascii="Times New Roman" w:hAnsi="Times New Roman" w:cs="Times New Roman"/>
          <w:i/>
          <w:sz w:val="24"/>
          <w:szCs w:val="24"/>
        </w:rPr>
        <w:t>de relatie tussen een bepaalde patiënt en één of meerdere beroepsbeoefenaars in de gezondheidzorg die betrokken zijn bij de diagnostische, preventieve of zorgverlenende handelingen ten opzichte van de patiënt, zoals gedefinieerd in het KB nr. 78</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31"/>
      </w:r>
      <w:r w:rsidRPr="00D147A7">
        <w:rPr>
          <w:rFonts w:ascii="Times New Roman" w:hAnsi="Times New Roman" w:cs="Times New Roman"/>
          <w:sz w:val="24"/>
          <w:szCs w:val="24"/>
        </w:rPr>
        <w:t xml:space="preserve"> Vooralsnog worden sommige zorgverleners dus van deelname aan de uitwisseling van gezondheidsgege</w:t>
      </w:r>
      <w:r w:rsidR="005C1A56">
        <w:rPr>
          <w:rFonts w:ascii="Times New Roman" w:hAnsi="Times New Roman" w:cs="Times New Roman"/>
          <w:sz w:val="24"/>
          <w:szCs w:val="24"/>
        </w:rPr>
        <w:t>-</w:t>
      </w:r>
      <w:r w:rsidRPr="00D147A7">
        <w:rPr>
          <w:rFonts w:ascii="Times New Roman" w:hAnsi="Times New Roman" w:cs="Times New Roman"/>
          <w:sz w:val="24"/>
          <w:szCs w:val="24"/>
        </w:rPr>
        <w:t>vens via het verwijzingsrepertorium uitgesloten.</w:t>
      </w:r>
      <w:r w:rsidRPr="00D147A7">
        <w:rPr>
          <w:rStyle w:val="Voetnootmarkering"/>
          <w:rFonts w:ascii="Times New Roman" w:hAnsi="Times New Roman" w:cs="Times New Roman"/>
          <w:sz w:val="24"/>
          <w:szCs w:val="24"/>
        </w:rPr>
        <w:footnoteReference w:id="432"/>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Een andere basisdienst van het eHealth-platform, het gebruikers- en toegangsbeheer, is op deze therapeutische relatie gebaseerd.</w:t>
      </w:r>
      <w:r w:rsidRPr="00D147A7">
        <w:rPr>
          <w:rStyle w:val="Voetnootmarkering"/>
          <w:rFonts w:ascii="Times New Roman" w:hAnsi="Times New Roman" w:cs="Times New Roman"/>
          <w:sz w:val="24"/>
          <w:szCs w:val="24"/>
        </w:rPr>
        <w:footnoteReference w:id="433"/>
      </w:r>
      <w:r w:rsidRPr="00D147A7">
        <w:rPr>
          <w:rFonts w:ascii="Times New Roman" w:hAnsi="Times New Roman" w:cs="Times New Roman"/>
          <w:sz w:val="24"/>
          <w:szCs w:val="24"/>
        </w:rPr>
        <w:t xml:space="preserve"> De toegangscontrole gebeurt aan de hand van een dubbele vercijferingssleutel (ETK), die slechts gedurende één sessie geldig blij</w:t>
      </w:r>
      <w:r w:rsidR="005C1A56">
        <w:rPr>
          <w:rFonts w:ascii="Times New Roman" w:hAnsi="Times New Roman" w:cs="Times New Roman"/>
          <w:sz w:val="24"/>
          <w:szCs w:val="24"/>
        </w:rPr>
        <w:t>ft</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34"/>
      </w:r>
      <w:r w:rsidRPr="00D147A7">
        <w:rPr>
          <w:rFonts w:ascii="Times New Roman" w:hAnsi="Times New Roman" w:cs="Times New Roman"/>
          <w:sz w:val="24"/>
          <w:szCs w:val="24"/>
        </w:rPr>
        <w:t xml:space="preserve"> Een goed </w:t>
      </w:r>
      <w:r w:rsidRPr="00D147A7">
        <w:rPr>
          <w:rFonts w:ascii="Times New Roman" w:hAnsi="Times New Roman" w:cs="Times New Roman"/>
          <w:sz w:val="24"/>
          <w:szCs w:val="24"/>
        </w:rPr>
        <w:lastRenderedPageBreak/>
        <w:t>gebruikers- en toegangsbeheer vertaalt zich in twee maatregelen: de rolgebaseerde toegang en de mogelijkheid van de gedeeltelijke toestemming. Ten eerste moeten zorgverleners de pro</w:t>
      </w:r>
      <w:r w:rsidR="005C1A56">
        <w:rPr>
          <w:rFonts w:ascii="Times New Roman" w:hAnsi="Times New Roman" w:cs="Times New Roman"/>
          <w:sz w:val="24"/>
          <w:szCs w:val="24"/>
        </w:rPr>
        <w:t>-</w:t>
      </w:r>
      <w:r w:rsidRPr="00D147A7">
        <w:rPr>
          <w:rFonts w:ascii="Times New Roman" w:hAnsi="Times New Roman" w:cs="Times New Roman"/>
          <w:sz w:val="24"/>
          <w:szCs w:val="24"/>
        </w:rPr>
        <w:t xml:space="preserve">portionaliteits- en finaliteitsbeginselen in acht nemen. Zij mogen m.a.w. niet meer gegevens </w:t>
      </w:r>
      <w:r w:rsidR="00390391" w:rsidRPr="00D147A7">
        <w:rPr>
          <w:rFonts w:ascii="Times New Roman" w:hAnsi="Times New Roman" w:cs="Times New Roman"/>
          <w:sz w:val="24"/>
          <w:szCs w:val="24"/>
        </w:rPr>
        <w:t xml:space="preserve">dan nodig </w:t>
      </w:r>
      <w:r w:rsidRPr="00D147A7">
        <w:rPr>
          <w:rFonts w:ascii="Times New Roman" w:hAnsi="Times New Roman" w:cs="Times New Roman"/>
          <w:sz w:val="24"/>
          <w:szCs w:val="24"/>
        </w:rPr>
        <w:t>raadplegen om aan de patiënt optimale zorgen te kunnen verlenen. Bovendien moet de opgevraagde informatie rechtstreeks in verhouding tot het doel (</w:t>
      </w:r>
      <w:r w:rsidRPr="00D147A7">
        <w:rPr>
          <w:rFonts w:ascii="Times New Roman" w:hAnsi="Times New Roman" w:cs="Times New Roman"/>
          <w:i/>
          <w:sz w:val="24"/>
          <w:szCs w:val="24"/>
        </w:rPr>
        <w:t xml:space="preserve">in casu </w:t>
      </w:r>
      <w:r w:rsidR="005C1A56">
        <w:rPr>
          <w:rFonts w:ascii="Times New Roman" w:hAnsi="Times New Roman" w:cs="Times New Roman"/>
          <w:sz w:val="24"/>
          <w:szCs w:val="24"/>
        </w:rPr>
        <w:t>de</w:t>
      </w:r>
      <w:r w:rsidRPr="00D147A7">
        <w:rPr>
          <w:rFonts w:ascii="Times New Roman" w:hAnsi="Times New Roman" w:cs="Times New Roman"/>
          <w:sz w:val="24"/>
          <w:szCs w:val="24"/>
        </w:rPr>
        <w:t xml:space="preserve"> individuele be</w:t>
      </w:r>
      <w:r w:rsidR="001E3B0A">
        <w:rPr>
          <w:rFonts w:ascii="Times New Roman" w:hAnsi="Times New Roman" w:cs="Times New Roman"/>
          <w:sz w:val="24"/>
          <w:szCs w:val="24"/>
        </w:rPr>
        <w:t>-</w:t>
      </w:r>
      <w:r w:rsidRPr="00D147A7">
        <w:rPr>
          <w:rFonts w:ascii="Times New Roman" w:hAnsi="Times New Roman" w:cs="Times New Roman"/>
          <w:sz w:val="24"/>
          <w:szCs w:val="24"/>
        </w:rPr>
        <w:t>handeling) staan. Iedere hub is verantwoordelijk voor de technische uitwerking van de rolge</w:t>
      </w:r>
      <w:r w:rsidR="001E3B0A">
        <w:rPr>
          <w:rFonts w:ascii="Times New Roman" w:hAnsi="Times New Roman" w:cs="Times New Roman"/>
          <w:sz w:val="24"/>
          <w:szCs w:val="24"/>
        </w:rPr>
        <w:t>-</w:t>
      </w:r>
      <w:r w:rsidRPr="00D147A7">
        <w:rPr>
          <w:rFonts w:ascii="Times New Roman" w:hAnsi="Times New Roman" w:cs="Times New Roman"/>
          <w:sz w:val="24"/>
          <w:szCs w:val="24"/>
        </w:rPr>
        <w:t>baseerde toegangsrechten</w:t>
      </w:r>
      <w:r w:rsidRPr="00D147A7">
        <w:rPr>
          <w:rStyle w:val="Voetnootmarkering"/>
          <w:rFonts w:ascii="Times New Roman" w:hAnsi="Times New Roman" w:cs="Times New Roman"/>
          <w:sz w:val="24"/>
          <w:szCs w:val="24"/>
        </w:rPr>
        <w:footnoteReference w:id="435"/>
      </w:r>
      <w:r w:rsidRPr="00D147A7">
        <w:rPr>
          <w:rFonts w:ascii="Times New Roman" w:hAnsi="Times New Roman" w:cs="Times New Roman"/>
          <w:sz w:val="24"/>
          <w:szCs w:val="24"/>
        </w:rPr>
        <w:t xml:space="preserve"> en legt in samenspraak met het Sectoraal Comité van de Sociale Zekerheid en van de Gezondheid vast welke gegevens voor welke categorie van zorgverleners toegankelijk mogen of moeten zijn. Ten tweede beschikt de patiënt – vanuit zijn zelfbe</w:t>
      </w:r>
      <w:r w:rsidR="001E3B0A">
        <w:rPr>
          <w:rFonts w:ascii="Times New Roman" w:hAnsi="Times New Roman" w:cs="Times New Roman"/>
          <w:sz w:val="24"/>
          <w:szCs w:val="24"/>
        </w:rPr>
        <w:t>-</w:t>
      </w:r>
      <w:r w:rsidRPr="00D147A7">
        <w:rPr>
          <w:rFonts w:ascii="Times New Roman" w:hAnsi="Times New Roman" w:cs="Times New Roman"/>
          <w:sz w:val="24"/>
          <w:szCs w:val="24"/>
        </w:rPr>
        <w:t>schikkingsrecht – over de mogelijkheid om de toegangsrechten tot zijn gezondheidsgegevens te beperken.</w:t>
      </w:r>
      <w:r w:rsidRPr="00D147A7">
        <w:rPr>
          <w:rStyle w:val="Voetnootmarkering"/>
          <w:rFonts w:ascii="Times New Roman" w:hAnsi="Times New Roman" w:cs="Times New Roman"/>
          <w:sz w:val="24"/>
          <w:szCs w:val="24"/>
        </w:rPr>
        <w:footnoteReference w:id="436"/>
      </w:r>
      <w:r w:rsidRPr="00D147A7">
        <w:rPr>
          <w:rFonts w:ascii="Times New Roman" w:hAnsi="Times New Roman" w:cs="Times New Roman"/>
          <w:sz w:val="24"/>
          <w:szCs w:val="24"/>
        </w:rPr>
        <w:t xml:space="preserve">  Zo kunnen patiënten hun wens (laten) registreren om bepaalde ge</w:t>
      </w:r>
      <w:r w:rsidR="005C1A56">
        <w:rPr>
          <w:rFonts w:ascii="Times New Roman" w:hAnsi="Times New Roman" w:cs="Times New Roman"/>
          <w:sz w:val="24"/>
          <w:szCs w:val="24"/>
        </w:rPr>
        <w:t>-</w:t>
      </w:r>
      <w:r w:rsidRPr="00D147A7">
        <w:rPr>
          <w:rFonts w:ascii="Times New Roman" w:hAnsi="Times New Roman" w:cs="Times New Roman"/>
          <w:sz w:val="24"/>
          <w:szCs w:val="24"/>
        </w:rPr>
        <w:t>gevens niet voor uitwisseling vatbaar te verklaren en/of (sommige) gegevens van welbepaalde zorgver</w:t>
      </w:r>
      <w:r w:rsidR="001E3B0A">
        <w:rPr>
          <w:rFonts w:ascii="Times New Roman" w:hAnsi="Times New Roman" w:cs="Times New Roman"/>
          <w:sz w:val="24"/>
          <w:szCs w:val="24"/>
        </w:rPr>
        <w:t>-</w:t>
      </w:r>
      <w:r w:rsidRPr="00D147A7">
        <w:rPr>
          <w:rFonts w:ascii="Times New Roman" w:hAnsi="Times New Roman" w:cs="Times New Roman"/>
          <w:sz w:val="24"/>
          <w:szCs w:val="24"/>
        </w:rPr>
        <w:t>leners of verzorgingsinstellingen af te schermen. Opdat dergelijke weigeringen niet in de weg van een kwaliteitsvolle behandeling zouden staan, is dit recht op een gedeeltelijke toestem</w:t>
      </w:r>
      <w:r w:rsidR="001E3B0A">
        <w:rPr>
          <w:rFonts w:ascii="Times New Roman" w:hAnsi="Times New Roman" w:cs="Times New Roman"/>
          <w:sz w:val="24"/>
          <w:szCs w:val="24"/>
        </w:rPr>
        <w:t>-</w:t>
      </w:r>
      <w:r w:rsidRPr="00D147A7">
        <w:rPr>
          <w:rFonts w:ascii="Times New Roman" w:hAnsi="Times New Roman" w:cs="Times New Roman"/>
          <w:sz w:val="24"/>
          <w:szCs w:val="24"/>
        </w:rPr>
        <w:t>ming niet absoluut. Het eHealth-platform heeft beslist dat de toegang enkel beperkt kan wor</w:t>
      </w:r>
      <w:r w:rsidR="001E3B0A">
        <w:rPr>
          <w:rFonts w:ascii="Times New Roman" w:hAnsi="Times New Roman" w:cs="Times New Roman"/>
          <w:sz w:val="24"/>
          <w:szCs w:val="24"/>
        </w:rPr>
        <w:t>-</w:t>
      </w:r>
      <w:r w:rsidRPr="00D147A7">
        <w:rPr>
          <w:rFonts w:ascii="Times New Roman" w:hAnsi="Times New Roman" w:cs="Times New Roman"/>
          <w:sz w:val="24"/>
          <w:szCs w:val="24"/>
        </w:rPr>
        <w:t>den tot groepen van gezondheidsgegevens en tot voltallige medische korpsen.</w:t>
      </w:r>
      <w:r w:rsidRPr="00D147A7">
        <w:rPr>
          <w:rStyle w:val="Voetnootmarkering"/>
          <w:rFonts w:ascii="Times New Roman" w:hAnsi="Times New Roman" w:cs="Times New Roman"/>
          <w:sz w:val="24"/>
          <w:szCs w:val="24"/>
        </w:rPr>
        <w:footnoteReference w:id="437"/>
      </w:r>
    </w:p>
    <w:p w:rsidR="009931C7" w:rsidRPr="00D147A7" w:rsidRDefault="009931C7" w:rsidP="009931C7">
      <w:pPr>
        <w:pStyle w:val="Geenafstand"/>
        <w:jc w:val="both"/>
        <w:rPr>
          <w:rFonts w:ascii="Times New Roman" w:hAnsi="Times New Roman" w:cs="Times New Roman"/>
          <w:color w:val="FFFFFF"/>
          <w:sz w:val="24"/>
          <w:szCs w:val="24"/>
          <w:highlight w:val="black"/>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Om dit toegangsbeleid te kunnen organiseren en om het bestaan van de therapeutische relatie te kunnen verifiëren, moeten zowel zorgverleners als patiënten op een betrouwbare manier geïdentificeerd kunnen worden en dient een authenticatieprocedure voor zorgverleners voor</w:t>
      </w:r>
      <w:r w:rsidR="0001293A">
        <w:rPr>
          <w:rFonts w:ascii="Times New Roman" w:hAnsi="Times New Roman" w:cs="Times New Roman"/>
          <w:sz w:val="24"/>
          <w:szCs w:val="24"/>
        </w:rPr>
        <w:t>-</w:t>
      </w:r>
      <w:r w:rsidRPr="00D147A7">
        <w:rPr>
          <w:rFonts w:ascii="Times New Roman" w:hAnsi="Times New Roman" w:cs="Times New Roman"/>
          <w:sz w:val="24"/>
          <w:szCs w:val="24"/>
        </w:rPr>
        <w:t>handen te zijn. In mei 2011 uitte het eHealth-platform nog haar ongenoegen over het gebrek aan wetgevende initiatieven hieromtrent.</w:t>
      </w:r>
      <w:r w:rsidRPr="00D147A7">
        <w:rPr>
          <w:rStyle w:val="Voetnootmarkering"/>
          <w:rFonts w:ascii="Times New Roman" w:hAnsi="Times New Roman" w:cs="Times New Roman"/>
          <w:sz w:val="24"/>
          <w:szCs w:val="24"/>
        </w:rPr>
        <w:footnoteReference w:id="438"/>
      </w:r>
      <w:r w:rsidR="0001293A">
        <w:rPr>
          <w:rFonts w:ascii="Times New Roman" w:hAnsi="Times New Roman" w:cs="Times New Roman"/>
          <w:sz w:val="24"/>
          <w:szCs w:val="24"/>
        </w:rPr>
        <w:t xml:space="preserve"> </w:t>
      </w:r>
    </w:p>
    <w:p w:rsidR="0001293A" w:rsidRDefault="0001293A"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Tijdens het BeHealth-project werd overwogen om een sectoraal gezondheidsnummer, het persoonlijk gezondheidsidentificatienummer (PGIN), te ontwikkelen om patiënten te identifi</w:t>
      </w:r>
      <w:r w:rsidR="0001293A">
        <w:rPr>
          <w:rFonts w:ascii="Times New Roman" w:hAnsi="Times New Roman" w:cs="Times New Roman"/>
          <w:sz w:val="24"/>
          <w:szCs w:val="24"/>
        </w:rPr>
        <w:t>-</w:t>
      </w:r>
      <w:r w:rsidRPr="00D147A7">
        <w:rPr>
          <w:rFonts w:ascii="Times New Roman" w:hAnsi="Times New Roman" w:cs="Times New Roman"/>
          <w:sz w:val="24"/>
          <w:szCs w:val="24"/>
        </w:rPr>
        <w:t>ceren.</w:t>
      </w:r>
      <w:r w:rsidRPr="00D147A7">
        <w:rPr>
          <w:rStyle w:val="Voetnootmarkering"/>
          <w:rFonts w:ascii="Times New Roman" w:hAnsi="Times New Roman" w:cs="Times New Roman"/>
          <w:sz w:val="24"/>
          <w:szCs w:val="24"/>
        </w:rPr>
        <w:footnoteReference w:id="439"/>
      </w:r>
      <w:r w:rsidRPr="00D147A7">
        <w:rPr>
          <w:rFonts w:ascii="Times New Roman" w:hAnsi="Times New Roman" w:cs="Times New Roman"/>
          <w:sz w:val="24"/>
          <w:szCs w:val="24"/>
        </w:rPr>
        <w:t xml:space="preserve"> Van dit voorstel werd echter afgestapt omdat dit gezondheidsnummer door zo veel mensen gebruikt zou worden dat het geen betere bescherming biedt in vergelijking met het Rijksregisternummer.</w:t>
      </w:r>
      <w:r w:rsidRPr="00D147A7">
        <w:rPr>
          <w:rStyle w:val="Voetnootmarkering"/>
          <w:rFonts w:ascii="Times New Roman" w:hAnsi="Times New Roman" w:cs="Times New Roman"/>
          <w:sz w:val="24"/>
          <w:szCs w:val="24"/>
        </w:rPr>
        <w:footnoteReference w:id="440"/>
      </w:r>
      <w:r w:rsidRPr="00D147A7">
        <w:rPr>
          <w:rFonts w:ascii="Times New Roman" w:hAnsi="Times New Roman" w:cs="Times New Roman"/>
          <w:sz w:val="24"/>
          <w:szCs w:val="24"/>
        </w:rPr>
        <w:t xml:space="preserve"> Door een bestaand nummer te gebruiken wordt bovendien heel wat bijkomend administratief en organisatorisch werk vermeden. Daarom werd op het Rijks</w:t>
      </w:r>
      <w:r w:rsidR="0001293A">
        <w:rPr>
          <w:rFonts w:ascii="Times New Roman" w:hAnsi="Times New Roman" w:cs="Times New Roman"/>
          <w:sz w:val="24"/>
          <w:szCs w:val="24"/>
        </w:rPr>
        <w:t>-</w:t>
      </w:r>
      <w:r w:rsidRPr="00D147A7">
        <w:rPr>
          <w:rFonts w:ascii="Times New Roman" w:hAnsi="Times New Roman" w:cs="Times New Roman"/>
          <w:sz w:val="24"/>
          <w:szCs w:val="24"/>
        </w:rPr>
        <w:t>regis</w:t>
      </w:r>
      <w:r w:rsidR="001E3B0A">
        <w:rPr>
          <w:rFonts w:ascii="Times New Roman" w:hAnsi="Times New Roman" w:cs="Times New Roman"/>
          <w:sz w:val="24"/>
          <w:szCs w:val="24"/>
        </w:rPr>
        <w:t>-</w:t>
      </w:r>
      <w:r w:rsidRPr="00D147A7">
        <w:rPr>
          <w:rFonts w:ascii="Times New Roman" w:hAnsi="Times New Roman" w:cs="Times New Roman"/>
          <w:sz w:val="24"/>
          <w:szCs w:val="24"/>
        </w:rPr>
        <w:t>ternummer en het daarvan afgeleide Identificatienummer van de Sociale Zekerheid (INSZ) teruggevallen.</w:t>
      </w:r>
      <w:r w:rsidRPr="00D147A7">
        <w:rPr>
          <w:rStyle w:val="Voetnootmarkering"/>
          <w:rFonts w:ascii="Times New Roman" w:hAnsi="Times New Roman" w:cs="Times New Roman"/>
          <w:sz w:val="24"/>
          <w:szCs w:val="24"/>
        </w:rPr>
        <w:footnoteReference w:id="441"/>
      </w:r>
      <w:r w:rsidRPr="00D147A7">
        <w:rPr>
          <w:rFonts w:ascii="Times New Roman" w:hAnsi="Times New Roman" w:cs="Times New Roman"/>
          <w:sz w:val="24"/>
          <w:szCs w:val="24"/>
        </w:rPr>
        <w:t xml:space="preserve"> </w:t>
      </w:r>
      <w:r w:rsidR="00390391">
        <w:rPr>
          <w:rFonts w:ascii="Times New Roman" w:hAnsi="Times New Roman" w:cs="Times New Roman"/>
          <w:sz w:val="24"/>
          <w:szCs w:val="24"/>
        </w:rPr>
        <w:t>I</w:t>
      </w:r>
      <w:r w:rsidRPr="00D147A7">
        <w:rPr>
          <w:rFonts w:ascii="Times New Roman" w:hAnsi="Times New Roman" w:cs="Times New Roman"/>
          <w:sz w:val="24"/>
          <w:szCs w:val="24"/>
        </w:rPr>
        <w:t xml:space="preserve">n de eHealth-wet </w:t>
      </w:r>
      <w:r w:rsidR="00390391">
        <w:rPr>
          <w:rFonts w:ascii="Times New Roman" w:hAnsi="Times New Roman" w:cs="Times New Roman"/>
          <w:sz w:val="24"/>
          <w:szCs w:val="24"/>
        </w:rPr>
        <w:t xml:space="preserve">wordt het </w:t>
      </w:r>
      <w:r w:rsidRPr="00D147A7">
        <w:rPr>
          <w:rFonts w:ascii="Times New Roman" w:hAnsi="Times New Roman" w:cs="Times New Roman"/>
          <w:sz w:val="24"/>
          <w:szCs w:val="24"/>
        </w:rPr>
        <w:t>toegestaan dat de actoren in de gezondheids</w:t>
      </w:r>
      <w:r w:rsidR="001E3B0A">
        <w:rPr>
          <w:rFonts w:ascii="Times New Roman" w:hAnsi="Times New Roman" w:cs="Times New Roman"/>
          <w:sz w:val="24"/>
          <w:szCs w:val="24"/>
        </w:rPr>
        <w:t>-</w:t>
      </w:r>
      <w:r w:rsidRPr="00D147A7">
        <w:rPr>
          <w:rFonts w:ascii="Times New Roman" w:hAnsi="Times New Roman" w:cs="Times New Roman"/>
          <w:sz w:val="24"/>
          <w:szCs w:val="24"/>
        </w:rPr>
        <w:lastRenderedPageBreak/>
        <w:t>zorg de gegevens van natuurlijke personen in het Rijksregister en in het Krui</w:t>
      </w:r>
      <w:r w:rsidR="0001293A">
        <w:rPr>
          <w:rFonts w:ascii="Times New Roman" w:hAnsi="Times New Roman" w:cs="Times New Roman"/>
          <w:sz w:val="24"/>
          <w:szCs w:val="24"/>
        </w:rPr>
        <w:t>s</w:t>
      </w:r>
      <w:r w:rsidRPr="00D147A7">
        <w:rPr>
          <w:rFonts w:ascii="Times New Roman" w:hAnsi="Times New Roman" w:cs="Times New Roman"/>
          <w:sz w:val="24"/>
          <w:szCs w:val="24"/>
        </w:rPr>
        <w:t>puntbank</w:t>
      </w:r>
      <w:r w:rsidR="0001293A">
        <w:rPr>
          <w:rFonts w:ascii="Times New Roman" w:hAnsi="Times New Roman" w:cs="Times New Roman"/>
          <w:sz w:val="24"/>
          <w:szCs w:val="24"/>
        </w:rPr>
        <w:t>-</w:t>
      </w:r>
      <w:r w:rsidRPr="00D147A7">
        <w:rPr>
          <w:rFonts w:ascii="Times New Roman" w:hAnsi="Times New Roman" w:cs="Times New Roman"/>
          <w:sz w:val="24"/>
          <w:szCs w:val="24"/>
        </w:rPr>
        <w:t>register van de Sociale Zekerheid mogen consulteren en het INSZ en Rijksregisternummer mogen gebruiken bij de uitvoering van de aan het eHealth-platform toegewezen opdracht</w:t>
      </w:r>
      <w:r w:rsidR="004A6600">
        <w:rPr>
          <w:rFonts w:ascii="Times New Roman" w:hAnsi="Times New Roman" w:cs="Times New Roman"/>
          <w:sz w:val="24"/>
          <w:szCs w:val="24"/>
        </w:rPr>
        <w:t>-</w:t>
      </w:r>
      <w:r w:rsidRPr="00D147A7">
        <w:rPr>
          <w:rFonts w:ascii="Times New Roman" w:hAnsi="Times New Roman" w:cs="Times New Roman"/>
          <w:sz w:val="24"/>
          <w:szCs w:val="24"/>
        </w:rPr>
        <w:t>en</w:t>
      </w:r>
      <w:r w:rsidRPr="00D147A7">
        <w:rPr>
          <w:rStyle w:val="Voetnootmarkering"/>
          <w:rFonts w:ascii="Times New Roman" w:hAnsi="Times New Roman" w:cs="Times New Roman"/>
          <w:sz w:val="24"/>
          <w:szCs w:val="24"/>
        </w:rPr>
        <w:footnoteReference w:id="442"/>
      </w:r>
      <w:r w:rsidRPr="00D147A7">
        <w:rPr>
          <w:rFonts w:ascii="Times New Roman" w:hAnsi="Times New Roman" w:cs="Times New Roman"/>
          <w:sz w:val="24"/>
          <w:szCs w:val="24"/>
        </w:rPr>
        <w:t>, wat bij de mededeling van gegevens aan en door het eHealth-platform</w:t>
      </w:r>
      <w:r w:rsidR="0038253A" w:rsidRPr="0038253A">
        <w:rPr>
          <w:rFonts w:ascii="Times New Roman" w:hAnsi="Times New Roman" w:cs="Times New Roman"/>
          <w:sz w:val="24"/>
          <w:szCs w:val="24"/>
        </w:rPr>
        <w:t xml:space="preserve"> </w:t>
      </w:r>
      <w:r w:rsidR="0038253A" w:rsidRPr="00D147A7">
        <w:rPr>
          <w:rFonts w:ascii="Times New Roman" w:hAnsi="Times New Roman" w:cs="Times New Roman"/>
          <w:sz w:val="24"/>
          <w:szCs w:val="24"/>
        </w:rPr>
        <w:t>zelfs verplicht wordt</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43"/>
      </w:r>
      <w:r w:rsidRPr="00D147A7">
        <w:rPr>
          <w:rFonts w:ascii="Times New Roman" w:hAnsi="Times New Roman" w:cs="Times New Roman"/>
          <w:sz w:val="24"/>
          <w:szCs w:val="24"/>
        </w:rPr>
        <w:t xml:space="preserve"> Maar alvorens het Rijksregist</w:t>
      </w:r>
      <w:r w:rsidR="0038253A">
        <w:rPr>
          <w:rFonts w:ascii="Times New Roman" w:hAnsi="Times New Roman" w:cs="Times New Roman"/>
          <w:sz w:val="24"/>
          <w:szCs w:val="24"/>
        </w:rPr>
        <w:t xml:space="preserve">ernummer en het INSZ </w:t>
      </w:r>
      <w:r w:rsidR="0038253A" w:rsidRPr="00D147A7">
        <w:rPr>
          <w:rFonts w:ascii="Times New Roman" w:hAnsi="Times New Roman" w:cs="Times New Roman"/>
          <w:sz w:val="24"/>
          <w:szCs w:val="24"/>
        </w:rPr>
        <w:t xml:space="preserve">ter identificatie van de patiënt </w:t>
      </w:r>
      <w:r w:rsidR="0038253A">
        <w:rPr>
          <w:rFonts w:ascii="Times New Roman" w:hAnsi="Times New Roman" w:cs="Times New Roman"/>
          <w:sz w:val="24"/>
          <w:szCs w:val="24"/>
        </w:rPr>
        <w:t>gebruikt mo</w:t>
      </w:r>
      <w:r w:rsidRPr="00D147A7">
        <w:rPr>
          <w:rFonts w:ascii="Times New Roman" w:hAnsi="Times New Roman" w:cs="Times New Roman"/>
          <w:sz w:val="24"/>
          <w:szCs w:val="24"/>
        </w:rPr>
        <w:t>g</w:t>
      </w:r>
      <w:r w:rsidR="0038253A">
        <w:rPr>
          <w:rFonts w:ascii="Times New Roman" w:hAnsi="Times New Roman" w:cs="Times New Roman"/>
          <w:sz w:val="24"/>
          <w:szCs w:val="24"/>
        </w:rPr>
        <w:t>en</w:t>
      </w:r>
      <w:r w:rsidRPr="00D147A7">
        <w:rPr>
          <w:rFonts w:ascii="Times New Roman" w:hAnsi="Times New Roman" w:cs="Times New Roman"/>
          <w:sz w:val="24"/>
          <w:szCs w:val="24"/>
        </w:rPr>
        <w:t xml:space="preserve"> worden</w:t>
      </w:r>
      <w:r w:rsidR="0038253A">
        <w:rPr>
          <w:rFonts w:ascii="Times New Roman" w:hAnsi="Times New Roman" w:cs="Times New Roman"/>
          <w:sz w:val="24"/>
          <w:szCs w:val="24"/>
        </w:rPr>
        <w:t>,</w:t>
      </w:r>
      <w:r w:rsidRPr="00D147A7">
        <w:rPr>
          <w:rFonts w:ascii="Times New Roman" w:hAnsi="Times New Roman" w:cs="Times New Roman"/>
          <w:sz w:val="24"/>
          <w:szCs w:val="24"/>
        </w:rPr>
        <w:t xml:space="preserve"> moet een voorafgaande machtiging van zowel het Sectoraal Comité van het Rijksregister als het Sectoraal Comité van de Sociale Zekerheid en van de Gezond</w:t>
      </w:r>
      <w:r w:rsidR="00010909">
        <w:rPr>
          <w:rFonts w:ascii="Times New Roman" w:hAnsi="Times New Roman" w:cs="Times New Roman"/>
          <w:sz w:val="24"/>
          <w:szCs w:val="24"/>
        </w:rPr>
        <w:t>-</w:t>
      </w:r>
      <w:r w:rsidRPr="00D147A7">
        <w:rPr>
          <w:rFonts w:ascii="Times New Roman" w:hAnsi="Times New Roman" w:cs="Times New Roman"/>
          <w:sz w:val="24"/>
          <w:szCs w:val="24"/>
        </w:rPr>
        <w:t>heid</w:t>
      </w:r>
      <w:r w:rsidR="0038253A" w:rsidRPr="0038253A">
        <w:rPr>
          <w:rFonts w:ascii="Times New Roman" w:hAnsi="Times New Roman" w:cs="Times New Roman"/>
          <w:sz w:val="24"/>
          <w:szCs w:val="24"/>
        </w:rPr>
        <w:t xml:space="preserve"> </w:t>
      </w:r>
      <w:r w:rsidR="00010909" w:rsidRPr="00D147A7">
        <w:rPr>
          <w:rFonts w:ascii="Times New Roman" w:hAnsi="Times New Roman" w:cs="Times New Roman"/>
          <w:sz w:val="24"/>
          <w:szCs w:val="24"/>
        </w:rPr>
        <w:t xml:space="preserve">worden </w:t>
      </w:r>
      <w:r w:rsidR="0038253A" w:rsidRPr="00D147A7">
        <w:rPr>
          <w:rFonts w:ascii="Times New Roman" w:hAnsi="Times New Roman" w:cs="Times New Roman"/>
          <w:sz w:val="24"/>
          <w:szCs w:val="24"/>
        </w:rPr>
        <w:t>bekomen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44"/>
      </w:r>
      <w:r w:rsidRPr="00D147A7">
        <w:rPr>
          <w:rFonts w:ascii="Times New Roman" w:hAnsi="Times New Roman" w:cs="Times New Roman"/>
          <w:sz w:val="24"/>
          <w:szCs w:val="24"/>
        </w:rPr>
        <w:t xml:space="preserve"> De raadpleging van deze identificatienummers gebeurt via de web</w:t>
      </w:r>
      <w:r w:rsidR="00010909">
        <w:rPr>
          <w:rFonts w:ascii="Times New Roman" w:hAnsi="Times New Roman" w:cs="Times New Roman"/>
          <w:sz w:val="24"/>
          <w:szCs w:val="24"/>
        </w:rPr>
        <w:t>-</w:t>
      </w:r>
      <w:r w:rsidRPr="00D147A7">
        <w:rPr>
          <w:rFonts w:ascii="Times New Roman" w:hAnsi="Times New Roman" w:cs="Times New Roman"/>
          <w:sz w:val="24"/>
          <w:szCs w:val="24"/>
        </w:rPr>
        <w:t>service ConsultRR, die over vijf onafhankelijke webservices beschikt: Identifyperson (de identificatie van een natuurlijke persoon op basis van het identificatienummer van de sociale zekerheid (INSZ)), PhoneticSearch (de identificatie van een natuurlijke persoon op basis van fonetische criteria), ManagInscription (</w:t>
      </w:r>
      <w:r w:rsidR="0038253A">
        <w:rPr>
          <w:rFonts w:ascii="Times New Roman" w:hAnsi="Times New Roman" w:cs="Times New Roman"/>
          <w:sz w:val="24"/>
          <w:szCs w:val="24"/>
        </w:rPr>
        <w:t>inschrijving in en verwijdering</w:t>
      </w:r>
      <w:r w:rsidRPr="00D147A7">
        <w:rPr>
          <w:rFonts w:ascii="Times New Roman" w:hAnsi="Times New Roman" w:cs="Times New Roman"/>
          <w:sz w:val="24"/>
          <w:szCs w:val="24"/>
        </w:rPr>
        <w:t xml:space="preserve"> uit de abonnements</w:t>
      </w:r>
      <w:r w:rsidR="00882424">
        <w:rPr>
          <w:rFonts w:ascii="Times New Roman" w:hAnsi="Times New Roman" w:cs="Times New Roman"/>
          <w:sz w:val="24"/>
          <w:szCs w:val="24"/>
        </w:rPr>
        <w:t>-</w:t>
      </w:r>
      <w:r w:rsidRPr="00D147A7">
        <w:rPr>
          <w:rFonts w:ascii="Times New Roman" w:hAnsi="Times New Roman" w:cs="Times New Roman"/>
          <w:sz w:val="24"/>
          <w:szCs w:val="24"/>
        </w:rPr>
        <w:t>dienst), MutationSender (terbeschikkingstelling van de mutaties) en PersonHistory (opzoek</w:t>
      </w:r>
      <w:r w:rsidR="00882424">
        <w:rPr>
          <w:rFonts w:ascii="Times New Roman" w:hAnsi="Times New Roman" w:cs="Times New Roman"/>
          <w:sz w:val="24"/>
          <w:szCs w:val="24"/>
        </w:rPr>
        <w:t>-</w:t>
      </w:r>
      <w:r w:rsidRPr="00D147A7">
        <w:rPr>
          <w:rFonts w:ascii="Times New Roman" w:hAnsi="Times New Roman" w:cs="Times New Roman"/>
          <w:sz w:val="24"/>
          <w:szCs w:val="24"/>
        </w:rPr>
        <w:t>ing van de historiek op basis van de INSZ).</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Zorgverleners kunnen zich identificeren en authentificeren met behulp van een gebruikers</w:t>
      </w:r>
      <w:r w:rsidR="00882424">
        <w:rPr>
          <w:rFonts w:ascii="Times New Roman" w:hAnsi="Times New Roman" w:cs="Times New Roman"/>
          <w:sz w:val="24"/>
          <w:szCs w:val="24"/>
        </w:rPr>
        <w:t>-</w:t>
      </w:r>
      <w:r w:rsidRPr="00D147A7">
        <w:rPr>
          <w:rFonts w:ascii="Times New Roman" w:hAnsi="Times New Roman" w:cs="Times New Roman"/>
          <w:sz w:val="24"/>
          <w:szCs w:val="24"/>
        </w:rPr>
        <w:t>naam en paswoord, dat via een eHealth-certificaat bekomen kan worden, in combinatie met een burgertoken.</w:t>
      </w:r>
      <w:r w:rsidRPr="00D147A7">
        <w:rPr>
          <w:rStyle w:val="Voetnootmarkering"/>
          <w:rFonts w:ascii="Times New Roman" w:hAnsi="Times New Roman" w:cs="Times New Roman"/>
          <w:sz w:val="24"/>
          <w:szCs w:val="24"/>
        </w:rPr>
        <w:footnoteReference w:id="445"/>
      </w:r>
      <w:r w:rsidRPr="00D147A7">
        <w:rPr>
          <w:rFonts w:ascii="Times New Roman" w:hAnsi="Times New Roman" w:cs="Times New Roman"/>
          <w:sz w:val="24"/>
          <w:szCs w:val="24"/>
        </w:rPr>
        <w:t xml:space="preserve"> In ziekenhuizen kunnen ook andere identificatiemiddelen, zoals het personeelsnummer, aangewend worden op voorwaarde dat dit aan de wettelijk voorwaarden voldoet.</w:t>
      </w:r>
      <w:r w:rsidRPr="00D147A7">
        <w:rPr>
          <w:rStyle w:val="Voetnootmarkering"/>
          <w:rFonts w:ascii="Times New Roman" w:hAnsi="Times New Roman" w:cs="Times New Roman"/>
          <w:sz w:val="24"/>
          <w:szCs w:val="24"/>
        </w:rPr>
        <w:footnoteReference w:id="446"/>
      </w:r>
      <w:r w:rsidRPr="00D147A7">
        <w:rPr>
          <w:rFonts w:ascii="Times New Roman" w:hAnsi="Times New Roman" w:cs="Times New Roman"/>
          <w:sz w:val="24"/>
          <w:szCs w:val="24"/>
        </w:rPr>
        <w:t xml:space="preserve"> Patiënten kunnen zorgverleners identificeren – bijvoorbeeld om hun toegangs</w:t>
      </w:r>
      <w:r w:rsidR="00882424">
        <w:rPr>
          <w:rFonts w:ascii="Times New Roman" w:hAnsi="Times New Roman" w:cs="Times New Roman"/>
          <w:sz w:val="24"/>
          <w:szCs w:val="24"/>
        </w:rPr>
        <w:t>-</w:t>
      </w:r>
      <w:r w:rsidRPr="00D147A7">
        <w:rPr>
          <w:rFonts w:ascii="Times New Roman" w:hAnsi="Times New Roman" w:cs="Times New Roman"/>
          <w:sz w:val="24"/>
          <w:szCs w:val="24"/>
        </w:rPr>
        <w:t>rechten te beperken – a.d.h.v. het RIZIV-nummer. Omdat dit nummer veranderlijk is, moeten er voldoende opzoekings- en verificatiemogelijkheden voor de patiënt voorhanden zijn.</w:t>
      </w:r>
      <w:r w:rsidRPr="00D147A7">
        <w:rPr>
          <w:rStyle w:val="Voetnootmarkering"/>
          <w:rFonts w:ascii="Times New Roman" w:hAnsi="Times New Roman" w:cs="Times New Roman"/>
          <w:sz w:val="24"/>
          <w:szCs w:val="24"/>
        </w:rPr>
        <w:footnoteReference w:id="447"/>
      </w:r>
      <w:r w:rsidRPr="00D147A7">
        <w:rPr>
          <w:rFonts w:ascii="Times New Roman" w:hAnsi="Times New Roman" w:cs="Times New Roman"/>
          <w:sz w:val="24"/>
          <w:szCs w:val="24"/>
        </w:rPr>
        <w:t xml:space="preserve"> Om de hoedanigheid van de betrokken arts te verifiëren</w:t>
      </w:r>
      <w:r w:rsidR="00882424">
        <w:rPr>
          <w:rFonts w:ascii="Times New Roman" w:hAnsi="Times New Roman" w:cs="Times New Roman"/>
          <w:sz w:val="24"/>
          <w:szCs w:val="24"/>
        </w:rPr>
        <w:t>,</w:t>
      </w:r>
      <w:r w:rsidRPr="00D147A7">
        <w:rPr>
          <w:rFonts w:ascii="Times New Roman" w:hAnsi="Times New Roman" w:cs="Times New Roman"/>
          <w:sz w:val="24"/>
          <w:szCs w:val="24"/>
        </w:rPr>
        <w:t xml:space="preserve"> wordt de authentieke bron van de FOD Volksgezondheid in combinatie met deze van het RIZIV aangeboord.</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gebruikers van het eHealth-platform kunnen zich ook kenbaar maken door middel van de elektronische identiteitskaart (eID), die immers aan de bevolkingsregisters gelinkt is.</w:t>
      </w:r>
      <w:r w:rsidRPr="00D147A7">
        <w:rPr>
          <w:rStyle w:val="Voetnootmarkering"/>
          <w:rFonts w:ascii="Times New Roman" w:hAnsi="Times New Roman" w:cs="Times New Roman"/>
          <w:sz w:val="24"/>
          <w:szCs w:val="24"/>
        </w:rPr>
        <w:footnoteReference w:id="448"/>
      </w:r>
      <w:r w:rsidRPr="00D147A7">
        <w:rPr>
          <w:rFonts w:ascii="Times New Roman" w:hAnsi="Times New Roman" w:cs="Times New Roman"/>
          <w:sz w:val="24"/>
          <w:szCs w:val="24"/>
        </w:rPr>
        <w:t xml:space="preserve"> België was één van de eerste landen waar de eID, naar het voorbeeld van de elektronisch leesbare sociale identiteitskaart (SIS-kaart)</w:t>
      </w:r>
      <w:r w:rsidRPr="00D147A7">
        <w:rPr>
          <w:rStyle w:val="Voetnootmarkering"/>
          <w:rFonts w:ascii="Times New Roman" w:hAnsi="Times New Roman" w:cs="Times New Roman"/>
          <w:sz w:val="24"/>
          <w:szCs w:val="24"/>
        </w:rPr>
        <w:footnoteReference w:id="449"/>
      </w:r>
      <w:r w:rsidRPr="00D147A7">
        <w:rPr>
          <w:rFonts w:ascii="Times New Roman" w:hAnsi="Times New Roman" w:cs="Times New Roman"/>
          <w:sz w:val="24"/>
          <w:szCs w:val="24"/>
        </w:rPr>
        <w:t>, werd ingevoerd.</w:t>
      </w:r>
      <w:r w:rsidRPr="00D147A7">
        <w:rPr>
          <w:rStyle w:val="Voetnootmarkering"/>
          <w:rFonts w:ascii="Times New Roman" w:hAnsi="Times New Roman" w:cs="Times New Roman"/>
          <w:sz w:val="24"/>
          <w:szCs w:val="24"/>
        </w:rPr>
        <w:footnoteReference w:id="450"/>
      </w:r>
      <w:r w:rsidRPr="00D147A7">
        <w:rPr>
          <w:rFonts w:ascii="Times New Roman" w:hAnsi="Times New Roman" w:cs="Times New Roman"/>
          <w:sz w:val="24"/>
          <w:szCs w:val="24"/>
        </w:rPr>
        <w:t xml:space="preserve"> De eID kent almaar meer </w:t>
      </w:r>
      <w:r w:rsidRPr="00D147A7">
        <w:rPr>
          <w:rFonts w:ascii="Times New Roman" w:hAnsi="Times New Roman" w:cs="Times New Roman"/>
          <w:sz w:val="24"/>
          <w:szCs w:val="24"/>
        </w:rPr>
        <w:lastRenderedPageBreak/>
        <w:t>toepassingen en zal in 2014 ook als SIS-kaart gebruikt kunnen worden.</w:t>
      </w:r>
      <w:r w:rsidRPr="00D147A7">
        <w:rPr>
          <w:rStyle w:val="Voetnootmarkering"/>
          <w:rFonts w:ascii="Times New Roman" w:hAnsi="Times New Roman" w:cs="Times New Roman"/>
          <w:sz w:val="24"/>
          <w:szCs w:val="24"/>
        </w:rPr>
        <w:footnoteReference w:id="451"/>
      </w:r>
      <w:r w:rsidRPr="00D147A7">
        <w:rPr>
          <w:rFonts w:ascii="Times New Roman" w:hAnsi="Times New Roman" w:cs="Times New Roman"/>
          <w:sz w:val="24"/>
          <w:szCs w:val="24"/>
        </w:rPr>
        <w:t xml:space="preserve"> Met behulp van een elektronische identiteitskaartlezer kunnen patiënten zich op </w:t>
      </w:r>
      <w:r w:rsidR="00882424">
        <w:rPr>
          <w:rFonts w:ascii="Times New Roman" w:hAnsi="Times New Roman" w:cs="Times New Roman"/>
          <w:sz w:val="24"/>
          <w:szCs w:val="24"/>
        </w:rPr>
        <w:t>‘</w:t>
      </w:r>
      <w:r w:rsidRPr="00D147A7">
        <w:rPr>
          <w:rFonts w:ascii="Times New Roman" w:hAnsi="Times New Roman" w:cs="Times New Roman"/>
          <w:sz w:val="24"/>
          <w:szCs w:val="24"/>
        </w:rPr>
        <w:t>My eHealth</w:t>
      </w:r>
      <w:r w:rsidR="00882424">
        <w:rPr>
          <w:rFonts w:ascii="Times New Roman" w:hAnsi="Times New Roman" w:cs="Times New Roman"/>
          <w:sz w:val="24"/>
          <w:szCs w:val="24"/>
        </w:rPr>
        <w:t>’</w:t>
      </w:r>
      <w:r w:rsidRPr="00D147A7">
        <w:rPr>
          <w:rFonts w:ascii="Times New Roman" w:hAnsi="Times New Roman" w:cs="Times New Roman"/>
          <w:sz w:val="24"/>
          <w:szCs w:val="24"/>
        </w:rPr>
        <w:t xml:space="preserve"> aanmelden.</w:t>
      </w:r>
      <w:r w:rsidRPr="00D147A7">
        <w:rPr>
          <w:rStyle w:val="Voetnootmarkering"/>
          <w:rFonts w:ascii="Times New Roman" w:hAnsi="Times New Roman" w:cs="Times New Roman"/>
          <w:sz w:val="24"/>
          <w:szCs w:val="24"/>
        </w:rPr>
        <w:footnoteReference w:id="452"/>
      </w:r>
      <w:r w:rsidRPr="00D147A7">
        <w:rPr>
          <w:rFonts w:ascii="Times New Roman" w:hAnsi="Times New Roman" w:cs="Times New Roman"/>
          <w:sz w:val="24"/>
          <w:szCs w:val="24"/>
        </w:rPr>
        <w:t xml:space="preserve"> Het recht op inzage in gezondheidsgegevens blijft immers ook in de digitale </w:t>
      </w:r>
      <w:r w:rsidR="00882424">
        <w:rPr>
          <w:rFonts w:ascii="Times New Roman" w:hAnsi="Times New Roman" w:cs="Times New Roman"/>
          <w:sz w:val="24"/>
          <w:szCs w:val="24"/>
        </w:rPr>
        <w:t>wereld</w:t>
      </w:r>
      <w:r w:rsidRPr="00D147A7">
        <w:rPr>
          <w:rFonts w:ascii="Times New Roman" w:hAnsi="Times New Roman" w:cs="Times New Roman"/>
          <w:sz w:val="24"/>
          <w:szCs w:val="24"/>
        </w:rPr>
        <w:t xml:space="preserve"> onverminderd van kracht.</w:t>
      </w:r>
      <w:r w:rsidRPr="00D147A7">
        <w:rPr>
          <w:rStyle w:val="Voetnootmarkering"/>
          <w:rFonts w:ascii="Times New Roman" w:hAnsi="Times New Roman" w:cs="Times New Roman"/>
          <w:sz w:val="24"/>
          <w:szCs w:val="24"/>
        </w:rPr>
        <w:footnoteReference w:id="453"/>
      </w:r>
      <w:r w:rsidRPr="00D147A7">
        <w:rPr>
          <w:rFonts w:ascii="Times New Roman" w:hAnsi="Times New Roman" w:cs="Times New Roman"/>
          <w:sz w:val="24"/>
          <w:szCs w:val="24"/>
        </w:rPr>
        <w:t xml:space="preserve"> Bovendien kunnen patiënten langs deze weg nagaan wie, wanneer, welke gegevens raadpleegde en uitwisselde.</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Een ander belangrijk juridisch vraagstuk is de bewijswaarde van digitale bescheiden. </w:t>
      </w:r>
      <w:r w:rsidRPr="00D147A7">
        <w:rPr>
          <w:rFonts w:ascii="Times New Roman" w:hAnsi="Times New Roman" w:cs="Times New Roman"/>
          <w:i/>
          <w:sz w:val="24"/>
          <w:szCs w:val="24"/>
        </w:rPr>
        <w:t>De op het eHealth-platform elektronisch meegedeelde gegevens evenals hun weergave op een leesbare drager genieten, tot bewijs van het tegendeel, dezelfde wettelijke bewijswaarde als wanneer zij op papieren drager zouden zijn meegedeeld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54"/>
      </w:r>
      <w:r w:rsidRPr="00D147A7">
        <w:rPr>
          <w:rFonts w:ascii="Times New Roman" w:hAnsi="Times New Roman" w:cs="Times New Roman"/>
          <w:sz w:val="24"/>
          <w:szCs w:val="24"/>
        </w:rPr>
        <w:t xml:space="preserve"> Aan documenten wordt pas bewijskracht toegekend als de auteur geïdentificeerd kan worden (identificatiefunctie), de integriteit van het document gegarandeerd wordt (integriteitsfunctie) en de goedkeuring van de inhoud door de auteur verzekerd is (toe-eigeningsfunctie).</w:t>
      </w:r>
      <w:r w:rsidRPr="00D147A7">
        <w:rPr>
          <w:rStyle w:val="Voetnootmarkering"/>
          <w:rFonts w:ascii="Times New Roman" w:hAnsi="Times New Roman" w:cs="Times New Roman"/>
          <w:sz w:val="24"/>
          <w:szCs w:val="24"/>
        </w:rPr>
        <w:footnoteReference w:id="455"/>
      </w:r>
      <w:r w:rsidRPr="00D147A7">
        <w:rPr>
          <w:rFonts w:ascii="Times New Roman" w:hAnsi="Times New Roman" w:cs="Times New Roman"/>
          <w:sz w:val="24"/>
          <w:szCs w:val="24"/>
        </w:rPr>
        <w:t xml:space="preserve"> Omdat almaar meer gebruik gemaakt wordt van elektronische communicatiemiddelen en -netwerken (zoals het eHealth-platform) ontstond de nood aan een substituut voor de handgeschreven handtekening.</w:t>
      </w:r>
      <w:r w:rsidRPr="00D147A7">
        <w:rPr>
          <w:rStyle w:val="Voetnootmarkering"/>
          <w:rFonts w:ascii="Times New Roman" w:hAnsi="Times New Roman" w:cs="Times New Roman"/>
          <w:sz w:val="24"/>
          <w:szCs w:val="24"/>
        </w:rPr>
        <w:footnoteReference w:id="456"/>
      </w:r>
      <w:r w:rsidRPr="00D147A7">
        <w:rPr>
          <w:rFonts w:ascii="Times New Roman" w:hAnsi="Times New Roman" w:cs="Times New Roman"/>
          <w:sz w:val="24"/>
          <w:szCs w:val="24"/>
        </w:rPr>
        <w:t xml:space="preserve"> De </w:t>
      </w:r>
      <w:r w:rsidRPr="00D147A7">
        <w:rPr>
          <w:rFonts w:ascii="Times New Roman" w:hAnsi="Times New Roman" w:cs="Times New Roman"/>
          <w:sz w:val="24"/>
          <w:szCs w:val="24"/>
        </w:rPr>
        <w:lastRenderedPageBreak/>
        <w:t xml:space="preserve">elektronische handtekening wordt (bijzonder ruim) gedefinieerd als </w:t>
      </w:r>
      <w:r w:rsidRPr="00D147A7">
        <w:rPr>
          <w:rFonts w:ascii="Times New Roman" w:hAnsi="Times New Roman" w:cs="Times New Roman"/>
          <w:i/>
          <w:sz w:val="24"/>
          <w:szCs w:val="24"/>
        </w:rPr>
        <w:t>gegevens in elektronische vorm, vastgehecht aan of logisch geassocieerd met andere elektronische gegevens, die word</w:t>
      </w:r>
      <w:r w:rsidR="00882424">
        <w:rPr>
          <w:rFonts w:ascii="Times New Roman" w:hAnsi="Times New Roman" w:cs="Times New Roman"/>
          <w:i/>
          <w:sz w:val="24"/>
          <w:szCs w:val="24"/>
        </w:rPr>
        <w:t>-</w:t>
      </w:r>
      <w:r w:rsidRPr="00D147A7">
        <w:rPr>
          <w:rFonts w:ascii="Times New Roman" w:hAnsi="Times New Roman" w:cs="Times New Roman"/>
          <w:i/>
          <w:sz w:val="24"/>
          <w:szCs w:val="24"/>
        </w:rPr>
        <w:t>en gebruikt als middel voor authentificatie</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57"/>
      </w:r>
      <w:r w:rsidRPr="00D147A7">
        <w:rPr>
          <w:rFonts w:ascii="Times New Roman" w:hAnsi="Times New Roman" w:cs="Times New Roman"/>
          <w:sz w:val="24"/>
          <w:szCs w:val="24"/>
        </w:rPr>
        <w:t xml:space="preserve"> Volgens deze definitie is zelfs het elektronisch adreskaartje</w:t>
      </w:r>
      <w:r w:rsidR="00882424">
        <w:rPr>
          <w:rFonts w:ascii="Times New Roman" w:hAnsi="Times New Roman" w:cs="Times New Roman"/>
          <w:sz w:val="24"/>
          <w:szCs w:val="24"/>
        </w:rPr>
        <w:t>,</w:t>
      </w:r>
      <w:r w:rsidRPr="00D147A7">
        <w:rPr>
          <w:rFonts w:ascii="Times New Roman" w:hAnsi="Times New Roman" w:cs="Times New Roman"/>
          <w:sz w:val="24"/>
          <w:szCs w:val="24"/>
        </w:rPr>
        <w:t xml:space="preserve"> dat vaak met e-mails meegestuurd wordt</w:t>
      </w:r>
      <w:r w:rsidR="00882424">
        <w:rPr>
          <w:rFonts w:ascii="Times New Roman" w:hAnsi="Times New Roman" w:cs="Times New Roman"/>
          <w:sz w:val="24"/>
          <w:szCs w:val="24"/>
        </w:rPr>
        <w:t>,</w:t>
      </w:r>
      <w:r w:rsidRPr="00D147A7">
        <w:rPr>
          <w:rFonts w:ascii="Times New Roman" w:hAnsi="Times New Roman" w:cs="Times New Roman"/>
          <w:sz w:val="24"/>
          <w:szCs w:val="24"/>
        </w:rPr>
        <w:t xml:space="preserve"> een elektronische handtekening.</w:t>
      </w:r>
      <w:r w:rsidRPr="00D147A7">
        <w:rPr>
          <w:rStyle w:val="Voetnootmarkering"/>
          <w:rFonts w:ascii="Times New Roman" w:hAnsi="Times New Roman" w:cs="Times New Roman"/>
          <w:sz w:val="24"/>
          <w:szCs w:val="24"/>
        </w:rPr>
        <w:footnoteReference w:id="458"/>
      </w:r>
      <w:r w:rsidRPr="00D147A7">
        <w:rPr>
          <w:rFonts w:ascii="Times New Roman" w:hAnsi="Times New Roman" w:cs="Times New Roman"/>
          <w:sz w:val="24"/>
          <w:szCs w:val="24"/>
        </w:rPr>
        <w:t xml:space="preserve"> Zolang een geheel van elektronische gegevens aan een bepaal</w:t>
      </w:r>
      <w:r w:rsidR="00882424">
        <w:rPr>
          <w:rFonts w:ascii="Times New Roman" w:hAnsi="Times New Roman" w:cs="Times New Roman"/>
          <w:sz w:val="24"/>
          <w:szCs w:val="24"/>
        </w:rPr>
        <w:t>de persoon toege</w:t>
      </w:r>
      <w:r w:rsidR="00882424" w:rsidRPr="00D147A7">
        <w:rPr>
          <w:rFonts w:ascii="Times New Roman" w:hAnsi="Times New Roman" w:cs="Times New Roman"/>
          <w:sz w:val="24"/>
          <w:szCs w:val="24"/>
        </w:rPr>
        <w:t xml:space="preserve">kend </w:t>
      </w:r>
      <w:r w:rsidR="00882424">
        <w:rPr>
          <w:rFonts w:ascii="Times New Roman" w:hAnsi="Times New Roman" w:cs="Times New Roman"/>
          <w:sz w:val="24"/>
          <w:szCs w:val="24"/>
        </w:rPr>
        <w:t xml:space="preserve">kunnen worden </w:t>
      </w:r>
      <w:r w:rsidRPr="00D147A7">
        <w:rPr>
          <w:rFonts w:ascii="Times New Roman" w:hAnsi="Times New Roman" w:cs="Times New Roman"/>
          <w:sz w:val="24"/>
          <w:szCs w:val="24"/>
        </w:rPr>
        <w:t xml:space="preserve">en de integriteit van de akte kan worden aangetoond, is de bewijskracht dezelfde als </w:t>
      </w:r>
      <w:r w:rsidR="00882424">
        <w:rPr>
          <w:rFonts w:ascii="Times New Roman" w:hAnsi="Times New Roman" w:cs="Times New Roman"/>
          <w:sz w:val="24"/>
          <w:szCs w:val="24"/>
        </w:rPr>
        <w:t>een ondertekend papier</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59"/>
      </w:r>
      <w:r w:rsidRPr="00D147A7">
        <w:rPr>
          <w:rFonts w:ascii="Times New Roman" w:hAnsi="Times New Roman" w:cs="Times New Roman"/>
          <w:sz w:val="24"/>
          <w:szCs w:val="24"/>
        </w:rPr>
        <w:t xml:space="preserve"> Dat de wetgever geen verdere kwaliteitseisen – en dus ook geen minimum veiligheidsniveau – voor de elektronische handtekening verordend heeft, wordt in de rechtsleer beklaagd.</w:t>
      </w:r>
      <w:r w:rsidRPr="00D147A7">
        <w:rPr>
          <w:rStyle w:val="Voetnootmarkering"/>
          <w:rFonts w:ascii="Times New Roman" w:hAnsi="Times New Roman" w:cs="Times New Roman"/>
          <w:sz w:val="24"/>
          <w:szCs w:val="24"/>
        </w:rPr>
        <w:footnoteReference w:id="460"/>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Een geavanceerde elektronische handtekening moet wel aan een viertal eisen voldoen:</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zij is op unieke wijze aan de ondertekenaar verbonden; zij maakt het mogelijk de ondertekenaar te identificeren; zij wordt aangemaakt met middelen die de ondertekenaar onder zijn uitslui</w:t>
      </w:r>
      <w:r w:rsidR="00882424">
        <w:rPr>
          <w:rFonts w:ascii="Times New Roman" w:hAnsi="Times New Roman" w:cs="Times New Roman"/>
          <w:i/>
          <w:sz w:val="24"/>
          <w:szCs w:val="24"/>
        </w:rPr>
        <w:t>-</w:t>
      </w:r>
      <w:r w:rsidRPr="00D147A7">
        <w:rPr>
          <w:rFonts w:ascii="Times New Roman" w:hAnsi="Times New Roman" w:cs="Times New Roman"/>
          <w:i/>
          <w:sz w:val="24"/>
          <w:szCs w:val="24"/>
        </w:rPr>
        <w:t xml:space="preserve">tende controle kan houden; </w:t>
      </w:r>
      <w:r w:rsidRPr="00D147A7">
        <w:rPr>
          <w:rFonts w:ascii="Times New Roman" w:hAnsi="Times New Roman" w:cs="Times New Roman"/>
          <w:sz w:val="24"/>
          <w:szCs w:val="24"/>
        </w:rPr>
        <w:t>[en]</w:t>
      </w:r>
      <w:r w:rsidRPr="00D147A7">
        <w:rPr>
          <w:rFonts w:ascii="Times New Roman" w:hAnsi="Times New Roman" w:cs="Times New Roman"/>
          <w:i/>
          <w:sz w:val="24"/>
          <w:szCs w:val="24"/>
        </w:rPr>
        <w:t xml:space="preserve"> zij is op zodanige wijze aan de gegevens waarop zij betrek</w:t>
      </w:r>
      <w:r w:rsidR="00882424">
        <w:rPr>
          <w:rFonts w:ascii="Times New Roman" w:hAnsi="Times New Roman" w:cs="Times New Roman"/>
          <w:i/>
          <w:sz w:val="24"/>
          <w:szCs w:val="24"/>
        </w:rPr>
        <w:t>-</w:t>
      </w:r>
      <w:r w:rsidRPr="00D147A7">
        <w:rPr>
          <w:rFonts w:ascii="Times New Roman" w:hAnsi="Times New Roman" w:cs="Times New Roman"/>
          <w:i/>
          <w:sz w:val="24"/>
          <w:szCs w:val="24"/>
        </w:rPr>
        <w:t>king heeft verbonden, dat elke latere wijziging van de gegevens kan worden opgespoord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61"/>
      </w:r>
      <w:r w:rsidRPr="00D147A7">
        <w:rPr>
          <w:rFonts w:ascii="Times New Roman" w:hAnsi="Times New Roman" w:cs="Times New Roman"/>
          <w:sz w:val="24"/>
          <w:szCs w:val="24"/>
        </w:rPr>
        <w:t xml:space="preserve"> Deze eisen kunnen enkel gerealiseerd worden d.m.v. de techniek van de digitale hand</w:t>
      </w:r>
      <w:r w:rsidR="00882424">
        <w:rPr>
          <w:rFonts w:ascii="Times New Roman" w:hAnsi="Times New Roman" w:cs="Times New Roman"/>
          <w:sz w:val="24"/>
          <w:szCs w:val="24"/>
        </w:rPr>
        <w:t>-</w:t>
      </w:r>
      <w:r w:rsidRPr="00D147A7">
        <w:rPr>
          <w:rFonts w:ascii="Times New Roman" w:hAnsi="Times New Roman" w:cs="Times New Roman"/>
          <w:sz w:val="24"/>
          <w:szCs w:val="24"/>
        </w:rPr>
        <w:t>tekening, één van de toepassing</w:t>
      </w:r>
      <w:r w:rsidR="00882424">
        <w:rPr>
          <w:rFonts w:ascii="Times New Roman" w:hAnsi="Times New Roman" w:cs="Times New Roman"/>
          <w:sz w:val="24"/>
          <w:szCs w:val="24"/>
        </w:rPr>
        <w:t>en</w:t>
      </w:r>
      <w:r w:rsidRPr="00D147A7">
        <w:rPr>
          <w:rFonts w:ascii="Times New Roman" w:hAnsi="Times New Roman" w:cs="Times New Roman"/>
          <w:sz w:val="24"/>
          <w:szCs w:val="24"/>
        </w:rPr>
        <w:t xml:space="preserve"> van de cryptografie (i.e. een toegepaste wetenschap m.b.t. de informatiebeveiliging). De meest bekende toepassing van cryptografie is het versleutelen van de inhoud van elektronische bestanden zodat ze enkel nog leesbaar zijn door diegenen die over de nodige ‘sleutel’ beschik</w:t>
      </w:r>
      <w:r w:rsidR="00882424">
        <w:rPr>
          <w:rFonts w:ascii="Times New Roman" w:hAnsi="Times New Roman" w:cs="Times New Roman"/>
          <w:sz w:val="24"/>
          <w:szCs w:val="24"/>
        </w:rPr>
        <w:t>ken</w:t>
      </w:r>
      <w:r w:rsidRPr="00D147A7">
        <w:rPr>
          <w:rFonts w:ascii="Times New Roman" w:hAnsi="Times New Roman" w:cs="Times New Roman"/>
          <w:sz w:val="24"/>
          <w:szCs w:val="24"/>
        </w:rPr>
        <w:t xml:space="preserve">. Het eenvoudigste versleutelingsalgoritme is het klassiek mono-alfabetisch substitutiecijfer, waarbij de letters van een boodschap </w:t>
      </w:r>
      <w:r w:rsidR="00882424" w:rsidRPr="00D147A7">
        <w:rPr>
          <w:rFonts w:ascii="Times New Roman" w:hAnsi="Times New Roman" w:cs="Times New Roman"/>
          <w:sz w:val="24"/>
          <w:szCs w:val="24"/>
        </w:rPr>
        <w:t xml:space="preserve">door andere letters </w:t>
      </w:r>
      <w:r w:rsidRPr="00D147A7">
        <w:rPr>
          <w:rFonts w:ascii="Times New Roman" w:hAnsi="Times New Roman" w:cs="Times New Roman"/>
          <w:sz w:val="24"/>
          <w:szCs w:val="24"/>
        </w:rPr>
        <w:t xml:space="preserve">vervangen worden door </w:t>
      </w:r>
      <w:r w:rsidR="00882424">
        <w:rPr>
          <w:rFonts w:ascii="Times New Roman" w:hAnsi="Times New Roman" w:cs="Times New Roman"/>
          <w:sz w:val="24"/>
          <w:szCs w:val="24"/>
        </w:rPr>
        <w:t xml:space="preserve">het maken van </w:t>
      </w:r>
      <w:r w:rsidRPr="00D147A7">
        <w:rPr>
          <w:rFonts w:ascii="Times New Roman" w:hAnsi="Times New Roman" w:cs="Times New Roman"/>
          <w:sz w:val="24"/>
          <w:szCs w:val="24"/>
        </w:rPr>
        <w:t xml:space="preserve">een vaste sprong voor- of achterwaarts in het alfabet. Deze methode werd reeds door Caesar en Augustus gebruikt om militaire bevelen voor de legioenen te versleutelen en </w:t>
      </w:r>
      <w:r w:rsidR="00882424">
        <w:rPr>
          <w:rFonts w:ascii="Times New Roman" w:hAnsi="Times New Roman" w:cs="Times New Roman"/>
          <w:sz w:val="24"/>
          <w:szCs w:val="24"/>
        </w:rPr>
        <w:t>staat</w:t>
      </w:r>
      <w:r w:rsidRPr="00D147A7">
        <w:rPr>
          <w:rFonts w:ascii="Times New Roman" w:hAnsi="Times New Roman" w:cs="Times New Roman"/>
          <w:sz w:val="24"/>
          <w:szCs w:val="24"/>
        </w:rPr>
        <w:t xml:space="preserve"> daarom </w:t>
      </w:r>
      <w:r w:rsidR="00882424">
        <w:rPr>
          <w:rFonts w:ascii="Times New Roman" w:hAnsi="Times New Roman" w:cs="Times New Roman"/>
          <w:sz w:val="24"/>
          <w:szCs w:val="24"/>
        </w:rPr>
        <w:t xml:space="preserve">bekend als </w:t>
      </w:r>
      <w:r w:rsidRPr="00D147A7">
        <w:rPr>
          <w:rFonts w:ascii="Times New Roman" w:hAnsi="Times New Roman" w:cs="Times New Roman"/>
          <w:sz w:val="24"/>
          <w:szCs w:val="24"/>
        </w:rPr>
        <w:t xml:space="preserve">de </w:t>
      </w:r>
      <w:r w:rsidRPr="00D147A7">
        <w:rPr>
          <w:rFonts w:ascii="Times New Roman" w:hAnsi="Times New Roman" w:cs="Times New Roman"/>
          <w:i/>
          <w:sz w:val="24"/>
          <w:szCs w:val="24"/>
        </w:rPr>
        <w:t>Caesar’s cipher</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62"/>
      </w:r>
      <w:r w:rsidR="00882424">
        <w:rPr>
          <w:rFonts w:ascii="Times New Roman" w:hAnsi="Times New Roman" w:cs="Times New Roman"/>
          <w:sz w:val="24"/>
          <w:szCs w:val="24"/>
        </w:rPr>
        <w:t xml:space="preserve"> </w:t>
      </w:r>
    </w:p>
    <w:p w:rsidR="00882424" w:rsidRPr="00D147A7" w:rsidRDefault="00882424" w:rsidP="009931C7">
      <w:pPr>
        <w:pStyle w:val="Geenafstand"/>
        <w:jc w:val="both"/>
        <w:rPr>
          <w:rFonts w:ascii="Times New Roman" w:hAnsi="Times New Roman" w:cs="Times New Roman"/>
          <w:sz w:val="24"/>
          <w:szCs w:val="24"/>
        </w:rPr>
      </w:pPr>
    </w:p>
    <w:p w:rsidR="00AF492F" w:rsidRDefault="00AF492F">
      <w:pPr>
        <w:widowControl/>
        <w:suppressAutoHyphens w:val="0"/>
        <w:spacing w:after="200" w:line="276" w:lineRule="auto"/>
        <w:rPr>
          <w:kern w:val="0"/>
          <w:lang w:eastAsia="en-US" w:bidi="ar-SA"/>
        </w:rPr>
      </w:pPr>
      <w:r>
        <w:br w:type="page"/>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lastRenderedPageBreak/>
        <w:drawing>
          <wp:inline distT="0" distB="0" distL="0" distR="0" wp14:anchorId="1A2F9651" wp14:editId="2EA66AC8">
            <wp:extent cx="2768934" cy="116456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68104" cy="1164217"/>
                    </a:xfrm>
                    <a:prstGeom prst="rect">
                      <a:avLst/>
                    </a:prstGeom>
                  </pic:spPr>
                </pic:pic>
              </a:graphicData>
            </a:graphic>
          </wp:inline>
        </w:drawing>
      </w:r>
    </w:p>
    <w:p w:rsidR="00AF492F" w:rsidRDefault="00AF492F" w:rsidP="00AF492F">
      <w:pPr>
        <w:pStyle w:val="Geenafstand"/>
        <w:rPr>
          <w:rFonts w:ascii="Times New Roman" w:hAnsi="Times New Roman" w:cs="Times New Roman"/>
          <w:sz w:val="24"/>
          <w:szCs w:val="24"/>
        </w:rPr>
      </w:pPr>
    </w:p>
    <w:p w:rsidR="009931C7" w:rsidRPr="00D147A7" w:rsidRDefault="009931C7" w:rsidP="00AF492F">
      <w:pPr>
        <w:pStyle w:val="Geenafstand"/>
        <w:jc w:val="center"/>
        <w:rPr>
          <w:rFonts w:ascii="Times New Roman" w:hAnsi="Times New Roman" w:cs="Times New Roman"/>
          <w:sz w:val="24"/>
          <w:szCs w:val="24"/>
        </w:rPr>
      </w:pPr>
      <w:r w:rsidRPr="00AF492F">
        <w:rPr>
          <w:rFonts w:ascii="Times New Roman" w:hAnsi="Times New Roman" w:cs="Times New Roman"/>
          <w:sz w:val="24"/>
          <w:szCs w:val="24"/>
        </w:rPr>
        <w:t xml:space="preserve">Figuur 6: Schematische voorstelling van ‘Rotatie 3’, een variant van de </w:t>
      </w:r>
      <w:r w:rsidRPr="00AF492F">
        <w:rPr>
          <w:rFonts w:ascii="Times New Roman" w:hAnsi="Times New Roman" w:cs="Times New Roman"/>
          <w:i/>
          <w:sz w:val="24"/>
          <w:szCs w:val="24"/>
        </w:rPr>
        <w:t>Caesar’s cipher</w:t>
      </w:r>
      <w:r w:rsidRPr="00AF492F">
        <w:rPr>
          <w:rFonts w:ascii="Times New Roman" w:hAnsi="Times New Roman" w:cs="Times New Roman"/>
          <w:sz w:val="24"/>
          <w:szCs w:val="24"/>
        </w:rPr>
        <w:t xml:space="preserve"> waarbij iedere letter drie plaatsen in het alfabet opschuift</w:t>
      </w:r>
      <w:r w:rsidRPr="00AF492F">
        <w:rPr>
          <w:rStyle w:val="Voetnootmarkering"/>
          <w:rFonts w:ascii="Times New Roman" w:hAnsi="Times New Roman" w:cs="Times New Roman"/>
          <w:sz w:val="24"/>
          <w:szCs w:val="24"/>
        </w:rPr>
        <w:footnoteReference w:id="46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Asymmetrische cryptografie was aanvankelijk bestemd om de inhoud van elektronische gegevens te vercijferen. Het eHealth-platform staat in voor de organisatie van de veilige informatie-uitwisseling tussen de actoren in de gezondheidszorg via onbeveiligde open net</w:t>
      </w:r>
      <w:r w:rsidR="001E3B0A">
        <w:rPr>
          <w:rFonts w:ascii="Times New Roman" w:hAnsi="Times New Roman" w:cs="Times New Roman"/>
          <w:sz w:val="24"/>
          <w:szCs w:val="24"/>
        </w:rPr>
        <w:t>-</w:t>
      </w:r>
      <w:r w:rsidRPr="00D147A7">
        <w:rPr>
          <w:rFonts w:ascii="Times New Roman" w:hAnsi="Times New Roman" w:cs="Times New Roman"/>
          <w:sz w:val="24"/>
          <w:szCs w:val="24"/>
        </w:rPr>
        <w:t xml:space="preserve">werken zoals internet. Bovendien stromen berichten in sommige gevallen via actoren door die de inhoud ervan niet mogen zien. Opdat ze tijdelijk onleesbaar zouden zijn, moeten alle mededelingen </w:t>
      </w:r>
      <w:r w:rsidR="00585CFE">
        <w:rPr>
          <w:rFonts w:ascii="Times New Roman" w:hAnsi="Times New Roman" w:cs="Times New Roman"/>
          <w:sz w:val="24"/>
          <w:szCs w:val="24"/>
        </w:rPr>
        <w:t>die</w:t>
      </w:r>
      <w:r w:rsidRPr="00D147A7">
        <w:rPr>
          <w:rFonts w:ascii="Times New Roman" w:hAnsi="Times New Roman" w:cs="Times New Roman"/>
          <w:sz w:val="24"/>
          <w:szCs w:val="24"/>
        </w:rPr>
        <w:t xml:space="preserve"> gezondheidsgegevens </w:t>
      </w:r>
      <w:r w:rsidR="00585CFE">
        <w:rPr>
          <w:rFonts w:ascii="Times New Roman" w:hAnsi="Times New Roman" w:cs="Times New Roman"/>
          <w:sz w:val="24"/>
          <w:szCs w:val="24"/>
        </w:rPr>
        <w:t xml:space="preserve">bevatten, </w:t>
      </w:r>
      <w:r w:rsidRPr="00D147A7">
        <w:rPr>
          <w:rFonts w:ascii="Times New Roman" w:hAnsi="Times New Roman" w:cs="Times New Roman"/>
          <w:sz w:val="24"/>
          <w:szCs w:val="24"/>
        </w:rPr>
        <w:t>vercijferd worden. Aan de hand van het systeem van de end-to-end</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vercijfering kunnen zorgverleners onderling berichten met elkaar uitwisselen. Zo kunnen artsen bijvoorbeeld elektronische voorschriften naar apothekers ver</w:t>
      </w:r>
      <w:r w:rsidR="00585CFE">
        <w:rPr>
          <w:rFonts w:ascii="Times New Roman" w:hAnsi="Times New Roman" w:cs="Times New Roman"/>
          <w:sz w:val="24"/>
          <w:szCs w:val="24"/>
        </w:rPr>
        <w:t>-</w:t>
      </w:r>
      <w:r w:rsidRPr="00D147A7">
        <w:rPr>
          <w:rFonts w:ascii="Times New Roman" w:hAnsi="Times New Roman" w:cs="Times New Roman"/>
          <w:sz w:val="24"/>
          <w:szCs w:val="24"/>
        </w:rPr>
        <w:t>sturen (binnen ziekenhuizen via ePrescription</w:t>
      </w:r>
      <w:r w:rsidRPr="00D147A7">
        <w:rPr>
          <w:rStyle w:val="Voetnootmarkering"/>
          <w:rFonts w:ascii="Times New Roman" w:hAnsi="Times New Roman" w:cs="Times New Roman"/>
          <w:sz w:val="24"/>
          <w:szCs w:val="24"/>
        </w:rPr>
        <w:footnoteReference w:id="464"/>
      </w:r>
      <w:r w:rsidRPr="00D147A7">
        <w:rPr>
          <w:rFonts w:ascii="Times New Roman" w:hAnsi="Times New Roman" w:cs="Times New Roman"/>
          <w:sz w:val="24"/>
          <w:szCs w:val="24"/>
        </w:rPr>
        <w:t>; in de ambulante zorgsector via Recip-e).</w:t>
      </w:r>
      <w:r w:rsidRPr="00D147A7">
        <w:rPr>
          <w:rStyle w:val="Voetnootmarkering"/>
          <w:rFonts w:ascii="Times New Roman" w:hAnsi="Times New Roman" w:cs="Times New Roman"/>
          <w:sz w:val="24"/>
          <w:szCs w:val="24"/>
        </w:rPr>
        <w:footnoteReference w:id="465"/>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Naast het vercijferen van elektronische berichten kan de asymmetrische cryptografie ook gebruikt worden om digitale handtekeningen aan te maken. Om te begrijpen hoe een digitale handtekening a.d.h.v. deze methode </w:t>
      </w:r>
      <w:r w:rsidR="00585CFE" w:rsidRPr="00D147A7">
        <w:rPr>
          <w:rFonts w:ascii="Times New Roman" w:hAnsi="Times New Roman" w:cs="Times New Roman"/>
          <w:sz w:val="24"/>
          <w:szCs w:val="24"/>
        </w:rPr>
        <w:t xml:space="preserve">gegenereerd </w:t>
      </w:r>
      <w:r w:rsidRPr="00D147A7">
        <w:rPr>
          <w:rFonts w:ascii="Times New Roman" w:hAnsi="Times New Roman" w:cs="Times New Roman"/>
          <w:sz w:val="24"/>
          <w:szCs w:val="24"/>
        </w:rPr>
        <w:t xml:space="preserve">kan worden, moet </w:t>
      </w:r>
      <w:r w:rsidR="00585CFE">
        <w:rPr>
          <w:rFonts w:ascii="Times New Roman" w:hAnsi="Times New Roman" w:cs="Times New Roman"/>
          <w:sz w:val="24"/>
          <w:szCs w:val="24"/>
        </w:rPr>
        <w:t xml:space="preserve">eerst </w:t>
      </w:r>
      <w:r w:rsidRPr="00D147A7">
        <w:rPr>
          <w:rFonts w:ascii="Times New Roman" w:hAnsi="Times New Roman" w:cs="Times New Roman"/>
          <w:sz w:val="24"/>
          <w:szCs w:val="24"/>
        </w:rPr>
        <w:t xml:space="preserve">het begrip ‘hashing’ </w:t>
      </w:r>
      <w:r w:rsidR="00585CFE">
        <w:rPr>
          <w:rFonts w:ascii="Times New Roman" w:hAnsi="Times New Roman" w:cs="Times New Roman"/>
          <w:sz w:val="24"/>
          <w:szCs w:val="24"/>
        </w:rPr>
        <w:t xml:space="preserve">nader worden </w:t>
      </w:r>
      <w:r w:rsidRPr="00D147A7">
        <w:rPr>
          <w:rFonts w:ascii="Times New Roman" w:hAnsi="Times New Roman" w:cs="Times New Roman"/>
          <w:sz w:val="24"/>
          <w:szCs w:val="24"/>
        </w:rPr>
        <w:t>uitgelegd. Hashing is een techniek waarmee bestanden van onbepaalde lengte d.m.v. wiskundige algoritmes herleid worden tot een code met een beperkt aantal tekens. Het eHealth-platform doet hiervoor beroep op het RSA-algoritme. Hashing is ook een gesofisti</w:t>
      </w:r>
      <w:r w:rsidR="00585CFE">
        <w:rPr>
          <w:rFonts w:ascii="Times New Roman" w:hAnsi="Times New Roman" w:cs="Times New Roman"/>
          <w:sz w:val="24"/>
          <w:szCs w:val="24"/>
        </w:rPr>
        <w:t>-</w:t>
      </w:r>
      <w:r w:rsidRPr="00D147A7">
        <w:rPr>
          <w:rFonts w:ascii="Times New Roman" w:hAnsi="Times New Roman" w:cs="Times New Roman"/>
          <w:sz w:val="24"/>
          <w:szCs w:val="24"/>
        </w:rPr>
        <w:t>ceerde techniek om de integriteit van een bestand te verzekeren. Zelfs de kleinste wijziging van het bestand waarop de hashcode berekend wordt, zal een ander resultaat opleveren. Een bericht wijzigen nadat de hashcode berekend is, is dus uit den boze. Om de digitale hand</w:t>
      </w:r>
      <w:r w:rsidR="00585CFE">
        <w:rPr>
          <w:rFonts w:ascii="Times New Roman" w:hAnsi="Times New Roman" w:cs="Times New Roman"/>
          <w:sz w:val="24"/>
          <w:szCs w:val="24"/>
        </w:rPr>
        <w:t>-</w:t>
      </w:r>
      <w:r w:rsidRPr="00D147A7">
        <w:rPr>
          <w:rFonts w:ascii="Times New Roman" w:hAnsi="Times New Roman" w:cs="Times New Roman"/>
          <w:sz w:val="24"/>
          <w:szCs w:val="24"/>
        </w:rPr>
        <w:t>tekening te verifiëren moet de bestemmeling de hashcode van het bestand a.d.h.v. zijn publieke sleutel ontcijferen. Het resultaat van die berekening wordt vergeleken met de hashcode die in vercijferde vorm door de ondertekenaar wordt toegestuurd.</w:t>
      </w:r>
      <w:r w:rsidRPr="00D147A7">
        <w:rPr>
          <w:rStyle w:val="Voetnootmarkering"/>
          <w:rFonts w:ascii="Times New Roman" w:hAnsi="Times New Roman" w:cs="Times New Roman"/>
          <w:sz w:val="24"/>
          <w:szCs w:val="24"/>
        </w:rPr>
        <w:footnoteReference w:id="466"/>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 symmetrische cryptografie wordt één en dezelfde sleutel g</w:t>
      </w:r>
      <w:r w:rsidR="00BC15DB">
        <w:rPr>
          <w:rFonts w:ascii="Times New Roman" w:hAnsi="Times New Roman" w:cs="Times New Roman"/>
          <w:sz w:val="24"/>
          <w:szCs w:val="24"/>
        </w:rPr>
        <w:t>ebruikt voor ver- en ontcijfer-ing</w:t>
      </w:r>
      <w:r w:rsidRPr="00D147A7">
        <w:rPr>
          <w:rFonts w:ascii="Times New Roman" w:hAnsi="Times New Roman" w:cs="Times New Roman"/>
          <w:sz w:val="24"/>
          <w:szCs w:val="24"/>
        </w:rPr>
        <w:t>. Deze methode zal gebruikt worden als de identiteit van de ontvanger niet gekend is.</w:t>
      </w:r>
      <w:r w:rsidRPr="00D147A7">
        <w:rPr>
          <w:rStyle w:val="Voetnootmarkering"/>
          <w:rFonts w:ascii="Times New Roman" w:hAnsi="Times New Roman" w:cs="Times New Roman"/>
          <w:sz w:val="24"/>
          <w:szCs w:val="24"/>
        </w:rPr>
        <w:footnoteReference w:id="467"/>
      </w:r>
      <w:r w:rsidRPr="00D147A7">
        <w:rPr>
          <w:rFonts w:ascii="Times New Roman" w:hAnsi="Times New Roman" w:cs="Times New Roman"/>
          <w:sz w:val="24"/>
          <w:szCs w:val="24"/>
        </w:rPr>
        <w:t xml:space="preserve"> Bij asymmetrische cryptografie worden twee sleutels – een sleutelpaar – gebruikt. Elke zorgver</w:t>
      </w:r>
      <w:r w:rsidR="00BC15DB">
        <w:rPr>
          <w:rFonts w:ascii="Times New Roman" w:hAnsi="Times New Roman" w:cs="Times New Roman"/>
          <w:sz w:val="24"/>
          <w:szCs w:val="24"/>
        </w:rPr>
        <w:t>-</w:t>
      </w:r>
      <w:r w:rsidRPr="00D147A7">
        <w:rPr>
          <w:rFonts w:ascii="Times New Roman" w:hAnsi="Times New Roman" w:cs="Times New Roman"/>
          <w:sz w:val="24"/>
          <w:szCs w:val="24"/>
        </w:rPr>
        <w:t xml:space="preserve">lener die bij het eHealth-platform aangesloten is, krijgt een private en een publieke sleutel. De private sleutel is enkel door de houder gekend, terwijl de publieke sleutel door iedere (op het platform aangesloten) zorgverlener </w:t>
      </w:r>
      <w:r w:rsidR="00BC15DB">
        <w:rPr>
          <w:rFonts w:ascii="Times New Roman" w:hAnsi="Times New Roman" w:cs="Times New Roman"/>
          <w:sz w:val="24"/>
          <w:szCs w:val="24"/>
        </w:rPr>
        <w:t xml:space="preserve">kan </w:t>
      </w:r>
      <w:r w:rsidR="00BC15DB"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 xml:space="preserve">opgezocht in een elektronische gids. Een boodschap die met een publieke sleutel vercijferd is, kan enkel met de overeenkomstige </w:t>
      </w:r>
      <w:r w:rsidRPr="00D147A7">
        <w:rPr>
          <w:rFonts w:ascii="Times New Roman" w:hAnsi="Times New Roman" w:cs="Times New Roman"/>
          <w:sz w:val="24"/>
          <w:szCs w:val="24"/>
        </w:rPr>
        <w:lastRenderedPageBreak/>
        <w:t>private sleutel ontcijferd worden. Om de inhoud van een boodschap te vercijferen, gebruikt de verzender enerzijds zijn private sleutel en zoekt anderzijds de publieke sleutel van de ont</w:t>
      </w:r>
      <w:r w:rsidR="001E3B0A">
        <w:rPr>
          <w:rFonts w:ascii="Times New Roman" w:hAnsi="Times New Roman" w:cs="Times New Roman"/>
          <w:sz w:val="24"/>
          <w:szCs w:val="24"/>
        </w:rPr>
        <w:t>-</w:t>
      </w:r>
      <w:r w:rsidRPr="00D147A7">
        <w:rPr>
          <w:rFonts w:ascii="Times New Roman" w:hAnsi="Times New Roman" w:cs="Times New Roman"/>
          <w:sz w:val="24"/>
          <w:szCs w:val="24"/>
        </w:rPr>
        <w:t>vanger in de elektronische gids op. Om een vercijferd bericht te ontcijferen, doorloopt de ont</w:t>
      </w:r>
      <w:r w:rsidR="001E3B0A">
        <w:rPr>
          <w:rFonts w:ascii="Times New Roman" w:hAnsi="Times New Roman" w:cs="Times New Roman"/>
          <w:sz w:val="24"/>
          <w:szCs w:val="24"/>
        </w:rPr>
        <w:t>-</w:t>
      </w:r>
      <w:r w:rsidRPr="00D147A7">
        <w:rPr>
          <w:rFonts w:ascii="Times New Roman" w:hAnsi="Times New Roman" w:cs="Times New Roman"/>
          <w:sz w:val="24"/>
          <w:szCs w:val="24"/>
        </w:rPr>
        <w:t>vanger dezelfde stappen. Als die hashwaarde met de herberekende hashwaarde overeenstemt, dan is het document authentiek en integer.</w:t>
      </w:r>
      <w:r w:rsidRPr="00D147A7">
        <w:rPr>
          <w:rStyle w:val="Voetnootmarkering"/>
          <w:rFonts w:ascii="Times New Roman" w:hAnsi="Times New Roman" w:cs="Times New Roman"/>
          <w:sz w:val="24"/>
          <w:szCs w:val="24"/>
        </w:rPr>
        <w:footnoteReference w:id="46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eHealth-platform vervult in dit proces de rol van certificatieautoriteit. Het platform deelt certificaten uit aan natuurlijke personen die in de authentieke bron ‘Kadaster van gezond</w:t>
      </w:r>
      <w:r w:rsidR="00BC15DB">
        <w:rPr>
          <w:rFonts w:ascii="Times New Roman" w:hAnsi="Times New Roman" w:cs="Times New Roman"/>
          <w:sz w:val="24"/>
          <w:szCs w:val="24"/>
        </w:rPr>
        <w:t>-</w:t>
      </w:r>
      <w:r w:rsidRPr="00D147A7">
        <w:rPr>
          <w:rFonts w:ascii="Times New Roman" w:hAnsi="Times New Roman" w:cs="Times New Roman"/>
          <w:sz w:val="24"/>
          <w:szCs w:val="24"/>
        </w:rPr>
        <w:t>heidsberoepen’ geregistreerd zijn</w:t>
      </w:r>
      <w:r w:rsidRPr="00D147A7">
        <w:rPr>
          <w:rStyle w:val="Voetnootmarkering"/>
          <w:rFonts w:ascii="Times New Roman" w:hAnsi="Times New Roman" w:cs="Times New Roman"/>
          <w:sz w:val="24"/>
          <w:szCs w:val="24"/>
        </w:rPr>
        <w:footnoteReference w:id="469"/>
      </w:r>
      <w:r w:rsidRPr="00D147A7">
        <w:rPr>
          <w:rFonts w:ascii="Times New Roman" w:hAnsi="Times New Roman" w:cs="Times New Roman"/>
          <w:sz w:val="24"/>
          <w:szCs w:val="24"/>
        </w:rPr>
        <w:t xml:space="preserve"> en aan de verzorgingsinstellingen die actief zijn in de Belgische gezondheidszorgsector. Samen met het certificaat krijgen deze zorgverleners en verzorgingsinstellingen een uniek sleutelpaar, waardoor zij gebruik kunnen maken van de diensten die door het eHealth-platform aangeboden worden.</w:t>
      </w:r>
      <w:r w:rsidRPr="00D147A7">
        <w:rPr>
          <w:rStyle w:val="Voetnootmarkering"/>
          <w:rFonts w:ascii="Times New Roman" w:hAnsi="Times New Roman" w:cs="Times New Roman"/>
          <w:sz w:val="24"/>
          <w:szCs w:val="24"/>
        </w:rPr>
        <w:footnoteReference w:id="470"/>
      </w:r>
      <w:r w:rsidRPr="00D147A7">
        <w:rPr>
          <w:rFonts w:ascii="Times New Roman" w:hAnsi="Times New Roman" w:cs="Times New Roman"/>
          <w:sz w:val="24"/>
          <w:szCs w:val="24"/>
        </w:rPr>
        <w:t xml:space="preserve"> Het certificaat is een bewijs dat de publieke sleutel aan een welbepaalde persoon toebehoort. Het certificaat bevat de iden</w:t>
      </w:r>
      <w:r w:rsidR="001E3B0A">
        <w:rPr>
          <w:rFonts w:ascii="Times New Roman" w:hAnsi="Times New Roman" w:cs="Times New Roman"/>
          <w:sz w:val="24"/>
          <w:szCs w:val="24"/>
        </w:rPr>
        <w:t>-</w:t>
      </w:r>
      <w:r w:rsidRPr="00D147A7">
        <w:rPr>
          <w:rFonts w:ascii="Times New Roman" w:hAnsi="Times New Roman" w:cs="Times New Roman"/>
          <w:sz w:val="24"/>
          <w:szCs w:val="24"/>
        </w:rPr>
        <w:t xml:space="preserve">titeitsgegevens en de publieke sleutel van de certificaathouder, evenals een serienummer, de identiteitsgegevens van de certificatieautoriteit, de geldigheidsduur van het certificaat,… Om aan te tonen dat de ondertekenaar is wie hij beweert te zijn, worden de certificaten met de digitale handtekening meegestuurd. </w:t>
      </w:r>
    </w:p>
    <w:p w:rsidR="009931C7" w:rsidRPr="00D147A7" w:rsidRDefault="009931C7" w:rsidP="009931C7">
      <w:pPr>
        <w:pStyle w:val="Geenafstand"/>
        <w:jc w:val="both"/>
        <w:rPr>
          <w:rFonts w:ascii="Times New Roman" w:hAnsi="Times New Roman" w:cs="Times New Roman"/>
          <w:color w:val="00B0F0"/>
          <w:sz w:val="24"/>
          <w:szCs w:val="24"/>
          <w:highlight w:val="black"/>
        </w:rPr>
      </w:pPr>
    </w:p>
    <w:p w:rsidR="009931C7" w:rsidRPr="00D147A7" w:rsidRDefault="009931C7" w:rsidP="00A51146">
      <w:pPr>
        <w:pStyle w:val="Geenafstand"/>
        <w:jc w:val="center"/>
        <w:rPr>
          <w:rFonts w:ascii="Times New Roman" w:hAnsi="Times New Roman" w:cs="Times New Roman"/>
          <w:color w:val="00B0F0"/>
          <w:sz w:val="24"/>
          <w:szCs w:val="24"/>
          <w:highlight w:val="black"/>
        </w:rPr>
      </w:pPr>
      <w:r w:rsidRPr="00D147A7">
        <w:rPr>
          <w:rFonts w:ascii="Times New Roman" w:hAnsi="Times New Roman" w:cs="Times New Roman"/>
          <w:noProof/>
          <w:lang w:eastAsia="nl-BE"/>
        </w:rPr>
        <w:drawing>
          <wp:inline distT="0" distB="0" distL="0" distR="0" wp14:anchorId="415B4DD4" wp14:editId="66C58951">
            <wp:extent cx="5142857" cy="3838096"/>
            <wp:effectExtent l="0" t="0" r="127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42857" cy="3838096"/>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7:</w:t>
      </w:r>
      <w:r w:rsidRPr="00D147A7">
        <w:rPr>
          <w:rFonts w:ascii="Times New Roman" w:hAnsi="Times New Roman" w:cs="Times New Roman"/>
          <w:color w:val="00B0F0"/>
          <w:sz w:val="24"/>
          <w:szCs w:val="24"/>
        </w:rPr>
        <w:t xml:space="preserve"> </w:t>
      </w:r>
      <w:r w:rsidRPr="00D147A7">
        <w:rPr>
          <w:rFonts w:ascii="Times New Roman" w:hAnsi="Times New Roman" w:cs="Times New Roman"/>
          <w:sz w:val="24"/>
          <w:szCs w:val="24"/>
        </w:rPr>
        <w:t>Schematische voorstelling van de digitale handtekening (algemeen)</w:t>
      </w:r>
      <w:r w:rsidRPr="00D147A7">
        <w:rPr>
          <w:rStyle w:val="Voetnootmarkering"/>
          <w:rFonts w:ascii="Times New Roman" w:hAnsi="Times New Roman" w:cs="Times New Roman"/>
          <w:sz w:val="24"/>
          <w:szCs w:val="24"/>
        </w:rPr>
        <w:footnoteReference w:id="47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de wetgeving wordt een onderscheid gemaakt tussen een ‘gewoon’ certificaat en een ge</w:t>
      </w:r>
      <w:r w:rsidR="001E3B0A">
        <w:rPr>
          <w:rFonts w:ascii="Times New Roman" w:hAnsi="Times New Roman" w:cs="Times New Roman"/>
          <w:sz w:val="24"/>
          <w:szCs w:val="24"/>
        </w:rPr>
        <w:t>-</w:t>
      </w:r>
      <w:r w:rsidRPr="00D147A7">
        <w:rPr>
          <w:rFonts w:ascii="Times New Roman" w:hAnsi="Times New Roman" w:cs="Times New Roman"/>
          <w:sz w:val="24"/>
          <w:szCs w:val="24"/>
        </w:rPr>
        <w:t xml:space="preserve">kwalificeerd certificaat. Certificatieautoriteiten moeten aan bepaalde wettelijke eisen voldoen </w:t>
      </w:r>
      <w:r w:rsidRPr="00D147A7">
        <w:rPr>
          <w:rFonts w:ascii="Times New Roman" w:hAnsi="Times New Roman" w:cs="Times New Roman"/>
          <w:sz w:val="24"/>
          <w:szCs w:val="24"/>
        </w:rPr>
        <w:lastRenderedPageBreak/>
        <w:t>alvorens zij gekwalificeerde certificaten mogen uitreiken.</w:t>
      </w:r>
      <w:r w:rsidRPr="00D147A7">
        <w:rPr>
          <w:rStyle w:val="Voetnootmarkering"/>
          <w:rFonts w:ascii="Times New Roman" w:hAnsi="Times New Roman" w:cs="Times New Roman"/>
          <w:sz w:val="24"/>
          <w:szCs w:val="24"/>
        </w:rPr>
        <w:footnoteReference w:id="472"/>
      </w:r>
      <w:r w:rsidRPr="00D147A7">
        <w:rPr>
          <w:rFonts w:ascii="Times New Roman" w:hAnsi="Times New Roman" w:cs="Times New Roman"/>
          <w:sz w:val="24"/>
          <w:szCs w:val="24"/>
        </w:rPr>
        <w:t xml:space="preserve"> Enkel a.d.h.v. deze gekwalifi</w:t>
      </w:r>
      <w:r w:rsidR="001E3B0A">
        <w:rPr>
          <w:rFonts w:ascii="Times New Roman" w:hAnsi="Times New Roman" w:cs="Times New Roman"/>
          <w:sz w:val="24"/>
          <w:szCs w:val="24"/>
        </w:rPr>
        <w:t>-</w:t>
      </w:r>
      <w:r w:rsidRPr="00D147A7">
        <w:rPr>
          <w:rFonts w:ascii="Times New Roman" w:hAnsi="Times New Roman" w:cs="Times New Roman"/>
          <w:sz w:val="24"/>
          <w:szCs w:val="24"/>
        </w:rPr>
        <w:t>ceerde certificaten kunnen geavanceerde elektronische handtekening</w:t>
      </w:r>
      <w:r w:rsidR="00F857AB">
        <w:rPr>
          <w:rFonts w:ascii="Times New Roman" w:hAnsi="Times New Roman" w:cs="Times New Roman"/>
          <w:sz w:val="24"/>
          <w:szCs w:val="24"/>
        </w:rPr>
        <w:t>en gegenereerd worden</w:t>
      </w:r>
      <w:r w:rsidRPr="00D147A7">
        <w:rPr>
          <w:rFonts w:ascii="Times New Roman" w:hAnsi="Times New Roman" w:cs="Times New Roman"/>
          <w:sz w:val="24"/>
          <w:szCs w:val="24"/>
        </w:rPr>
        <w:t xml:space="preserve"> die dezelfde juridische bewijswaarde hebben als </w:t>
      </w:r>
      <w:r w:rsidR="00F857AB">
        <w:rPr>
          <w:rFonts w:ascii="Times New Roman" w:hAnsi="Times New Roman" w:cs="Times New Roman"/>
          <w:sz w:val="24"/>
          <w:szCs w:val="24"/>
        </w:rPr>
        <w:t xml:space="preserve">een </w:t>
      </w:r>
      <w:r w:rsidRPr="00D147A7">
        <w:rPr>
          <w:rFonts w:ascii="Times New Roman" w:hAnsi="Times New Roman" w:cs="Times New Roman"/>
          <w:sz w:val="24"/>
          <w:szCs w:val="24"/>
        </w:rPr>
        <w:t>handgeschreven handtekening. De ge</w:t>
      </w:r>
      <w:r w:rsidR="001E3B0A">
        <w:rPr>
          <w:rFonts w:ascii="Times New Roman" w:hAnsi="Times New Roman" w:cs="Times New Roman"/>
          <w:sz w:val="24"/>
          <w:szCs w:val="24"/>
        </w:rPr>
        <w:t>-</w:t>
      </w:r>
      <w:r w:rsidRPr="00D147A7">
        <w:rPr>
          <w:rFonts w:ascii="Times New Roman" w:hAnsi="Times New Roman" w:cs="Times New Roman"/>
          <w:sz w:val="24"/>
          <w:szCs w:val="24"/>
        </w:rPr>
        <w:t>avanceerde elektronische handtekening i</w:t>
      </w:r>
      <w:r w:rsidR="00F857AB">
        <w:rPr>
          <w:rFonts w:ascii="Times New Roman" w:hAnsi="Times New Roman" w:cs="Times New Roman"/>
          <w:sz w:val="24"/>
          <w:szCs w:val="24"/>
        </w:rPr>
        <w:t>s een digitale handtekening die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op unieke wijze ver</w:t>
      </w:r>
      <w:r w:rsidR="001E3B0A">
        <w:rPr>
          <w:rFonts w:ascii="Times New Roman" w:hAnsi="Times New Roman" w:cs="Times New Roman"/>
          <w:i/>
          <w:sz w:val="24"/>
          <w:szCs w:val="24"/>
        </w:rPr>
        <w:t>-</w:t>
      </w:r>
      <w:r w:rsidRPr="00D147A7">
        <w:rPr>
          <w:rFonts w:ascii="Times New Roman" w:hAnsi="Times New Roman" w:cs="Times New Roman"/>
          <w:i/>
          <w:sz w:val="24"/>
          <w:szCs w:val="24"/>
        </w:rPr>
        <w:t>bonden is met de ondertekenaar, het mogelijk maakt om de ondertekenaar te identificeren, tot stand komt met middelen die de ondertekenaar onder zijn uitsluitende controle kan houden en die zodanig aan de gegevens (waarop ze betrekking heeft) verbonden is zodat elke latere wijziging van die gegevens kan worden opgespoord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473"/>
      </w:r>
      <w:r w:rsidRPr="00D147A7">
        <w:rPr>
          <w:rFonts w:ascii="Times New Roman" w:hAnsi="Times New Roman" w:cs="Times New Roman"/>
          <w:sz w:val="24"/>
          <w:szCs w:val="24"/>
        </w:rPr>
        <w:t xml:space="preserve"> Bovendien moet een gekwalificeerde elektronische handtekening met veilige hard- en software worden aangemaakt.</w:t>
      </w:r>
      <w:r w:rsidRPr="00D147A7">
        <w:rPr>
          <w:rStyle w:val="Voetnootmarkering"/>
          <w:rFonts w:ascii="Times New Roman" w:hAnsi="Times New Roman" w:cs="Times New Roman"/>
          <w:sz w:val="24"/>
          <w:szCs w:val="24"/>
        </w:rPr>
        <w:footnoteReference w:id="474"/>
      </w:r>
    </w:p>
    <w:p w:rsidR="009931C7" w:rsidRPr="00D147A7" w:rsidRDefault="009931C7"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sz w:val="24"/>
          <w:szCs w:val="24"/>
          <w:lang w:eastAsia="nl-BE"/>
        </w:rPr>
        <w:drawing>
          <wp:inline distT="0" distB="0" distL="0" distR="0" wp14:anchorId="4331D752" wp14:editId="6A1E3808">
            <wp:extent cx="3620135" cy="2290445"/>
            <wp:effectExtent l="0" t="0" r="0" b="0"/>
            <wp:docPr id="12" name="Afbeelding 12" descr="Digitale handtekening niet-geadresseerde be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e handtekening niet-geadresseerde bericht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0135" cy="2290445"/>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8: Symmetrische ver- en ontcijfering van niet-geadresseerde berichten via het eHealth-platform</w:t>
      </w:r>
      <w:r w:rsidRPr="00D147A7">
        <w:rPr>
          <w:rStyle w:val="Voetnootmarkering"/>
          <w:rFonts w:ascii="Times New Roman" w:hAnsi="Times New Roman" w:cs="Times New Roman"/>
          <w:sz w:val="24"/>
          <w:szCs w:val="24"/>
        </w:rPr>
        <w:footnoteReference w:id="475"/>
      </w:r>
    </w:p>
    <w:p w:rsidR="009931C7" w:rsidRPr="00D147A7" w:rsidRDefault="009931C7" w:rsidP="009931C7">
      <w:pPr>
        <w:pStyle w:val="Geenafstand"/>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sz w:val="24"/>
          <w:szCs w:val="24"/>
          <w:lang w:eastAsia="nl-BE"/>
        </w:rPr>
        <w:drawing>
          <wp:inline distT="0" distB="0" distL="0" distR="0" wp14:anchorId="2458838B" wp14:editId="72BB2FE7">
            <wp:extent cx="3412490" cy="2111375"/>
            <wp:effectExtent l="0" t="0" r="0" b="3175"/>
            <wp:docPr id="13" name="Afbeelding 13" descr="Digitale handtekening geadresseerde be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e handtekening geadresseerde bericht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2490" cy="2111375"/>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9: Asymmetrische ver- en ontcijfering van geadresseerde berichten via het eHealth-platform</w:t>
      </w:r>
      <w:r w:rsidRPr="00D147A7">
        <w:rPr>
          <w:rStyle w:val="Voetnootmarkering"/>
          <w:rFonts w:ascii="Times New Roman" w:hAnsi="Times New Roman" w:cs="Times New Roman"/>
          <w:sz w:val="24"/>
          <w:szCs w:val="24"/>
        </w:rPr>
        <w:footnoteReference w:id="476"/>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De elektronische datering (of </w:t>
      </w:r>
      <w:r w:rsidRPr="00D147A7">
        <w:rPr>
          <w:rFonts w:ascii="Times New Roman" w:hAnsi="Times New Roman" w:cs="Times New Roman"/>
          <w:i/>
          <w:sz w:val="24"/>
          <w:szCs w:val="24"/>
        </w:rPr>
        <w:t>timestamping</w:t>
      </w:r>
      <w:r w:rsidRPr="00D147A7">
        <w:rPr>
          <w:rFonts w:ascii="Times New Roman" w:hAnsi="Times New Roman" w:cs="Times New Roman"/>
          <w:sz w:val="24"/>
          <w:szCs w:val="24"/>
        </w:rPr>
        <w:t>) moet toelaten om de geldigheid en authenticiteit van het elektronisch document in de tijd na te gaan.</w:t>
      </w:r>
      <w:r w:rsidRPr="00D147A7">
        <w:rPr>
          <w:rStyle w:val="Voetnootmarkering"/>
          <w:rFonts w:ascii="Times New Roman" w:hAnsi="Times New Roman" w:cs="Times New Roman"/>
          <w:sz w:val="24"/>
          <w:szCs w:val="24"/>
        </w:rPr>
        <w:footnoteReference w:id="477"/>
      </w:r>
      <w:r w:rsidRPr="00D147A7">
        <w:rPr>
          <w:rFonts w:ascii="Times New Roman" w:hAnsi="Times New Roman" w:cs="Times New Roman"/>
          <w:sz w:val="24"/>
          <w:szCs w:val="24"/>
        </w:rPr>
        <w:t xml:space="preserve"> Het eHealth-platform biedt een klassieke timestamping-service aan waarbij digitale documenten op basis van de OASIS-standaard gedateerd worden. Door de datering van elektronische documenten kan aangetoond worden dat een ondertekend document op een welbepaald tijdstip bestond. Er is ook een consultatiedienst voorzien zodat eerdere timestamps weer opgevraagd kunnen worden. Het eHealth-platform host een database waarin de originele documenten samen met de timestamps en de identiteit van de aanvragers bewaard worden. Omwille van de gevoelige inhoud wordt niet het originele document, maar een hash gedateerd. Enkel de zgn. timestampbag wordt dan aan het eHealth-platform aangeboden, terwijl de originele documenten bij de zorgverleners bewaard blijven. Op de eHealt</w:t>
      </w:r>
      <w:r w:rsidR="00F857AB">
        <w:rPr>
          <w:rFonts w:ascii="Times New Roman" w:hAnsi="Times New Roman" w:cs="Times New Roman"/>
          <w:sz w:val="24"/>
          <w:szCs w:val="24"/>
        </w:rPr>
        <w:t>h-timestampingservice kan enkel</w:t>
      </w:r>
      <w:r w:rsidRPr="00D147A7">
        <w:rPr>
          <w:rFonts w:ascii="Times New Roman" w:hAnsi="Times New Roman" w:cs="Times New Roman"/>
          <w:sz w:val="24"/>
          <w:szCs w:val="24"/>
        </w:rPr>
        <w:t xml:space="preserve"> een beroep worden </w:t>
      </w:r>
      <w:r w:rsidR="00F857AB" w:rsidRPr="00D147A7">
        <w:rPr>
          <w:rFonts w:ascii="Times New Roman" w:hAnsi="Times New Roman" w:cs="Times New Roman"/>
          <w:sz w:val="24"/>
          <w:szCs w:val="24"/>
        </w:rPr>
        <w:t xml:space="preserve">gedaan </w:t>
      </w:r>
      <w:r w:rsidRPr="00D147A7">
        <w:rPr>
          <w:rFonts w:ascii="Times New Roman" w:hAnsi="Times New Roman" w:cs="Times New Roman"/>
          <w:sz w:val="24"/>
          <w:szCs w:val="24"/>
        </w:rPr>
        <w:t>nadat een protocol met de beschrijving van de procedures van authenticatie en timestamping werd afgesloten tussen de gebruiker en het eHealth-platform.</w:t>
      </w:r>
      <w:r w:rsidRPr="00D147A7">
        <w:rPr>
          <w:rStyle w:val="Voetnootmarkering"/>
          <w:rFonts w:ascii="Times New Roman" w:hAnsi="Times New Roman" w:cs="Times New Roman"/>
          <w:sz w:val="24"/>
          <w:szCs w:val="24"/>
        </w:rPr>
        <w:footnoteReference w:id="47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1229AAE8" wp14:editId="638E2EAA">
            <wp:extent cx="3667027" cy="2191662"/>
            <wp:effectExtent l="0" t="0" r="0" b="0"/>
            <wp:docPr id="14" name="Afbeelding 14" descr="C:\Users\Merijn\AppData\Roaming\PixelMetrics\CaptureWiz\T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ijn\AppData\Roaming\PixelMetrics\CaptureWiz\Temp\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2837" cy="2195134"/>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Figuur 10: Schematisch voorstelling van </w:t>
      </w:r>
      <w:r w:rsidRPr="00D147A7">
        <w:rPr>
          <w:rFonts w:ascii="Times New Roman" w:hAnsi="Times New Roman" w:cs="Times New Roman"/>
          <w:i/>
          <w:sz w:val="24"/>
          <w:szCs w:val="24"/>
        </w:rPr>
        <w:t>timestamping</w:t>
      </w:r>
      <w:r w:rsidRPr="00D147A7">
        <w:rPr>
          <w:rStyle w:val="Voetnootmarkering"/>
          <w:rFonts w:ascii="Times New Roman" w:hAnsi="Times New Roman" w:cs="Times New Roman"/>
          <w:sz w:val="24"/>
          <w:szCs w:val="24"/>
        </w:rPr>
        <w:footnoteReference w:id="47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eHealth-platform ondersteunt ook het gezondheidsbeleid, dat op wetenschappelijk onder</w:t>
      </w:r>
      <w:r w:rsidR="00F857AB">
        <w:rPr>
          <w:rFonts w:ascii="Times New Roman" w:hAnsi="Times New Roman" w:cs="Times New Roman"/>
          <w:sz w:val="24"/>
          <w:szCs w:val="24"/>
        </w:rPr>
        <w:t>-</w:t>
      </w:r>
      <w:r w:rsidRPr="00D147A7">
        <w:rPr>
          <w:rFonts w:ascii="Times New Roman" w:hAnsi="Times New Roman" w:cs="Times New Roman"/>
          <w:sz w:val="24"/>
          <w:szCs w:val="24"/>
        </w:rPr>
        <w:t>zoek en analyses gefundeerd is.</w:t>
      </w:r>
      <w:r w:rsidRPr="00D147A7">
        <w:rPr>
          <w:rStyle w:val="Voetnootmarkering"/>
          <w:rFonts w:ascii="Times New Roman" w:hAnsi="Times New Roman" w:cs="Times New Roman"/>
          <w:sz w:val="24"/>
          <w:szCs w:val="24"/>
        </w:rPr>
        <w:footnoteReference w:id="480"/>
      </w:r>
      <w:r w:rsidRPr="00D147A7">
        <w:rPr>
          <w:rFonts w:ascii="Times New Roman" w:hAnsi="Times New Roman" w:cs="Times New Roman"/>
          <w:sz w:val="24"/>
          <w:szCs w:val="24"/>
        </w:rPr>
        <w:t xml:space="preserve"> Om deze opdracht te vervullen treedt het eHealth-platform op als intermediaire organisatie om gezondheidsgegevens te coderen of anonimiseren, zodat de identiteit van de patiënt en/of zorgverlener niet meer (on)rechtstreeks kan worden her</w:t>
      </w:r>
      <w:r w:rsidR="00F857AB">
        <w:rPr>
          <w:rFonts w:ascii="Times New Roman" w:hAnsi="Times New Roman" w:cs="Times New Roman"/>
          <w:sz w:val="24"/>
          <w:szCs w:val="24"/>
        </w:rPr>
        <w:t>-</w:t>
      </w:r>
      <w:r w:rsidRPr="00D147A7">
        <w:rPr>
          <w:rFonts w:ascii="Times New Roman" w:hAnsi="Times New Roman" w:cs="Times New Roman"/>
          <w:sz w:val="24"/>
          <w:szCs w:val="24"/>
        </w:rPr>
        <w:t>leid.</w:t>
      </w:r>
      <w:r w:rsidRPr="00D147A7">
        <w:rPr>
          <w:rStyle w:val="Voetnootmarkering"/>
          <w:rFonts w:ascii="Times New Roman" w:hAnsi="Times New Roman" w:cs="Times New Roman"/>
          <w:sz w:val="24"/>
          <w:szCs w:val="24"/>
        </w:rPr>
        <w:footnoteReference w:id="48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Alle basisdiensten worden door het eHealth-platform ontwikkeld en via webservices aan de gebruikers ter beschikking gesteld. Naast deze basisdiensten zijn er ook deelprocessen die op initiatief van partners tot stand komen (de zgn. diensten met toegevoegde waarde) en die door het eHealth-platform gecoördineerd worden. Diensten met toegevoegde waarde kunnen ontwikkeld worden door organisaties, bedrijven en andere overheidsinstellingen waarmee het </w:t>
      </w:r>
      <w:r w:rsidRPr="00D147A7">
        <w:rPr>
          <w:rFonts w:ascii="Times New Roman" w:hAnsi="Times New Roman" w:cs="Times New Roman"/>
          <w:sz w:val="24"/>
          <w:szCs w:val="24"/>
        </w:rPr>
        <w:lastRenderedPageBreak/>
        <w:t>eHealth-platform samenwerkt (zoals de Vlaamse overheid, het RIZIV of de FOD Volksge</w:t>
      </w:r>
      <w:r w:rsidR="00910E34">
        <w:rPr>
          <w:rFonts w:ascii="Times New Roman" w:hAnsi="Times New Roman" w:cs="Times New Roman"/>
          <w:sz w:val="24"/>
          <w:szCs w:val="24"/>
        </w:rPr>
        <w:t>-</w:t>
      </w:r>
      <w:r w:rsidRPr="00D147A7">
        <w:rPr>
          <w:rFonts w:ascii="Times New Roman" w:hAnsi="Times New Roman" w:cs="Times New Roman"/>
          <w:sz w:val="24"/>
          <w:szCs w:val="24"/>
        </w:rPr>
        <w:t xml:space="preserve">zondheid). Inmiddels zijn er al een dertigtal diensten met toegevoegde waarde operationeel.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Zo kunnen via het eHealth-platform gegevens ingevoerd en geraadpleegd worden in het Kankerregister en in andere registers (zoals voor heup- en knieprothesen en voor hart</w:t>
      </w:r>
      <w:r w:rsidR="00A5167B">
        <w:rPr>
          <w:rFonts w:ascii="Times New Roman" w:hAnsi="Times New Roman" w:cs="Times New Roman"/>
          <w:sz w:val="24"/>
          <w:szCs w:val="24"/>
        </w:rPr>
        <w:t>-</w:t>
      </w:r>
      <w:r w:rsidRPr="00D147A7">
        <w:rPr>
          <w:rFonts w:ascii="Times New Roman" w:hAnsi="Times New Roman" w:cs="Times New Roman"/>
          <w:sz w:val="24"/>
          <w:szCs w:val="24"/>
        </w:rPr>
        <w:t>implan</w:t>
      </w:r>
      <w:r w:rsidR="00BB0A2D">
        <w:rPr>
          <w:rFonts w:ascii="Times New Roman" w:hAnsi="Times New Roman" w:cs="Times New Roman"/>
          <w:sz w:val="24"/>
          <w:szCs w:val="24"/>
        </w:rPr>
        <w:t>-</w:t>
      </w:r>
      <w:r w:rsidRPr="00D147A7">
        <w:rPr>
          <w:rFonts w:ascii="Times New Roman" w:hAnsi="Times New Roman" w:cs="Times New Roman"/>
          <w:sz w:val="24"/>
          <w:szCs w:val="24"/>
        </w:rPr>
        <w:t>taten). Een andere deelproces is de ProCare-RX-applicatie waarmee radiologen anoniem rönt</w:t>
      </w:r>
      <w:r w:rsidR="00BB0A2D">
        <w:rPr>
          <w:rFonts w:ascii="Times New Roman" w:hAnsi="Times New Roman" w:cs="Times New Roman"/>
          <w:sz w:val="24"/>
          <w:szCs w:val="24"/>
        </w:rPr>
        <w:t>-</w:t>
      </w:r>
      <w:r w:rsidRPr="00D147A7">
        <w:rPr>
          <w:rFonts w:ascii="Times New Roman" w:hAnsi="Times New Roman" w:cs="Times New Roman"/>
          <w:sz w:val="24"/>
          <w:szCs w:val="24"/>
        </w:rPr>
        <w:t xml:space="preserve">genfoto’s met bijkomende informatie voor revisie of voor een </w:t>
      </w:r>
      <w:r w:rsidRPr="00BB0A2D">
        <w:rPr>
          <w:rFonts w:ascii="Times New Roman" w:hAnsi="Times New Roman" w:cs="Times New Roman"/>
          <w:i/>
          <w:sz w:val="24"/>
          <w:szCs w:val="24"/>
        </w:rPr>
        <w:t>second opinion</w:t>
      </w:r>
      <w:r w:rsidRPr="00D147A7">
        <w:rPr>
          <w:rFonts w:ascii="Times New Roman" w:hAnsi="Times New Roman" w:cs="Times New Roman"/>
          <w:sz w:val="24"/>
          <w:szCs w:val="24"/>
        </w:rPr>
        <w:t xml:space="preserve"> naar collega’s kunnen doorsturen. Ook Recip-e, een systeem voor de tijdelijke opslag van vercijferde, elek</w:t>
      </w:r>
      <w:r w:rsidR="00BB0A2D">
        <w:rPr>
          <w:rFonts w:ascii="Times New Roman" w:hAnsi="Times New Roman" w:cs="Times New Roman"/>
          <w:sz w:val="24"/>
          <w:szCs w:val="24"/>
        </w:rPr>
        <w:t>-</w:t>
      </w:r>
      <w:r w:rsidRPr="00D147A7">
        <w:rPr>
          <w:rFonts w:ascii="Times New Roman" w:hAnsi="Times New Roman" w:cs="Times New Roman"/>
          <w:sz w:val="24"/>
          <w:szCs w:val="24"/>
        </w:rPr>
        <w:t>tronische ambulante zorgvoorschriften, is een dienst met toegevoegde waarde.</w:t>
      </w:r>
      <w:r w:rsidRPr="00D147A7">
        <w:rPr>
          <w:rStyle w:val="Voetnootmarkering"/>
          <w:rFonts w:ascii="Times New Roman" w:hAnsi="Times New Roman" w:cs="Times New Roman"/>
          <w:sz w:val="24"/>
          <w:szCs w:val="24"/>
        </w:rPr>
        <w:footnoteReference w:id="482"/>
      </w:r>
      <w:r w:rsidRPr="00D147A7">
        <w:rPr>
          <w:rFonts w:ascii="Times New Roman" w:hAnsi="Times New Roman" w:cs="Times New Roman"/>
          <w:sz w:val="24"/>
          <w:szCs w:val="24"/>
        </w:rPr>
        <w:t xml:space="preserve"> Recip-e bewaart ambulante zorgvoorschriften in vercijferde vorm tot de door de patiënt aangewezen zorgverlener het voorschrift via het eHealth-platform komt ophalen.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Er zijn ook toepassingen die op de deelprocessen van verschillende actoren gebaseerd zijn. Dat is onder meer het geval bij de verificatie van de hoedanigheid van zorgverleners via de authentieke bronnen van de FOD Volksgezondheid en het RIZIV. De toepassing en uit</w:t>
      </w:r>
      <w:r w:rsidR="00BB0A2D">
        <w:rPr>
          <w:rFonts w:ascii="Times New Roman" w:hAnsi="Times New Roman" w:cs="Times New Roman"/>
          <w:sz w:val="24"/>
          <w:szCs w:val="24"/>
        </w:rPr>
        <w:t>-</w:t>
      </w:r>
      <w:r w:rsidRPr="00D147A7">
        <w:rPr>
          <w:rFonts w:ascii="Times New Roman" w:hAnsi="Times New Roman" w:cs="Times New Roman"/>
          <w:sz w:val="24"/>
          <w:szCs w:val="24"/>
        </w:rPr>
        <w:t xml:space="preserve">wisseling van de gegevens uit deze bronnen wordt ondersteund door </w:t>
      </w:r>
      <w:r w:rsidR="00BB0A2D">
        <w:rPr>
          <w:rFonts w:ascii="Times New Roman" w:hAnsi="Times New Roman" w:cs="Times New Roman"/>
          <w:sz w:val="24"/>
          <w:szCs w:val="24"/>
        </w:rPr>
        <w:t xml:space="preserve">een </w:t>
      </w:r>
      <w:r w:rsidR="00BB0A2D" w:rsidRPr="00BB0A2D">
        <w:rPr>
          <w:rFonts w:ascii="Times New Roman" w:hAnsi="Times New Roman" w:cs="Times New Roman"/>
          <w:i/>
          <w:sz w:val="24"/>
          <w:szCs w:val="24"/>
        </w:rPr>
        <w:t>Service Oriented Architectu</w:t>
      </w:r>
      <w:r w:rsidRPr="00BB0A2D">
        <w:rPr>
          <w:rFonts w:ascii="Times New Roman" w:hAnsi="Times New Roman" w:cs="Times New Roman"/>
          <w:i/>
          <w:sz w:val="24"/>
          <w:szCs w:val="24"/>
        </w:rPr>
        <w:t>r</w:t>
      </w:r>
      <w:r w:rsidR="00BB0A2D" w:rsidRPr="00BB0A2D">
        <w:rPr>
          <w:rFonts w:ascii="Times New Roman" w:hAnsi="Times New Roman" w:cs="Times New Roman"/>
          <w:i/>
          <w:sz w:val="24"/>
          <w:szCs w:val="24"/>
        </w:rPr>
        <w:t>e</w:t>
      </w:r>
      <w:r w:rsidRPr="00D147A7">
        <w:rPr>
          <w:rFonts w:ascii="Times New Roman" w:hAnsi="Times New Roman" w:cs="Times New Roman"/>
          <w:sz w:val="24"/>
          <w:szCs w:val="24"/>
        </w:rPr>
        <w:t xml:space="preserve">. Een voorbeeld is het </w:t>
      </w:r>
      <w:r w:rsidRPr="00BB0A2D">
        <w:rPr>
          <w:rFonts w:ascii="Times New Roman" w:hAnsi="Times New Roman" w:cs="Times New Roman"/>
          <w:i/>
          <w:sz w:val="24"/>
          <w:szCs w:val="24"/>
        </w:rPr>
        <w:t>Chapter IV Information Consultation System</w:t>
      </w:r>
      <w:r w:rsidRPr="00D147A7">
        <w:rPr>
          <w:rFonts w:ascii="Times New Roman" w:hAnsi="Times New Roman" w:cs="Times New Roman"/>
          <w:sz w:val="24"/>
          <w:szCs w:val="24"/>
        </w:rPr>
        <w:t xml:space="preserve"> (CIVIC), die door het Federaal Agentschap voor Geneesmiddelen en Gezondheidsproducten (FAGG), het Belgisch Centrum voor Farmacotherapeutische Informatie (BCFI) en het RIZIV beheerd wordt. Elk van deze actoren is verantwoordelijk voor de gegevens waarvoor hij als authen</w:t>
      </w:r>
      <w:r w:rsidR="00BB0A2D">
        <w:rPr>
          <w:rFonts w:ascii="Times New Roman" w:hAnsi="Times New Roman" w:cs="Times New Roman"/>
          <w:sz w:val="24"/>
          <w:szCs w:val="24"/>
        </w:rPr>
        <w:t>-</w:t>
      </w:r>
      <w:r w:rsidRPr="00D147A7">
        <w:rPr>
          <w:rFonts w:ascii="Times New Roman" w:hAnsi="Times New Roman" w:cs="Times New Roman"/>
          <w:sz w:val="24"/>
          <w:szCs w:val="24"/>
        </w:rPr>
        <w:t>tieke bron geldt. CIVIC bevat onder meer gegevens over de geneesmiddelen, de vergoedings</w:t>
      </w:r>
      <w:r w:rsidR="00BB0A2D">
        <w:rPr>
          <w:rFonts w:ascii="Times New Roman" w:hAnsi="Times New Roman" w:cs="Times New Roman"/>
          <w:sz w:val="24"/>
          <w:szCs w:val="24"/>
        </w:rPr>
        <w:t>-</w:t>
      </w:r>
      <w:r w:rsidRPr="00D147A7">
        <w:rPr>
          <w:rFonts w:ascii="Times New Roman" w:hAnsi="Times New Roman" w:cs="Times New Roman"/>
          <w:sz w:val="24"/>
          <w:szCs w:val="24"/>
        </w:rPr>
        <w:t>voorwaarden met betrekking tot de indicaties, de duur van het</w:t>
      </w:r>
      <w:r w:rsidR="00BB0A2D">
        <w:rPr>
          <w:rFonts w:ascii="Times New Roman" w:hAnsi="Times New Roman" w:cs="Times New Roman"/>
          <w:sz w:val="24"/>
          <w:szCs w:val="24"/>
        </w:rPr>
        <w:t xml:space="preserve"> akkoord,... zodat voorschrijven-</w:t>
      </w:r>
      <w:r w:rsidRPr="00D147A7">
        <w:rPr>
          <w:rFonts w:ascii="Times New Roman" w:hAnsi="Times New Roman" w:cs="Times New Roman"/>
          <w:sz w:val="24"/>
          <w:szCs w:val="24"/>
        </w:rPr>
        <w:t>de artsen alle benodigde informatie kunnen ophalen voor de o</w:t>
      </w:r>
      <w:r w:rsidR="00BB0A2D">
        <w:rPr>
          <w:rFonts w:ascii="Times New Roman" w:hAnsi="Times New Roman" w:cs="Times New Roman"/>
          <w:sz w:val="24"/>
          <w:szCs w:val="24"/>
        </w:rPr>
        <w:t>pmaak van een aanvraag tot terug</w:t>
      </w:r>
      <w:r w:rsidRPr="00D147A7">
        <w:rPr>
          <w:rFonts w:ascii="Times New Roman" w:hAnsi="Times New Roman" w:cs="Times New Roman"/>
          <w:sz w:val="24"/>
          <w:szCs w:val="24"/>
        </w:rPr>
        <w:t>betaling van geneesmiddelen Hoofdstuk IV.</w:t>
      </w:r>
      <w:r w:rsidRPr="00D147A7">
        <w:rPr>
          <w:rStyle w:val="Voetnootmarkering"/>
          <w:rFonts w:ascii="Times New Roman" w:hAnsi="Times New Roman" w:cs="Times New Roman"/>
          <w:sz w:val="24"/>
          <w:szCs w:val="24"/>
        </w:rPr>
        <w:footnoteReference w:id="48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5. </w:t>
      </w:r>
      <w:r w:rsidRPr="00D147A7">
        <w:rPr>
          <w:rFonts w:ascii="Times New Roman" w:hAnsi="Times New Roman" w:cs="Times New Roman"/>
          <w:i/>
          <w:sz w:val="24"/>
          <w:szCs w:val="24"/>
        </w:rPr>
        <w:t>het afspreken van een taakverdeling inzake de inzameling, validatie, opslag en ter</w:t>
      </w:r>
      <w:r w:rsidR="00BB0A2D">
        <w:rPr>
          <w:rFonts w:ascii="Times New Roman" w:hAnsi="Times New Roman" w:cs="Times New Roman"/>
          <w:i/>
          <w:sz w:val="24"/>
          <w:szCs w:val="24"/>
        </w:rPr>
        <w:t>-</w:t>
      </w:r>
      <w:r w:rsidRPr="00D147A7">
        <w:rPr>
          <w:rFonts w:ascii="Times New Roman" w:hAnsi="Times New Roman" w:cs="Times New Roman"/>
          <w:i/>
          <w:sz w:val="24"/>
          <w:szCs w:val="24"/>
        </w:rPr>
        <w:t>beschikkingstelling van gegevens die over het sa</w:t>
      </w:r>
      <w:r w:rsidR="00BB0A2D">
        <w:rPr>
          <w:rFonts w:ascii="Times New Roman" w:hAnsi="Times New Roman" w:cs="Times New Roman"/>
          <w:i/>
          <w:sz w:val="24"/>
          <w:szCs w:val="24"/>
        </w:rPr>
        <w:t>menwerkingsplatform worden uitge-</w:t>
      </w:r>
      <w:r w:rsidRPr="00D147A7">
        <w:rPr>
          <w:rFonts w:ascii="Times New Roman" w:hAnsi="Times New Roman" w:cs="Times New Roman"/>
          <w:i/>
          <w:sz w:val="24"/>
          <w:szCs w:val="24"/>
        </w:rPr>
        <w:t>wisseld en van de kwaliteitsnormen waaraan deze gegevens dienen te voldoen, en het verifiëren van de naleving van deze kwaliteitsnormen</w:t>
      </w:r>
      <w:r w:rsidRPr="00D147A7">
        <w:rPr>
          <w:rStyle w:val="Voetnootmarkering"/>
          <w:rFonts w:ascii="Times New Roman" w:hAnsi="Times New Roman" w:cs="Times New Roman"/>
          <w:sz w:val="24"/>
          <w:szCs w:val="24"/>
        </w:rPr>
        <w:footnoteReference w:id="484"/>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Als de verschillende actoren in de gezondheidszorg afspraken maken over de taakverdeling en de kwaliteitsnormen, zullen zorgverleners niet meermaals dezelfde gegevens aan de verschil</w:t>
      </w:r>
      <w:r w:rsidR="00BB0A2D">
        <w:rPr>
          <w:rFonts w:ascii="Times New Roman" w:hAnsi="Times New Roman" w:cs="Times New Roman"/>
          <w:sz w:val="24"/>
          <w:szCs w:val="24"/>
        </w:rPr>
        <w:t>-</w:t>
      </w:r>
      <w:r w:rsidRPr="00D147A7">
        <w:rPr>
          <w:rFonts w:ascii="Times New Roman" w:hAnsi="Times New Roman" w:cs="Times New Roman"/>
          <w:sz w:val="24"/>
          <w:szCs w:val="24"/>
        </w:rPr>
        <w:t xml:space="preserve">lende overheidsdiensten of ziekenfondsen moeten overmaken.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6. </w:t>
      </w:r>
      <w:r w:rsidRPr="00D147A7">
        <w:rPr>
          <w:rFonts w:ascii="Times New Roman" w:hAnsi="Times New Roman" w:cs="Times New Roman"/>
          <w:i/>
          <w:sz w:val="24"/>
          <w:szCs w:val="24"/>
        </w:rPr>
        <w:t>het bevorderen en het coördineren van de verwezenlijking van programma’s en projecten die de visie en strategie uitvoeren, die (so</w:t>
      </w:r>
      <w:r w:rsidR="00BB0A2D">
        <w:rPr>
          <w:rFonts w:ascii="Times New Roman" w:hAnsi="Times New Roman" w:cs="Times New Roman"/>
          <w:i/>
          <w:sz w:val="24"/>
          <w:szCs w:val="24"/>
        </w:rPr>
        <w:t>orten) actoren in de gezondheids-</w:t>
      </w:r>
      <w:r w:rsidRPr="00D147A7">
        <w:rPr>
          <w:rFonts w:ascii="Times New Roman" w:hAnsi="Times New Roman" w:cs="Times New Roman"/>
          <w:i/>
          <w:sz w:val="24"/>
          <w:szCs w:val="24"/>
        </w:rPr>
        <w:t xml:space="preserve">zorg overschrijden en die gebruik maken van het </w:t>
      </w:r>
      <w:r w:rsidRPr="00D147A7">
        <w:rPr>
          <w:rFonts w:ascii="Times New Roman" w:hAnsi="Times New Roman" w:cs="Times New Roman"/>
          <w:sz w:val="24"/>
          <w:szCs w:val="24"/>
        </w:rPr>
        <w:t>(…)</w:t>
      </w:r>
      <w:r w:rsidRPr="00D147A7">
        <w:rPr>
          <w:rFonts w:ascii="Times New Roman" w:hAnsi="Times New Roman" w:cs="Times New Roman"/>
          <w:i/>
          <w:sz w:val="24"/>
          <w:szCs w:val="24"/>
        </w:rPr>
        <w:t xml:space="preserve"> samenwerkingsplatform voor de veilige elektronische gegevensuitwisseling of de </w:t>
      </w:r>
      <w:r w:rsidRPr="00D147A7">
        <w:rPr>
          <w:rFonts w:ascii="Times New Roman" w:hAnsi="Times New Roman" w:cs="Times New Roman"/>
          <w:sz w:val="24"/>
          <w:szCs w:val="24"/>
        </w:rPr>
        <w:t>(…)</w:t>
      </w:r>
      <w:r w:rsidRPr="00D147A7">
        <w:rPr>
          <w:rFonts w:ascii="Times New Roman" w:hAnsi="Times New Roman" w:cs="Times New Roman"/>
          <w:i/>
          <w:sz w:val="24"/>
          <w:szCs w:val="24"/>
        </w:rPr>
        <w:t xml:space="preserve"> bed</w:t>
      </w:r>
      <w:r w:rsidR="00BB0A2D">
        <w:rPr>
          <w:rFonts w:ascii="Times New Roman" w:hAnsi="Times New Roman" w:cs="Times New Roman"/>
          <w:i/>
          <w:sz w:val="24"/>
          <w:szCs w:val="24"/>
        </w:rPr>
        <w:t>oelde basisdiensten, en het coör</w:t>
      </w:r>
      <w:r w:rsidRPr="00D147A7">
        <w:rPr>
          <w:rFonts w:ascii="Times New Roman" w:hAnsi="Times New Roman" w:cs="Times New Roman"/>
          <w:i/>
          <w:sz w:val="24"/>
          <w:szCs w:val="24"/>
        </w:rPr>
        <w:t>dineren van de aanpassingen van de regelg</w:t>
      </w:r>
      <w:r w:rsidR="00BB0A2D">
        <w:rPr>
          <w:rFonts w:ascii="Times New Roman" w:hAnsi="Times New Roman" w:cs="Times New Roman"/>
          <w:i/>
          <w:sz w:val="24"/>
          <w:szCs w:val="24"/>
        </w:rPr>
        <w:t>eving om deze programma’s en pro-</w:t>
      </w:r>
      <w:r w:rsidRPr="00D147A7">
        <w:rPr>
          <w:rFonts w:ascii="Times New Roman" w:hAnsi="Times New Roman" w:cs="Times New Roman"/>
          <w:i/>
          <w:sz w:val="24"/>
          <w:szCs w:val="24"/>
        </w:rPr>
        <w:t>jecten uit te voeren</w:t>
      </w:r>
      <w:r w:rsidRPr="00D147A7">
        <w:rPr>
          <w:rStyle w:val="Voetnootmarkering"/>
          <w:rFonts w:ascii="Times New Roman" w:hAnsi="Times New Roman" w:cs="Times New Roman"/>
          <w:i/>
          <w:sz w:val="24"/>
          <w:szCs w:val="24"/>
        </w:rPr>
        <w:footnoteReference w:id="485"/>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Deze opdracht heeft betrekking op d</w:t>
      </w:r>
      <w:r w:rsidR="00BB0A2D">
        <w:rPr>
          <w:rFonts w:ascii="Times New Roman" w:hAnsi="Times New Roman" w:cs="Times New Roman"/>
          <w:sz w:val="24"/>
          <w:szCs w:val="24"/>
        </w:rPr>
        <w:t>e eerder besproken diensten met toegevoegde waarde</w:t>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7. </w:t>
      </w:r>
      <w:r w:rsidRPr="00D147A7">
        <w:rPr>
          <w:rFonts w:ascii="Times New Roman" w:hAnsi="Times New Roman" w:cs="Times New Roman"/>
          <w:i/>
          <w:sz w:val="24"/>
          <w:szCs w:val="24"/>
        </w:rPr>
        <w:t>het beheren en coördineren van de ICT-gerelateerde, organisatorische, functionele en technische aspecten van de gegevensuitwisseling in het kader van de elektronische patiëntendossiers en van elektronische medische voorschriften</w:t>
      </w:r>
      <w:r w:rsidRPr="00D147A7">
        <w:rPr>
          <w:rStyle w:val="Voetnootmarkering"/>
          <w:rFonts w:ascii="Times New Roman" w:hAnsi="Times New Roman" w:cs="Times New Roman"/>
          <w:sz w:val="24"/>
          <w:szCs w:val="24"/>
        </w:rPr>
        <w:footnoteReference w:id="486"/>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eHealth-platform is belast met het beheer en de coördinatie van (uitsluitend) ICT-gerelateerde aspecten van twee programma’s. Het eerste programma is de veilige, vercijferde elektronische uitwisseling van gegevens over een patiënt tus</w:t>
      </w:r>
      <w:r w:rsidR="00BB0A2D">
        <w:rPr>
          <w:rFonts w:ascii="Times New Roman" w:hAnsi="Times New Roman" w:cs="Times New Roman"/>
          <w:sz w:val="24"/>
          <w:szCs w:val="24"/>
        </w:rPr>
        <w:t>sen de actoren in de gezondheids-</w:t>
      </w:r>
      <w:r w:rsidRPr="00D147A7">
        <w:rPr>
          <w:rFonts w:ascii="Times New Roman" w:hAnsi="Times New Roman" w:cs="Times New Roman"/>
          <w:sz w:val="24"/>
          <w:szCs w:val="24"/>
        </w:rPr>
        <w:t xml:space="preserve">zorg die </w:t>
      </w:r>
      <w:r w:rsidR="00BB0A2D">
        <w:rPr>
          <w:rFonts w:ascii="Times New Roman" w:hAnsi="Times New Roman" w:cs="Times New Roman"/>
          <w:sz w:val="24"/>
          <w:szCs w:val="24"/>
        </w:rPr>
        <w:t xml:space="preserve">aan </w:t>
      </w:r>
      <w:r w:rsidRPr="00D147A7">
        <w:rPr>
          <w:rFonts w:ascii="Times New Roman" w:hAnsi="Times New Roman" w:cs="Times New Roman"/>
          <w:sz w:val="24"/>
          <w:szCs w:val="24"/>
        </w:rPr>
        <w:t xml:space="preserve">hem </w:t>
      </w:r>
      <w:r w:rsidR="00BB0A2D">
        <w:rPr>
          <w:rFonts w:ascii="Times New Roman" w:hAnsi="Times New Roman" w:cs="Times New Roman"/>
          <w:sz w:val="24"/>
          <w:szCs w:val="24"/>
        </w:rPr>
        <w:t xml:space="preserve">of haar </w:t>
      </w:r>
      <w:r w:rsidRPr="00D147A7">
        <w:rPr>
          <w:rFonts w:ascii="Times New Roman" w:hAnsi="Times New Roman" w:cs="Times New Roman"/>
          <w:sz w:val="24"/>
          <w:szCs w:val="24"/>
        </w:rPr>
        <w:t>zorgen verlenen, voor zover dit door de patiënt en door de wet wordt toegestaan. Het tweede programma is de elektronische uitwisseling van medische voorschrift</w:t>
      </w:r>
      <w:r w:rsidR="00BB0A2D">
        <w:rPr>
          <w:rFonts w:ascii="Times New Roman" w:hAnsi="Times New Roman" w:cs="Times New Roman"/>
          <w:sz w:val="24"/>
          <w:szCs w:val="24"/>
        </w:rPr>
        <w:t>-</w:t>
      </w:r>
      <w:r w:rsidRPr="00D147A7">
        <w:rPr>
          <w:rFonts w:ascii="Times New Roman" w:hAnsi="Times New Roman" w:cs="Times New Roman"/>
          <w:sz w:val="24"/>
          <w:szCs w:val="24"/>
        </w:rPr>
        <w:t xml:space="preserve">en, zowel ambulant als in verzorgingsinstellingen, tussen artsen en apothekers. Hierdoor wordt vermeden dat papieren voorschriften aangemaakt moeten blijven worden.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8. </w:t>
      </w:r>
      <w:r w:rsidRPr="00D147A7">
        <w:rPr>
          <w:rFonts w:ascii="Times New Roman" w:hAnsi="Times New Roman" w:cs="Times New Roman"/>
          <w:i/>
          <w:sz w:val="24"/>
          <w:szCs w:val="24"/>
        </w:rPr>
        <w:t>het, als intermediaire organisatie, zoals gedefinieerd krachtens de wet van 8 decem</w:t>
      </w:r>
      <w:r w:rsidR="001E3B0A">
        <w:rPr>
          <w:rFonts w:ascii="Times New Roman" w:hAnsi="Times New Roman" w:cs="Times New Roman"/>
          <w:i/>
          <w:sz w:val="24"/>
          <w:szCs w:val="24"/>
        </w:rPr>
        <w:t>-</w:t>
      </w:r>
      <w:r w:rsidRPr="00D147A7">
        <w:rPr>
          <w:rFonts w:ascii="Times New Roman" w:hAnsi="Times New Roman" w:cs="Times New Roman"/>
          <w:i/>
          <w:sz w:val="24"/>
          <w:szCs w:val="24"/>
        </w:rPr>
        <w:t>ber 1992 tot bescherming van de persoonlijke levenssfeer ten opzichte van de verwerk</w:t>
      </w:r>
      <w:r w:rsidR="001E3B0A">
        <w:rPr>
          <w:rFonts w:ascii="Times New Roman" w:hAnsi="Times New Roman" w:cs="Times New Roman"/>
          <w:i/>
          <w:sz w:val="24"/>
          <w:szCs w:val="24"/>
        </w:rPr>
        <w:t>-</w:t>
      </w:r>
      <w:r w:rsidRPr="00D147A7">
        <w:rPr>
          <w:rFonts w:ascii="Times New Roman" w:hAnsi="Times New Roman" w:cs="Times New Roman"/>
          <w:i/>
          <w:sz w:val="24"/>
          <w:szCs w:val="24"/>
        </w:rPr>
        <w:t>ing van persoonsgegevens, inzamelen, samenvoegen, coderen of anonimiseren, en ter beschikking stellen van gegevens nuttig voor de kennis, de conceptie, het beheer en de verstrekking van gezondheidszorg; het eHealth-platform zelf mag de in het kader van deze opdracht verwerkte persoonsgegevens slechts bijhouden zolang dat noodzakelijk is om ze te coderen of te anonimiseren; het eHealth-platform mag evenwel het ver</w:t>
      </w:r>
      <w:r w:rsidR="001E3B0A">
        <w:rPr>
          <w:rFonts w:ascii="Times New Roman" w:hAnsi="Times New Roman" w:cs="Times New Roman"/>
          <w:i/>
          <w:sz w:val="24"/>
          <w:szCs w:val="24"/>
        </w:rPr>
        <w:t>-</w:t>
      </w:r>
      <w:r w:rsidRPr="00D147A7">
        <w:rPr>
          <w:rFonts w:ascii="Times New Roman" w:hAnsi="Times New Roman" w:cs="Times New Roman"/>
          <w:i/>
          <w:sz w:val="24"/>
          <w:szCs w:val="24"/>
        </w:rPr>
        <w:t>band tussen het reële identificatienummer van een betrokkene en het aan hem toege</w:t>
      </w:r>
      <w:r w:rsidR="001E3B0A">
        <w:rPr>
          <w:rFonts w:ascii="Times New Roman" w:hAnsi="Times New Roman" w:cs="Times New Roman"/>
          <w:i/>
          <w:sz w:val="24"/>
          <w:szCs w:val="24"/>
        </w:rPr>
        <w:t>-</w:t>
      </w:r>
      <w:r w:rsidRPr="00D147A7">
        <w:rPr>
          <w:rFonts w:ascii="Times New Roman" w:hAnsi="Times New Roman" w:cs="Times New Roman"/>
          <w:i/>
          <w:sz w:val="24"/>
          <w:szCs w:val="24"/>
        </w:rPr>
        <w:t>kend gecodeerd identificatienummer bijhouden indien de bestemmeling van de geco</w:t>
      </w:r>
      <w:r w:rsidR="001E3B0A">
        <w:rPr>
          <w:rFonts w:ascii="Times New Roman" w:hAnsi="Times New Roman" w:cs="Times New Roman"/>
          <w:i/>
          <w:sz w:val="24"/>
          <w:szCs w:val="24"/>
        </w:rPr>
        <w:t>-</w:t>
      </w:r>
      <w:r w:rsidRPr="00D147A7">
        <w:rPr>
          <w:rFonts w:ascii="Times New Roman" w:hAnsi="Times New Roman" w:cs="Times New Roman"/>
          <w:i/>
          <w:sz w:val="24"/>
          <w:szCs w:val="24"/>
        </w:rPr>
        <w:t>deerde persoonsgegevens daarom op een gemotiveerde wijze verzoekt, mits machtig</w:t>
      </w:r>
      <w:r w:rsidR="001E3B0A">
        <w:rPr>
          <w:rFonts w:ascii="Times New Roman" w:hAnsi="Times New Roman" w:cs="Times New Roman"/>
          <w:i/>
          <w:sz w:val="24"/>
          <w:szCs w:val="24"/>
        </w:rPr>
        <w:t>-</w:t>
      </w:r>
      <w:r w:rsidRPr="00D147A7">
        <w:rPr>
          <w:rFonts w:ascii="Times New Roman" w:hAnsi="Times New Roman" w:cs="Times New Roman"/>
          <w:i/>
          <w:sz w:val="24"/>
          <w:szCs w:val="24"/>
        </w:rPr>
        <w:t>ing van de afdeling gezondheid van het sectoraal comité van de sociale zekerheid en van de gezondheid; het eHealth-platform kan deze opdracht slechts vervullen op vraag van een wetgevende kamer, een instelling van sociale zekerheid, de stichting bedoeld in artikel 45quinquies van het koninklijk besluit nr. 78 van 10 november 1967 betref</w:t>
      </w:r>
      <w:r w:rsidR="001E3B0A">
        <w:rPr>
          <w:rFonts w:ascii="Times New Roman" w:hAnsi="Times New Roman" w:cs="Times New Roman"/>
          <w:i/>
          <w:sz w:val="24"/>
          <w:szCs w:val="24"/>
        </w:rPr>
        <w:t>-</w:t>
      </w:r>
      <w:r w:rsidRPr="00D147A7">
        <w:rPr>
          <w:rFonts w:ascii="Times New Roman" w:hAnsi="Times New Roman" w:cs="Times New Roman"/>
          <w:i/>
          <w:sz w:val="24"/>
          <w:szCs w:val="24"/>
        </w:rPr>
        <w:t>fende de uitoefening van de gezondheidszorgberoepen, het Intermutualistisch Agent</w:t>
      </w:r>
      <w:r w:rsidR="001E3B0A">
        <w:rPr>
          <w:rFonts w:ascii="Times New Roman" w:hAnsi="Times New Roman" w:cs="Times New Roman"/>
          <w:i/>
          <w:sz w:val="24"/>
          <w:szCs w:val="24"/>
        </w:rPr>
        <w:t>-</w:t>
      </w:r>
      <w:r w:rsidRPr="00D147A7">
        <w:rPr>
          <w:rFonts w:ascii="Times New Roman" w:hAnsi="Times New Roman" w:cs="Times New Roman"/>
          <w:i/>
          <w:sz w:val="24"/>
          <w:szCs w:val="24"/>
        </w:rPr>
        <w:t>schap, het Federaal Kenniscentrum voor de Gezondheidszorg, de vereniging zonder winstoogmerk bedoeld in artikel 37</w:t>
      </w:r>
      <w:r w:rsidR="00BB0A2D">
        <w:rPr>
          <w:rFonts w:ascii="Times New Roman" w:hAnsi="Times New Roman" w:cs="Times New Roman"/>
          <w:sz w:val="24"/>
          <w:szCs w:val="24"/>
        </w:rPr>
        <w:t xml:space="preserve"> [van de eHealt-wet]</w:t>
      </w:r>
      <w:r w:rsidRPr="00D147A7">
        <w:rPr>
          <w:rFonts w:ascii="Times New Roman" w:hAnsi="Times New Roman" w:cs="Times New Roman"/>
          <w:i/>
          <w:sz w:val="24"/>
          <w:szCs w:val="24"/>
        </w:rPr>
        <w:t>, een federaal minister, een federale overheidsdienst of een openbare instelling met rechtspersoonlijkheid die onder de federale overheid ressorteert; de Koning kan, bij een besluit vastgesteld na overleg in de Ministerraad en na advies van de Commissie voor de Bescherming van de Persoonlijke Levenssfeer en van het Beheerscomité, de lijst van de mogelijke in</w:t>
      </w:r>
      <w:r w:rsidR="001E3B0A">
        <w:rPr>
          <w:rFonts w:ascii="Times New Roman" w:hAnsi="Times New Roman" w:cs="Times New Roman"/>
          <w:i/>
          <w:sz w:val="24"/>
          <w:szCs w:val="24"/>
        </w:rPr>
        <w:t>-</w:t>
      </w:r>
      <w:r w:rsidRPr="00D147A7">
        <w:rPr>
          <w:rFonts w:ascii="Times New Roman" w:hAnsi="Times New Roman" w:cs="Times New Roman"/>
          <w:i/>
          <w:sz w:val="24"/>
          <w:szCs w:val="24"/>
        </w:rPr>
        <w:lastRenderedPageBreak/>
        <w:t>stanties die het eHealth-platform kunnen vragen om als intermediaire organisatie op te treden, uitbreiden</w:t>
      </w:r>
      <w:r w:rsidRPr="00D147A7">
        <w:rPr>
          <w:rStyle w:val="Voetnootmarkering"/>
          <w:rFonts w:ascii="Times New Roman" w:hAnsi="Times New Roman" w:cs="Times New Roman"/>
          <w:sz w:val="24"/>
          <w:szCs w:val="24"/>
        </w:rPr>
        <w:footnoteReference w:id="487"/>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Bepaalde informatie over de verleende zorgen en de effecten kan als bronnenmateriaal voor wetenschappelijk onderzoek gebruikt worden, dat op zijn beu</w:t>
      </w:r>
      <w:r w:rsidR="00BB0A2D">
        <w:rPr>
          <w:rFonts w:ascii="Times New Roman" w:hAnsi="Times New Roman" w:cs="Times New Roman"/>
          <w:sz w:val="24"/>
          <w:szCs w:val="24"/>
        </w:rPr>
        <w:t>rt de basis voor het gezondheids-</w:t>
      </w:r>
      <w:r w:rsidRPr="00D147A7">
        <w:rPr>
          <w:rFonts w:ascii="Times New Roman" w:hAnsi="Times New Roman" w:cs="Times New Roman"/>
          <w:sz w:val="24"/>
          <w:szCs w:val="24"/>
        </w:rPr>
        <w:t>beleid vormt. Doorgaans volstaan geanonimiseerde of gecodeerde gegevens (aan de hand waarvan betrokken patiënten en zorgverleners niet geïdentificeerd kunnen worden) om derge</w:t>
      </w:r>
      <w:r w:rsidR="001E3B0A">
        <w:rPr>
          <w:rFonts w:ascii="Times New Roman" w:hAnsi="Times New Roman" w:cs="Times New Roman"/>
          <w:sz w:val="24"/>
          <w:szCs w:val="24"/>
        </w:rPr>
        <w:t>-</w:t>
      </w:r>
      <w:r w:rsidRPr="00D147A7">
        <w:rPr>
          <w:rFonts w:ascii="Times New Roman" w:hAnsi="Times New Roman" w:cs="Times New Roman"/>
          <w:sz w:val="24"/>
          <w:szCs w:val="24"/>
        </w:rPr>
        <w:t>lijke onderzoeken uit te voeren. Voor enkele bij wet opgesomde instanties kan het eHealth-platform als onafhankelijke derde partij – onder toezicht van het Sectoraal Comité van de So</w:t>
      </w:r>
      <w:r w:rsidR="009B6657">
        <w:rPr>
          <w:rFonts w:ascii="Times New Roman" w:hAnsi="Times New Roman" w:cs="Times New Roman"/>
          <w:sz w:val="24"/>
          <w:szCs w:val="24"/>
        </w:rPr>
        <w:t>-</w:t>
      </w:r>
      <w:r w:rsidRPr="00D147A7">
        <w:rPr>
          <w:rFonts w:ascii="Times New Roman" w:hAnsi="Times New Roman" w:cs="Times New Roman"/>
          <w:sz w:val="24"/>
          <w:szCs w:val="24"/>
        </w:rPr>
        <w:t>ciale Zekerheid en van de Gezondheid – instaan voor deze anonimisering of codering. Het eHealth-platform mag de door haar gecodeerde of geanonimiseerde persoonsgegevens niet zelf bewaren of analyseren.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9. </w:t>
      </w:r>
      <w:r w:rsidRPr="00D147A7">
        <w:rPr>
          <w:rFonts w:ascii="Times New Roman" w:hAnsi="Times New Roman" w:cs="Times New Roman"/>
          <w:i/>
          <w:sz w:val="24"/>
          <w:szCs w:val="24"/>
        </w:rPr>
        <w:t>het bevorderen van de naleving van de visie, de strategie, de functionele en tech</w:t>
      </w:r>
      <w:r w:rsidR="009B6657">
        <w:rPr>
          <w:rFonts w:ascii="Times New Roman" w:hAnsi="Times New Roman" w:cs="Times New Roman"/>
          <w:i/>
          <w:sz w:val="24"/>
          <w:szCs w:val="24"/>
        </w:rPr>
        <w:t>-</w:t>
      </w:r>
      <w:r w:rsidRPr="00D147A7">
        <w:rPr>
          <w:rFonts w:ascii="Times New Roman" w:hAnsi="Times New Roman" w:cs="Times New Roman"/>
          <w:i/>
          <w:sz w:val="24"/>
          <w:szCs w:val="24"/>
        </w:rPr>
        <w:t>nische normen, standaarden en specificaties, de basisarchitectuur, evenals het gebruik van het samenwerkingsplatform voor d</w:t>
      </w:r>
      <w:r w:rsidR="00BB0A2D">
        <w:rPr>
          <w:rFonts w:ascii="Times New Roman" w:hAnsi="Times New Roman" w:cs="Times New Roman"/>
          <w:i/>
          <w:sz w:val="24"/>
          <w:szCs w:val="24"/>
        </w:rPr>
        <w:t>e</w:t>
      </w:r>
      <w:r w:rsidR="009B6657">
        <w:rPr>
          <w:rFonts w:ascii="Times New Roman" w:hAnsi="Times New Roman" w:cs="Times New Roman"/>
          <w:i/>
          <w:sz w:val="24"/>
          <w:szCs w:val="24"/>
        </w:rPr>
        <w:t xml:space="preserve"> veilige elektronische gegevens</w:t>
      </w:r>
      <w:r w:rsidRPr="00D147A7">
        <w:rPr>
          <w:rFonts w:ascii="Times New Roman" w:hAnsi="Times New Roman" w:cs="Times New Roman"/>
          <w:i/>
          <w:sz w:val="24"/>
          <w:szCs w:val="24"/>
        </w:rPr>
        <w:t>uitwisseling en de basisdiensten en de verwezenlijking van de programma’s en de projecten door zo</w:t>
      </w:r>
      <w:r w:rsidR="009B6657">
        <w:rPr>
          <w:rFonts w:ascii="Times New Roman" w:hAnsi="Times New Roman" w:cs="Times New Roman"/>
          <w:i/>
          <w:sz w:val="24"/>
          <w:szCs w:val="24"/>
        </w:rPr>
        <w:t>-</w:t>
      </w:r>
      <w:r w:rsidRPr="00D147A7">
        <w:rPr>
          <w:rFonts w:ascii="Times New Roman" w:hAnsi="Times New Roman" w:cs="Times New Roman"/>
          <w:i/>
          <w:sz w:val="24"/>
          <w:szCs w:val="24"/>
        </w:rPr>
        <w:t>veel mogelijk actoren in de gezondheidszorg</w:t>
      </w:r>
      <w:r w:rsidRPr="00D147A7">
        <w:rPr>
          <w:rStyle w:val="Voetnootmarkering"/>
          <w:rFonts w:ascii="Times New Roman" w:hAnsi="Times New Roman" w:cs="Times New Roman"/>
          <w:sz w:val="24"/>
          <w:szCs w:val="24"/>
        </w:rPr>
        <w:footnoteReference w:id="488"/>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Om de doelstellingen uit de missie van het eHealth-platform te bereiken, moeten de actoren in de zorgsector op een volledig nieuwe manier met informatie omgaan. Het eHealth-platform moet hiervoor – als motor van deze mentaliteitsverandering</w:t>
      </w:r>
      <w:r w:rsidR="00BB0A2D">
        <w:rPr>
          <w:rFonts w:ascii="Times New Roman" w:hAnsi="Times New Roman" w:cs="Times New Roman"/>
          <w:sz w:val="24"/>
          <w:szCs w:val="24"/>
        </w:rPr>
        <w:t xml:space="preserve"> </w:t>
      </w:r>
      <w:r w:rsidRPr="00D147A7">
        <w:rPr>
          <w:rFonts w:ascii="Times New Roman" w:hAnsi="Times New Roman" w:cs="Times New Roman"/>
          <w:sz w:val="24"/>
          <w:szCs w:val="24"/>
        </w:rPr>
        <w:t xml:space="preserve">– de nodige gecoördineerde acties ondernemen. </w:t>
      </w:r>
      <w:r w:rsidR="00BB0A2D">
        <w:rPr>
          <w:rFonts w:ascii="Times New Roman" w:hAnsi="Times New Roman" w:cs="Times New Roman"/>
          <w:sz w:val="24"/>
          <w:szCs w:val="24"/>
        </w:rPr>
        <w:t>Het moet</w:t>
      </w:r>
      <w:r w:rsidRPr="00D147A7">
        <w:rPr>
          <w:rFonts w:ascii="Times New Roman" w:hAnsi="Times New Roman" w:cs="Times New Roman"/>
          <w:sz w:val="24"/>
          <w:szCs w:val="24"/>
        </w:rPr>
        <w:t xml:space="preserve"> de behoeften tot verandering analyse</w:t>
      </w:r>
      <w:r w:rsidR="00BB0A2D">
        <w:rPr>
          <w:rFonts w:ascii="Times New Roman" w:hAnsi="Times New Roman" w:cs="Times New Roman"/>
          <w:sz w:val="24"/>
          <w:szCs w:val="24"/>
        </w:rPr>
        <w:t>r</w:t>
      </w:r>
      <w:r w:rsidRPr="00D147A7">
        <w:rPr>
          <w:rFonts w:ascii="Times New Roman" w:hAnsi="Times New Roman" w:cs="Times New Roman"/>
          <w:sz w:val="24"/>
          <w:szCs w:val="24"/>
        </w:rPr>
        <w:t>en; de verschillende actoren in de gezondheidszorg overtuig</w:t>
      </w:r>
      <w:r w:rsidR="00BB0A2D">
        <w:rPr>
          <w:rFonts w:ascii="Times New Roman" w:hAnsi="Times New Roman" w:cs="Times New Roman"/>
          <w:sz w:val="24"/>
          <w:szCs w:val="24"/>
        </w:rPr>
        <w:t xml:space="preserve">en </w:t>
      </w:r>
      <w:r w:rsidRPr="00D147A7">
        <w:rPr>
          <w:rFonts w:ascii="Times New Roman" w:hAnsi="Times New Roman" w:cs="Times New Roman"/>
          <w:sz w:val="24"/>
          <w:szCs w:val="24"/>
        </w:rPr>
        <w:t>van het nut van deze veranderingen, waar</w:t>
      </w:r>
      <w:r w:rsidR="00BB0A2D">
        <w:rPr>
          <w:rFonts w:ascii="Times New Roman" w:hAnsi="Times New Roman" w:cs="Times New Roman"/>
          <w:sz w:val="24"/>
          <w:szCs w:val="24"/>
        </w:rPr>
        <w:t>bij</w:t>
      </w:r>
      <w:r w:rsidRPr="00D147A7">
        <w:rPr>
          <w:rFonts w:ascii="Times New Roman" w:hAnsi="Times New Roman" w:cs="Times New Roman"/>
          <w:sz w:val="24"/>
          <w:szCs w:val="24"/>
        </w:rPr>
        <w:t xml:space="preserve"> de inhoud en prioriteiten samen overeengekomen moet</w:t>
      </w:r>
      <w:r w:rsidR="00BB0A2D">
        <w:rPr>
          <w:rFonts w:ascii="Times New Roman" w:hAnsi="Times New Roman" w:cs="Times New Roman"/>
          <w:sz w:val="24"/>
          <w:szCs w:val="24"/>
        </w:rPr>
        <w:t>en</w:t>
      </w:r>
      <w:r w:rsidRPr="00D147A7">
        <w:rPr>
          <w:rFonts w:ascii="Times New Roman" w:hAnsi="Times New Roman" w:cs="Times New Roman"/>
          <w:sz w:val="24"/>
          <w:szCs w:val="24"/>
        </w:rPr>
        <w:t xml:space="preserve"> worden; opleidingen</w:t>
      </w:r>
      <w:r w:rsidR="00BB0A2D" w:rsidRPr="00BB0A2D">
        <w:rPr>
          <w:rFonts w:ascii="Times New Roman" w:hAnsi="Times New Roman" w:cs="Times New Roman"/>
          <w:sz w:val="24"/>
          <w:szCs w:val="24"/>
        </w:rPr>
        <w:t xml:space="preserve"> </w:t>
      </w:r>
      <w:r w:rsidR="00BB0A2D" w:rsidRPr="00D147A7">
        <w:rPr>
          <w:rFonts w:ascii="Times New Roman" w:hAnsi="Times New Roman" w:cs="Times New Roman"/>
          <w:sz w:val="24"/>
          <w:szCs w:val="24"/>
        </w:rPr>
        <w:t>verzorgen</w:t>
      </w:r>
      <w:r w:rsidRPr="00D147A7">
        <w:rPr>
          <w:rFonts w:ascii="Times New Roman" w:hAnsi="Times New Roman" w:cs="Times New Roman"/>
          <w:sz w:val="24"/>
          <w:szCs w:val="24"/>
        </w:rPr>
        <w:t>; etc.</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left="708"/>
        <w:jc w:val="both"/>
        <w:rPr>
          <w:rFonts w:ascii="Times New Roman" w:hAnsi="Times New Roman" w:cs="Times New Roman"/>
          <w:sz w:val="24"/>
          <w:szCs w:val="24"/>
        </w:rPr>
      </w:pPr>
      <w:r w:rsidRPr="00D147A7">
        <w:rPr>
          <w:rFonts w:ascii="Times New Roman" w:hAnsi="Times New Roman" w:cs="Times New Roman"/>
          <w:sz w:val="24"/>
          <w:szCs w:val="24"/>
        </w:rPr>
        <w:t xml:space="preserve">10. </w:t>
      </w:r>
      <w:r w:rsidRPr="00D147A7">
        <w:rPr>
          <w:rFonts w:ascii="Times New Roman" w:hAnsi="Times New Roman" w:cs="Times New Roman"/>
          <w:i/>
          <w:sz w:val="24"/>
          <w:szCs w:val="24"/>
        </w:rPr>
        <w:t>het organiseren van de samenwerking met andere overheidsinstanties, ongeacht hun overheidsniveau, die belast zijn met de coördinatie van de elektronische dienst</w:t>
      </w:r>
      <w:r w:rsidR="007528C0">
        <w:rPr>
          <w:rFonts w:ascii="Times New Roman" w:hAnsi="Times New Roman" w:cs="Times New Roman"/>
          <w:i/>
          <w:sz w:val="24"/>
          <w:szCs w:val="24"/>
        </w:rPr>
        <w:t>-</w:t>
      </w:r>
      <w:r w:rsidRPr="00D147A7">
        <w:rPr>
          <w:rFonts w:ascii="Times New Roman" w:hAnsi="Times New Roman" w:cs="Times New Roman"/>
          <w:i/>
          <w:sz w:val="24"/>
          <w:szCs w:val="24"/>
        </w:rPr>
        <w:t>verlening</w:t>
      </w:r>
      <w:r w:rsidRPr="00D147A7">
        <w:rPr>
          <w:rStyle w:val="Voetnootmarkering"/>
          <w:rFonts w:ascii="Times New Roman" w:hAnsi="Times New Roman" w:cs="Times New Roman"/>
          <w:sz w:val="24"/>
          <w:szCs w:val="24"/>
        </w:rPr>
        <w:footnoteReference w:id="489"/>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Door gebruik te maken van diensten die door andere overheidsdiensten </w:t>
      </w:r>
      <w:r w:rsidR="00583AAB"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aangeboden, zoals de elektronische identiteitskaart, moet het warme water niet steeds heruitgevonden wor</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den. Om te vermijden dat burgers voor iedere toepassing met een ander elektronisch platform geconfronteerd zouden worden, is het de bedoeling dat zoveel mogelijk overheidsdiensten (op alle </w:t>
      </w:r>
      <w:r w:rsidR="00583AAB">
        <w:rPr>
          <w:rFonts w:ascii="Times New Roman" w:hAnsi="Times New Roman" w:cs="Times New Roman"/>
          <w:sz w:val="24"/>
          <w:szCs w:val="24"/>
        </w:rPr>
        <w:t>beleids</w:t>
      </w:r>
      <w:r w:rsidRPr="00D147A7">
        <w:rPr>
          <w:rFonts w:ascii="Times New Roman" w:hAnsi="Times New Roman" w:cs="Times New Roman"/>
          <w:sz w:val="24"/>
          <w:szCs w:val="24"/>
        </w:rPr>
        <w:t>niveaus) hun toepassingen voor de zorgsector via het eHealth-platform ter beschik</w:t>
      </w:r>
      <w:r w:rsidR="009B6657">
        <w:rPr>
          <w:rFonts w:ascii="Times New Roman" w:hAnsi="Times New Roman" w:cs="Times New Roman"/>
          <w:sz w:val="24"/>
          <w:szCs w:val="24"/>
        </w:rPr>
        <w:t>-</w:t>
      </w:r>
      <w:r w:rsidRPr="00D147A7">
        <w:rPr>
          <w:rFonts w:ascii="Times New Roman" w:hAnsi="Times New Roman" w:cs="Times New Roman"/>
          <w:sz w:val="24"/>
          <w:szCs w:val="24"/>
        </w:rPr>
        <w:t>king stellen. Bovendien wordt het Belgische samenwerkingsplatform zoveel mogelijk op bui</w:t>
      </w:r>
      <w:r w:rsidR="009B6657">
        <w:rPr>
          <w:rFonts w:ascii="Times New Roman" w:hAnsi="Times New Roman" w:cs="Times New Roman"/>
          <w:sz w:val="24"/>
          <w:szCs w:val="24"/>
        </w:rPr>
        <w:t>-</w:t>
      </w:r>
      <w:r w:rsidRPr="00D147A7">
        <w:rPr>
          <w:rFonts w:ascii="Times New Roman" w:hAnsi="Times New Roman" w:cs="Times New Roman"/>
          <w:sz w:val="24"/>
          <w:szCs w:val="24"/>
        </w:rPr>
        <w:t>tenlandse samenwerkingsplatformen afgestem</w:t>
      </w:r>
      <w:r w:rsidR="00AF492F">
        <w:rPr>
          <w:rFonts w:ascii="Times New Roman" w:hAnsi="Times New Roman" w:cs="Times New Roman"/>
          <w:sz w:val="24"/>
          <w:szCs w:val="24"/>
        </w:rPr>
        <w:t>d.</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3: Gemeenschappen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eHealth is een onderdeel van het federale eGovernment-beleid. Maar omdat de gezondheids</w:t>
      </w:r>
      <w:r w:rsidR="008067E0">
        <w:rPr>
          <w:rFonts w:ascii="Times New Roman" w:hAnsi="Times New Roman" w:cs="Times New Roman"/>
          <w:sz w:val="24"/>
          <w:szCs w:val="24"/>
        </w:rPr>
        <w:t>-</w:t>
      </w:r>
      <w:r w:rsidRPr="00D147A7">
        <w:rPr>
          <w:rFonts w:ascii="Times New Roman" w:hAnsi="Times New Roman" w:cs="Times New Roman"/>
          <w:sz w:val="24"/>
          <w:szCs w:val="24"/>
        </w:rPr>
        <w:t>zorg in België geen exclusieve bevoegdheid is, moeten de verschillende bestuursniveaus met elkaar samenwerken. Zo kan eHealth onder meer voor preventie worden aangewend</w:t>
      </w:r>
      <w:r w:rsidRPr="00D147A7">
        <w:rPr>
          <w:rStyle w:val="Voetnootmarkering"/>
          <w:rFonts w:ascii="Times New Roman" w:hAnsi="Times New Roman" w:cs="Times New Roman"/>
          <w:sz w:val="24"/>
          <w:szCs w:val="24"/>
        </w:rPr>
        <w:footnoteReference w:id="490"/>
      </w:r>
      <w:r w:rsidRPr="00D147A7">
        <w:rPr>
          <w:rFonts w:ascii="Times New Roman" w:hAnsi="Times New Roman" w:cs="Times New Roman"/>
          <w:sz w:val="24"/>
          <w:szCs w:val="24"/>
        </w:rPr>
        <w:t xml:space="preserve">, wat in </w:t>
      </w:r>
      <w:r w:rsidRPr="00D147A7">
        <w:rPr>
          <w:rFonts w:ascii="Times New Roman" w:hAnsi="Times New Roman" w:cs="Times New Roman"/>
          <w:sz w:val="24"/>
          <w:szCs w:val="24"/>
        </w:rPr>
        <w:lastRenderedPageBreak/>
        <w:t>1980 naar de gemeenschappen overgeheveld werd.</w:t>
      </w:r>
      <w:r w:rsidRPr="00D147A7">
        <w:rPr>
          <w:rStyle w:val="Voetnootmarkering"/>
          <w:rFonts w:ascii="Times New Roman" w:hAnsi="Times New Roman" w:cs="Times New Roman"/>
          <w:sz w:val="24"/>
          <w:szCs w:val="24"/>
        </w:rPr>
        <w:footnoteReference w:id="491"/>
      </w:r>
      <w:r w:rsidRPr="00D147A7">
        <w:rPr>
          <w:rFonts w:ascii="Times New Roman" w:hAnsi="Times New Roman" w:cs="Times New Roman"/>
          <w:sz w:val="24"/>
          <w:szCs w:val="24"/>
        </w:rPr>
        <w:t xml:space="preserve"> Het Kankerregister is een concreet voorbeeld. De behandeling van kanker is een bevoegdheid van de federale overheid, terwijl de preventie ervan aan de gemeenschappen toebehoort.</w:t>
      </w:r>
      <w:r w:rsidRPr="00D147A7">
        <w:rPr>
          <w:rStyle w:val="Voetnootmarkering"/>
          <w:rFonts w:ascii="Times New Roman" w:hAnsi="Times New Roman" w:cs="Times New Roman"/>
          <w:sz w:val="24"/>
          <w:szCs w:val="24"/>
        </w:rPr>
        <w:footnoteReference w:id="492"/>
      </w:r>
      <w:r w:rsidRPr="00D147A7">
        <w:rPr>
          <w:rFonts w:ascii="Times New Roman" w:hAnsi="Times New Roman" w:cs="Times New Roman"/>
          <w:sz w:val="24"/>
          <w:szCs w:val="24"/>
        </w:rPr>
        <w:t xml:space="preserve"> Daar</w:t>
      </w:r>
      <w:r w:rsidR="007823BD">
        <w:rPr>
          <w:rFonts w:ascii="Times New Roman" w:hAnsi="Times New Roman" w:cs="Times New Roman"/>
          <w:sz w:val="24"/>
          <w:szCs w:val="24"/>
        </w:rPr>
        <w:t>om</w:t>
      </w:r>
      <w:r w:rsidRPr="00D147A7">
        <w:rPr>
          <w:rFonts w:ascii="Times New Roman" w:hAnsi="Times New Roman" w:cs="Times New Roman"/>
          <w:sz w:val="24"/>
          <w:szCs w:val="24"/>
        </w:rPr>
        <w:t xml:space="preserve"> hebben de federale overheid en de Vlaamse </w:t>
      </w:r>
      <w:r w:rsidR="008067E0">
        <w:rPr>
          <w:rFonts w:ascii="Times New Roman" w:hAnsi="Times New Roman" w:cs="Times New Roman"/>
          <w:sz w:val="24"/>
          <w:szCs w:val="24"/>
        </w:rPr>
        <w:t>G</w:t>
      </w:r>
      <w:r w:rsidRPr="00D147A7">
        <w:rPr>
          <w:rFonts w:ascii="Times New Roman" w:hAnsi="Times New Roman" w:cs="Times New Roman"/>
          <w:sz w:val="24"/>
          <w:szCs w:val="24"/>
        </w:rPr>
        <w:t>emeenschap een protocolakkoord tot samenwerking gesloten.</w:t>
      </w:r>
      <w:r w:rsidRPr="00D147A7">
        <w:rPr>
          <w:rStyle w:val="Voetnootmarkering"/>
          <w:rFonts w:ascii="Times New Roman" w:hAnsi="Times New Roman" w:cs="Times New Roman"/>
          <w:sz w:val="24"/>
          <w:szCs w:val="24"/>
        </w:rPr>
        <w:footnoteReference w:id="493"/>
      </w:r>
      <w:r w:rsidRPr="00D147A7">
        <w:rPr>
          <w:rFonts w:ascii="Times New Roman" w:hAnsi="Times New Roman" w:cs="Times New Roman"/>
          <w:sz w:val="24"/>
          <w:szCs w:val="24"/>
        </w:rPr>
        <w:t xml:space="preserve"> Inmiddels gebeurt de invoer </w:t>
      </w:r>
      <w:r w:rsidR="007823BD" w:rsidRPr="00D147A7">
        <w:rPr>
          <w:rFonts w:ascii="Times New Roman" w:hAnsi="Times New Roman" w:cs="Times New Roman"/>
          <w:sz w:val="24"/>
          <w:szCs w:val="24"/>
        </w:rPr>
        <w:t xml:space="preserve">in </w:t>
      </w:r>
      <w:r w:rsidRPr="00D147A7">
        <w:rPr>
          <w:rFonts w:ascii="Times New Roman" w:hAnsi="Times New Roman" w:cs="Times New Roman"/>
          <w:sz w:val="24"/>
          <w:szCs w:val="24"/>
        </w:rPr>
        <w:t>en raadpleging van kankergegevens</w:t>
      </w:r>
      <w:r w:rsidR="007823BD" w:rsidRPr="00D147A7">
        <w:rPr>
          <w:rFonts w:ascii="Times New Roman" w:hAnsi="Times New Roman" w:cs="Times New Roman"/>
          <w:sz w:val="24"/>
          <w:szCs w:val="24"/>
        </w:rPr>
        <w:t>, die als basis voor het preventie</w:t>
      </w:r>
      <w:r w:rsidR="007823BD">
        <w:rPr>
          <w:rFonts w:ascii="Times New Roman" w:hAnsi="Times New Roman" w:cs="Times New Roman"/>
          <w:sz w:val="24"/>
          <w:szCs w:val="24"/>
        </w:rPr>
        <w:t>-</w:t>
      </w:r>
      <w:r w:rsidR="007823BD" w:rsidRPr="00D147A7">
        <w:rPr>
          <w:rFonts w:ascii="Times New Roman" w:hAnsi="Times New Roman" w:cs="Times New Roman"/>
          <w:sz w:val="24"/>
          <w:szCs w:val="24"/>
        </w:rPr>
        <w:t>beleid dienen,</w:t>
      </w:r>
      <w:r w:rsidR="007823BD">
        <w:rPr>
          <w:rFonts w:ascii="Times New Roman" w:hAnsi="Times New Roman" w:cs="Times New Roman"/>
          <w:sz w:val="24"/>
          <w:szCs w:val="24"/>
        </w:rPr>
        <w:t xml:space="preserve"> in </w:t>
      </w:r>
      <w:r w:rsidR="007823BD" w:rsidRPr="00D147A7">
        <w:rPr>
          <w:rFonts w:ascii="Times New Roman" w:hAnsi="Times New Roman" w:cs="Times New Roman"/>
          <w:sz w:val="24"/>
          <w:szCs w:val="24"/>
        </w:rPr>
        <w:t>het centraal Kankerregister</w:t>
      </w:r>
      <w:r w:rsidRPr="00D147A7">
        <w:rPr>
          <w:rFonts w:ascii="Times New Roman" w:hAnsi="Times New Roman" w:cs="Times New Roman"/>
          <w:sz w:val="24"/>
          <w:szCs w:val="24"/>
        </w:rPr>
        <w:t xml:space="preserve"> via het eHealth-platform.</w:t>
      </w:r>
      <w:r w:rsidRPr="00D147A7">
        <w:rPr>
          <w:rStyle w:val="Voetnootmarkering"/>
          <w:rFonts w:ascii="Times New Roman" w:hAnsi="Times New Roman" w:cs="Times New Roman"/>
          <w:sz w:val="24"/>
          <w:szCs w:val="24"/>
        </w:rPr>
        <w:footnoteReference w:id="494"/>
      </w:r>
      <w:r w:rsidRPr="00D147A7">
        <w:rPr>
          <w:rFonts w:ascii="Times New Roman" w:hAnsi="Times New Roman" w:cs="Times New Roman"/>
          <w:sz w:val="24"/>
          <w:szCs w:val="24"/>
        </w:rPr>
        <w:t xml:space="preserve"> Door de complexe bevoegdheidsverdeling inzake de gezondheidszorg worden de verschillende overheden in België niet alleen aangespoord om de handen in elkaar te slaan</w:t>
      </w:r>
      <w:r w:rsidRPr="00D147A7">
        <w:rPr>
          <w:rStyle w:val="Voetnootmarkering"/>
          <w:rFonts w:ascii="Times New Roman" w:hAnsi="Times New Roman" w:cs="Times New Roman"/>
          <w:sz w:val="24"/>
          <w:szCs w:val="24"/>
        </w:rPr>
        <w:footnoteReference w:id="495"/>
      </w:r>
      <w:r w:rsidRPr="00D147A7">
        <w:rPr>
          <w:rFonts w:ascii="Times New Roman" w:hAnsi="Times New Roman" w:cs="Times New Roman"/>
          <w:sz w:val="24"/>
          <w:szCs w:val="24"/>
        </w:rPr>
        <w:t>; ook op gemeenschaps</w:t>
      </w:r>
      <w:r w:rsidR="007823BD">
        <w:rPr>
          <w:rFonts w:ascii="Times New Roman" w:hAnsi="Times New Roman" w:cs="Times New Roman"/>
          <w:sz w:val="24"/>
          <w:szCs w:val="24"/>
        </w:rPr>
        <w:t>-</w:t>
      </w:r>
      <w:r w:rsidRPr="00D147A7">
        <w:rPr>
          <w:rFonts w:ascii="Times New Roman" w:hAnsi="Times New Roman" w:cs="Times New Roman"/>
          <w:sz w:val="24"/>
          <w:szCs w:val="24"/>
        </w:rPr>
        <w:t>niveau worden platformen voor de elektronische uitwisseling van gezondheidsgegevens ont</w:t>
      </w:r>
      <w:r w:rsidR="009B6657">
        <w:rPr>
          <w:rFonts w:ascii="Times New Roman" w:hAnsi="Times New Roman" w:cs="Times New Roman"/>
          <w:sz w:val="24"/>
          <w:szCs w:val="24"/>
        </w:rPr>
        <w:t>-</w:t>
      </w:r>
      <w:r w:rsidRPr="00D147A7">
        <w:rPr>
          <w:rFonts w:ascii="Times New Roman" w:hAnsi="Times New Roman" w:cs="Times New Roman"/>
          <w:sz w:val="24"/>
          <w:szCs w:val="24"/>
        </w:rPr>
        <w:t>wikkeld.</w:t>
      </w:r>
      <w:r w:rsidRPr="00D147A7">
        <w:rPr>
          <w:rStyle w:val="Voetnootmarkering"/>
          <w:rFonts w:ascii="Times New Roman" w:hAnsi="Times New Roman" w:cs="Times New Roman"/>
          <w:sz w:val="24"/>
          <w:szCs w:val="24"/>
        </w:rPr>
        <w:footnoteReference w:id="496"/>
      </w:r>
      <w:r w:rsidRPr="00D147A7">
        <w:rPr>
          <w:rFonts w:ascii="Times New Roman" w:hAnsi="Times New Roman" w:cs="Times New Roman"/>
          <w:sz w:val="24"/>
          <w:szCs w:val="24"/>
        </w:rPr>
        <w:t xml:space="preserve"> Simultaan met de federale regering – en met dezelfde beweegredenen – richtte de Vlaamse regering in 2006 het gezondheidsinformatiesysteem op.</w:t>
      </w:r>
      <w:r w:rsidRPr="00D147A7">
        <w:rPr>
          <w:rStyle w:val="Voetnootmarkering"/>
          <w:rFonts w:ascii="Times New Roman" w:hAnsi="Times New Roman" w:cs="Times New Roman"/>
          <w:sz w:val="24"/>
          <w:szCs w:val="24"/>
        </w:rPr>
        <w:footnoteReference w:id="497"/>
      </w:r>
      <w:r w:rsidRPr="00D147A7">
        <w:rPr>
          <w:rFonts w:ascii="Times New Roman" w:hAnsi="Times New Roman" w:cs="Times New Roman"/>
          <w:sz w:val="24"/>
          <w:szCs w:val="24"/>
        </w:rPr>
        <w:t xml:space="preserve"> Naar analogie met het BeHealth-project werd dit project ook wel FlaHealth (of VlaHealth) genoemd.</w:t>
      </w:r>
      <w:r w:rsidRPr="00D147A7">
        <w:rPr>
          <w:rStyle w:val="Voetnootmarkering"/>
          <w:rFonts w:ascii="Times New Roman" w:hAnsi="Times New Roman" w:cs="Times New Roman"/>
          <w:sz w:val="24"/>
          <w:szCs w:val="24"/>
        </w:rPr>
        <w:footnoteReference w:id="498"/>
      </w:r>
      <w:r w:rsidRPr="00D147A7">
        <w:rPr>
          <w:rFonts w:ascii="Times New Roman" w:hAnsi="Times New Roman" w:cs="Times New Roman"/>
          <w:sz w:val="24"/>
          <w:szCs w:val="24"/>
        </w:rPr>
        <w:t xml:space="preserve"> Het gezond</w:t>
      </w:r>
      <w:r w:rsidR="007823BD">
        <w:rPr>
          <w:rFonts w:ascii="Times New Roman" w:hAnsi="Times New Roman" w:cs="Times New Roman"/>
          <w:sz w:val="24"/>
          <w:szCs w:val="24"/>
        </w:rPr>
        <w:t>-</w:t>
      </w:r>
      <w:r w:rsidRPr="00D147A7">
        <w:rPr>
          <w:rFonts w:ascii="Times New Roman" w:hAnsi="Times New Roman" w:cs="Times New Roman"/>
          <w:sz w:val="24"/>
          <w:szCs w:val="24"/>
        </w:rPr>
        <w:t>heidsinformatiesysteem bestond uit twee dimensies: een operationeel en een epidemiologisch informatiesysteem. Terwijl het operationeel informatiesysteem de continuïteit en de kwaliteit van de zorgverlening beoogde te optimaliseren, was het epidemiologisch systeem eerder inge</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richt op de ondersteuning, evaluatie en bijsturing van het gezondheidsbeleid. De effectieve </w:t>
      </w:r>
      <w:r w:rsidRPr="00D147A7">
        <w:rPr>
          <w:rFonts w:ascii="Times New Roman" w:hAnsi="Times New Roman" w:cs="Times New Roman"/>
          <w:sz w:val="24"/>
          <w:szCs w:val="24"/>
        </w:rPr>
        <w:lastRenderedPageBreak/>
        <w:t>oprichting van het gezondheidsinformatiesysteem struikelde – ondanks de medewerking van Frank Robben</w:t>
      </w:r>
      <w:r w:rsidRPr="00D147A7">
        <w:rPr>
          <w:rStyle w:val="Voetnootmarkering"/>
          <w:rFonts w:ascii="Times New Roman" w:hAnsi="Times New Roman" w:cs="Times New Roman"/>
          <w:sz w:val="24"/>
          <w:szCs w:val="24"/>
        </w:rPr>
        <w:footnoteReference w:id="499"/>
      </w:r>
      <w:r w:rsidRPr="00D147A7">
        <w:rPr>
          <w:rFonts w:ascii="Times New Roman" w:hAnsi="Times New Roman" w:cs="Times New Roman"/>
          <w:sz w:val="24"/>
          <w:szCs w:val="24"/>
        </w:rPr>
        <w:t xml:space="preserve"> –</w:t>
      </w:r>
      <w:r w:rsidR="007823BD">
        <w:rPr>
          <w:rFonts w:ascii="Times New Roman" w:hAnsi="Times New Roman" w:cs="Times New Roman"/>
          <w:sz w:val="24"/>
          <w:szCs w:val="24"/>
        </w:rPr>
        <w:t xml:space="preserve"> </w:t>
      </w:r>
      <w:r w:rsidRPr="00D147A7">
        <w:rPr>
          <w:rFonts w:ascii="Times New Roman" w:hAnsi="Times New Roman" w:cs="Times New Roman"/>
          <w:sz w:val="24"/>
          <w:szCs w:val="24"/>
        </w:rPr>
        <w:t>over de ongunstige adviezen van de Privacycommissie</w:t>
      </w:r>
      <w:r w:rsidRPr="00D147A7">
        <w:rPr>
          <w:rStyle w:val="Voetnootmarkering"/>
          <w:rFonts w:ascii="Times New Roman" w:hAnsi="Times New Roman" w:cs="Times New Roman"/>
          <w:sz w:val="24"/>
          <w:szCs w:val="24"/>
        </w:rPr>
        <w:footnoteReference w:id="500"/>
      </w:r>
      <w:r w:rsidRPr="00D147A7">
        <w:rPr>
          <w:rFonts w:ascii="Times New Roman" w:hAnsi="Times New Roman" w:cs="Times New Roman"/>
          <w:sz w:val="24"/>
          <w:szCs w:val="24"/>
        </w:rPr>
        <w:t xml:space="preserve"> en de Nationale Raad van de Orde der geneesheren</w:t>
      </w:r>
      <w:r w:rsidRPr="00D147A7">
        <w:rPr>
          <w:rStyle w:val="Voetnootmarkering"/>
          <w:rFonts w:ascii="Times New Roman" w:hAnsi="Times New Roman" w:cs="Times New Roman"/>
          <w:sz w:val="24"/>
          <w:szCs w:val="24"/>
        </w:rPr>
        <w:footnoteReference w:id="501"/>
      </w:r>
      <w:r w:rsidRPr="00D147A7">
        <w:rPr>
          <w:rFonts w:ascii="Times New Roman" w:hAnsi="Times New Roman" w:cs="Times New Roman"/>
          <w:sz w:val="24"/>
          <w:szCs w:val="24"/>
        </w:rPr>
        <w:t xml:space="preserve"> en, belangrijker, over een arrest van het Grondwettelijk Hof.</w:t>
      </w:r>
      <w:r w:rsidRPr="00D147A7">
        <w:rPr>
          <w:rStyle w:val="Voetnootmarkering"/>
          <w:rFonts w:ascii="Times New Roman" w:hAnsi="Times New Roman" w:cs="Times New Roman"/>
          <w:sz w:val="24"/>
          <w:szCs w:val="24"/>
        </w:rPr>
        <w:footnoteReference w:id="502"/>
      </w:r>
      <w:r w:rsidRPr="00D147A7">
        <w:rPr>
          <w:rFonts w:ascii="Times New Roman" w:hAnsi="Times New Roman" w:cs="Times New Roman"/>
          <w:sz w:val="24"/>
          <w:szCs w:val="24"/>
        </w:rPr>
        <w:t xml:space="preserve"> Met het GIS-decreet schond de Vlaamse wetgever de bevoegdheidsverdeling en mis</w:t>
      </w:r>
      <w:r w:rsidR="007823BD">
        <w:rPr>
          <w:rFonts w:ascii="Times New Roman" w:hAnsi="Times New Roman" w:cs="Times New Roman"/>
          <w:sz w:val="24"/>
          <w:szCs w:val="24"/>
        </w:rPr>
        <w:t>-</w:t>
      </w:r>
      <w:r w:rsidRPr="00D147A7">
        <w:rPr>
          <w:rFonts w:ascii="Times New Roman" w:hAnsi="Times New Roman" w:cs="Times New Roman"/>
          <w:sz w:val="24"/>
          <w:szCs w:val="24"/>
        </w:rPr>
        <w:t xml:space="preserve">kende de voorwaarde van de schriftelijke toestemming van patiënten voor de verwerking van de hen betreffende </w:t>
      </w:r>
      <w:r w:rsidR="007823BD">
        <w:rPr>
          <w:rFonts w:ascii="Times New Roman" w:hAnsi="Times New Roman" w:cs="Times New Roman"/>
          <w:sz w:val="24"/>
          <w:szCs w:val="24"/>
        </w:rPr>
        <w:t>gezondheids</w:t>
      </w:r>
      <w:r w:rsidRPr="00D147A7">
        <w:rPr>
          <w:rFonts w:ascii="Times New Roman" w:hAnsi="Times New Roman" w:cs="Times New Roman"/>
          <w:sz w:val="24"/>
          <w:szCs w:val="24"/>
        </w:rPr>
        <w:t xml:space="preserve">gegevens. Een aantal bepalingen van het bestreden decreet moesten aangepast worden, maar andermaal bleven de nodige uitvoeringsbesluiten uit. </w:t>
      </w:r>
    </w:p>
    <w:p w:rsidR="007823BD" w:rsidRDefault="007823BD"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Vlaamse Gemeenschap verliet het GIS-traject,</w:t>
      </w:r>
      <w:r w:rsidRPr="00D147A7">
        <w:rPr>
          <w:rFonts w:ascii="Times New Roman" w:hAnsi="Times New Roman" w:cs="Times New Roman"/>
          <w:i/>
          <w:sz w:val="24"/>
          <w:szCs w:val="24"/>
        </w:rPr>
        <w:t xml:space="preserve"> gelet op de intentie één informatiesysteem voor zowel gezondheids- als welzijnsinformatie te willen uitbouwen en gelet op het feit dat de principes van uitwisseling van gegevens die vervat zaten i</w:t>
      </w:r>
      <w:r w:rsidR="007823BD">
        <w:rPr>
          <w:rFonts w:ascii="Times New Roman" w:hAnsi="Times New Roman" w:cs="Times New Roman"/>
          <w:i/>
          <w:sz w:val="24"/>
          <w:szCs w:val="24"/>
        </w:rPr>
        <w:t>n het decreet op het gezondheids-</w:t>
      </w:r>
      <w:r w:rsidRPr="00D147A7">
        <w:rPr>
          <w:rFonts w:ascii="Times New Roman" w:hAnsi="Times New Roman" w:cs="Times New Roman"/>
          <w:i/>
          <w:sz w:val="24"/>
          <w:szCs w:val="24"/>
        </w:rPr>
        <w:t>informatiesysteem achterhaald werden door verbeteringen in de informatietechnologie</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03"/>
      </w:r>
      <w:r w:rsidRPr="00D147A7">
        <w:rPr>
          <w:rFonts w:ascii="Times New Roman" w:hAnsi="Times New Roman" w:cs="Times New Roman"/>
          <w:sz w:val="24"/>
          <w:szCs w:val="24"/>
        </w:rPr>
        <w:t xml:space="preserve"> Het wettelijke kader van het GIS-decreet voor de uitwisseling van persoonsgegevens binnen de gezondheidszorg en voor het genereren van essentiële beleidsinformatie werd als basis aan</w:t>
      </w:r>
      <w:r w:rsidR="005E3B3E">
        <w:rPr>
          <w:rFonts w:ascii="Times New Roman" w:hAnsi="Times New Roman" w:cs="Times New Roman"/>
          <w:sz w:val="24"/>
          <w:szCs w:val="24"/>
        </w:rPr>
        <w:t>-</w:t>
      </w:r>
      <w:r w:rsidRPr="00D147A7">
        <w:rPr>
          <w:rFonts w:ascii="Times New Roman" w:hAnsi="Times New Roman" w:cs="Times New Roman"/>
          <w:sz w:val="24"/>
          <w:szCs w:val="24"/>
        </w:rPr>
        <w:t>gewend voor het voorontwerp van het decreet betreffende het Platform voor gezondheids- en welzijnsinformatie dat Steven Vanackere in 2008 opstelde.</w:t>
      </w:r>
      <w:r w:rsidRPr="00D147A7">
        <w:rPr>
          <w:rStyle w:val="Voetnootmarkering"/>
          <w:rFonts w:ascii="Times New Roman" w:hAnsi="Times New Roman" w:cs="Times New Roman"/>
          <w:sz w:val="24"/>
          <w:szCs w:val="24"/>
        </w:rPr>
        <w:footnoteReference w:id="504"/>
      </w:r>
      <w:r w:rsidRPr="00D147A7">
        <w:rPr>
          <w:rFonts w:ascii="Times New Roman" w:hAnsi="Times New Roman" w:cs="Times New Roman"/>
          <w:sz w:val="24"/>
          <w:szCs w:val="24"/>
        </w:rPr>
        <w:t xml:space="preserve"> Hierin bepleitte de toenmalige Vlaamse Minister van Welzijn, Volksgezondheid en Gezin om, in nauwe samenwerking met het bestaande eHealth-platform, één informatie-uitwisselingsplatform voor de zorg- én wel</w:t>
      </w:r>
      <w:r w:rsidR="005E3B3E">
        <w:rPr>
          <w:rFonts w:ascii="Times New Roman" w:hAnsi="Times New Roman" w:cs="Times New Roman"/>
          <w:sz w:val="24"/>
          <w:szCs w:val="24"/>
        </w:rPr>
        <w:t>-</w:t>
      </w:r>
      <w:r w:rsidRPr="00D147A7">
        <w:rPr>
          <w:rFonts w:ascii="Times New Roman" w:hAnsi="Times New Roman" w:cs="Times New Roman"/>
          <w:sz w:val="24"/>
          <w:szCs w:val="24"/>
        </w:rPr>
        <w:t>zijnssector op te richten.</w:t>
      </w:r>
      <w:r w:rsidRPr="00D147A7">
        <w:rPr>
          <w:rStyle w:val="Voetnootmarkering"/>
          <w:rFonts w:ascii="Times New Roman" w:hAnsi="Times New Roman" w:cs="Times New Roman"/>
          <w:sz w:val="24"/>
          <w:szCs w:val="24"/>
        </w:rPr>
        <w:footnoteReference w:id="505"/>
      </w:r>
      <w:r w:rsidRPr="00D147A7">
        <w:rPr>
          <w:rFonts w:ascii="Times New Roman" w:hAnsi="Times New Roman" w:cs="Times New Roman"/>
          <w:sz w:val="24"/>
          <w:szCs w:val="24"/>
        </w:rPr>
        <w:t xml:space="preserve"> Hoewel de tekst in het verlengde van het gezondheidsinformatie</w:t>
      </w:r>
      <w:r w:rsidR="005E3B3E">
        <w:rPr>
          <w:rFonts w:ascii="Times New Roman" w:hAnsi="Times New Roman" w:cs="Times New Roman"/>
          <w:sz w:val="24"/>
          <w:szCs w:val="24"/>
        </w:rPr>
        <w:t>-</w:t>
      </w:r>
      <w:r w:rsidRPr="00D147A7">
        <w:rPr>
          <w:rFonts w:ascii="Times New Roman" w:hAnsi="Times New Roman" w:cs="Times New Roman"/>
          <w:sz w:val="24"/>
          <w:szCs w:val="24"/>
        </w:rPr>
        <w:t>systeem ligt, had de Privacycommissie nog steeds 27 punten van kritiek op dit nieuwe wets</w:t>
      </w:r>
      <w:r w:rsidR="009B6657">
        <w:rPr>
          <w:rFonts w:ascii="Times New Roman" w:hAnsi="Times New Roman" w:cs="Times New Roman"/>
          <w:sz w:val="24"/>
          <w:szCs w:val="24"/>
        </w:rPr>
        <w:t>-</w:t>
      </w:r>
      <w:r w:rsidRPr="00D147A7">
        <w:rPr>
          <w:rFonts w:ascii="Times New Roman" w:hAnsi="Times New Roman" w:cs="Times New Roman"/>
          <w:sz w:val="24"/>
          <w:szCs w:val="24"/>
        </w:rPr>
        <w:t>voorstel.</w:t>
      </w:r>
      <w:r w:rsidRPr="00D147A7">
        <w:rPr>
          <w:rStyle w:val="Voetnootmarkering"/>
          <w:rFonts w:ascii="Times New Roman" w:hAnsi="Times New Roman" w:cs="Times New Roman"/>
          <w:sz w:val="24"/>
          <w:szCs w:val="24"/>
        </w:rPr>
        <w:footnoteReference w:id="506"/>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Opnieuw werd voor een dubbel – operationeel en beleidsondersteunend (i.p.v. epidemiolo</w:t>
      </w:r>
      <w:r w:rsidR="009B6657">
        <w:rPr>
          <w:rFonts w:ascii="Times New Roman" w:hAnsi="Times New Roman" w:cs="Times New Roman"/>
          <w:sz w:val="24"/>
          <w:szCs w:val="24"/>
        </w:rPr>
        <w:t>-</w:t>
      </w:r>
      <w:r w:rsidRPr="00D147A7">
        <w:rPr>
          <w:rFonts w:ascii="Times New Roman" w:hAnsi="Times New Roman" w:cs="Times New Roman"/>
          <w:sz w:val="24"/>
          <w:szCs w:val="24"/>
        </w:rPr>
        <w:t>gisch) – platform gekozen.</w:t>
      </w:r>
      <w:r w:rsidRPr="00D147A7">
        <w:rPr>
          <w:rStyle w:val="Voetnootmarkering"/>
          <w:rFonts w:ascii="Times New Roman" w:hAnsi="Times New Roman" w:cs="Times New Roman"/>
          <w:sz w:val="24"/>
          <w:szCs w:val="24"/>
        </w:rPr>
        <w:footnoteReference w:id="507"/>
      </w:r>
      <w:r w:rsidRPr="00D147A7">
        <w:rPr>
          <w:rFonts w:ascii="Times New Roman" w:hAnsi="Times New Roman" w:cs="Times New Roman"/>
          <w:sz w:val="24"/>
          <w:szCs w:val="24"/>
        </w:rPr>
        <w:t xml:space="preserve"> Het operationeel platform zal door een Vlaams extern verzelf</w:t>
      </w:r>
      <w:r w:rsidR="009A5995">
        <w:rPr>
          <w:rFonts w:ascii="Times New Roman" w:hAnsi="Times New Roman" w:cs="Times New Roman"/>
          <w:sz w:val="24"/>
          <w:szCs w:val="24"/>
        </w:rPr>
        <w:t>-</w:t>
      </w:r>
      <w:r w:rsidRPr="00D147A7">
        <w:rPr>
          <w:rFonts w:ascii="Times New Roman" w:hAnsi="Times New Roman" w:cs="Times New Roman"/>
          <w:sz w:val="24"/>
          <w:szCs w:val="24"/>
        </w:rPr>
        <w:t>standigd agentschap met privaatrechtelijke structuur beheerd worden en dient de samenwerk</w:t>
      </w:r>
      <w:r w:rsidR="009B6657">
        <w:rPr>
          <w:rFonts w:ascii="Times New Roman" w:hAnsi="Times New Roman" w:cs="Times New Roman"/>
          <w:sz w:val="24"/>
          <w:szCs w:val="24"/>
        </w:rPr>
        <w:t>-</w:t>
      </w:r>
      <w:r w:rsidRPr="00D147A7">
        <w:rPr>
          <w:rFonts w:ascii="Times New Roman" w:hAnsi="Times New Roman" w:cs="Times New Roman"/>
          <w:sz w:val="24"/>
          <w:szCs w:val="24"/>
        </w:rPr>
        <w:t>ing op het vlak van gegevensuitwisseling te bevorderen en te regelen.</w:t>
      </w:r>
      <w:r w:rsidRPr="00D147A7">
        <w:rPr>
          <w:rStyle w:val="Voetnootmarkering"/>
          <w:rFonts w:ascii="Times New Roman" w:hAnsi="Times New Roman" w:cs="Times New Roman"/>
          <w:sz w:val="24"/>
          <w:szCs w:val="24"/>
        </w:rPr>
        <w:footnoteReference w:id="508"/>
      </w:r>
      <w:r w:rsidRPr="00D147A7">
        <w:rPr>
          <w:rFonts w:ascii="Times New Roman" w:hAnsi="Times New Roman" w:cs="Times New Roman"/>
          <w:sz w:val="24"/>
          <w:szCs w:val="24"/>
        </w:rPr>
        <w:t xml:space="preserve"> Iedere zorgverlener moet voor elke patiënt een individueel en gestandaardiseerd patiëntendossier met een aantal </w:t>
      </w:r>
      <w:r w:rsidRPr="00D147A7">
        <w:rPr>
          <w:rFonts w:ascii="Times New Roman" w:hAnsi="Times New Roman" w:cs="Times New Roman"/>
          <w:sz w:val="24"/>
          <w:szCs w:val="24"/>
        </w:rPr>
        <w:lastRenderedPageBreak/>
        <w:t>minimumgegevens bijhouden, al dan niet in elektronische vorm. Zorgverleners die hun patiëntendossiers op papier vastleggen, worden alsnog verplicht om een afzonderlijk elektro</w:t>
      </w:r>
      <w:r w:rsidR="009A5995">
        <w:rPr>
          <w:rFonts w:ascii="Times New Roman" w:hAnsi="Times New Roman" w:cs="Times New Roman"/>
          <w:sz w:val="24"/>
          <w:szCs w:val="24"/>
        </w:rPr>
        <w:t>-</w:t>
      </w:r>
      <w:r w:rsidRPr="00D147A7">
        <w:rPr>
          <w:rFonts w:ascii="Times New Roman" w:hAnsi="Times New Roman" w:cs="Times New Roman"/>
          <w:sz w:val="24"/>
          <w:szCs w:val="24"/>
        </w:rPr>
        <w:t>nisch dossier met basisgegevens aan te maken. Uit de verzamelde gegevens wordt in het be</w:t>
      </w:r>
      <w:r w:rsidR="009B6657">
        <w:rPr>
          <w:rFonts w:ascii="Times New Roman" w:hAnsi="Times New Roman" w:cs="Times New Roman"/>
          <w:sz w:val="24"/>
          <w:szCs w:val="24"/>
        </w:rPr>
        <w:t>-</w:t>
      </w:r>
      <w:r w:rsidRPr="00D147A7">
        <w:rPr>
          <w:rFonts w:ascii="Times New Roman" w:hAnsi="Times New Roman" w:cs="Times New Roman"/>
          <w:sz w:val="24"/>
          <w:szCs w:val="24"/>
        </w:rPr>
        <w:t>leidsondersteunend platform beleidsinformatie gegenereerd om zo de kwaliteit van de zorg</w:t>
      </w:r>
      <w:r w:rsidR="009A5995">
        <w:rPr>
          <w:rFonts w:ascii="Times New Roman" w:hAnsi="Times New Roman" w:cs="Times New Roman"/>
          <w:sz w:val="24"/>
          <w:szCs w:val="24"/>
        </w:rPr>
        <w:t>-</w:t>
      </w:r>
      <w:r w:rsidRPr="00D147A7">
        <w:rPr>
          <w:rFonts w:ascii="Times New Roman" w:hAnsi="Times New Roman" w:cs="Times New Roman"/>
          <w:sz w:val="24"/>
          <w:szCs w:val="24"/>
        </w:rPr>
        <w:t>verlening te blijven verzekeren. Het beleidsondersteunend platform werkt op basis van drie bestanden: het bronbestand, het intermediair bestand en het eindbestand. Het bronbestand is het agglomeraat van alle door individuele zorgverleners en verzorgingsinstellingen gecreëerde (elektronische) gezondheidsgegevens, die via ‘pseudo-identiteiten’ aan elkaar gelinkt worden. Vervolgens wordt het bronbestand naar een intermediaire organisatie doorgestuurd, alwaar de gegevens gecodeerd worden tot een intermediair bestand. Dit intermediaire bestand wordt ten</w:t>
      </w:r>
      <w:r w:rsidR="009B6657">
        <w:rPr>
          <w:rFonts w:ascii="Times New Roman" w:hAnsi="Times New Roman" w:cs="Times New Roman"/>
          <w:sz w:val="24"/>
          <w:szCs w:val="24"/>
        </w:rPr>
        <w:t>-</w:t>
      </w:r>
      <w:r w:rsidRPr="00D147A7">
        <w:rPr>
          <w:rFonts w:ascii="Times New Roman" w:hAnsi="Times New Roman" w:cs="Times New Roman"/>
          <w:sz w:val="24"/>
          <w:szCs w:val="24"/>
        </w:rPr>
        <w:t>slotte naar de administratie van het beleidsondersteunend platform doorgestuurd en wordt daar met een nieuwe cryptocode opnieuw vercijferd tot het eindbestand.</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 </w:t>
      </w:r>
    </w:p>
    <w:tbl>
      <w:tblPr>
        <w:tblW w:w="9513" w:type="dxa"/>
        <w:tblInd w:w="55" w:type="dxa"/>
        <w:tblCellMar>
          <w:left w:w="70" w:type="dxa"/>
          <w:right w:w="70" w:type="dxa"/>
        </w:tblCellMar>
        <w:tblLook w:val="04A0" w:firstRow="1" w:lastRow="0" w:firstColumn="1" w:lastColumn="0" w:noHBand="0" w:noVBand="1"/>
      </w:tblPr>
      <w:tblGrid>
        <w:gridCol w:w="2992"/>
        <w:gridCol w:w="3402"/>
        <w:gridCol w:w="3119"/>
      </w:tblGrid>
      <w:tr w:rsidR="009931C7" w:rsidRPr="00D147A7" w:rsidTr="004721B1">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color w:val="FFFFFF"/>
                <w:sz w:val="20"/>
                <w:szCs w:val="20"/>
                <w:lang w:eastAsia="nl-BE"/>
              </w:rPr>
            </w:pPr>
            <w:r w:rsidRPr="00D147A7">
              <w:rPr>
                <w:color w:val="FFFFFF"/>
                <w:sz w:val="20"/>
                <w:szCs w:val="20"/>
                <w:lang w:eastAsia="nl-BE"/>
              </w:rPr>
              <w:t> </w:t>
            </w:r>
          </w:p>
        </w:tc>
        <w:tc>
          <w:tcPr>
            <w:tcW w:w="3402"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Operationeel platform</w:t>
            </w:r>
          </w:p>
        </w:tc>
        <w:tc>
          <w:tcPr>
            <w:tcW w:w="3119"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smallCaps/>
                <w:color w:val="FFFFFF"/>
                <w:sz w:val="20"/>
                <w:szCs w:val="20"/>
                <w:lang w:eastAsia="nl-BE"/>
              </w:rPr>
            </w:pPr>
            <w:r w:rsidRPr="00D147A7">
              <w:rPr>
                <w:smallCaps/>
                <w:color w:val="FFFFFF"/>
                <w:sz w:val="20"/>
                <w:szCs w:val="20"/>
                <w:lang w:eastAsia="nl-BE"/>
              </w:rPr>
              <w:t>Beleidsondersteunend platform</w:t>
            </w:r>
          </w:p>
        </w:tc>
      </w:tr>
      <w:tr w:rsidR="009931C7" w:rsidRPr="00D147A7" w:rsidTr="004721B1">
        <w:trPr>
          <w:trHeight w:val="300"/>
        </w:trPr>
        <w:tc>
          <w:tcPr>
            <w:tcW w:w="2992" w:type="dxa"/>
            <w:tcBorders>
              <w:top w:val="nil"/>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smallCaps/>
                <w:color w:val="FFFFFF"/>
                <w:sz w:val="20"/>
                <w:szCs w:val="20"/>
                <w:lang w:eastAsia="nl-BE"/>
              </w:rPr>
            </w:pPr>
            <w:r w:rsidRPr="00D147A7">
              <w:rPr>
                <w:smallCaps/>
                <w:color w:val="FFFFFF"/>
                <w:sz w:val="20"/>
                <w:szCs w:val="20"/>
                <w:lang w:eastAsia="nl-BE"/>
              </w:rPr>
              <w:t>Verwerkte gegevens</w:t>
            </w:r>
          </w:p>
        </w:tc>
        <w:tc>
          <w:tcPr>
            <w:tcW w:w="340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Alleen niet-gecodeerde gegevens</w:t>
            </w:r>
          </w:p>
        </w:tc>
        <w:tc>
          <w:tcPr>
            <w:tcW w:w="3119"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Alleen gecodeerde gegevens</w:t>
            </w:r>
          </w:p>
        </w:tc>
      </w:tr>
      <w:tr w:rsidR="009931C7" w:rsidRPr="00D147A7" w:rsidTr="004721B1">
        <w:trPr>
          <w:trHeight w:val="300"/>
        </w:trPr>
        <w:tc>
          <w:tcPr>
            <w:tcW w:w="2992" w:type="dxa"/>
            <w:tcBorders>
              <w:top w:val="nil"/>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smallCaps/>
                <w:color w:val="FFFFFF"/>
                <w:sz w:val="20"/>
                <w:szCs w:val="20"/>
                <w:lang w:eastAsia="nl-BE"/>
              </w:rPr>
            </w:pPr>
            <w:r w:rsidRPr="00D147A7">
              <w:rPr>
                <w:smallCaps/>
                <w:color w:val="FFFFFF"/>
                <w:sz w:val="20"/>
                <w:szCs w:val="20"/>
                <w:lang w:eastAsia="nl-BE"/>
              </w:rPr>
              <w:t>Bewaarplaats</w:t>
            </w:r>
          </w:p>
        </w:tc>
        <w:tc>
          <w:tcPr>
            <w:tcW w:w="340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Decentraal, bij de individuele zorgverleners en verzorgingsinstellingen</w:t>
            </w:r>
          </w:p>
        </w:tc>
        <w:tc>
          <w:tcPr>
            <w:tcW w:w="3119"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Centraal, bij de administratie van het beleidsondersteunend platform</w:t>
            </w:r>
          </w:p>
        </w:tc>
      </w:tr>
      <w:tr w:rsidR="009931C7" w:rsidRPr="00D147A7" w:rsidTr="004721B1">
        <w:trPr>
          <w:trHeight w:val="300"/>
        </w:trPr>
        <w:tc>
          <w:tcPr>
            <w:tcW w:w="2992" w:type="dxa"/>
            <w:tcBorders>
              <w:top w:val="nil"/>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smallCaps/>
                <w:color w:val="FFFFFF"/>
                <w:sz w:val="20"/>
                <w:szCs w:val="20"/>
                <w:lang w:eastAsia="nl-BE"/>
              </w:rPr>
            </w:pPr>
            <w:r w:rsidRPr="00D147A7">
              <w:rPr>
                <w:smallCaps/>
                <w:color w:val="FFFFFF"/>
                <w:sz w:val="20"/>
                <w:szCs w:val="20"/>
                <w:lang w:eastAsia="nl-BE"/>
              </w:rPr>
              <w:t>Verantwoordelijke voor de opslag, inhoud en toegang</w:t>
            </w:r>
          </w:p>
        </w:tc>
        <w:tc>
          <w:tcPr>
            <w:tcW w:w="340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De individuele zorgverleners en verzorgingsinstellingen</w:t>
            </w:r>
          </w:p>
        </w:tc>
        <w:tc>
          <w:tcPr>
            <w:tcW w:w="3119"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Het beleidsondersteunend platform</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Tabel 5: Verschillen tussen het operationeel en beleidsondersteunend platform, de onderdelen van het platform voor gezondheids- en welzijnsinformatie van de Vlaamse Gemeenschap</w:t>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strategie van de Vlaamse overheid m.b.t. de informatie-uitwisseling in de zorg- en wel</w:t>
      </w:r>
      <w:r w:rsidR="00E80312">
        <w:rPr>
          <w:rFonts w:ascii="Times New Roman" w:hAnsi="Times New Roman" w:cs="Times New Roman"/>
          <w:sz w:val="24"/>
          <w:szCs w:val="24"/>
        </w:rPr>
        <w:t>-</w:t>
      </w:r>
      <w:r w:rsidRPr="00D147A7">
        <w:rPr>
          <w:rFonts w:ascii="Times New Roman" w:hAnsi="Times New Roman" w:cs="Times New Roman"/>
          <w:sz w:val="24"/>
          <w:szCs w:val="24"/>
        </w:rPr>
        <w:t>zijnssector is niet alleen maximaal op het federale eHealth-beleid afgestemd, Vlaanderen aspireert zelfs het mede-eigenaarschap van het eHealth-platform.</w:t>
      </w:r>
      <w:r w:rsidRPr="00D147A7">
        <w:rPr>
          <w:rStyle w:val="Voetnootmarkering"/>
          <w:rFonts w:ascii="Times New Roman" w:hAnsi="Times New Roman" w:cs="Times New Roman"/>
          <w:sz w:val="24"/>
          <w:szCs w:val="24"/>
        </w:rPr>
        <w:footnoteReference w:id="509"/>
      </w:r>
      <w:r w:rsidRPr="00D147A7">
        <w:rPr>
          <w:rFonts w:ascii="Times New Roman" w:hAnsi="Times New Roman" w:cs="Times New Roman"/>
          <w:sz w:val="24"/>
          <w:szCs w:val="24"/>
        </w:rPr>
        <w:t xml:space="preserve"> Dankzij Medega kunnen huisartsen op dit moment wel hun wachtdiensten via het eHealth-platform beheren, maar kun</w:t>
      </w:r>
      <w:r w:rsidR="009B6657">
        <w:rPr>
          <w:rFonts w:ascii="Times New Roman" w:hAnsi="Times New Roman" w:cs="Times New Roman"/>
          <w:sz w:val="24"/>
          <w:szCs w:val="24"/>
        </w:rPr>
        <w:t>-</w:t>
      </w:r>
      <w:r w:rsidRPr="00D147A7">
        <w:rPr>
          <w:rFonts w:ascii="Times New Roman" w:hAnsi="Times New Roman" w:cs="Times New Roman"/>
          <w:sz w:val="24"/>
          <w:szCs w:val="24"/>
        </w:rPr>
        <w:t>nen nog geen gegevens delen met andere zorgverleners. Vooralsnog kunnen enkel zorgverle</w:t>
      </w:r>
      <w:r w:rsidR="009B6657">
        <w:rPr>
          <w:rFonts w:ascii="Times New Roman" w:hAnsi="Times New Roman" w:cs="Times New Roman"/>
          <w:sz w:val="24"/>
          <w:szCs w:val="24"/>
        </w:rPr>
        <w:t>-</w:t>
      </w:r>
      <w:r w:rsidRPr="00D147A7">
        <w:rPr>
          <w:rFonts w:ascii="Times New Roman" w:hAnsi="Times New Roman" w:cs="Times New Roman"/>
          <w:sz w:val="24"/>
          <w:szCs w:val="24"/>
        </w:rPr>
        <w:t>ners die in ziekenhuizen werken gezondheidsgegevens met elkaar uitwisselen. Maar zolang de spil van de zorgverlening niet actief bij de uitwisseling van gezondheidsgegevens betrokken worden, worden de mogelijkheden van het eHealth-platform niet optimaal benut. Daarom is het momenteel de voornaamste prioriteit om extramurale zorgverleners (huisartsen, tandarts</w:t>
      </w:r>
      <w:r w:rsidR="009B6657">
        <w:rPr>
          <w:rFonts w:ascii="Times New Roman" w:hAnsi="Times New Roman" w:cs="Times New Roman"/>
          <w:sz w:val="24"/>
          <w:szCs w:val="24"/>
        </w:rPr>
        <w:t>-</w:t>
      </w:r>
      <w:r w:rsidRPr="00D147A7">
        <w:rPr>
          <w:rFonts w:ascii="Times New Roman" w:hAnsi="Times New Roman" w:cs="Times New Roman"/>
          <w:sz w:val="24"/>
          <w:szCs w:val="24"/>
        </w:rPr>
        <w:t>en, apothekers, kinesisten, thuisverplegers, diëtisten,…) en de diverse welzijnsinstellingen bij de gegevensuitwisseling te betrekken. Om dit te realiseren ontwikkelt de federale overheid – in nauw overleg met de gemeenschappen, meer bepaald met de Eerstelijns Gezondheidscon</w:t>
      </w:r>
      <w:r w:rsidR="009B6657">
        <w:rPr>
          <w:rFonts w:ascii="Times New Roman" w:hAnsi="Times New Roman" w:cs="Times New Roman"/>
          <w:sz w:val="24"/>
          <w:szCs w:val="24"/>
        </w:rPr>
        <w:t>-</w:t>
      </w:r>
      <w:r w:rsidRPr="00D147A7">
        <w:rPr>
          <w:rFonts w:ascii="Times New Roman" w:hAnsi="Times New Roman" w:cs="Times New Roman"/>
          <w:sz w:val="24"/>
          <w:szCs w:val="24"/>
        </w:rPr>
        <w:t>ferentie in Vlaanderen en het Intermed</w:t>
      </w:r>
      <w:r w:rsidR="00E80312">
        <w:rPr>
          <w:rFonts w:ascii="Times New Roman" w:hAnsi="Times New Roman" w:cs="Times New Roman"/>
          <w:sz w:val="24"/>
          <w:szCs w:val="24"/>
        </w:rPr>
        <w:t>-</w:t>
      </w:r>
      <w:r w:rsidRPr="00D147A7">
        <w:rPr>
          <w:rFonts w:ascii="Times New Roman" w:hAnsi="Times New Roman" w:cs="Times New Roman"/>
          <w:sz w:val="24"/>
          <w:szCs w:val="24"/>
        </w:rPr>
        <w:t>initiatief in Wallonië</w:t>
      </w:r>
      <w:r w:rsidRPr="00D147A7">
        <w:rPr>
          <w:rStyle w:val="Voetnootmarkering"/>
          <w:rFonts w:ascii="Times New Roman" w:hAnsi="Times New Roman" w:cs="Times New Roman"/>
          <w:sz w:val="24"/>
          <w:szCs w:val="24"/>
        </w:rPr>
        <w:footnoteReference w:id="510"/>
      </w:r>
      <w:r w:rsidRPr="00D147A7">
        <w:rPr>
          <w:rFonts w:ascii="Times New Roman" w:hAnsi="Times New Roman" w:cs="Times New Roman"/>
          <w:sz w:val="24"/>
          <w:szCs w:val="24"/>
        </w:rPr>
        <w:t xml:space="preserve"> – extramurale of eerstelijns</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gezondheidsplatformen. Om geen volledig nieuw platform uit te moeten bouwen, wordt een systeem ontwikkelt dat sterk op het hub en metahubproject gelijkt.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Er stelt zich nog een bijkomend probleem. In tegenstelling tot ziekenhuizen, zijn de elektro</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nische informatiesystemen van eerstelijns zorgverleners en </w:t>
      </w:r>
      <w:r w:rsidR="00A12801">
        <w:rPr>
          <w:rFonts w:ascii="Times New Roman" w:hAnsi="Times New Roman" w:cs="Times New Roman"/>
          <w:sz w:val="24"/>
          <w:szCs w:val="24"/>
        </w:rPr>
        <w:t>verzorgings</w:t>
      </w:r>
      <w:r w:rsidRPr="00D147A7">
        <w:rPr>
          <w:rFonts w:ascii="Times New Roman" w:hAnsi="Times New Roman" w:cs="Times New Roman"/>
          <w:sz w:val="24"/>
          <w:szCs w:val="24"/>
        </w:rPr>
        <w:t>instellingen niet per</w:t>
      </w:r>
      <w:r w:rsidR="009B6657">
        <w:rPr>
          <w:rFonts w:ascii="Times New Roman" w:hAnsi="Times New Roman" w:cs="Times New Roman"/>
          <w:sz w:val="24"/>
          <w:szCs w:val="24"/>
        </w:rPr>
        <w:t>-</w:t>
      </w:r>
      <w:r w:rsidRPr="00D147A7">
        <w:rPr>
          <w:rFonts w:ascii="Times New Roman" w:hAnsi="Times New Roman" w:cs="Times New Roman"/>
          <w:sz w:val="24"/>
          <w:szCs w:val="24"/>
        </w:rPr>
        <w:t>manent beschikbaar. Daarom worden extramurale of eerstelijnsgezondheidszorgkluizen ont</w:t>
      </w:r>
      <w:r w:rsidR="009B6657">
        <w:rPr>
          <w:rFonts w:ascii="Times New Roman" w:hAnsi="Times New Roman" w:cs="Times New Roman"/>
          <w:sz w:val="24"/>
          <w:szCs w:val="24"/>
        </w:rPr>
        <w:t>-</w:t>
      </w:r>
      <w:r w:rsidRPr="00D147A7">
        <w:rPr>
          <w:rFonts w:ascii="Times New Roman" w:hAnsi="Times New Roman" w:cs="Times New Roman"/>
          <w:sz w:val="24"/>
          <w:szCs w:val="24"/>
        </w:rPr>
        <w:t>wikkeld die wel te allen tijde geraadpleegd kunnen worden.</w:t>
      </w:r>
      <w:r w:rsidRPr="00D147A7">
        <w:rPr>
          <w:rStyle w:val="Voetnootmarkering"/>
          <w:rFonts w:ascii="Times New Roman" w:hAnsi="Times New Roman" w:cs="Times New Roman"/>
          <w:sz w:val="24"/>
          <w:szCs w:val="24"/>
        </w:rPr>
        <w:footnoteReference w:id="511"/>
      </w:r>
      <w:r w:rsidRPr="00D147A7">
        <w:rPr>
          <w:rFonts w:ascii="Times New Roman" w:hAnsi="Times New Roman" w:cs="Times New Roman"/>
          <w:sz w:val="24"/>
          <w:szCs w:val="24"/>
        </w:rPr>
        <w:t xml:space="preserve"> Huisartsen kunnen in deze zorgkluizen samenvattingen van hun </w:t>
      </w:r>
      <w:r w:rsidR="00A12801">
        <w:rPr>
          <w:rFonts w:ascii="Times New Roman" w:hAnsi="Times New Roman" w:cs="Times New Roman"/>
          <w:sz w:val="24"/>
          <w:szCs w:val="24"/>
        </w:rPr>
        <w:t>A</w:t>
      </w:r>
      <w:r w:rsidRPr="00D147A7">
        <w:rPr>
          <w:rFonts w:ascii="Times New Roman" w:hAnsi="Times New Roman" w:cs="Times New Roman"/>
          <w:sz w:val="24"/>
          <w:szCs w:val="24"/>
        </w:rPr>
        <w:t xml:space="preserve">lgemeen </w:t>
      </w:r>
      <w:r w:rsidR="00A12801">
        <w:rPr>
          <w:rFonts w:ascii="Times New Roman" w:hAnsi="Times New Roman" w:cs="Times New Roman"/>
          <w:sz w:val="24"/>
          <w:szCs w:val="24"/>
        </w:rPr>
        <w:t>M</w:t>
      </w:r>
      <w:r w:rsidRPr="00D147A7">
        <w:rPr>
          <w:rFonts w:ascii="Times New Roman" w:hAnsi="Times New Roman" w:cs="Times New Roman"/>
          <w:sz w:val="24"/>
          <w:szCs w:val="24"/>
        </w:rPr>
        <w:t xml:space="preserve">edische </w:t>
      </w:r>
      <w:r w:rsidR="00A12801">
        <w:rPr>
          <w:rFonts w:ascii="Times New Roman" w:hAnsi="Times New Roman" w:cs="Times New Roman"/>
          <w:sz w:val="24"/>
          <w:szCs w:val="24"/>
        </w:rPr>
        <w:t>D</w:t>
      </w:r>
      <w:r w:rsidRPr="00D147A7">
        <w:rPr>
          <w:rFonts w:ascii="Times New Roman" w:hAnsi="Times New Roman" w:cs="Times New Roman"/>
          <w:sz w:val="24"/>
          <w:szCs w:val="24"/>
        </w:rPr>
        <w:t>ossiers (de elektronische kern</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dossiers) bewaren, waarin de meest cruciale gegevens over de gezondheid van </w:t>
      </w:r>
      <w:r w:rsidR="006805B8">
        <w:rPr>
          <w:rFonts w:ascii="Times New Roman" w:hAnsi="Times New Roman" w:cs="Times New Roman"/>
          <w:sz w:val="24"/>
          <w:szCs w:val="24"/>
        </w:rPr>
        <w:t>een</w:t>
      </w:r>
      <w:r w:rsidRPr="00D147A7">
        <w:rPr>
          <w:rFonts w:ascii="Times New Roman" w:hAnsi="Times New Roman" w:cs="Times New Roman"/>
          <w:sz w:val="24"/>
          <w:szCs w:val="24"/>
        </w:rPr>
        <w:t xml:space="preserve"> patiënt op</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genomen </w:t>
      </w:r>
      <w:r w:rsidR="006805B8">
        <w:rPr>
          <w:rFonts w:ascii="Times New Roman" w:hAnsi="Times New Roman" w:cs="Times New Roman"/>
          <w:sz w:val="24"/>
          <w:szCs w:val="24"/>
        </w:rPr>
        <w:t xml:space="preserve">zijn </w:t>
      </w:r>
      <w:r w:rsidRPr="00D147A7">
        <w:rPr>
          <w:rFonts w:ascii="Times New Roman" w:hAnsi="Times New Roman" w:cs="Times New Roman"/>
          <w:sz w:val="24"/>
          <w:szCs w:val="24"/>
        </w:rPr>
        <w:t>(zoals informatie over allergieën, medicaties, vaccinaties en gevaarlijke aan</w:t>
      </w:r>
      <w:r w:rsidR="009B6657">
        <w:rPr>
          <w:rFonts w:ascii="Times New Roman" w:hAnsi="Times New Roman" w:cs="Times New Roman"/>
          <w:sz w:val="24"/>
          <w:szCs w:val="24"/>
        </w:rPr>
        <w:t>-</w:t>
      </w:r>
      <w:r w:rsidRPr="00D147A7">
        <w:rPr>
          <w:rFonts w:ascii="Times New Roman" w:hAnsi="Times New Roman" w:cs="Times New Roman"/>
          <w:sz w:val="24"/>
          <w:szCs w:val="24"/>
        </w:rPr>
        <w:lastRenderedPageBreak/>
        <w:t>doeningen).</w:t>
      </w:r>
      <w:r w:rsidRPr="00D147A7">
        <w:rPr>
          <w:rStyle w:val="Voetnootmarkering"/>
          <w:rFonts w:ascii="Times New Roman" w:hAnsi="Times New Roman" w:cs="Times New Roman"/>
          <w:sz w:val="24"/>
          <w:szCs w:val="24"/>
        </w:rPr>
        <w:footnoteReference w:id="512"/>
      </w:r>
      <w:r w:rsidRPr="00D147A7">
        <w:rPr>
          <w:rFonts w:ascii="Times New Roman" w:hAnsi="Times New Roman" w:cs="Times New Roman"/>
          <w:sz w:val="24"/>
          <w:szCs w:val="24"/>
        </w:rPr>
        <w:t xml:space="preserve"> SumEHR (</w:t>
      </w:r>
      <w:r w:rsidRPr="006805B8">
        <w:rPr>
          <w:rFonts w:ascii="Times New Roman" w:hAnsi="Times New Roman" w:cs="Times New Roman"/>
          <w:i/>
          <w:sz w:val="24"/>
          <w:szCs w:val="24"/>
        </w:rPr>
        <w:t>Summarized Electronic Health Record</w:t>
      </w:r>
      <w:r w:rsidRPr="00D147A7">
        <w:rPr>
          <w:rFonts w:ascii="Times New Roman" w:hAnsi="Times New Roman" w:cs="Times New Roman"/>
          <w:sz w:val="24"/>
          <w:szCs w:val="24"/>
        </w:rPr>
        <w:t xml:space="preserve">), de Belgische standaard voor de </w:t>
      </w:r>
      <w:r w:rsidRPr="00D147A7">
        <w:rPr>
          <w:rFonts w:ascii="Times New Roman" w:hAnsi="Times New Roman" w:cs="Times New Roman"/>
          <w:i/>
          <w:sz w:val="24"/>
          <w:szCs w:val="24"/>
        </w:rPr>
        <w:t>patient summary</w:t>
      </w:r>
      <w:r w:rsidRPr="00D147A7">
        <w:rPr>
          <w:rStyle w:val="Voetnootmarkering"/>
          <w:rFonts w:ascii="Times New Roman" w:hAnsi="Times New Roman" w:cs="Times New Roman"/>
          <w:sz w:val="24"/>
          <w:szCs w:val="24"/>
        </w:rPr>
        <w:footnoteReference w:id="513"/>
      </w:r>
      <w:r w:rsidRPr="00D147A7">
        <w:rPr>
          <w:rFonts w:ascii="Times New Roman" w:hAnsi="Times New Roman" w:cs="Times New Roman"/>
          <w:sz w:val="24"/>
          <w:szCs w:val="24"/>
        </w:rPr>
        <w:t xml:space="preserve">, is het extract van een gelabeld </w:t>
      </w:r>
      <w:r w:rsidR="006805B8">
        <w:rPr>
          <w:rFonts w:ascii="Times New Roman" w:hAnsi="Times New Roman" w:cs="Times New Roman"/>
          <w:sz w:val="24"/>
          <w:szCs w:val="24"/>
        </w:rPr>
        <w:t>A</w:t>
      </w:r>
      <w:r w:rsidRPr="00D147A7">
        <w:rPr>
          <w:rFonts w:ascii="Times New Roman" w:hAnsi="Times New Roman" w:cs="Times New Roman"/>
          <w:sz w:val="24"/>
          <w:szCs w:val="24"/>
        </w:rPr>
        <w:t xml:space="preserve">lgemeen </w:t>
      </w:r>
      <w:r w:rsidR="006805B8">
        <w:rPr>
          <w:rFonts w:ascii="Times New Roman" w:hAnsi="Times New Roman" w:cs="Times New Roman"/>
          <w:sz w:val="24"/>
          <w:szCs w:val="24"/>
        </w:rPr>
        <w:t>M</w:t>
      </w:r>
      <w:r w:rsidRPr="00D147A7">
        <w:rPr>
          <w:rFonts w:ascii="Times New Roman" w:hAnsi="Times New Roman" w:cs="Times New Roman"/>
          <w:sz w:val="24"/>
          <w:szCs w:val="24"/>
        </w:rPr>
        <w:t xml:space="preserve">edisch </w:t>
      </w:r>
      <w:r w:rsidR="006805B8">
        <w:rPr>
          <w:rFonts w:ascii="Times New Roman" w:hAnsi="Times New Roman" w:cs="Times New Roman"/>
          <w:sz w:val="24"/>
          <w:szCs w:val="24"/>
        </w:rPr>
        <w:t>D</w:t>
      </w:r>
      <w:r w:rsidRPr="00D147A7">
        <w:rPr>
          <w:rFonts w:ascii="Times New Roman" w:hAnsi="Times New Roman" w:cs="Times New Roman"/>
          <w:sz w:val="24"/>
          <w:szCs w:val="24"/>
        </w:rPr>
        <w:t>ossier in KMEHR-formaat (</w:t>
      </w:r>
      <w:r w:rsidRPr="006805B8">
        <w:rPr>
          <w:rFonts w:ascii="Times New Roman" w:hAnsi="Times New Roman" w:cs="Times New Roman"/>
          <w:i/>
          <w:sz w:val="24"/>
          <w:szCs w:val="24"/>
        </w:rPr>
        <w:t>Kind Messages for Electronic Heralth Records</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14"/>
      </w:r>
      <w:r w:rsidRPr="00D147A7">
        <w:rPr>
          <w:rFonts w:ascii="Times New Roman" w:hAnsi="Times New Roman" w:cs="Times New Roman"/>
          <w:sz w:val="24"/>
          <w:szCs w:val="24"/>
        </w:rPr>
        <w:t xml:space="preserve"> Zonder duidelijke af</w:t>
      </w:r>
      <w:r w:rsidR="009B6657">
        <w:rPr>
          <w:rFonts w:ascii="Times New Roman" w:hAnsi="Times New Roman" w:cs="Times New Roman"/>
          <w:sz w:val="24"/>
          <w:szCs w:val="24"/>
        </w:rPr>
        <w:t>-</w:t>
      </w:r>
      <w:r w:rsidRPr="00D147A7">
        <w:rPr>
          <w:rFonts w:ascii="Times New Roman" w:hAnsi="Times New Roman" w:cs="Times New Roman"/>
          <w:sz w:val="24"/>
          <w:szCs w:val="24"/>
        </w:rPr>
        <w:t>spraken m.b.t. het gebruik van standaarden, zullen de verschillende informatiesystemen in de zorgsector niet op elkaar afgestemd zijn. En zonder interoperabiliteit kan er geen (goede) informatie-uitwisseling doorgang vinden. KMEHR is gebaseerd op XML (</w:t>
      </w:r>
      <w:r w:rsidRPr="006805B8">
        <w:rPr>
          <w:rFonts w:ascii="Times New Roman" w:hAnsi="Times New Roman" w:cs="Times New Roman"/>
          <w:i/>
          <w:sz w:val="24"/>
          <w:szCs w:val="24"/>
        </w:rPr>
        <w:t>Extensible Markup Language</w:t>
      </w:r>
      <w:r w:rsidRPr="00D147A7">
        <w:rPr>
          <w:rFonts w:ascii="Times New Roman" w:hAnsi="Times New Roman" w:cs="Times New Roman"/>
          <w:sz w:val="24"/>
          <w:szCs w:val="24"/>
        </w:rPr>
        <w:t>), de meest geschikte standaard voor de onderlinge uitwisseling (én voor de archi</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vering op lange termijn) van </w:t>
      </w:r>
      <w:r w:rsidR="006805B8">
        <w:rPr>
          <w:rFonts w:ascii="Times New Roman" w:hAnsi="Times New Roman" w:cs="Times New Roman"/>
          <w:sz w:val="24"/>
          <w:szCs w:val="24"/>
        </w:rPr>
        <w:t xml:space="preserve">digitale </w:t>
      </w:r>
      <w:r w:rsidRPr="00D147A7">
        <w:rPr>
          <w:rFonts w:ascii="Times New Roman" w:hAnsi="Times New Roman" w:cs="Times New Roman"/>
          <w:sz w:val="24"/>
          <w:szCs w:val="24"/>
        </w:rPr>
        <w:t>informatie. KMEHR is het nieuwe standaardformaat voor medische gegevens dat door de Belgische overheid ondersteund wordt en dat compatibel is met Europese en internationale standaarden zoals Europese Norm (EN) 13606 en Health Level 7 (HL7), versie</w:t>
      </w:r>
      <w:r w:rsidR="006805B8">
        <w:rPr>
          <w:rFonts w:ascii="Times New Roman" w:hAnsi="Times New Roman" w:cs="Times New Roman"/>
          <w:sz w:val="24"/>
          <w:szCs w:val="24"/>
        </w:rPr>
        <w:t>s</w:t>
      </w:r>
      <w:r w:rsidRPr="00D147A7">
        <w:rPr>
          <w:rFonts w:ascii="Times New Roman" w:hAnsi="Times New Roman" w:cs="Times New Roman"/>
          <w:sz w:val="24"/>
          <w:szCs w:val="24"/>
        </w:rPr>
        <w:t xml:space="preserve"> 2 en 3.</w:t>
      </w:r>
      <w:r w:rsidRPr="00D147A7">
        <w:rPr>
          <w:rStyle w:val="Voetnootmarkering"/>
          <w:rFonts w:ascii="Times New Roman" w:hAnsi="Times New Roman" w:cs="Times New Roman"/>
          <w:sz w:val="24"/>
          <w:szCs w:val="24"/>
        </w:rPr>
        <w:footnoteReference w:id="515"/>
      </w:r>
      <w:r w:rsidRPr="00D147A7">
        <w:rPr>
          <w:rFonts w:ascii="Times New Roman" w:hAnsi="Times New Roman" w:cs="Times New Roman"/>
          <w:sz w:val="24"/>
          <w:szCs w:val="24"/>
        </w:rPr>
        <w:t xml:space="preserve"> Omdat KMEHR op zichzelf niet ‘leesbaar’ is, dient het aan een (specifiek voor het type inhoud) sjabloon-bestand gekoppeld te worden. De SumEHR-Viewer is een </w:t>
      </w:r>
      <w:r w:rsidRPr="00D147A7">
        <w:rPr>
          <w:rFonts w:ascii="Times New Roman" w:hAnsi="Times New Roman" w:cs="Times New Roman"/>
          <w:i/>
          <w:sz w:val="24"/>
          <w:szCs w:val="24"/>
        </w:rPr>
        <w:t>stand-alone application</w:t>
      </w:r>
      <w:r w:rsidRPr="00D147A7">
        <w:rPr>
          <w:rFonts w:ascii="Times New Roman" w:hAnsi="Times New Roman" w:cs="Times New Roman"/>
          <w:sz w:val="24"/>
          <w:szCs w:val="24"/>
        </w:rPr>
        <w:t xml:space="preserve"> dat een SumEHR-bericht visualiseert. Verder heeft het eHealth-platform de </w:t>
      </w:r>
      <w:r w:rsidRPr="006805B8">
        <w:rPr>
          <w:rFonts w:ascii="Times New Roman" w:hAnsi="Times New Roman" w:cs="Times New Roman"/>
          <w:i/>
          <w:sz w:val="24"/>
          <w:szCs w:val="24"/>
        </w:rPr>
        <w:t>SumEHR Validation Tool</w:t>
      </w:r>
      <w:r w:rsidRPr="00D147A7">
        <w:rPr>
          <w:rFonts w:ascii="Times New Roman" w:hAnsi="Times New Roman" w:cs="Times New Roman"/>
          <w:sz w:val="24"/>
          <w:szCs w:val="24"/>
        </w:rPr>
        <w:t xml:space="preserve"> ontwikkeld, zodat zorgverleners de syntaxis van SumEHR kunnen valideren en na kunnen gaan of de gebruikte SumEHR aan de door het eHealth-platform vastgelegde normen voldoet. Deze tool biedt ook de mogelijkheid om SumEHR te visualiseren, zodat de actoren in de zorgsector niet in XML moeten leren pro</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grammeren om gebruik </w:t>
      </w:r>
      <w:r w:rsidR="006805B8" w:rsidRPr="00D147A7">
        <w:rPr>
          <w:rFonts w:ascii="Times New Roman" w:hAnsi="Times New Roman" w:cs="Times New Roman"/>
          <w:sz w:val="24"/>
          <w:szCs w:val="24"/>
        </w:rPr>
        <w:t xml:space="preserve">te kunnen maken </w:t>
      </w:r>
      <w:r w:rsidRPr="00D147A7">
        <w:rPr>
          <w:rFonts w:ascii="Times New Roman" w:hAnsi="Times New Roman" w:cs="Times New Roman"/>
          <w:sz w:val="24"/>
          <w:szCs w:val="24"/>
        </w:rPr>
        <w:t>van de</w:t>
      </w:r>
      <w:r w:rsidR="006805B8">
        <w:rPr>
          <w:rFonts w:ascii="Times New Roman" w:hAnsi="Times New Roman" w:cs="Times New Roman"/>
          <w:sz w:val="24"/>
          <w:szCs w:val="24"/>
        </w:rPr>
        <w:t>ze</w:t>
      </w:r>
      <w:r w:rsidRPr="00D147A7">
        <w:rPr>
          <w:rFonts w:ascii="Times New Roman" w:hAnsi="Times New Roman" w:cs="Times New Roman"/>
          <w:sz w:val="24"/>
          <w:szCs w:val="24"/>
        </w:rPr>
        <w:t xml:space="preserve"> zorgkluizen. </w:t>
      </w:r>
    </w:p>
    <w:p w:rsidR="009931C7" w:rsidRPr="00D147A7" w:rsidRDefault="009931C7" w:rsidP="009931C7"/>
    <w:p w:rsidR="009931C7" w:rsidRPr="00D147A7" w:rsidRDefault="009931C7" w:rsidP="009931C7">
      <w:pPr>
        <w:jc w:val="both"/>
      </w:pPr>
      <w:r w:rsidRPr="00D147A7">
        <w:t>Zorgverleners kunnen een SumEHR op verschillende manieren met elkaar delen. De uitwis</w:t>
      </w:r>
      <w:r w:rsidR="009B6657">
        <w:t>-</w:t>
      </w:r>
      <w:r w:rsidRPr="00D147A7">
        <w:t>seling van elektronische bestanden tussen (door het eHealth-platform erkende) medische soft</w:t>
      </w:r>
      <w:r w:rsidR="009B6657">
        <w:t>-</w:t>
      </w:r>
      <w:r w:rsidRPr="00D147A7">
        <w:t>ware-pakketten is de meest eenvoudige mogelijkheid. Een andere, betere optie is om het elek</w:t>
      </w:r>
      <w:r w:rsidR="009B6657">
        <w:t>-</w:t>
      </w:r>
      <w:r w:rsidRPr="00D147A7">
        <w:t>tronisch kerndossier op een SumEHR-server te bewaren, die aan de regionale hubs verbonden wordt. Hierdoor wordt een gedeeld kerndossier binnen een gezondheidsnetwerk gecreëerd. Zo kunnen actoren in de gezondheidszorg naast informatie uit verzorgingsin</w:t>
      </w:r>
      <w:r w:rsidR="006805B8">
        <w:t>-</w:t>
      </w:r>
      <w:r w:rsidRPr="00D147A7">
        <w:t>stellingen ook infor</w:t>
      </w:r>
      <w:r w:rsidR="009B6657">
        <w:t>-</w:t>
      </w:r>
      <w:r w:rsidRPr="00D147A7">
        <w:t xml:space="preserve">matie van de aan regionale hubs verbonden SumEHR-servers opvragen. </w:t>
      </w:r>
    </w:p>
    <w:p w:rsidR="009931C7" w:rsidRPr="00D147A7" w:rsidRDefault="009931C7" w:rsidP="009931C7">
      <w:pPr>
        <w:jc w:val="both"/>
      </w:pPr>
    </w:p>
    <w:p w:rsidR="009931C7" w:rsidRPr="00D147A7" w:rsidRDefault="009931C7" w:rsidP="009931C7">
      <w:r w:rsidRPr="00D147A7">
        <w:br w:type="page"/>
      </w:r>
    </w:p>
    <w:tbl>
      <w:tblPr>
        <w:tblW w:w="9357" w:type="dxa"/>
        <w:tblInd w:w="55" w:type="dxa"/>
        <w:tblCellMar>
          <w:left w:w="70" w:type="dxa"/>
          <w:right w:w="70" w:type="dxa"/>
        </w:tblCellMar>
        <w:tblLook w:val="04A0" w:firstRow="1" w:lastRow="0" w:firstColumn="1" w:lastColumn="0" w:noHBand="0" w:noVBand="1"/>
      </w:tblPr>
      <w:tblGrid>
        <w:gridCol w:w="3173"/>
        <w:gridCol w:w="1279"/>
        <w:gridCol w:w="4905"/>
      </w:tblGrid>
      <w:tr w:rsidR="009931C7" w:rsidRPr="00D147A7" w:rsidTr="004721B1">
        <w:trPr>
          <w:trHeight w:val="300"/>
        </w:trPr>
        <w:tc>
          <w:tcPr>
            <w:tcW w:w="9357" w:type="dxa"/>
            <w:gridSpan w:val="3"/>
            <w:tcBorders>
              <w:top w:val="nil"/>
              <w:left w:val="nil"/>
              <w:bottom w:val="nil"/>
              <w:right w:val="nil"/>
            </w:tcBorders>
            <w:shd w:val="clear" w:color="000000" w:fill="000000"/>
            <w:noWrap/>
            <w:vAlign w:val="center"/>
            <w:hideMark/>
          </w:tcPr>
          <w:p w:rsidR="009931C7" w:rsidRPr="00D147A7" w:rsidRDefault="009931C7" w:rsidP="004721B1">
            <w:pPr>
              <w:jc w:val="center"/>
              <w:rPr>
                <w:color w:val="FFFFFF"/>
                <w:lang w:eastAsia="nl-BE"/>
              </w:rPr>
            </w:pPr>
            <w:r w:rsidRPr="00D147A7">
              <w:rPr>
                <w:color w:val="FFFFFF"/>
                <w:lang w:eastAsia="nl-BE"/>
              </w:rPr>
              <w:lastRenderedPageBreak/>
              <w:t>‘</w:t>
            </w:r>
            <w:r w:rsidRPr="00D147A7">
              <w:rPr>
                <w:smallCaps/>
                <w:color w:val="FFFFFF"/>
                <w:lang w:eastAsia="nl-BE"/>
              </w:rPr>
              <w:t>Patient summary</w:t>
            </w:r>
            <w:r w:rsidRPr="00D147A7">
              <w:rPr>
                <w:color w:val="FFFFFF"/>
                <w:lang w:eastAsia="nl-BE"/>
              </w:rPr>
              <w:t>’</w:t>
            </w:r>
          </w:p>
        </w:tc>
      </w:tr>
      <w:tr w:rsidR="009931C7" w:rsidRPr="00D147A7" w:rsidTr="004721B1">
        <w:trPr>
          <w:trHeight w:val="300"/>
        </w:trPr>
        <w:tc>
          <w:tcPr>
            <w:tcW w:w="93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Aanmaakdatum</w:t>
            </w:r>
          </w:p>
        </w:tc>
      </w:tr>
      <w:tr w:rsidR="009931C7" w:rsidRPr="00D147A7" w:rsidTr="004721B1">
        <w:trPr>
          <w:trHeight w:val="300"/>
        </w:trPr>
        <w:tc>
          <w:tcPr>
            <w:tcW w:w="93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Auteur</w:t>
            </w:r>
          </w:p>
        </w:tc>
      </w:tr>
      <w:tr w:rsidR="009931C7" w:rsidRPr="00D147A7" w:rsidTr="004721B1">
        <w:trPr>
          <w:trHeight w:val="300"/>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Patiëntenidentificatie</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Gezondheidsnummer</w:t>
            </w:r>
          </w:p>
        </w:tc>
      </w:tr>
      <w:tr w:rsidR="009931C7" w:rsidRPr="00D147A7"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Patiëntengegevens</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Familienaam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Voornamen</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Geslacht</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Geboortedatum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Moedertaal</w:t>
            </w:r>
          </w:p>
        </w:tc>
      </w:tr>
      <w:tr w:rsidR="009931C7" w:rsidRPr="00D147A7" w:rsidTr="004721B1">
        <w:trPr>
          <w:trHeight w:val="300"/>
        </w:trPr>
        <w:tc>
          <w:tcPr>
            <w:tcW w:w="93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Contactpersoon</w:t>
            </w:r>
          </w:p>
        </w:tc>
      </w:tr>
      <w:tr w:rsidR="009931C7" w:rsidRPr="00D147A7"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Risicofactoren</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Allergieën</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Geneesmiddelenreacties</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Sociale factoren</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Andere factoren</w:t>
            </w:r>
          </w:p>
        </w:tc>
      </w:tr>
      <w:tr w:rsidR="009931C7" w:rsidRPr="00D147A7"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Relevante persoonlijke antecedenten</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IBUI (Belgische Unieke Identificator), ICPC-2 en ICD-10</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Startdatum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Einddatum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Tekst</w:t>
            </w:r>
          </w:p>
        </w:tc>
      </w:tr>
      <w:tr w:rsidR="009931C7" w:rsidRPr="00D147A7"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Actuele probleemlijst</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IBUI, ICPC-2 en ICD-10</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Startdatum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Tekst</w:t>
            </w:r>
          </w:p>
        </w:tc>
      </w:tr>
      <w:tr w:rsidR="009931C7" w:rsidRPr="00D147A7"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Relevante medicatie</w:t>
            </w: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CNK (Code Nationale Kode) of, indien niet beschikbaar, een andere Id</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Administratieve informatie</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Instructies voor de patiënt</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Startdatum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Einddatum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6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Tekst</w:t>
            </w:r>
          </w:p>
        </w:tc>
      </w:tr>
      <w:tr w:rsidR="009931C7" w:rsidRPr="002E7E12" w:rsidTr="004721B1">
        <w:trPr>
          <w:trHeight w:val="300"/>
        </w:trPr>
        <w:tc>
          <w:tcPr>
            <w:tcW w:w="3173"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Vaccinatiestatus</w:t>
            </w:r>
          </w:p>
        </w:tc>
        <w:tc>
          <w:tcPr>
            <w:tcW w:w="1279"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Toegediend</w:t>
            </w:r>
          </w:p>
        </w:tc>
        <w:tc>
          <w:tcPr>
            <w:tcW w:w="4905"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val="en-US" w:eastAsia="nl-BE"/>
              </w:rPr>
            </w:pPr>
            <w:r w:rsidRPr="00D147A7">
              <w:rPr>
                <w:color w:val="000000"/>
                <w:sz w:val="20"/>
                <w:szCs w:val="20"/>
                <w:lang w:val="en-US" w:eastAsia="nl-BE"/>
              </w:rPr>
              <w:t>CNK en/of ATC (Anatomical Therapeutic Chemical-code)</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1279"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val="en-US" w:eastAsia="nl-BE"/>
              </w:rPr>
            </w:pPr>
          </w:p>
        </w:tc>
        <w:tc>
          <w:tcPr>
            <w:tcW w:w="4905"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Datum</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1279" w:type="dxa"/>
            <w:vMerge w:val="restart"/>
            <w:tcBorders>
              <w:top w:val="nil"/>
              <w:left w:val="single" w:sz="4" w:space="0" w:color="auto"/>
              <w:bottom w:val="single" w:sz="4" w:space="0" w:color="auto"/>
              <w:right w:val="single" w:sz="4" w:space="0" w:color="auto"/>
            </w:tcBorders>
            <w:shd w:val="clear" w:color="auto" w:fill="auto"/>
            <w:noWrap/>
            <w:hideMark/>
          </w:tcPr>
          <w:p w:rsidR="009931C7" w:rsidRPr="00D147A7" w:rsidRDefault="009931C7" w:rsidP="004721B1">
            <w:pPr>
              <w:rPr>
                <w:color w:val="000000"/>
                <w:sz w:val="20"/>
                <w:szCs w:val="20"/>
                <w:lang w:eastAsia="nl-BE"/>
              </w:rPr>
            </w:pPr>
            <w:r w:rsidRPr="00D147A7">
              <w:rPr>
                <w:color w:val="000000"/>
                <w:sz w:val="20"/>
                <w:szCs w:val="20"/>
                <w:lang w:eastAsia="nl-BE"/>
              </w:rPr>
              <w:t>Toe te dienen</w:t>
            </w:r>
          </w:p>
        </w:tc>
        <w:tc>
          <w:tcPr>
            <w:tcW w:w="4905"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CNK en/of ATC</w:t>
            </w:r>
          </w:p>
        </w:tc>
      </w:tr>
      <w:tr w:rsidR="009931C7" w:rsidRPr="00D147A7" w:rsidTr="004721B1">
        <w:trPr>
          <w:trHeight w:val="300"/>
        </w:trPr>
        <w:tc>
          <w:tcPr>
            <w:tcW w:w="3173"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1279" w:type="dxa"/>
            <w:vMerge/>
            <w:tcBorders>
              <w:top w:val="nil"/>
              <w:left w:val="single" w:sz="4" w:space="0" w:color="auto"/>
              <w:bottom w:val="single" w:sz="4" w:space="0" w:color="auto"/>
              <w:right w:val="single" w:sz="4" w:space="0" w:color="auto"/>
            </w:tcBorders>
            <w:vAlign w:val="center"/>
            <w:hideMark/>
          </w:tcPr>
          <w:p w:rsidR="009931C7" w:rsidRPr="00D147A7" w:rsidRDefault="009931C7" w:rsidP="004721B1">
            <w:pPr>
              <w:rPr>
                <w:color w:val="000000"/>
                <w:sz w:val="20"/>
                <w:szCs w:val="20"/>
                <w:lang w:eastAsia="nl-BE"/>
              </w:rPr>
            </w:pPr>
          </w:p>
        </w:tc>
        <w:tc>
          <w:tcPr>
            <w:tcW w:w="4905"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Datum</w:t>
            </w:r>
          </w:p>
        </w:tc>
      </w:tr>
      <w:tr w:rsidR="009931C7" w:rsidRPr="00D147A7" w:rsidTr="004721B1">
        <w:trPr>
          <w:trHeight w:val="300"/>
        </w:trPr>
        <w:tc>
          <w:tcPr>
            <w:tcW w:w="93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color w:val="000000"/>
                <w:sz w:val="20"/>
                <w:szCs w:val="20"/>
                <w:lang w:eastAsia="nl-BE"/>
              </w:rPr>
            </w:pPr>
            <w:r w:rsidRPr="00D147A7">
              <w:rPr>
                <w:color w:val="000000"/>
                <w:sz w:val="20"/>
                <w:szCs w:val="20"/>
                <w:lang w:eastAsia="nl-BE"/>
              </w:rPr>
              <w:t>Contextuele commentaar</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Tabel 6: Minimale inhoud van een kerndossier volgens de Belgische standaard SumEHR</w:t>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Voor de verdere ontwikkeling van de eerstelijnszorgkluizen werd in Vlaanderen voor het me</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dicatieschema gekozen, waarin het overzicht van alle actuele medicatie van een patiënt </w:t>
      </w:r>
      <w:r w:rsidR="006805B8" w:rsidRPr="00D147A7">
        <w:rPr>
          <w:rFonts w:ascii="Times New Roman" w:hAnsi="Times New Roman" w:cs="Times New Roman"/>
          <w:sz w:val="24"/>
          <w:szCs w:val="24"/>
        </w:rPr>
        <w:t xml:space="preserve">wordt </w:t>
      </w:r>
      <w:r w:rsidRPr="00D147A7">
        <w:rPr>
          <w:rFonts w:ascii="Times New Roman" w:hAnsi="Times New Roman" w:cs="Times New Roman"/>
          <w:sz w:val="24"/>
          <w:szCs w:val="24"/>
        </w:rPr>
        <w:t>aangereikt.</w:t>
      </w:r>
      <w:r w:rsidRPr="00D147A7">
        <w:rPr>
          <w:rStyle w:val="Voetnootmarkering"/>
          <w:rFonts w:ascii="Times New Roman" w:hAnsi="Times New Roman" w:cs="Times New Roman"/>
          <w:sz w:val="24"/>
          <w:szCs w:val="24"/>
        </w:rPr>
        <w:footnoteReference w:id="516"/>
      </w:r>
      <w:r w:rsidRPr="00D147A7">
        <w:rPr>
          <w:rFonts w:ascii="Times New Roman" w:hAnsi="Times New Roman" w:cs="Times New Roman"/>
          <w:sz w:val="24"/>
          <w:szCs w:val="24"/>
        </w:rPr>
        <w:t xml:space="preserve"> Een medicatieschema biedt een actueel overzicht van de geneesmiddelen die een patiënt inneemt. Voor ieder geneesmiddel wordt aangegeven wanneer welke dosis moet </w:t>
      </w:r>
      <w:r w:rsidR="006805B8"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ingenomen. Door patiënten, mantelzorgers, verpleegkundigen, huisartsen en apothe</w:t>
      </w:r>
      <w:r w:rsidR="009B6657">
        <w:rPr>
          <w:rFonts w:ascii="Times New Roman" w:hAnsi="Times New Roman" w:cs="Times New Roman"/>
          <w:sz w:val="24"/>
          <w:szCs w:val="24"/>
        </w:rPr>
        <w:t>-</w:t>
      </w:r>
      <w:r w:rsidRPr="00D147A7">
        <w:rPr>
          <w:rFonts w:ascii="Times New Roman" w:hAnsi="Times New Roman" w:cs="Times New Roman"/>
          <w:sz w:val="24"/>
          <w:szCs w:val="24"/>
        </w:rPr>
        <w:t>kers bij het medicatiebeheer te betrekken, wordt het toedienen van conflicterende medicatie vermeden en krijgt men een beter inzicht van de lange termijneffecten van geneesmiddelen.</w:t>
      </w:r>
      <w:r w:rsidRPr="00D147A7">
        <w:rPr>
          <w:rStyle w:val="Voetnootmarkering"/>
          <w:rFonts w:ascii="Times New Roman" w:hAnsi="Times New Roman" w:cs="Times New Roman"/>
          <w:sz w:val="24"/>
          <w:szCs w:val="24"/>
        </w:rPr>
        <w:footnoteReference w:id="517"/>
      </w:r>
      <w:r w:rsidRPr="00D147A7">
        <w:rPr>
          <w:rFonts w:ascii="Times New Roman" w:hAnsi="Times New Roman" w:cs="Times New Roman"/>
          <w:sz w:val="24"/>
          <w:szCs w:val="24"/>
        </w:rPr>
        <w:t xml:space="preserve"> In de toekomst zal het medicatieschema aangevuld worden met de door tandartsen, specialist</w:t>
      </w:r>
      <w:r w:rsidR="009B6657">
        <w:rPr>
          <w:rFonts w:ascii="Times New Roman" w:hAnsi="Times New Roman" w:cs="Times New Roman"/>
          <w:sz w:val="24"/>
          <w:szCs w:val="24"/>
        </w:rPr>
        <w:t>-</w:t>
      </w:r>
      <w:r w:rsidRPr="00D147A7">
        <w:rPr>
          <w:rFonts w:ascii="Times New Roman" w:hAnsi="Times New Roman" w:cs="Times New Roman"/>
          <w:sz w:val="24"/>
          <w:szCs w:val="24"/>
        </w:rPr>
        <w:lastRenderedPageBreak/>
        <w:t>en of ziekenhuisapotheken voorgeschreven medicatie en zal het schema ook met kinesisten, rusthuizen en ziekenhuizen gedeeld kunnen worden.</w:t>
      </w:r>
      <w:r w:rsidRPr="00D147A7">
        <w:rPr>
          <w:rStyle w:val="Voetnootmarkering"/>
          <w:rFonts w:ascii="Times New Roman" w:hAnsi="Times New Roman" w:cs="Times New Roman"/>
          <w:sz w:val="24"/>
          <w:szCs w:val="24"/>
        </w:rPr>
        <w:footnoteReference w:id="518"/>
      </w:r>
      <w:r w:rsidRPr="00D147A7">
        <w:rPr>
          <w:rFonts w:ascii="Times New Roman" w:hAnsi="Times New Roman" w:cs="Times New Roman"/>
          <w:sz w:val="24"/>
          <w:szCs w:val="24"/>
        </w:rPr>
        <w:t xml:space="preserve"> </w:t>
      </w:r>
    </w:p>
    <w:p w:rsidR="006805B8" w:rsidRDefault="006805B8"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het verlengde van het medicatieschema moeten ook de elektronische voorschriften tot de eerstelijnsgezondheidszorg uitgebreid worden zodat de zgn. Hoofdstuk IV geneesmiddelen sneller en eenvoudiger terugbetaald kunnen worden. Tot slot zullen de meeste van deze dien</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sten mobiel gemaakt worden, wat </w:t>
      </w:r>
      <w:r w:rsidRPr="009B6657">
        <w:rPr>
          <w:rFonts w:ascii="Times New Roman" w:hAnsi="Times New Roman" w:cs="Times New Roman"/>
          <w:i/>
          <w:sz w:val="24"/>
          <w:szCs w:val="24"/>
        </w:rPr>
        <w:t>software-as-a-service</w:t>
      </w:r>
      <w:r w:rsidRPr="00D147A7">
        <w:rPr>
          <w:rFonts w:ascii="Times New Roman" w:hAnsi="Times New Roman" w:cs="Times New Roman"/>
          <w:sz w:val="24"/>
          <w:szCs w:val="24"/>
        </w:rPr>
        <w:t>-platformen, aangepaste communica</w:t>
      </w:r>
      <w:r w:rsidR="009B6657">
        <w:rPr>
          <w:rFonts w:ascii="Times New Roman" w:hAnsi="Times New Roman" w:cs="Times New Roman"/>
          <w:sz w:val="24"/>
          <w:szCs w:val="24"/>
        </w:rPr>
        <w:t>-</w:t>
      </w:r>
      <w:r w:rsidRPr="00D147A7">
        <w:rPr>
          <w:rFonts w:ascii="Times New Roman" w:hAnsi="Times New Roman" w:cs="Times New Roman"/>
          <w:sz w:val="24"/>
          <w:szCs w:val="24"/>
        </w:rPr>
        <w:t>tietarieven en een betrouwbare en performante internetdekking vereist.</w:t>
      </w:r>
      <w:r w:rsidRPr="00D147A7">
        <w:rPr>
          <w:rStyle w:val="Voetnootmarkering"/>
          <w:rFonts w:ascii="Times New Roman" w:hAnsi="Times New Roman" w:cs="Times New Roman"/>
          <w:sz w:val="24"/>
          <w:szCs w:val="24"/>
        </w:rPr>
        <w:footnoteReference w:id="51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rPr>
      </w:pPr>
      <w:r w:rsidRPr="00D147A7">
        <w:rPr>
          <w:rFonts w:ascii="Times New Roman" w:hAnsi="Times New Roman" w:cs="Times New Roman"/>
          <w:noProof/>
          <w:lang w:eastAsia="nl-BE"/>
        </w:rPr>
        <w:drawing>
          <wp:inline distT="0" distB="0" distL="0" distR="0" wp14:anchorId="60A12C49" wp14:editId="222CE861">
            <wp:extent cx="3431540" cy="2375535"/>
            <wp:effectExtent l="0" t="0" r="0" b="5715"/>
            <wp:docPr id="16" name="Afbeelding 1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31540" cy="2375535"/>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11: Schematische voorstelling van het medicatieschema</w:t>
      </w:r>
      <w:r w:rsidRPr="00D147A7">
        <w:rPr>
          <w:rStyle w:val="Voetnootmarkering"/>
          <w:rFonts w:ascii="Times New Roman" w:hAnsi="Times New Roman" w:cs="Times New Roman"/>
          <w:sz w:val="24"/>
          <w:szCs w:val="24"/>
        </w:rPr>
        <w:footnoteReference w:id="520"/>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Op dit moment ontwikkelt de Vlaamse regering Vitalink, een nieuwe basisdienst van het eHealth-platform in wording, die de overkoepelende hub voor Vlaanderen moet worden en de nadruk op de uitwisseling van gezondheidsgegevens met de eerste lijn </w:t>
      </w:r>
      <w:r w:rsidR="006805B8">
        <w:rPr>
          <w:rFonts w:ascii="Times New Roman" w:hAnsi="Times New Roman" w:cs="Times New Roman"/>
          <w:sz w:val="24"/>
          <w:szCs w:val="24"/>
        </w:rPr>
        <w:t>zal leggen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21"/>
      </w:r>
      <w:r w:rsidRPr="00D147A7">
        <w:rPr>
          <w:rFonts w:ascii="Times New Roman" w:hAnsi="Times New Roman" w:cs="Times New Roman"/>
          <w:sz w:val="24"/>
          <w:szCs w:val="24"/>
        </w:rPr>
        <w:t xml:space="preserve"> Boven</w:t>
      </w:r>
      <w:r w:rsidR="009B6657">
        <w:rPr>
          <w:rFonts w:ascii="Times New Roman" w:hAnsi="Times New Roman" w:cs="Times New Roman"/>
          <w:sz w:val="24"/>
          <w:szCs w:val="24"/>
        </w:rPr>
        <w:t>-</w:t>
      </w:r>
      <w:r w:rsidRPr="00D147A7">
        <w:rPr>
          <w:rFonts w:ascii="Times New Roman" w:hAnsi="Times New Roman" w:cs="Times New Roman"/>
          <w:sz w:val="24"/>
          <w:szCs w:val="24"/>
        </w:rPr>
        <w:t>dien wordt Vitalink het eerste platform dat multidisciplinaire samenwerking tussen alle be</w:t>
      </w:r>
      <w:r w:rsidR="009B6657">
        <w:rPr>
          <w:rFonts w:ascii="Times New Roman" w:hAnsi="Times New Roman" w:cs="Times New Roman"/>
          <w:sz w:val="24"/>
          <w:szCs w:val="24"/>
        </w:rPr>
        <w:t>-</w:t>
      </w:r>
      <w:r w:rsidRPr="00D147A7">
        <w:rPr>
          <w:rFonts w:ascii="Times New Roman" w:hAnsi="Times New Roman" w:cs="Times New Roman"/>
          <w:sz w:val="24"/>
          <w:szCs w:val="24"/>
        </w:rPr>
        <w:t>trokken zorg- én welzijnsactoren mogelijk zal maken. In die context is het logisch dat de uit</w:t>
      </w:r>
      <w:r w:rsidR="009B6657">
        <w:rPr>
          <w:rFonts w:ascii="Times New Roman" w:hAnsi="Times New Roman" w:cs="Times New Roman"/>
          <w:sz w:val="24"/>
          <w:szCs w:val="24"/>
        </w:rPr>
        <w:t>-</w:t>
      </w:r>
      <w:r w:rsidRPr="00D147A7">
        <w:rPr>
          <w:rFonts w:ascii="Times New Roman" w:hAnsi="Times New Roman" w:cs="Times New Roman"/>
          <w:sz w:val="24"/>
          <w:szCs w:val="24"/>
        </w:rPr>
        <w:t>werking door de sector zelf en patiëntvertegenwoordigers gedirigeerd wordt. In november 2012 gaan vier pilootprojecten in Aalst, Limburg, Turnhout en Zenneland van start, die als eersten met Vitalink aan de slag zullen gaan.</w:t>
      </w:r>
      <w:r w:rsidRPr="00D147A7">
        <w:rPr>
          <w:rStyle w:val="Voetnootmarkering"/>
          <w:rFonts w:ascii="Times New Roman" w:hAnsi="Times New Roman" w:cs="Times New Roman"/>
          <w:sz w:val="24"/>
          <w:szCs w:val="24"/>
        </w:rPr>
        <w:footnoteReference w:id="522"/>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Verder is er ook nog Vesta, een systeem van elektronische gegevensuitwisseling tussen het Vlaams Agentschap Zorg en Gezondheid en de diensten voor gezinszorg. Via dat systeem worden de gegevens verzameld die nodig zijn voor de subsidiëring van de diensten voor gezinszorg. Deze toepassing maakt het ook mogelijk om gegevens over een gebruiker te delen, in eerste instantie met andere diensten voor gezinszorg die hulp verlenen aan dezelfde gebruiker, maar in de toekomst ook met andere zorgactoren.</w:t>
      </w:r>
      <w:r w:rsidRPr="00D147A7">
        <w:rPr>
          <w:rStyle w:val="Voetnootmarkering"/>
          <w:rFonts w:ascii="Times New Roman" w:hAnsi="Times New Roman" w:cs="Times New Roman"/>
          <w:sz w:val="24"/>
          <w:szCs w:val="24"/>
        </w:rPr>
        <w:footnoteReference w:id="52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Eveneens in 2006 werden Waalse zorgverleners gesensibiliseerd over de nood aan elektro</w:t>
      </w:r>
      <w:r w:rsidR="006805B8">
        <w:rPr>
          <w:rFonts w:ascii="Times New Roman" w:hAnsi="Times New Roman" w:cs="Times New Roman"/>
          <w:sz w:val="24"/>
          <w:szCs w:val="24"/>
        </w:rPr>
        <w:t>-</w:t>
      </w:r>
      <w:r w:rsidRPr="00D147A7">
        <w:rPr>
          <w:rFonts w:ascii="Times New Roman" w:hAnsi="Times New Roman" w:cs="Times New Roman"/>
          <w:sz w:val="24"/>
          <w:szCs w:val="24"/>
        </w:rPr>
        <w:t xml:space="preserve">nische uitwisseling van gezondheidsgegevens. In Wallonië ging het initiatief evenwel niet van een wetgevende instantie uit, maar lanceerde de </w:t>
      </w:r>
      <w:r w:rsidRPr="00D147A7">
        <w:rPr>
          <w:rFonts w:ascii="Times New Roman" w:hAnsi="Times New Roman" w:cs="Times New Roman"/>
          <w:i/>
          <w:sz w:val="24"/>
          <w:szCs w:val="24"/>
        </w:rPr>
        <w:t>Fédération Régional des Associations de Télématique Médicale</w:t>
      </w:r>
      <w:r w:rsidRPr="00D147A7">
        <w:rPr>
          <w:rFonts w:ascii="Times New Roman" w:hAnsi="Times New Roman" w:cs="Times New Roman"/>
          <w:sz w:val="24"/>
          <w:szCs w:val="24"/>
        </w:rPr>
        <w:t xml:space="preserve"> (FRATEM) een oproep aan alle regionale actoren om aan het </w:t>
      </w:r>
      <w:r w:rsidRPr="006805B8">
        <w:rPr>
          <w:rFonts w:ascii="Times New Roman" w:hAnsi="Times New Roman" w:cs="Times New Roman"/>
          <w:i/>
          <w:sz w:val="24"/>
          <w:szCs w:val="24"/>
        </w:rPr>
        <w:t>Réseau Santé Wallon</w:t>
      </w:r>
      <w:r w:rsidRPr="00D147A7">
        <w:rPr>
          <w:rFonts w:ascii="Times New Roman" w:hAnsi="Times New Roman" w:cs="Times New Roman"/>
          <w:sz w:val="24"/>
          <w:szCs w:val="24"/>
        </w:rPr>
        <w:t>-project deel te nemen.</w:t>
      </w:r>
      <w:r w:rsidRPr="00D147A7">
        <w:rPr>
          <w:rStyle w:val="Voetnootmarkering"/>
          <w:rFonts w:ascii="Times New Roman" w:hAnsi="Times New Roman" w:cs="Times New Roman"/>
          <w:sz w:val="24"/>
          <w:szCs w:val="24"/>
        </w:rPr>
        <w:footnoteReference w:id="524"/>
      </w:r>
      <w:r w:rsidRPr="00D147A7">
        <w:rPr>
          <w:rFonts w:ascii="Times New Roman" w:hAnsi="Times New Roman" w:cs="Times New Roman"/>
          <w:sz w:val="24"/>
          <w:szCs w:val="24"/>
        </w:rPr>
        <w:t xml:space="preserve"> FRATEM is de beheerder van en drijvende kracht achter de </w:t>
      </w:r>
      <w:r w:rsidRPr="006805B8">
        <w:rPr>
          <w:rFonts w:ascii="Times New Roman" w:hAnsi="Times New Roman" w:cs="Times New Roman"/>
          <w:i/>
          <w:sz w:val="24"/>
          <w:szCs w:val="24"/>
        </w:rPr>
        <w:t>Réseau Santé Wallon</w:t>
      </w:r>
      <w:r w:rsidRPr="00D147A7">
        <w:rPr>
          <w:rFonts w:ascii="Times New Roman" w:hAnsi="Times New Roman" w:cs="Times New Roman"/>
          <w:sz w:val="24"/>
          <w:szCs w:val="24"/>
        </w:rPr>
        <w:t>, die als Waalse hub functioneert in het hub en metahub-project van het eHealth-platform.</w:t>
      </w:r>
      <w:r w:rsidRPr="00D147A7">
        <w:rPr>
          <w:rStyle w:val="Voetnootmarkering"/>
          <w:rFonts w:ascii="Times New Roman" w:hAnsi="Times New Roman" w:cs="Times New Roman"/>
          <w:sz w:val="24"/>
          <w:szCs w:val="24"/>
        </w:rPr>
        <w:footnoteReference w:id="525"/>
      </w:r>
      <w:r w:rsidRPr="00D147A7">
        <w:rPr>
          <w:rFonts w:ascii="Times New Roman" w:hAnsi="Times New Roman" w:cs="Times New Roman"/>
          <w:sz w:val="24"/>
          <w:szCs w:val="24"/>
        </w:rPr>
        <w:t xml:space="preserve"> </w:t>
      </w:r>
    </w:p>
    <w:p w:rsidR="009931C7" w:rsidRPr="00D147A7" w:rsidRDefault="009931C7" w:rsidP="009931C7">
      <w:pPr>
        <w:pStyle w:val="Geenafstand"/>
        <w:rPr>
          <w:rFonts w:ascii="Times New Roman" w:hAnsi="Times New Roman" w:cs="Times New Roman"/>
          <w:smallCaps/>
          <w:sz w:val="24"/>
          <w:szCs w:val="24"/>
        </w:rPr>
      </w:pPr>
    </w:p>
    <w:p w:rsidR="009931C7" w:rsidRPr="00D147A7" w:rsidRDefault="009931C7" w:rsidP="009931C7">
      <w:pPr>
        <w:pStyle w:val="Geenafstand"/>
        <w:rPr>
          <w:rFonts w:ascii="Times New Roman" w:hAnsi="Times New Roman" w:cs="Times New Roman"/>
          <w:smallCaps/>
          <w:sz w:val="24"/>
          <w:szCs w:val="24"/>
        </w:rPr>
      </w:pPr>
    </w:p>
    <w:p w:rsidR="009931C7" w:rsidRPr="00D147A7" w:rsidRDefault="009931C7" w:rsidP="009931C7">
      <w:pPr>
        <w:pStyle w:val="Geenafstand"/>
        <w:numPr>
          <w:ilvl w:val="1"/>
          <w:numId w:val="31"/>
        </w:numPr>
        <w:rPr>
          <w:rFonts w:ascii="Times New Roman" w:hAnsi="Times New Roman" w:cs="Times New Roman"/>
          <w:smallCaps/>
          <w:sz w:val="24"/>
          <w:szCs w:val="24"/>
        </w:rPr>
      </w:pPr>
      <w:r w:rsidRPr="00D147A7">
        <w:rPr>
          <w:rFonts w:ascii="Times New Roman" w:hAnsi="Times New Roman" w:cs="Times New Roman"/>
          <w:smallCaps/>
          <w:sz w:val="24"/>
          <w:szCs w:val="24"/>
        </w:rPr>
        <w:t>Nederland</w:t>
      </w:r>
    </w:p>
    <w:p w:rsidR="009931C7" w:rsidRPr="00D147A7" w:rsidRDefault="009931C7" w:rsidP="009931C7">
      <w:pPr>
        <w:pStyle w:val="Geenafstand"/>
        <w:ind w:firstLine="708"/>
        <w:jc w:val="both"/>
        <w:rPr>
          <w:rFonts w:ascii="Times New Roman" w:hAnsi="Times New Roman" w:cs="Times New Roman"/>
          <w:b/>
          <w:sz w:val="24"/>
          <w:szCs w:val="24"/>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1: Geschiedenis van de ontwikkeling rond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Nederland krijgt eHealth vorm in lokale, regionale en landelijke elektronische uitwisse</w:t>
      </w:r>
      <w:r w:rsidR="009B6657">
        <w:rPr>
          <w:rFonts w:ascii="Times New Roman" w:hAnsi="Times New Roman" w:cs="Times New Roman"/>
          <w:sz w:val="24"/>
          <w:szCs w:val="24"/>
        </w:rPr>
        <w:t>-</w:t>
      </w:r>
      <w:r w:rsidRPr="00D147A7">
        <w:rPr>
          <w:rFonts w:ascii="Times New Roman" w:hAnsi="Times New Roman" w:cs="Times New Roman"/>
          <w:sz w:val="24"/>
          <w:szCs w:val="24"/>
        </w:rPr>
        <w:t>lingssystemen, die bekend staan als Elektronische Patiëntendossiers (of EPD’s). Dit zijn com</w:t>
      </w:r>
      <w:r w:rsidR="009B6657">
        <w:rPr>
          <w:rFonts w:ascii="Times New Roman" w:hAnsi="Times New Roman" w:cs="Times New Roman"/>
          <w:sz w:val="24"/>
          <w:szCs w:val="24"/>
        </w:rPr>
        <w:t>-</w:t>
      </w:r>
      <w:r w:rsidRPr="00D147A7">
        <w:rPr>
          <w:rFonts w:ascii="Times New Roman" w:hAnsi="Times New Roman" w:cs="Times New Roman"/>
          <w:sz w:val="24"/>
          <w:szCs w:val="24"/>
        </w:rPr>
        <w:t xml:space="preserve">puternetwerken met een steeds grotere reikwijdte waarlangs zorgverleners </w:t>
      </w:r>
      <w:r w:rsidR="009B6657">
        <w:rPr>
          <w:rFonts w:ascii="Times New Roman" w:hAnsi="Times New Roman" w:cs="Times New Roman"/>
          <w:sz w:val="24"/>
          <w:szCs w:val="24"/>
        </w:rPr>
        <w:t xml:space="preserve">essentiële </w:t>
      </w:r>
      <w:r w:rsidRPr="00D147A7">
        <w:rPr>
          <w:rFonts w:ascii="Times New Roman" w:hAnsi="Times New Roman" w:cs="Times New Roman"/>
          <w:sz w:val="24"/>
          <w:szCs w:val="24"/>
        </w:rPr>
        <w:t>gezond</w:t>
      </w:r>
      <w:r w:rsidR="009B6657">
        <w:rPr>
          <w:rFonts w:ascii="Times New Roman" w:hAnsi="Times New Roman" w:cs="Times New Roman"/>
          <w:sz w:val="24"/>
          <w:szCs w:val="24"/>
        </w:rPr>
        <w:t>-</w:t>
      </w:r>
      <w:r w:rsidRPr="00D147A7">
        <w:rPr>
          <w:rFonts w:ascii="Times New Roman" w:hAnsi="Times New Roman" w:cs="Times New Roman"/>
          <w:sz w:val="24"/>
          <w:szCs w:val="24"/>
        </w:rPr>
        <w:t>heidsgegevens voor de behandeling van patiënten met wie ze een therapeutische relatie hebben</w:t>
      </w:r>
      <w:r w:rsidR="009B6657" w:rsidRPr="009B6657">
        <w:rPr>
          <w:rFonts w:ascii="Times New Roman" w:hAnsi="Times New Roman" w:cs="Times New Roman"/>
          <w:sz w:val="24"/>
          <w:szCs w:val="24"/>
        </w:rPr>
        <w:t xml:space="preserve"> </w:t>
      </w:r>
      <w:r w:rsidR="009B6657" w:rsidRPr="00D147A7">
        <w:rPr>
          <w:rFonts w:ascii="Times New Roman" w:hAnsi="Times New Roman" w:cs="Times New Roman"/>
          <w:sz w:val="24"/>
          <w:szCs w:val="24"/>
        </w:rPr>
        <w:t>kunnen uitwisselen</w:t>
      </w:r>
      <w:r w:rsidRPr="00D147A7">
        <w:rPr>
          <w:rFonts w:ascii="Times New Roman" w:hAnsi="Times New Roman" w:cs="Times New Roman"/>
          <w:sz w:val="24"/>
          <w:szCs w:val="24"/>
        </w:rPr>
        <w:t>. Lokale en regionale informatiesystemen w</w:t>
      </w:r>
      <w:r w:rsidR="000828CD">
        <w:rPr>
          <w:rFonts w:ascii="Times New Roman" w:hAnsi="Times New Roman" w:cs="Times New Roman"/>
          <w:sz w:val="24"/>
          <w:szCs w:val="24"/>
        </w:rPr>
        <w:t>e</w:t>
      </w:r>
      <w:r w:rsidRPr="00D147A7">
        <w:rPr>
          <w:rFonts w:ascii="Times New Roman" w:hAnsi="Times New Roman" w:cs="Times New Roman"/>
          <w:sz w:val="24"/>
          <w:szCs w:val="24"/>
        </w:rPr>
        <w:t>rden – vanuit de be</w:t>
      </w:r>
      <w:r w:rsidR="000828CD">
        <w:rPr>
          <w:rFonts w:ascii="Times New Roman" w:hAnsi="Times New Roman" w:cs="Times New Roman"/>
          <w:sz w:val="24"/>
          <w:szCs w:val="24"/>
        </w:rPr>
        <w:t>-</w:t>
      </w:r>
      <w:r w:rsidRPr="00D147A7">
        <w:rPr>
          <w:rFonts w:ascii="Times New Roman" w:hAnsi="Times New Roman" w:cs="Times New Roman"/>
          <w:sz w:val="24"/>
          <w:szCs w:val="24"/>
        </w:rPr>
        <w:t>hoefte om de zorgverlening te verbeteren en om tot een betere samenwerking te komen – in het leven geroepen door zorgverleners die binnen één locatie of regio gevestigd zijn (</w:t>
      </w:r>
      <w:r w:rsidRPr="00D147A7">
        <w:rPr>
          <w:rFonts w:ascii="Times New Roman" w:hAnsi="Times New Roman" w:cs="Times New Roman"/>
          <w:i/>
          <w:sz w:val="24"/>
          <w:szCs w:val="24"/>
        </w:rPr>
        <w:t>bottom-up</w:t>
      </w:r>
      <w:r w:rsidRPr="00D147A7">
        <w:rPr>
          <w:rFonts w:ascii="Times New Roman" w:hAnsi="Times New Roman" w:cs="Times New Roman"/>
          <w:sz w:val="24"/>
          <w:szCs w:val="24"/>
        </w:rPr>
        <w:t xml:space="preserve"> benadering).</w:t>
      </w:r>
      <w:r w:rsidRPr="00D147A7">
        <w:rPr>
          <w:rStyle w:val="Voetnootmarkering"/>
          <w:rFonts w:ascii="Times New Roman" w:hAnsi="Times New Roman" w:cs="Times New Roman"/>
          <w:sz w:val="24"/>
          <w:szCs w:val="24"/>
        </w:rPr>
        <w:footnoteReference w:id="526"/>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Gegevens kunnen op verschillende manieren uitgewisseld worden. De meest traditionele ma</w:t>
      </w:r>
      <w:r w:rsidR="000828CD">
        <w:rPr>
          <w:rFonts w:ascii="Times New Roman" w:hAnsi="Times New Roman" w:cs="Times New Roman"/>
          <w:sz w:val="24"/>
          <w:szCs w:val="24"/>
        </w:rPr>
        <w:t>-</w:t>
      </w:r>
      <w:r w:rsidRPr="00D147A7">
        <w:rPr>
          <w:rFonts w:ascii="Times New Roman" w:hAnsi="Times New Roman" w:cs="Times New Roman"/>
          <w:sz w:val="24"/>
          <w:szCs w:val="24"/>
        </w:rPr>
        <w:t>nieren zijn het verzenden van papieren berichten per post, het meegeven van een brief aan de patiënt, persoonlijk contact, bellen en faxen. De laatste jaren zijn er twee elektronische moge</w:t>
      </w:r>
      <w:r w:rsidR="000828CD">
        <w:rPr>
          <w:rFonts w:ascii="Times New Roman" w:hAnsi="Times New Roman" w:cs="Times New Roman"/>
          <w:sz w:val="24"/>
          <w:szCs w:val="24"/>
        </w:rPr>
        <w:t>-</w:t>
      </w:r>
      <w:r w:rsidRPr="00D147A7">
        <w:rPr>
          <w:rFonts w:ascii="Times New Roman" w:hAnsi="Times New Roman" w:cs="Times New Roman"/>
          <w:sz w:val="24"/>
          <w:szCs w:val="24"/>
        </w:rPr>
        <w:t>lijkheden bijgekomen: het versturen van elektronische berichten (</w:t>
      </w:r>
      <w:r w:rsidRPr="00D147A7">
        <w:rPr>
          <w:rFonts w:ascii="Times New Roman" w:hAnsi="Times New Roman" w:cs="Times New Roman"/>
          <w:i/>
          <w:sz w:val="24"/>
          <w:szCs w:val="24"/>
        </w:rPr>
        <w:t>push</w:t>
      </w:r>
      <w:r w:rsidRPr="00D147A7">
        <w:rPr>
          <w:rFonts w:ascii="Times New Roman" w:hAnsi="Times New Roman" w:cs="Times New Roman"/>
          <w:sz w:val="24"/>
          <w:szCs w:val="24"/>
        </w:rPr>
        <w:t xml:space="preserve">) en het </w:t>
      </w:r>
      <w:r w:rsidR="000828CD">
        <w:rPr>
          <w:rFonts w:ascii="Times New Roman" w:hAnsi="Times New Roman" w:cs="Times New Roman"/>
          <w:sz w:val="24"/>
          <w:szCs w:val="24"/>
        </w:rPr>
        <w:t xml:space="preserve">(van op af-stand) </w:t>
      </w:r>
      <w:r w:rsidRPr="00D147A7">
        <w:rPr>
          <w:rFonts w:ascii="Times New Roman" w:hAnsi="Times New Roman" w:cs="Times New Roman"/>
          <w:sz w:val="24"/>
          <w:szCs w:val="24"/>
        </w:rPr>
        <w:t>inzien van elektronische gegevens (</w:t>
      </w:r>
      <w:r w:rsidRPr="00D147A7">
        <w:rPr>
          <w:rFonts w:ascii="Times New Roman" w:hAnsi="Times New Roman" w:cs="Times New Roman"/>
          <w:i/>
          <w:sz w:val="24"/>
          <w:szCs w:val="24"/>
        </w:rPr>
        <w:t>pull</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27"/>
      </w:r>
      <w:r w:rsidRPr="00D147A7">
        <w:rPr>
          <w:rFonts w:ascii="Times New Roman" w:hAnsi="Times New Roman" w:cs="Times New Roman"/>
          <w:sz w:val="24"/>
          <w:szCs w:val="24"/>
        </w:rPr>
        <w:t xml:space="preserve"> Elektronische berichten kunnen op ver</w:t>
      </w:r>
      <w:r w:rsidR="000828CD">
        <w:rPr>
          <w:rFonts w:ascii="Times New Roman" w:hAnsi="Times New Roman" w:cs="Times New Roman"/>
          <w:sz w:val="24"/>
          <w:szCs w:val="24"/>
        </w:rPr>
        <w:t>-</w:t>
      </w:r>
      <w:r w:rsidRPr="00D147A7">
        <w:rPr>
          <w:rFonts w:ascii="Times New Roman" w:hAnsi="Times New Roman" w:cs="Times New Roman"/>
          <w:sz w:val="24"/>
          <w:szCs w:val="24"/>
        </w:rPr>
        <w:t>schillende manieren en op basis van verschillende standaarden verstuurd worden</w:t>
      </w:r>
      <w:r w:rsidRPr="00D147A7">
        <w:rPr>
          <w:rStyle w:val="Voetnootmarkering"/>
          <w:rFonts w:ascii="Times New Roman" w:hAnsi="Times New Roman" w:cs="Times New Roman"/>
          <w:sz w:val="24"/>
          <w:szCs w:val="24"/>
        </w:rPr>
        <w:footnoteReference w:id="528"/>
      </w:r>
      <w:r w:rsidRPr="00D147A7">
        <w:rPr>
          <w:rFonts w:ascii="Times New Roman" w:hAnsi="Times New Roman" w:cs="Times New Roman"/>
          <w:sz w:val="24"/>
          <w:szCs w:val="24"/>
        </w:rPr>
        <w:t>:</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 xml:space="preserve">De meest laagdrempelige manier om berichten te communiceren is via (on)beveiligde e-mail. Het is evenwel niet mogelijk om berichten via e-mail te structureren en er zijn geen </w:t>
      </w:r>
      <w:r w:rsidRPr="00D147A7">
        <w:rPr>
          <w:rFonts w:ascii="Times New Roman" w:hAnsi="Times New Roman" w:cs="Times New Roman"/>
          <w:i/>
          <w:sz w:val="24"/>
          <w:szCs w:val="24"/>
        </w:rPr>
        <w:t>logging</w:t>
      </w:r>
      <w:r w:rsidRPr="00D147A7">
        <w:rPr>
          <w:rFonts w:ascii="Times New Roman" w:hAnsi="Times New Roman" w:cs="Times New Roman"/>
          <w:sz w:val="24"/>
          <w:szCs w:val="24"/>
        </w:rPr>
        <w:t xml:space="preserve">-mechanismen ontworpen. Mogelijkheden om e-mail-berichten te versleutelen en te authenticeren zijn wel voorzien, maar worden doorgaans niet gebruikt. Ook </w:t>
      </w:r>
      <w:r w:rsidR="000828CD">
        <w:rPr>
          <w:rFonts w:ascii="Times New Roman" w:hAnsi="Times New Roman" w:cs="Times New Roman"/>
          <w:sz w:val="24"/>
          <w:szCs w:val="24"/>
        </w:rPr>
        <w:t>van de door een</w:t>
      </w:r>
      <w:r w:rsidRPr="00D147A7">
        <w:rPr>
          <w:rFonts w:ascii="Times New Roman" w:hAnsi="Times New Roman" w:cs="Times New Roman"/>
          <w:sz w:val="24"/>
          <w:szCs w:val="24"/>
        </w:rPr>
        <w:t xml:space="preserve"> </w:t>
      </w:r>
      <w:r w:rsidRPr="00D147A7">
        <w:rPr>
          <w:rFonts w:ascii="Times New Roman" w:hAnsi="Times New Roman" w:cs="Times New Roman"/>
          <w:sz w:val="24"/>
          <w:szCs w:val="24"/>
        </w:rPr>
        <w:lastRenderedPageBreak/>
        <w:t xml:space="preserve">commerciële </w:t>
      </w:r>
      <w:r w:rsidR="000828CD">
        <w:rPr>
          <w:rFonts w:ascii="Times New Roman" w:hAnsi="Times New Roman" w:cs="Times New Roman"/>
          <w:sz w:val="24"/>
          <w:szCs w:val="24"/>
        </w:rPr>
        <w:t>(</w:t>
      </w:r>
      <w:r w:rsidRPr="00D147A7">
        <w:rPr>
          <w:rFonts w:ascii="Times New Roman" w:hAnsi="Times New Roman" w:cs="Times New Roman"/>
          <w:sz w:val="24"/>
          <w:szCs w:val="24"/>
        </w:rPr>
        <w:t>derde</w:t>
      </w:r>
      <w:r w:rsidR="000828CD">
        <w:rPr>
          <w:rFonts w:ascii="Times New Roman" w:hAnsi="Times New Roman" w:cs="Times New Roman"/>
          <w:sz w:val="24"/>
          <w:szCs w:val="24"/>
        </w:rPr>
        <w:t>)</w:t>
      </w:r>
      <w:r w:rsidRPr="00D147A7">
        <w:rPr>
          <w:rFonts w:ascii="Times New Roman" w:hAnsi="Times New Roman" w:cs="Times New Roman"/>
          <w:sz w:val="24"/>
          <w:szCs w:val="24"/>
        </w:rPr>
        <w:t xml:space="preserve"> partij beveiligde e-mail (</w:t>
      </w:r>
      <w:r w:rsidRPr="00D147A7">
        <w:rPr>
          <w:rFonts w:ascii="Times New Roman" w:hAnsi="Times New Roman" w:cs="Times New Roman"/>
          <w:i/>
          <w:sz w:val="24"/>
          <w:szCs w:val="24"/>
        </w:rPr>
        <w:t>secure e-mail</w:t>
      </w:r>
      <w:r w:rsidRPr="00D147A7">
        <w:rPr>
          <w:rFonts w:ascii="Times New Roman" w:hAnsi="Times New Roman" w:cs="Times New Roman"/>
          <w:sz w:val="24"/>
          <w:szCs w:val="24"/>
        </w:rPr>
        <w:t xml:space="preserve">) wordt </w:t>
      </w:r>
      <w:r w:rsidR="000828CD">
        <w:rPr>
          <w:rFonts w:ascii="Times New Roman" w:hAnsi="Times New Roman" w:cs="Times New Roman"/>
          <w:sz w:val="24"/>
          <w:szCs w:val="24"/>
        </w:rPr>
        <w:t>slechts weinig gebruik gemaakt</w:t>
      </w:r>
      <w:r w:rsidRPr="00D147A7">
        <w:rPr>
          <w:rFonts w:ascii="Times New Roman" w:hAnsi="Times New Roman" w:cs="Times New Roman"/>
          <w:sz w:val="24"/>
          <w:szCs w:val="24"/>
        </w:rPr>
        <w:t>. Enkel zorgverleners die niet over een eigen EPD beschikken – meestal paramedici – doen hier een beroep op.</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i/>
          <w:sz w:val="24"/>
          <w:szCs w:val="24"/>
        </w:rPr>
        <w:t>Electronic Data Interchange For Administration, Commerce and Transport</w:t>
      </w:r>
      <w:r w:rsidRPr="00D147A7">
        <w:rPr>
          <w:rFonts w:ascii="Times New Roman" w:hAnsi="Times New Roman" w:cs="Times New Roman"/>
          <w:sz w:val="24"/>
          <w:szCs w:val="24"/>
        </w:rPr>
        <w:t xml:space="preserve"> (EDIFACT) of ISO 9735 is een verouderde standaard voor de rechtstreeks geadresseerde uitwisseling van semi-gestructureerde berichten (zoals brieven, voorschriften, recepten of laboratoriumuitslagen) tussen zorgverleners in de eerste en tweede lijn en tussen zorgver</w:t>
      </w:r>
      <w:r w:rsidR="000828CD">
        <w:rPr>
          <w:rFonts w:ascii="Times New Roman" w:hAnsi="Times New Roman" w:cs="Times New Roman"/>
          <w:sz w:val="24"/>
          <w:szCs w:val="24"/>
        </w:rPr>
        <w:t>-</w:t>
      </w:r>
      <w:r w:rsidRPr="00D147A7">
        <w:rPr>
          <w:rFonts w:ascii="Times New Roman" w:hAnsi="Times New Roman" w:cs="Times New Roman"/>
          <w:sz w:val="24"/>
          <w:szCs w:val="24"/>
        </w:rPr>
        <w:t>leners binnen de eerste lijn zelf. Berichten in EDIFACT-formaat kunnen op twee manieren verstuurd worden: door het zgn. postbussysteem of door een directe netwerkverbinding. Bij het postbussysteem staat een derde partij (zoals ZorgMail</w:t>
      </w:r>
      <w:r w:rsidRPr="00D147A7">
        <w:rPr>
          <w:rStyle w:val="Voetnootmarkering"/>
          <w:rFonts w:ascii="Times New Roman" w:hAnsi="Times New Roman" w:cs="Times New Roman"/>
          <w:sz w:val="24"/>
          <w:szCs w:val="24"/>
        </w:rPr>
        <w:footnoteReference w:id="529"/>
      </w:r>
      <w:r w:rsidRPr="00D147A7">
        <w:rPr>
          <w:rFonts w:ascii="Times New Roman" w:hAnsi="Times New Roman" w:cs="Times New Roman"/>
          <w:sz w:val="24"/>
          <w:szCs w:val="24"/>
        </w:rPr>
        <w:t>) in voor de betrouwbare over</w:t>
      </w:r>
      <w:r w:rsidR="000828CD">
        <w:rPr>
          <w:rFonts w:ascii="Times New Roman" w:hAnsi="Times New Roman" w:cs="Times New Roman"/>
          <w:sz w:val="24"/>
          <w:szCs w:val="24"/>
        </w:rPr>
        <w:t>-</w:t>
      </w:r>
      <w:r w:rsidRPr="00D147A7">
        <w:rPr>
          <w:rFonts w:ascii="Times New Roman" w:hAnsi="Times New Roman" w:cs="Times New Roman"/>
          <w:sz w:val="24"/>
          <w:szCs w:val="24"/>
        </w:rPr>
        <w:t xml:space="preserve">dracht van </w:t>
      </w:r>
      <w:r w:rsidR="000828CD">
        <w:rPr>
          <w:rFonts w:ascii="Times New Roman" w:hAnsi="Times New Roman" w:cs="Times New Roman"/>
          <w:sz w:val="24"/>
          <w:szCs w:val="24"/>
        </w:rPr>
        <w:t xml:space="preserve">digitale </w:t>
      </w:r>
      <w:r w:rsidRPr="00D147A7">
        <w:rPr>
          <w:rFonts w:ascii="Times New Roman" w:hAnsi="Times New Roman" w:cs="Times New Roman"/>
          <w:sz w:val="24"/>
          <w:szCs w:val="24"/>
        </w:rPr>
        <w:t xml:space="preserve">berichten. De ontvangende zorgverlener wordt </w:t>
      </w:r>
      <w:r w:rsidR="000828CD" w:rsidRPr="00D147A7">
        <w:rPr>
          <w:rFonts w:ascii="Times New Roman" w:hAnsi="Times New Roman" w:cs="Times New Roman"/>
          <w:sz w:val="24"/>
          <w:szCs w:val="24"/>
        </w:rPr>
        <w:t xml:space="preserve">geadresseerd </w:t>
      </w:r>
      <w:r w:rsidRPr="00D147A7">
        <w:rPr>
          <w:rFonts w:ascii="Times New Roman" w:hAnsi="Times New Roman" w:cs="Times New Roman"/>
          <w:sz w:val="24"/>
          <w:szCs w:val="24"/>
        </w:rPr>
        <w:t>aan de hand van zijn unieke Algemeen Gegevens Beheer (AGB)-code. De gegevens van alle Nederlandse zorgverleners zijn in een register</w:t>
      </w:r>
      <w:r w:rsidR="000828CD">
        <w:rPr>
          <w:rFonts w:ascii="Times New Roman" w:hAnsi="Times New Roman" w:cs="Times New Roman"/>
          <w:sz w:val="24"/>
          <w:szCs w:val="24"/>
        </w:rPr>
        <w:t xml:space="preserve"> –</w:t>
      </w:r>
      <w:r w:rsidRPr="00D147A7">
        <w:rPr>
          <w:rFonts w:ascii="Times New Roman" w:hAnsi="Times New Roman" w:cs="Times New Roman"/>
          <w:sz w:val="24"/>
          <w:szCs w:val="24"/>
        </w:rPr>
        <w:t xml:space="preserve"> het Algemeen Gegevens Beheer Zorgverleners (AGB-Zorgverleners)</w:t>
      </w:r>
      <w:r w:rsidR="000828CD">
        <w:rPr>
          <w:rFonts w:ascii="Times New Roman" w:hAnsi="Times New Roman" w:cs="Times New Roman"/>
          <w:sz w:val="24"/>
          <w:szCs w:val="24"/>
        </w:rPr>
        <w:t xml:space="preserve"> –</w:t>
      </w:r>
      <w:r w:rsidRPr="00D147A7">
        <w:rPr>
          <w:rFonts w:ascii="Times New Roman" w:hAnsi="Times New Roman" w:cs="Times New Roman"/>
          <w:sz w:val="24"/>
          <w:szCs w:val="24"/>
        </w:rPr>
        <w:t xml:space="preserve"> vastgelegd. Als zorgverleners op geregelde basis berichten met elkaar uit</w:t>
      </w:r>
      <w:r w:rsidR="000828CD">
        <w:rPr>
          <w:rFonts w:ascii="Times New Roman" w:hAnsi="Times New Roman" w:cs="Times New Roman"/>
          <w:sz w:val="24"/>
          <w:szCs w:val="24"/>
        </w:rPr>
        <w:t>-</w:t>
      </w:r>
      <w:r w:rsidRPr="00D147A7">
        <w:rPr>
          <w:rFonts w:ascii="Times New Roman" w:hAnsi="Times New Roman" w:cs="Times New Roman"/>
          <w:sz w:val="24"/>
          <w:szCs w:val="24"/>
        </w:rPr>
        <w:t xml:space="preserve">wisselen, kan de voorkeur uitgaan naar de verzending via een directe netwerkverbinding. Het is wel een vereiste dat beide partijen op hetzelfde netwerk aangesloten zijn en </w:t>
      </w:r>
      <w:r w:rsidR="000828CD">
        <w:rPr>
          <w:rFonts w:ascii="Times New Roman" w:hAnsi="Times New Roman" w:cs="Times New Roman"/>
          <w:sz w:val="24"/>
          <w:szCs w:val="24"/>
        </w:rPr>
        <w:t xml:space="preserve">zij </w:t>
      </w:r>
      <w:r w:rsidRPr="00D147A7">
        <w:rPr>
          <w:rFonts w:ascii="Times New Roman" w:hAnsi="Times New Roman" w:cs="Times New Roman"/>
          <w:sz w:val="24"/>
          <w:szCs w:val="24"/>
        </w:rPr>
        <w:t>elkaars net</w:t>
      </w:r>
      <w:r w:rsidR="000828CD">
        <w:rPr>
          <w:rFonts w:ascii="Times New Roman" w:hAnsi="Times New Roman" w:cs="Times New Roman"/>
          <w:sz w:val="24"/>
          <w:szCs w:val="24"/>
        </w:rPr>
        <w:t>-</w:t>
      </w:r>
      <w:r w:rsidRPr="00D147A7">
        <w:rPr>
          <w:rFonts w:ascii="Times New Roman" w:hAnsi="Times New Roman" w:cs="Times New Roman"/>
          <w:sz w:val="24"/>
          <w:szCs w:val="24"/>
        </w:rPr>
        <w:t>werkadres kennen. De EDIFACT-berichtendienst is in wezen de schakel tussen de aangete</w:t>
      </w:r>
      <w:r w:rsidR="000828CD">
        <w:rPr>
          <w:rFonts w:ascii="Times New Roman" w:hAnsi="Times New Roman" w:cs="Times New Roman"/>
          <w:sz w:val="24"/>
          <w:szCs w:val="24"/>
        </w:rPr>
        <w:t>-</w:t>
      </w:r>
      <w:r w:rsidRPr="00D147A7">
        <w:rPr>
          <w:rFonts w:ascii="Times New Roman" w:hAnsi="Times New Roman" w:cs="Times New Roman"/>
          <w:sz w:val="24"/>
          <w:szCs w:val="24"/>
        </w:rPr>
        <w:t>kende brief en de e-mail. De berichten kunnen – afhankelijk van de betrokken informatie</w:t>
      </w:r>
      <w:r w:rsidR="000828CD">
        <w:rPr>
          <w:rFonts w:ascii="Times New Roman" w:hAnsi="Times New Roman" w:cs="Times New Roman"/>
          <w:sz w:val="24"/>
          <w:szCs w:val="24"/>
        </w:rPr>
        <w:t>-</w:t>
      </w:r>
      <w:r w:rsidRPr="00D147A7">
        <w:rPr>
          <w:rFonts w:ascii="Times New Roman" w:hAnsi="Times New Roman" w:cs="Times New Roman"/>
          <w:sz w:val="24"/>
          <w:szCs w:val="24"/>
        </w:rPr>
        <w:t>systemen – handmatig, gedeeltelijk of geheel automatisch opgeslagen worden door de ont</w:t>
      </w:r>
      <w:r w:rsidR="000828CD">
        <w:rPr>
          <w:rFonts w:ascii="Times New Roman" w:hAnsi="Times New Roman" w:cs="Times New Roman"/>
          <w:sz w:val="24"/>
          <w:szCs w:val="24"/>
        </w:rPr>
        <w:t>-</w:t>
      </w:r>
      <w:r w:rsidRPr="00D147A7">
        <w:rPr>
          <w:rFonts w:ascii="Times New Roman" w:hAnsi="Times New Roman" w:cs="Times New Roman"/>
          <w:sz w:val="24"/>
          <w:szCs w:val="24"/>
        </w:rPr>
        <w:t>vanger.</w:t>
      </w:r>
      <w:r w:rsidRPr="00D147A7">
        <w:rPr>
          <w:rStyle w:val="Voetnootmarkering"/>
          <w:rFonts w:ascii="Times New Roman" w:hAnsi="Times New Roman" w:cs="Times New Roman"/>
          <w:sz w:val="24"/>
          <w:szCs w:val="24"/>
        </w:rPr>
        <w:footnoteReference w:id="530"/>
      </w:r>
      <w:r w:rsidRPr="00D147A7">
        <w:rPr>
          <w:rFonts w:ascii="Times New Roman" w:hAnsi="Times New Roman" w:cs="Times New Roman"/>
          <w:sz w:val="24"/>
          <w:szCs w:val="24"/>
        </w:rPr>
        <w:t xml:space="preserve"> Doorgaans wordt de toegang tot EDIFACT-berichten wel gelogd, maar patiënten kunnen de berichten niet inzien en kunnen geen bezwaar </w:t>
      </w:r>
      <w:r w:rsidR="000828CD">
        <w:rPr>
          <w:rFonts w:ascii="Times New Roman" w:hAnsi="Times New Roman" w:cs="Times New Roman"/>
          <w:sz w:val="24"/>
          <w:szCs w:val="24"/>
        </w:rPr>
        <w:t>uiten</w:t>
      </w:r>
      <w:r w:rsidRPr="00D147A7">
        <w:rPr>
          <w:rFonts w:ascii="Times New Roman" w:hAnsi="Times New Roman" w:cs="Times New Roman"/>
          <w:sz w:val="24"/>
          <w:szCs w:val="24"/>
        </w:rPr>
        <w:t>. De standaard verzekerd even</w:t>
      </w:r>
      <w:r w:rsidR="000828CD">
        <w:rPr>
          <w:rFonts w:ascii="Times New Roman" w:hAnsi="Times New Roman" w:cs="Times New Roman"/>
          <w:sz w:val="24"/>
          <w:szCs w:val="24"/>
        </w:rPr>
        <w:t>-</w:t>
      </w:r>
      <w:r w:rsidRPr="00D147A7">
        <w:rPr>
          <w:rFonts w:ascii="Times New Roman" w:hAnsi="Times New Roman" w:cs="Times New Roman"/>
          <w:sz w:val="24"/>
          <w:szCs w:val="24"/>
        </w:rPr>
        <w:t>min de authenticiteit en integriteit van de uitgewisselde informatie.</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Open Zorg Informatie Systeem (OZIS) is een standaard voor gesloten netwerken op regionaal niveau, waarbinnen berichten in een Nederlandse variant van het EDIFACT-formaat uitgewisseld worden.</w:t>
      </w:r>
      <w:r w:rsidRPr="00D147A7">
        <w:rPr>
          <w:rStyle w:val="Voetnootmarkering"/>
          <w:rFonts w:ascii="Times New Roman" w:hAnsi="Times New Roman" w:cs="Times New Roman"/>
          <w:sz w:val="24"/>
          <w:szCs w:val="24"/>
        </w:rPr>
        <w:footnoteReference w:id="531"/>
      </w:r>
      <w:r w:rsidRPr="00D147A7">
        <w:rPr>
          <w:rFonts w:ascii="Times New Roman" w:hAnsi="Times New Roman" w:cs="Times New Roman"/>
          <w:sz w:val="24"/>
          <w:szCs w:val="24"/>
        </w:rPr>
        <w:t xml:space="preserve"> OZIS maakt en onderhoudt specificaties ten behoeve van de gege</w:t>
      </w:r>
      <w:r w:rsidR="000828CD">
        <w:rPr>
          <w:rFonts w:ascii="Times New Roman" w:hAnsi="Times New Roman" w:cs="Times New Roman"/>
          <w:sz w:val="24"/>
          <w:szCs w:val="24"/>
        </w:rPr>
        <w:t>-</w:t>
      </w:r>
      <w:r w:rsidRPr="00D147A7">
        <w:rPr>
          <w:rFonts w:ascii="Times New Roman" w:hAnsi="Times New Roman" w:cs="Times New Roman"/>
          <w:sz w:val="24"/>
          <w:szCs w:val="24"/>
        </w:rPr>
        <w:t>vensuitwisseling tussen informatiesystemen van verschillende softwareleveranciers en werd ten behoeve van de dienstwaarneming in de eerste lijn, huisartsen en apothekers ontwikkeld. Alle aangesloten zorginformatiesystemen uit één regio vormen een gesloten cluster.</w:t>
      </w:r>
      <w:r w:rsidRPr="00D147A7">
        <w:rPr>
          <w:rStyle w:val="Voetnootmarkering"/>
          <w:rFonts w:ascii="Times New Roman" w:hAnsi="Times New Roman" w:cs="Times New Roman"/>
          <w:sz w:val="24"/>
          <w:szCs w:val="24"/>
        </w:rPr>
        <w:footnoteReference w:id="532"/>
      </w:r>
      <w:r w:rsidRPr="00D147A7">
        <w:rPr>
          <w:rFonts w:ascii="Times New Roman" w:hAnsi="Times New Roman" w:cs="Times New Roman"/>
          <w:sz w:val="24"/>
          <w:szCs w:val="24"/>
        </w:rPr>
        <w:t xml:space="preserve"> Apo</w:t>
      </w:r>
      <w:r w:rsidR="000828CD">
        <w:rPr>
          <w:rFonts w:ascii="Times New Roman" w:hAnsi="Times New Roman" w:cs="Times New Roman"/>
          <w:sz w:val="24"/>
          <w:szCs w:val="24"/>
        </w:rPr>
        <w:t>-</w:t>
      </w:r>
      <w:r w:rsidRPr="00D147A7">
        <w:rPr>
          <w:rFonts w:ascii="Times New Roman" w:hAnsi="Times New Roman" w:cs="Times New Roman"/>
          <w:sz w:val="24"/>
          <w:szCs w:val="24"/>
        </w:rPr>
        <w:t>thekers en huisartsen behoren elk tot een aparte cluster. Hoewel de uitwisseling tussen ver</w:t>
      </w:r>
      <w:r w:rsidR="000828CD">
        <w:rPr>
          <w:rFonts w:ascii="Times New Roman" w:hAnsi="Times New Roman" w:cs="Times New Roman"/>
          <w:sz w:val="24"/>
          <w:szCs w:val="24"/>
        </w:rPr>
        <w:t>-</w:t>
      </w:r>
      <w:r w:rsidRPr="00D147A7">
        <w:rPr>
          <w:rFonts w:ascii="Times New Roman" w:hAnsi="Times New Roman" w:cs="Times New Roman"/>
          <w:sz w:val="24"/>
          <w:szCs w:val="24"/>
        </w:rPr>
        <w:t>schillende clusters in principe niet mogelijk is, kunnen clusters van apothekers soms wel met elkaar verbonden zijn. De logging-mechanismen, versleutelingstechnieken, authenticatie- en autorisatieprocedures zijn niet goed geregeld.</w:t>
      </w:r>
      <w:r w:rsidRPr="00D147A7">
        <w:rPr>
          <w:rStyle w:val="Voetnootmarkering"/>
          <w:rFonts w:ascii="Times New Roman" w:hAnsi="Times New Roman" w:cs="Times New Roman"/>
          <w:sz w:val="24"/>
          <w:szCs w:val="24"/>
        </w:rPr>
        <w:footnoteReference w:id="533"/>
      </w:r>
      <w:r w:rsidRPr="00D147A7">
        <w:rPr>
          <w:rFonts w:ascii="Times New Roman" w:hAnsi="Times New Roman" w:cs="Times New Roman"/>
          <w:sz w:val="24"/>
          <w:szCs w:val="24"/>
        </w:rPr>
        <w:t xml:space="preserve"> </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 xml:space="preserve">Health Level 7 (HL7) versie 2 is een internationale standaard die veel gebruikt wordt voor de uitwisseling van gegevens binnen en tussen ziekenhuizen en laboratoria. Voor de communicatie met de eerste lijn doen verzorgingsinstellingen beroep op </w:t>
      </w:r>
      <w:r w:rsidRPr="000828CD">
        <w:rPr>
          <w:rFonts w:ascii="Times New Roman" w:hAnsi="Times New Roman" w:cs="Times New Roman"/>
          <w:i/>
          <w:sz w:val="24"/>
          <w:szCs w:val="24"/>
        </w:rPr>
        <w:t>gateways</w:t>
      </w:r>
      <w:r w:rsidRPr="00D147A7">
        <w:rPr>
          <w:rFonts w:ascii="Times New Roman" w:hAnsi="Times New Roman" w:cs="Times New Roman"/>
          <w:sz w:val="24"/>
          <w:szCs w:val="24"/>
        </w:rPr>
        <w:t xml:space="preserve"> om bericht</w:t>
      </w:r>
      <w:r w:rsidR="000828CD">
        <w:rPr>
          <w:rFonts w:ascii="Times New Roman" w:hAnsi="Times New Roman" w:cs="Times New Roman"/>
          <w:sz w:val="24"/>
          <w:szCs w:val="24"/>
        </w:rPr>
        <w:t>-</w:t>
      </w:r>
      <w:r w:rsidRPr="00D147A7">
        <w:rPr>
          <w:rFonts w:ascii="Times New Roman" w:hAnsi="Times New Roman" w:cs="Times New Roman"/>
          <w:sz w:val="24"/>
          <w:szCs w:val="24"/>
        </w:rPr>
        <w:t>en naar EDIFACT-formaat om te zetten. Omdat HL7-berichten een rijkere structuur hebben, lenen zij zich beter voor automatische verwerkingen. Terwijl HL7 versie 2 vooral binnen grote verzorgingsinstellingen gebruikt wordt, vormde (de op XML gebaseerde) HL7 versie 3 de basis voor het Landelijk EPD. Vermoedelijk zullen OZIS-clusters op termijn overstappen van Edifact naar HL7 versie 3.</w:t>
      </w:r>
      <w:r w:rsidRPr="00D147A7">
        <w:rPr>
          <w:rStyle w:val="Voetnootmarkering"/>
          <w:rFonts w:ascii="Times New Roman" w:hAnsi="Times New Roman" w:cs="Times New Roman"/>
          <w:sz w:val="24"/>
          <w:szCs w:val="24"/>
        </w:rPr>
        <w:footnoteReference w:id="534"/>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Cross Enterprise Document Sharing (XDS) heeft betrekking op applicaties voor de communicatie van medisch beeldmateriaal in de cardiologie en in de radiologie van verzorg</w:t>
      </w:r>
      <w:r w:rsidR="000828CD">
        <w:rPr>
          <w:rFonts w:ascii="Times New Roman" w:hAnsi="Times New Roman" w:cs="Times New Roman"/>
          <w:sz w:val="24"/>
          <w:szCs w:val="24"/>
        </w:rPr>
        <w:t>-</w:t>
      </w:r>
      <w:r w:rsidRPr="00D147A7">
        <w:rPr>
          <w:rFonts w:ascii="Times New Roman" w:hAnsi="Times New Roman" w:cs="Times New Roman"/>
          <w:sz w:val="24"/>
          <w:szCs w:val="24"/>
        </w:rPr>
        <w:lastRenderedPageBreak/>
        <w:t xml:space="preserve">ingsinstellingen. Beelden kunnen ofwel aan de hand van een mailsysteem, ofwel door XDS-I uitgewisseld worden. Voor beide oplossingen is een landelijke infrastructuur vereist. Omdat de authenticatie bij mailsystemen zeer matig is, wordt in de meeste gevallen </w:t>
      </w:r>
      <w:r w:rsidR="00462319" w:rsidRPr="00D147A7">
        <w:rPr>
          <w:rFonts w:ascii="Times New Roman" w:hAnsi="Times New Roman" w:cs="Times New Roman"/>
          <w:sz w:val="24"/>
          <w:szCs w:val="24"/>
        </w:rPr>
        <w:t xml:space="preserve">overgeschakeld </w:t>
      </w:r>
      <w:r w:rsidRPr="00D147A7">
        <w:rPr>
          <w:rFonts w:ascii="Times New Roman" w:hAnsi="Times New Roman" w:cs="Times New Roman"/>
          <w:sz w:val="24"/>
          <w:szCs w:val="24"/>
        </w:rPr>
        <w:t>op XDS.</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Daarnaast bestaan er ook verschillende technieken om elektronische gegevens </w:t>
      </w:r>
      <w:r w:rsidR="00462319">
        <w:rPr>
          <w:rFonts w:ascii="Times New Roman" w:hAnsi="Times New Roman" w:cs="Times New Roman"/>
          <w:sz w:val="24"/>
          <w:szCs w:val="24"/>
        </w:rPr>
        <w:t xml:space="preserve">van op afstand </w:t>
      </w:r>
      <w:r w:rsidRPr="00D147A7">
        <w:rPr>
          <w:rFonts w:ascii="Times New Roman" w:hAnsi="Times New Roman" w:cs="Times New Roman"/>
          <w:sz w:val="24"/>
          <w:szCs w:val="24"/>
        </w:rPr>
        <w:t>in te zien:</w:t>
      </w:r>
    </w:p>
    <w:p w:rsidR="009931C7" w:rsidRPr="00D147A7" w:rsidRDefault="00462319" w:rsidP="009931C7">
      <w:pPr>
        <w:pStyle w:val="Geenafstand"/>
        <w:numPr>
          <w:ilvl w:val="0"/>
          <w:numId w:val="22"/>
        </w:numPr>
        <w:ind w:left="0" w:hanging="11"/>
        <w:jc w:val="both"/>
        <w:rPr>
          <w:rFonts w:ascii="Times New Roman" w:hAnsi="Times New Roman" w:cs="Times New Roman"/>
          <w:sz w:val="24"/>
          <w:szCs w:val="24"/>
        </w:rPr>
      </w:pPr>
      <w:r>
        <w:rPr>
          <w:rFonts w:ascii="Times New Roman" w:hAnsi="Times New Roman" w:cs="Times New Roman"/>
          <w:sz w:val="24"/>
          <w:szCs w:val="24"/>
        </w:rPr>
        <w:t>Z</w:t>
      </w:r>
      <w:r w:rsidR="009931C7" w:rsidRPr="00D147A7">
        <w:rPr>
          <w:rFonts w:ascii="Times New Roman" w:hAnsi="Times New Roman" w:cs="Times New Roman"/>
          <w:sz w:val="24"/>
          <w:szCs w:val="24"/>
        </w:rPr>
        <w:t>orgverlener</w:t>
      </w:r>
      <w:r>
        <w:rPr>
          <w:rFonts w:ascii="Times New Roman" w:hAnsi="Times New Roman" w:cs="Times New Roman"/>
          <w:sz w:val="24"/>
          <w:szCs w:val="24"/>
        </w:rPr>
        <w:t>s</w:t>
      </w:r>
      <w:r w:rsidR="009931C7" w:rsidRPr="00D147A7">
        <w:rPr>
          <w:rFonts w:ascii="Times New Roman" w:hAnsi="Times New Roman" w:cs="Times New Roman"/>
          <w:sz w:val="24"/>
          <w:szCs w:val="24"/>
        </w:rPr>
        <w:t xml:space="preserve"> k</w:t>
      </w:r>
      <w:r>
        <w:rPr>
          <w:rFonts w:ascii="Times New Roman" w:hAnsi="Times New Roman" w:cs="Times New Roman"/>
          <w:sz w:val="24"/>
          <w:szCs w:val="24"/>
        </w:rPr>
        <w:t>unnen</w:t>
      </w:r>
      <w:r w:rsidR="009931C7" w:rsidRPr="00D147A7">
        <w:rPr>
          <w:rFonts w:ascii="Times New Roman" w:hAnsi="Times New Roman" w:cs="Times New Roman"/>
          <w:sz w:val="24"/>
          <w:szCs w:val="24"/>
        </w:rPr>
        <w:t xml:space="preserve"> patiëntgegevens bij andere zorgverlener</w:t>
      </w:r>
      <w:r>
        <w:rPr>
          <w:rFonts w:ascii="Times New Roman" w:hAnsi="Times New Roman" w:cs="Times New Roman"/>
          <w:sz w:val="24"/>
          <w:szCs w:val="24"/>
        </w:rPr>
        <w:t>s</w:t>
      </w:r>
      <w:r w:rsidR="009931C7" w:rsidRPr="00D147A7">
        <w:rPr>
          <w:rFonts w:ascii="Times New Roman" w:hAnsi="Times New Roman" w:cs="Times New Roman"/>
          <w:sz w:val="24"/>
          <w:szCs w:val="24"/>
        </w:rPr>
        <w:t xml:space="preserve"> binnen dezelfde OZIS-cluster in</w:t>
      </w:r>
      <w:r>
        <w:rPr>
          <w:rFonts w:ascii="Times New Roman" w:hAnsi="Times New Roman" w:cs="Times New Roman"/>
          <w:sz w:val="24"/>
          <w:szCs w:val="24"/>
        </w:rPr>
        <w:t>kijken</w:t>
      </w:r>
      <w:r w:rsidR="009931C7" w:rsidRPr="00D147A7">
        <w:rPr>
          <w:rFonts w:ascii="Times New Roman" w:hAnsi="Times New Roman" w:cs="Times New Roman"/>
          <w:sz w:val="24"/>
          <w:szCs w:val="24"/>
        </w:rPr>
        <w:t>. Via een Centrale Patiënten Index (CPI) kan nagegaan worden welke collega binnen de OZIS-cluster over informatie van een bepaalde patiënt beschikt. Vervolgens wordt de informatie via EDIFACT-berichten overgebracht naar het informatiesysteem van de aan</w:t>
      </w:r>
      <w:r>
        <w:rPr>
          <w:rFonts w:ascii="Times New Roman" w:hAnsi="Times New Roman" w:cs="Times New Roman"/>
          <w:sz w:val="24"/>
          <w:szCs w:val="24"/>
        </w:rPr>
        <w:t>-</w:t>
      </w:r>
      <w:r w:rsidR="009931C7" w:rsidRPr="00D147A7">
        <w:rPr>
          <w:rFonts w:ascii="Times New Roman" w:hAnsi="Times New Roman" w:cs="Times New Roman"/>
          <w:sz w:val="24"/>
          <w:szCs w:val="24"/>
        </w:rPr>
        <w:t>vrager.</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Zorgverleners van één medisch korps kunnen bij het vastleggen en inzien van infor</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matie gebruik maken van eenzelfde, gedeeld informatiesysteem. Terwijl authenticatie en logging-mechanismen doorgaans goed geregeld zijn, ontbreekt vaak de mogelijkheid om </w:t>
      </w:r>
      <w:r w:rsidR="00462319">
        <w:rPr>
          <w:rFonts w:ascii="Times New Roman" w:hAnsi="Times New Roman" w:cs="Times New Roman"/>
          <w:sz w:val="24"/>
          <w:szCs w:val="24"/>
        </w:rPr>
        <w:t xml:space="preserve">na </w:t>
      </w:r>
      <w:r w:rsidRPr="00D147A7">
        <w:rPr>
          <w:rFonts w:ascii="Times New Roman" w:hAnsi="Times New Roman" w:cs="Times New Roman"/>
          <w:sz w:val="24"/>
          <w:szCs w:val="24"/>
        </w:rPr>
        <w:t xml:space="preserve">te </w:t>
      </w:r>
      <w:r w:rsidR="00462319">
        <w:rPr>
          <w:rFonts w:ascii="Times New Roman" w:hAnsi="Times New Roman" w:cs="Times New Roman"/>
          <w:sz w:val="24"/>
          <w:szCs w:val="24"/>
        </w:rPr>
        <w:t xml:space="preserve">gaan </w:t>
      </w:r>
      <w:r w:rsidRPr="00D147A7">
        <w:rPr>
          <w:rFonts w:ascii="Times New Roman" w:hAnsi="Times New Roman" w:cs="Times New Roman"/>
          <w:sz w:val="24"/>
          <w:szCs w:val="24"/>
        </w:rPr>
        <w:t xml:space="preserve">wat </w:t>
      </w:r>
      <w:r w:rsidR="00462319">
        <w:rPr>
          <w:rFonts w:ascii="Times New Roman" w:hAnsi="Times New Roman" w:cs="Times New Roman"/>
          <w:sz w:val="24"/>
          <w:szCs w:val="24"/>
        </w:rPr>
        <w:t xml:space="preserve">er </w:t>
      </w:r>
      <w:r w:rsidRPr="00D147A7">
        <w:rPr>
          <w:rFonts w:ascii="Times New Roman" w:hAnsi="Times New Roman" w:cs="Times New Roman"/>
          <w:sz w:val="24"/>
          <w:szCs w:val="24"/>
        </w:rPr>
        <w:t xml:space="preserve">veranderd </w:t>
      </w:r>
      <w:r w:rsidR="00462319">
        <w:rPr>
          <w:rFonts w:ascii="Times New Roman" w:hAnsi="Times New Roman" w:cs="Times New Roman"/>
          <w:sz w:val="24"/>
          <w:szCs w:val="24"/>
        </w:rPr>
        <w:t>werd</w:t>
      </w:r>
      <w:r w:rsidRPr="00D147A7">
        <w:rPr>
          <w:rFonts w:ascii="Times New Roman" w:hAnsi="Times New Roman" w:cs="Times New Roman"/>
          <w:sz w:val="24"/>
          <w:szCs w:val="24"/>
        </w:rPr>
        <w:t>.</w:t>
      </w:r>
    </w:p>
    <w:p w:rsidR="009931C7" w:rsidRPr="00D147A7" w:rsidRDefault="009931C7" w:rsidP="009931C7">
      <w:pPr>
        <w:pStyle w:val="Geenafstand"/>
        <w:numPr>
          <w:ilvl w:val="0"/>
          <w:numId w:val="22"/>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Om externe zorgverleners (en patiënten) beperkte toegang tot een informatiesysteem te geven, wordt gebruik gemaakt van portalen. De gebruiker logt daartoe in met een webbrowser en krijgt via een webpagina inzage in het informatiesysteem. Deze benadering is laag</w:t>
      </w:r>
      <w:r w:rsidR="00462319">
        <w:rPr>
          <w:rFonts w:ascii="Times New Roman" w:hAnsi="Times New Roman" w:cs="Times New Roman"/>
          <w:sz w:val="24"/>
          <w:szCs w:val="24"/>
        </w:rPr>
        <w:t>-</w:t>
      </w:r>
      <w:r w:rsidRPr="00D147A7">
        <w:rPr>
          <w:rFonts w:ascii="Times New Roman" w:hAnsi="Times New Roman" w:cs="Times New Roman"/>
          <w:sz w:val="24"/>
          <w:szCs w:val="24"/>
        </w:rPr>
        <w:t>drempelig, maar is minder geschikt om in een informatiesysteem te integreren omdat het contact via de browser verloopt.</w:t>
      </w:r>
    </w:p>
    <w:p w:rsidR="009931C7" w:rsidRPr="00D147A7" w:rsidRDefault="009931C7" w:rsidP="009931C7">
      <w:pPr>
        <w:pStyle w:val="Geenafstand"/>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Nog een stapje verder in de evolutie betreft een nationaal uitwisselingssysteem voor de zorg</w:t>
      </w:r>
      <w:r w:rsidR="00462319">
        <w:rPr>
          <w:rFonts w:ascii="Times New Roman" w:hAnsi="Times New Roman" w:cs="Times New Roman"/>
          <w:sz w:val="24"/>
          <w:szCs w:val="24"/>
        </w:rPr>
        <w:t>-</w:t>
      </w:r>
      <w:r w:rsidRPr="00D147A7">
        <w:rPr>
          <w:rFonts w:ascii="Times New Roman" w:hAnsi="Times New Roman" w:cs="Times New Roman"/>
          <w:sz w:val="24"/>
          <w:szCs w:val="24"/>
        </w:rPr>
        <w:t>sector, het zogenaamde Landelijk Elektronisch Patiëntendossier (Landelijk EPD). De regio</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nale EPD’s worden door het Landelijk Schakelpunt </w:t>
      </w:r>
      <w:r w:rsidR="00462319" w:rsidRPr="00D147A7">
        <w:rPr>
          <w:rFonts w:ascii="Times New Roman" w:hAnsi="Times New Roman" w:cs="Times New Roman"/>
          <w:sz w:val="24"/>
          <w:szCs w:val="24"/>
        </w:rPr>
        <w:t xml:space="preserve">tot één groot EPD </w:t>
      </w:r>
      <w:r w:rsidRPr="00D147A7">
        <w:rPr>
          <w:rFonts w:ascii="Times New Roman" w:hAnsi="Times New Roman" w:cs="Times New Roman"/>
          <w:sz w:val="24"/>
          <w:szCs w:val="24"/>
        </w:rPr>
        <w:t>samengevoegd.</w:t>
      </w:r>
      <w:r w:rsidRPr="00D147A7">
        <w:rPr>
          <w:rStyle w:val="Voetnootmarkering"/>
          <w:rFonts w:ascii="Times New Roman" w:hAnsi="Times New Roman" w:cs="Times New Roman"/>
          <w:sz w:val="24"/>
          <w:szCs w:val="24"/>
        </w:rPr>
        <w:footnoteReference w:id="535"/>
      </w:r>
      <w:r w:rsidRPr="00D147A7">
        <w:rPr>
          <w:rFonts w:ascii="Times New Roman" w:hAnsi="Times New Roman" w:cs="Times New Roman"/>
          <w:sz w:val="24"/>
          <w:szCs w:val="24"/>
        </w:rPr>
        <w:t xml:space="preserve"> Net als in België wordt hierbij niet gedacht aan de constructie van een centrale, nationale data</w:t>
      </w:r>
      <w:r w:rsidR="00462319">
        <w:rPr>
          <w:rFonts w:ascii="Times New Roman" w:hAnsi="Times New Roman" w:cs="Times New Roman"/>
          <w:sz w:val="24"/>
          <w:szCs w:val="24"/>
        </w:rPr>
        <w:t>-</w:t>
      </w:r>
      <w:r w:rsidRPr="00D147A7">
        <w:rPr>
          <w:rFonts w:ascii="Times New Roman" w:hAnsi="Times New Roman" w:cs="Times New Roman"/>
          <w:sz w:val="24"/>
          <w:szCs w:val="24"/>
        </w:rPr>
        <w:t>bank, maar blijven alle medische gegevens bij de bron bewaard. Het Landelijk EPD is enkel een technische voorziening waardoor zorgverleners te allen tijde de meest essentiële gezond</w:t>
      </w:r>
      <w:r w:rsidR="00462319">
        <w:rPr>
          <w:rFonts w:ascii="Times New Roman" w:hAnsi="Times New Roman" w:cs="Times New Roman"/>
          <w:sz w:val="24"/>
          <w:szCs w:val="24"/>
        </w:rPr>
        <w:t>-</w:t>
      </w:r>
      <w:r w:rsidRPr="00D147A7">
        <w:rPr>
          <w:rFonts w:ascii="Times New Roman" w:hAnsi="Times New Roman" w:cs="Times New Roman"/>
          <w:sz w:val="24"/>
          <w:szCs w:val="24"/>
        </w:rPr>
        <w:t>heidsgegevens uit patiëntendossiers met elkaar kunnen uitwisselen in de vorm van virtuele, professionele samenvattingen. Het centrale knooppunt voor de landelijke uitwisseling van patiëntengegevens</w:t>
      </w:r>
      <w:r w:rsidR="00462319">
        <w:rPr>
          <w:rFonts w:ascii="Times New Roman" w:hAnsi="Times New Roman" w:cs="Times New Roman"/>
          <w:sz w:val="24"/>
          <w:szCs w:val="24"/>
        </w:rPr>
        <w:t xml:space="preserve"> –</w:t>
      </w:r>
      <w:r w:rsidRPr="00D147A7">
        <w:rPr>
          <w:rFonts w:ascii="Times New Roman" w:hAnsi="Times New Roman" w:cs="Times New Roman"/>
          <w:sz w:val="24"/>
          <w:szCs w:val="24"/>
        </w:rPr>
        <w:t xml:space="preserve"> het Landelijk Schakelpunt</w:t>
      </w:r>
      <w:r w:rsidR="00462319">
        <w:rPr>
          <w:rFonts w:ascii="Times New Roman" w:hAnsi="Times New Roman" w:cs="Times New Roman"/>
          <w:sz w:val="24"/>
          <w:szCs w:val="24"/>
        </w:rPr>
        <w:t xml:space="preserve"> –</w:t>
      </w:r>
      <w:r w:rsidRPr="00D147A7">
        <w:rPr>
          <w:rFonts w:ascii="Times New Roman" w:hAnsi="Times New Roman" w:cs="Times New Roman"/>
          <w:sz w:val="24"/>
          <w:szCs w:val="24"/>
        </w:rPr>
        <w:t xml:space="preserve"> beheert een landelijke verwijsindex, die aan</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geeft welke zorgverleners gegevens over een bepaalde patiënt heeft. Verder is het Landelijk Schakelpunt verantwoordelijk voor de identificatie-, authenticatie- en autorisatieprocedures van zorgverleners.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Met de creatie van het Landelijk EPD werden meerdere doelen nagestreefd.</w:t>
      </w:r>
      <w:r w:rsidRPr="00D147A7">
        <w:rPr>
          <w:rStyle w:val="Voetnootmarkering"/>
          <w:rFonts w:ascii="Times New Roman" w:hAnsi="Times New Roman" w:cs="Times New Roman"/>
          <w:sz w:val="24"/>
          <w:szCs w:val="24"/>
        </w:rPr>
        <w:footnoteReference w:id="536"/>
      </w:r>
      <w:r w:rsidRPr="00D147A7">
        <w:rPr>
          <w:rFonts w:ascii="Times New Roman" w:hAnsi="Times New Roman" w:cs="Times New Roman"/>
          <w:sz w:val="24"/>
          <w:szCs w:val="24"/>
        </w:rPr>
        <w:t xml:space="preserve"> Zorgverleners in heel Nederland </w:t>
      </w:r>
      <w:r w:rsidR="00462319">
        <w:rPr>
          <w:rFonts w:ascii="Times New Roman" w:hAnsi="Times New Roman" w:cs="Times New Roman"/>
          <w:sz w:val="24"/>
          <w:szCs w:val="24"/>
        </w:rPr>
        <w:t xml:space="preserve">zouden </w:t>
      </w:r>
      <w:r w:rsidRPr="00D147A7">
        <w:rPr>
          <w:rFonts w:ascii="Times New Roman" w:hAnsi="Times New Roman" w:cs="Times New Roman"/>
          <w:sz w:val="24"/>
          <w:szCs w:val="24"/>
        </w:rPr>
        <w:t xml:space="preserve">veel sneller en eenvoudiger een correct (en dus volledig) beeld van de patiënt in kwestie </w:t>
      </w:r>
      <w:r w:rsidR="00462319" w:rsidRPr="00D147A7">
        <w:rPr>
          <w:rFonts w:ascii="Times New Roman" w:hAnsi="Times New Roman" w:cs="Times New Roman"/>
          <w:sz w:val="24"/>
          <w:szCs w:val="24"/>
        </w:rPr>
        <w:t xml:space="preserve">kunnen </w:t>
      </w:r>
      <w:r w:rsidRPr="00D147A7">
        <w:rPr>
          <w:rFonts w:ascii="Times New Roman" w:hAnsi="Times New Roman" w:cs="Times New Roman"/>
          <w:sz w:val="24"/>
          <w:szCs w:val="24"/>
        </w:rPr>
        <w:t>vormen. D</w:t>
      </w:r>
      <w:r w:rsidR="00462319">
        <w:rPr>
          <w:rFonts w:ascii="Times New Roman" w:hAnsi="Times New Roman" w:cs="Times New Roman"/>
          <w:sz w:val="24"/>
          <w:szCs w:val="24"/>
        </w:rPr>
        <w:t>a</w:t>
      </w:r>
      <w:r w:rsidRPr="00D147A7">
        <w:rPr>
          <w:rFonts w:ascii="Times New Roman" w:hAnsi="Times New Roman" w:cs="Times New Roman"/>
          <w:sz w:val="24"/>
          <w:szCs w:val="24"/>
        </w:rPr>
        <w:t>t heeft ook financiële voordelen. Een samenwerk</w:t>
      </w:r>
      <w:r w:rsidR="00462319">
        <w:rPr>
          <w:rFonts w:ascii="Times New Roman" w:hAnsi="Times New Roman" w:cs="Times New Roman"/>
          <w:sz w:val="24"/>
          <w:szCs w:val="24"/>
        </w:rPr>
        <w:t>-</w:t>
      </w:r>
      <w:r w:rsidRPr="00D147A7">
        <w:rPr>
          <w:rFonts w:ascii="Times New Roman" w:hAnsi="Times New Roman" w:cs="Times New Roman"/>
          <w:sz w:val="24"/>
          <w:szCs w:val="24"/>
        </w:rPr>
        <w:t>ingsverband op nationaal niveau leidt immers tot een betere, meer accurate kennis over de medische geschiedenis van patiënten zodat het meermaals uitvoeren van dezelfde onder</w:t>
      </w:r>
      <w:r w:rsidR="00462319">
        <w:rPr>
          <w:rFonts w:ascii="Times New Roman" w:hAnsi="Times New Roman" w:cs="Times New Roman"/>
          <w:sz w:val="24"/>
          <w:szCs w:val="24"/>
        </w:rPr>
        <w:t>-</w:t>
      </w:r>
      <w:r w:rsidRPr="00D147A7">
        <w:rPr>
          <w:rFonts w:ascii="Times New Roman" w:hAnsi="Times New Roman" w:cs="Times New Roman"/>
          <w:sz w:val="24"/>
          <w:szCs w:val="24"/>
        </w:rPr>
        <w:lastRenderedPageBreak/>
        <w:t xml:space="preserve">zoeken kan </w:t>
      </w:r>
      <w:r w:rsidR="00462319" w:rsidRPr="00D147A7">
        <w:rPr>
          <w:rFonts w:ascii="Times New Roman" w:hAnsi="Times New Roman" w:cs="Times New Roman"/>
          <w:sz w:val="24"/>
          <w:szCs w:val="24"/>
        </w:rPr>
        <w:t>worden voorkomen</w:t>
      </w:r>
      <w:r w:rsidRPr="00D147A7">
        <w:rPr>
          <w:rFonts w:ascii="Times New Roman" w:hAnsi="Times New Roman" w:cs="Times New Roman"/>
          <w:sz w:val="24"/>
          <w:szCs w:val="24"/>
        </w:rPr>
        <w:t>. Tot slot verbetert het Landelijk EPD de kwaliteit van het zorgverleningsproces omdat de effecten van behandelingen en bijwerkingen van geneesmid</w:t>
      </w:r>
      <w:r w:rsidR="00462319">
        <w:rPr>
          <w:rFonts w:ascii="Times New Roman" w:hAnsi="Times New Roman" w:cs="Times New Roman"/>
          <w:sz w:val="24"/>
          <w:szCs w:val="24"/>
        </w:rPr>
        <w:t>-</w:t>
      </w:r>
      <w:r w:rsidRPr="00D147A7">
        <w:rPr>
          <w:rFonts w:ascii="Times New Roman" w:hAnsi="Times New Roman" w:cs="Times New Roman"/>
          <w:sz w:val="24"/>
          <w:szCs w:val="24"/>
        </w:rPr>
        <w:t>delen op langere termijn veel beter geanalyseerd kunnen worden.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Toch is het niet allemaal rozengeur en maneschijn. Aan de invoering van het Landelijk EPD zijn ook belangrijke risico’s verbonden.</w:t>
      </w:r>
      <w:r w:rsidRPr="00D147A7">
        <w:rPr>
          <w:rStyle w:val="Voetnootmarkering"/>
          <w:rFonts w:ascii="Times New Roman" w:hAnsi="Times New Roman" w:cs="Times New Roman"/>
          <w:sz w:val="24"/>
          <w:szCs w:val="24"/>
        </w:rPr>
        <w:footnoteReference w:id="537"/>
      </w:r>
      <w:r w:rsidRPr="00D147A7">
        <w:rPr>
          <w:rFonts w:ascii="Times New Roman" w:hAnsi="Times New Roman" w:cs="Times New Roman"/>
          <w:sz w:val="24"/>
          <w:szCs w:val="24"/>
        </w:rPr>
        <w:t xml:space="preserve"> Zo neemt het gevaar toe dat onbevoegden de in het systeem vastgelegde patiëntengegevens kunnen raadplegen; </w:t>
      </w:r>
      <w:r w:rsidR="00462319">
        <w:rPr>
          <w:rFonts w:ascii="Times New Roman" w:hAnsi="Times New Roman" w:cs="Times New Roman"/>
          <w:sz w:val="24"/>
          <w:szCs w:val="24"/>
        </w:rPr>
        <w:t xml:space="preserve">onzorgvuldige handelingen van </w:t>
      </w:r>
      <w:r w:rsidRPr="00D147A7">
        <w:rPr>
          <w:rFonts w:ascii="Times New Roman" w:hAnsi="Times New Roman" w:cs="Times New Roman"/>
          <w:sz w:val="24"/>
          <w:szCs w:val="24"/>
        </w:rPr>
        <w:t>bevoegde zorgverleners</w:t>
      </w:r>
      <w:r w:rsidR="00462319" w:rsidRPr="00462319">
        <w:rPr>
          <w:rFonts w:ascii="Times New Roman" w:hAnsi="Times New Roman" w:cs="Times New Roman"/>
          <w:sz w:val="24"/>
          <w:szCs w:val="24"/>
        </w:rPr>
        <w:t xml:space="preserve"> </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 bijvoorbeeld met betrekking tot de gegevens over het gebruik van geneesmiddelen</w:t>
      </w:r>
      <w:r w:rsidR="00462319">
        <w:rPr>
          <w:rFonts w:ascii="Times New Roman" w:hAnsi="Times New Roman" w:cs="Times New Roman"/>
          <w:sz w:val="24"/>
          <w:szCs w:val="24"/>
        </w:rPr>
        <w:t xml:space="preserve"> –</w:t>
      </w:r>
      <w:r w:rsidRPr="00D147A7">
        <w:rPr>
          <w:rFonts w:ascii="Times New Roman" w:hAnsi="Times New Roman" w:cs="Times New Roman"/>
          <w:sz w:val="24"/>
          <w:szCs w:val="24"/>
        </w:rPr>
        <w:t xml:space="preserve"> </w:t>
      </w:r>
      <w:r w:rsidR="00462319">
        <w:rPr>
          <w:rFonts w:ascii="Times New Roman" w:hAnsi="Times New Roman" w:cs="Times New Roman"/>
          <w:sz w:val="24"/>
          <w:szCs w:val="24"/>
        </w:rPr>
        <w:t xml:space="preserve">meer </w:t>
      </w:r>
      <w:r w:rsidRPr="00D147A7">
        <w:rPr>
          <w:rFonts w:ascii="Times New Roman" w:hAnsi="Times New Roman" w:cs="Times New Roman"/>
          <w:sz w:val="24"/>
          <w:szCs w:val="24"/>
        </w:rPr>
        <w:t xml:space="preserve">verstrekkende gevolgen </w:t>
      </w:r>
      <w:r w:rsidR="00462319">
        <w:rPr>
          <w:rFonts w:ascii="Times New Roman" w:hAnsi="Times New Roman" w:cs="Times New Roman"/>
          <w:sz w:val="24"/>
          <w:szCs w:val="24"/>
        </w:rPr>
        <w:t>zullen</w:t>
      </w:r>
      <w:r w:rsidRPr="00D147A7">
        <w:rPr>
          <w:rFonts w:ascii="Times New Roman" w:hAnsi="Times New Roman" w:cs="Times New Roman"/>
          <w:sz w:val="24"/>
          <w:szCs w:val="24"/>
        </w:rPr>
        <w:t xml:space="preserve"> hebben; en patiëntengegevens </w:t>
      </w:r>
      <w:r w:rsidR="00462319">
        <w:rPr>
          <w:rFonts w:ascii="Times New Roman" w:hAnsi="Times New Roman" w:cs="Times New Roman"/>
          <w:sz w:val="24"/>
          <w:szCs w:val="24"/>
        </w:rPr>
        <w:t xml:space="preserve">zullen </w:t>
      </w:r>
      <w:r w:rsidRPr="00D147A7">
        <w:rPr>
          <w:rFonts w:ascii="Times New Roman" w:hAnsi="Times New Roman" w:cs="Times New Roman"/>
          <w:sz w:val="24"/>
          <w:szCs w:val="24"/>
        </w:rPr>
        <w:t xml:space="preserve">veel eenvoudiger voor andere doeleinden </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dan waarvoor ze in het computersysteem </w:t>
      </w:r>
      <w:r w:rsidR="00462319" w:rsidRPr="00D147A7">
        <w:rPr>
          <w:rFonts w:ascii="Times New Roman" w:hAnsi="Times New Roman" w:cs="Times New Roman"/>
          <w:sz w:val="24"/>
          <w:szCs w:val="24"/>
        </w:rPr>
        <w:t>opgenom</w:t>
      </w:r>
      <w:r w:rsidR="00462319">
        <w:rPr>
          <w:rFonts w:ascii="Times New Roman" w:hAnsi="Times New Roman" w:cs="Times New Roman"/>
          <w:sz w:val="24"/>
          <w:szCs w:val="24"/>
        </w:rPr>
        <w:t>-</w:t>
      </w:r>
      <w:r w:rsidR="00462319" w:rsidRPr="00D147A7">
        <w:rPr>
          <w:rFonts w:ascii="Times New Roman" w:hAnsi="Times New Roman" w:cs="Times New Roman"/>
          <w:sz w:val="24"/>
          <w:szCs w:val="24"/>
        </w:rPr>
        <w:t>en</w:t>
      </w:r>
      <w:r w:rsidR="00462319" w:rsidRPr="00462319">
        <w:rPr>
          <w:rFonts w:ascii="Times New Roman" w:hAnsi="Times New Roman" w:cs="Times New Roman"/>
          <w:sz w:val="24"/>
          <w:szCs w:val="24"/>
        </w:rPr>
        <w:t xml:space="preserve"> </w:t>
      </w:r>
      <w:r w:rsidRPr="00D147A7">
        <w:rPr>
          <w:rFonts w:ascii="Times New Roman" w:hAnsi="Times New Roman" w:cs="Times New Roman"/>
          <w:sz w:val="24"/>
          <w:szCs w:val="24"/>
        </w:rPr>
        <w:t>werden</w:t>
      </w:r>
      <w:r w:rsidR="00462319">
        <w:rPr>
          <w:rFonts w:ascii="Times New Roman" w:hAnsi="Times New Roman" w:cs="Times New Roman"/>
          <w:sz w:val="24"/>
          <w:szCs w:val="24"/>
        </w:rPr>
        <w:t>)</w:t>
      </w:r>
      <w:r w:rsidRPr="00D147A7">
        <w:rPr>
          <w:rFonts w:ascii="Times New Roman" w:hAnsi="Times New Roman" w:cs="Times New Roman"/>
          <w:sz w:val="24"/>
          <w:szCs w:val="24"/>
        </w:rPr>
        <w:t xml:space="preserve"> </w:t>
      </w:r>
      <w:r w:rsidR="00462319" w:rsidRPr="00D147A7">
        <w:rPr>
          <w:rFonts w:ascii="Times New Roman" w:hAnsi="Times New Roman" w:cs="Times New Roman"/>
          <w:sz w:val="24"/>
          <w:szCs w:val="24"/>
        </w:rPr>
        <w:t>gebruikt kunnen worden</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Landelijk EPD staat reeds geruime tijd op de agenda van de Nederlandse wetgever. De aanvang dateert van 27 februari 1996, toen mevrouw Els Borst-Eilers als Minister van Volks</w:t>
      </w:r>
      <w:r w:rsidR="00462319">
        <w:rPr>
          <w:rFonts w:ascii="Times New Roman" w:hAnsi="Times New Roman" w:cs="Times New Roman"/>
          <w:sz w:val="24"/>
          <w:szCs w:val="24"/>
        </w:rPr>
        <w:t>-</w:t>
      </w:r>
      <w:r w:rsidRPr="00D147A7">
        <w:rPr>
          <w:rFonts w:ascii="Times New Roman" w:hAnsi="Times New Roman" w:cs="Times New Roman"/>
          <w:sz w:val="24"/>
          <w:szCs w:val="24"/>
        </w:rPr>
        <w:t>gezondheid, Welzijn en Sport verschillende beleidsvoornemens bekend maakte m.b.t. ICT in de zorgsector, waaronder de invoering van een patiënt-georiënteerd en geïntegreerd zorg</w:t>
      </w:r>
      <w:r w:rsidR="00462319">
        <w:rPr>
          <w:rFonts w:ascii="Times New Roman" w:hAnsi="Times New Roman" w:cs="Times New Roman"/>
          <w:sz w:val="24"/>
          <w:szCs w:val="24"/>
        </w:rPr>
        <w:t>-</w:t>
      </w:r>
      <w:r w:rsidRPr="00D147A7">
        <w:rPr>
          <w:rFonts w:ascii="Times New Roman" w:hAnsi="Times New Roman" w:cs="Times New Roman"/>
          <w:sz w:val="24"/>
          <w:szCs w:val="24"/>
        </w:rPr>
        <w:t>dossier.</w:t>
      </w:r>
      <w:r w:rsidRPr="00D147A7">
        <w:rPr>
          <w:rStyle w:val="Voetnootmarkering"/>
          <w:rFonts w:ascii="Times New Roman" w:hAnsi="Times New Roman" w:cs="Times New Roman"/>
          <w:sz w:val="24"/>
          <w:szCs w:val="24"/>
        </w:rPr>
        <w:footnoteReference w:id="538"/>
      </w:r>
      <w:r w:rsidRPr="00D147A7">
        <w:rPr>
          <w:rFonts w:ascii="Times New Roman" w:hAnsi="Times New Roman" w:cs="Times New Roman"/>
          <w:sz w:val="24"/>
          <w:szCs w:val="24"/>
        </w:rPr>
        <w:t xml:space="preserve"> Op initiatief van Borst-Eilers ging Zorgonderzoek Nederland in 1996 met het Pro</w:t>
      </w:r>
      <w:r w:rsidR="00462319">
        <w:rPr>
          <w:rFonts w:ascii="Times New Roman" w:hAnsi="Times New Roman" w:cs="Times New Roman"/>
          <w:sz w:val="24"/>
          <w:szCs w:val="24"/>
        </w:rPr>
        <w:t>-</w:t>
      </w:r>
      <w:r w:rsidRPr="00D147A7">
        <w:rPr>
          <w:rFonts w:ascii="Times New Roman" w:hAnsi="Times New Roman" w:cs="Times New Roman"/>
          <w:sz w:val="24"/>
          <w:szCs w:val="24"/>
        </w:rPr>
        <w:t>gramma Informatie- en Communicatietechnologie in de Zorg (ICZ) van start. Dit programma moest het gebruik van ICT in de gezondheidszorg – en het gebruik van het zorgdossier in het bijzonder – bevorderen.</w:t>
      </w:r>
      <w:r w:rsidRPr="00D147A7">
        <w:rPr>
          <w:rStyle w:val="Voetnootmarkering"/>
          <w:rFonts w:ascii="Times New Roman" w:hAnsi="Times New Roman" w:cs="Times New Roman"/>
          <w:sz w:val="24"/>
          <w:szCs w:val="24"/>
        </w:rPr>
        <w:footnoteReference w:id="539"/>
      </w:r>
      <w:r w:rsidRPr="00D147A7">
        <w:rPr>
          <w:rFonts w:ascii="Times New Roman" w:hAnsi="Times New Roman" w:cs="Times New Roman"/>
          <w:sz w:val="24"/>
          <w:szCs w:val="24"/>
        </w:rPr>
        <w:t xml:space="preserve"> Drie Ministers van Volksgezondheid, Welzijn en Sport –</w:t>
      </w:r>
      <w:r w:rsidR="005A51E0">
        <w:rPr>
          <w:rFonts w:ascii="Times New Roman" w:hAnsi="Times New Roman" w:cs="Times New Roman"/>
          <w:sz w:val="24"/>
          <w:szCs w:val="24"/>
        </w:rPr>
        <w:t xml:space="preserve"> </w:t>
      </w:r>
      <w:r w:rsidRPr="00D147A7">
        <w:rPr>
          <w:rFonts w:ascii="Times New Roman" w:hAnsi="Times New Roman" w:cs="Times New Roman"/>
          <w:sz w:val="24"/>
          <w:szCs w:val="24"/>
        </w:rPr>
        <w:t>Hans Hoogervorst, Ab Klink en Edith Schippers – traden in de voetsporen van Borst-Eilers door het Nederlandse eHealth-project ter harte te nemen.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 1 januari 2002 werd het Nationaal ICT Instituut in de Zorg (Nictiz) opgericht om het Lan</w:t>
      </w:r>
      <w:r w:rsidR="005A51E0">
        <w:rPr>
          <w:rFonts w:ascii="Times New Roman" w:hAnsi="Times New Roman" w:cs="Times New Roman"/>
          <w:sz w:val="24"/>
          <w:szCs w:val="24"/>
        </w:rPr>
        <w:t>-</w:t>
      </w:r>
      <w:r w:rsidRPr="00D147A7">
        <w:rPr>
          <w:rFonts w:ascii="Times New Roman" w:hAnsi="Times New Roman" w:cs="Times New Roman"/>
          <w:sz w:val="24"/>
          <w:szCs w:val="24"/>
        </w:rPr>
        <w:t>delijk EPD uit te werken en in te voeren.</w:t>
      </w:r>
      <w:r w:rsidRPr="00D147A7">
        <w:rPr>
          <w:rStyle w:val="Voetnootmarkering"/>
          <w:rFonts w:ascii="Times New Roman" w:hAnsi="Times New Roman" w:cs="Times New Roman"/>
          <w:sz w:val="24"/>
          <w:szCs w:val="24"/>
        </w:rPr>
        <w:footnoteReference w:id="540"/>
      </w:r>
      <w:r w:rsidRPr="00D147A7">
        <w:rPr>
          <w:rFonts w:ascii="Times New Roman" w:hAnsi="Times New Roman" w:cs="Times New Roman"/>
          <w:sz w:val="24"/>
          <w:szCs w:val="24"/>
        </w:rPr>
        <w:t xml:space="preserve"> Hiermee werden de eerste concrete stappen gezet voor de ontwikkeling van een nationaal uitwisselingssysteem in de zorg. Nictiz stroomlijnde alle toenmalige initiatieven die een onderdeel van het Landelijk EPD beoogden te realise</w:t>
      </w:r>
      <w:r w:rsidR="005A51E0">
        <w:rPr>
          <w:rFonts w:ascii="Times New Roman" w:hAnsi="Times New Roman" w:cs="Times New Roman"/>
          <w:sz w:val="24"/>
          <w:szCs w:val="24"/>
        </w:rPr>
        <w:t>-</w:t>
      </w:r>
      <w:r w:rsidRPr="00D147A7">
        <w:rPr>
          <w:rFonts w:ascii="Times New Roman" w:hAnsi="Times New Roman" w:cs="Times New Roman"/>
          <w:sz w:val="24"/>
          <w:szCs w:val="24"/>
        </w:rPr>
        <w:t>ren.</w:t>
      </w:r>
      <w:r w:rsidRPr="00D147A7">
        <w:rPr>
          <w:rStyle w:val="Voetnootmarkering"/>
          <w:rFonts w:ascii="Times New Roman" w:hAnsi="Times New Roman" w:cs="Times New Roman"/>
          <w:sz w:val="24"/>
          <w:szCs w:val="24"/>
        </w:rPr>
        <w:footnoteReference w:id="541"/>
      </w:r>
      <w:r w:rsidRPr="00D147A7">
        <w:rPr>
          <w:rFonts w:ascii="Times New Roman" w:hAnsi="Times New Roman" w:cs="Times New Roman"/>
          <w:sz w:val="24"/>
          <w:szCs w:val="24"/>
        </w:rPr>
        <w:t xml:space="preserve"> Omdat het realisatieproces van het Landelijk EPD hierdoor niet meteen in een stroom</w:t>
      </w:r>
      <w:r w:rsidR="005A51E0">
        <w:rPr>
          <w:rFonts w:ascii="Times New Roman" w:hAnsi="Times New Roman" w:cs="Times New Roman"/>
          <w:sz w:val="24"/>
          <w:szCs w:val="24"/>
        </w:rPr>
        <w:t>-</w:t>
      </w:r>
      <w:r w:rsidRPr="00D147A7">
        <w:rPr>
          <w:rFonts w:ascii="Times New Roman" w:hAnsi="Times New Roman" w:cs="Times New Roman"/>
          <w:sz w:val="24"/>
          <w:szCs w:val="24"/>
        </w:rPr>
        <w:t>versnelling terechtkwam, werd op 9 november 2005 de motie Koşer Kaya in de Tweede Kamer ingediend die op 22 november aanvaard werd.</w:t>
      </w:r>
      <w:r w:rsidRPr="00D147A7">
        <w:rPr>
          <w:rStyle w:val="Voetnootmarkering"/>
          <w:rFonts w:ascii="Times New Roman" w:hAnsi="Times New Roman" w:cs="Times New Roman"/>
          <w:sz w:val="24"/>
          <w:szCs w:val="24"/>
        </w:rPr>
        <w:footnoteReference w:id="542"/>
      </w:r>
      <w:r w:rsidRPr="00D147A7">
        <w:rPr>
          <w:rFonts w:ascii="Times New Roman" w:hAnsi="Times New Roman" w:cs="Times New Roman"/>
          <w:sz w:val="24"/>
          <w:szCs w:val="24"/>
        </w:rPr>
        <w:t xml:space="preserve"> In deze motie werd de voorkeur ge</w:t>
      </w:r>
      <w:r w:rsidR="005A51E0">
        <w:rPr>
          <w:rFonts w:ascii="Times New Roman" w:hAnsi="Times New Roman" w:cs="Times New Roman"/>
          <w:sz w:val="24"/>
          <w:szCs w:val="24"/>
        </w:rPr>
        <w:t>-</w:t>
      </w:r>
      <w:r w:rsidRPr="00D147A7">
        <w:rPr>
          <w:rFonts w:ascii="Times New Roman" w:hAnsi="Times New Roman" w:cs="Times New Roman"/>
          <w:sz w:val="24"/>
          <w:szCs w:val="24"/>
        </w:rPr>
        <w:t xml:space="preserve">geven aan een </w:t>
      </w:r>
      <w:r w:rsidRPr="005A51E0">
        <w:rPr>
          <w:rFonts w:ascii="Times New Roman" w:hAnsi="Times New Roman" w:cs="Times New Roman"/>
          <w:i/>
          <w:sz w:val="24"/>
          <w:szCs w:val="24"/>
        </w:rPr>
        <w:t>top-down</w:t>
      </w:r>
      <w:r w:rsidRPr="00D147A7">
        <w:rPr>
          <w:rFonts w:ascii="Times New Roman" w:hAnsi="Times New Roman" w:cs="Times New Roman"/>
          <w:sz w:val="24"/>
          <w:szCs w:val="24"/>
        </w:rPr>
        <w:t xml:space="preserve"> benadering. Voortaan zou de regering – met het Ministerie van Volksgezondheid, Welzijn en Sport in het bijzonder – de leiding over de ontwikkeling van het Landelijk EPD overnemen van de actoren in de zorgsector.</w:t>
      </w:r>
      <w:r w:rsidRPr="00D147A7">
        <w:rPr>
          <w:rStyle w:val="Voetnootmarkering"/>
          <w:rFonts w:ascii="Times New Roman" w:hAnsi="Times New Roman" w:cs="Times New Roman"/>
          <w:sz w:val="24"/>
          <w:szCs w:val="24"/>
        </w:rPr>
        <w:footnoteReference w:id="543"/>
      </w:r>
      <w:r w:rsidRPr="00D147A7">
        <w:rPr>
          <w:rFonts w:ascii="Times New Roman" w:hAnsi="Times New Roman" w:cs="Times New Roman"/>
          <w:sz w:val="24"/>
          <w:szCs w:val="24"/>
        </w:rPr>
        <w:t xml:space="preserve"> </w:t>
      </w:r>
      <w:r w:rsidR="005A51E0">
        <w:rPr>
          <w:rFonts w:ascii="Times New Roman" w:hAnsi="Times New Roman" w:cs="Times New Roman"/>
          <w:sz w:val="24"/>
          <w:szCs w:val="24"/>
        </w:rPr>
        <w:t xml:space="preserve">Daar de zorgsector uit zeer veel verschillende partijen bestaat, bleek het coördineren van de ontwikkeling </w:t>
      </w:r>
      <w:r w:rsidRPr="00D147A7">
        <w:rPr>
          <w:rFonts w:ascii="Times New Roman" w:hAnsi="Times New Roman" w:cs="Times New Roman"/>
          <w:sz w:val="24"/>
          <w:szCs w:val="24"/>
        </w:rPr>
        <w:t xml:space="preserve">van </w:t>
      </w:r>
      <w:r w:rsidR="005A51E0">
        <w:rPr>
          <w:rFonts w:ascii="Times New Roman" w:hAnsi="Times New Roman" w:cs="Times New Roman"/>
          <w:sz w:val="24"/>
          <w:szCs w:val="24"/>
        </w:rPr>
        <w:t>het</w:t>
      </w:r>
      <w:r w:rsidRPr="00D147A7">
        <w:rPr>
          <w:rFonts w:ascii="Times New Roman" w:hAnsi="Times New Roman" w:cs="Times New Roman"/>
          <w:sz w:val="24"/>
          <w:szCs w:val="24"/>
        </w:rPr>
        <w:t xml:space="preserve"> Landelijk EPD geen </w:t>
      </w:r>
      <w:r w:rsidR="005A51E0">
        <w:rPr>
          <w:rFonts w:ascii="Times New Roman" w:hAnsi="Times New Roman" w:cs="Times New Roman"/>
          <w:sz w:val="24"/>
          <w:szCs w:val="24"/>
        </w:rPr>
        <w:t>sinecure</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44"/>
      </w:r>
      <w:r w:rsidRPr="00D147A7">
        <w:rPr>
          <w:rFonts w:ascii="Times New Roman" w:hAnsi="Times New Roman" w:cs="Times New Roman"/>
          <w:sz w:val="24"/>
          <w:szCs w:val="24"/>
        </w:rPr>
        <w:t xml:space="preserve"> Hoewel het ministerie van Volksgezondheid </w:t>
      </w:r>
      <w:r w:rsidR="005A51E0">
        <w:rPr>
          <w:rFonts w:ascii="Times New Roman" w:hAnsi="Times New Roman" w:cs="Times New Roman"/>
          <w:sz w:val="24"/>
          <w:szCs w:val="24"/>
        </w:rPr>
        <w:t>alle</w:t>
      </w:r>
      <w:r w:rsidRPr="00D147A7">
        <w:rPr>
          <w:rFonts w:ascii="Times New Roman" w:hAnsi="Times New Roman" w:cs="Times New Roman"/>
          <w:sz w:val="24"/>
          <w:szCs w:val="24"/>
        </w:rPr>
        <w:t xml:space="preserve"> diverse partijen </w:t>
      </w:r>
      <w:r w:rsidR="005A51E0">
        <w:rPr>
          <w:rFonts w:ascii="Times New Roman" w:hAnsi="Times New Roman" w:cs="Times New Roman"/>
          <w:sz w:val="24"/>
          <w:szCs w:val="24"/>
        </w:rPr>
        <w:t xml:space="preserve">maximaal </w:t>
      </w:r>
      <w:r w:rsidRPr="00D147A7">
        <w:rPr>
          <w:rFonts w:ascii="Times New Roman" w:hAnsi="Times New Roman" w:cs="Times New Roman"/>
          <w:sz w:val="24"/>
          <w:szCs w:val="24"/>
        </w:rPr>
        <w:t xml:space="preserve">bij het ontwikkelingsproces van het EPD probeerde te betrekken, voelden deze zich </w:t>
      </w:r>
      <w:r w:rsidR="005A51E0">
        <w:rPr>
          <w:rFonts w:ascii="Times New Roman" w:hAnsi="Times New Roman" w:cs="Times New Roman"/>
          <w:sz w:val="24"/>
          <w:szCs w:val="24"/>
        </w:rPr>
        <w:lastRenderedPageBreak/>
        <w:t xml:space="preserve">toch </w:t>
      </w:r>
      <w:r w:rsidRPr="00D147A7">
        <w:rPr>
          <w:rFonts w:ascii="Times New Roman" w:hAnsi="Times New Roman" w:cs="Times New Roman"/>
          <w:sz w:val="24"/>
          <w:szCs w:val="24"/>
        </w:rPr>
        <w:t>onvoldoende gehoord. Het Ministerie werd almaar meer ‘kop van Jut’: aan de ene partij toegeven, stuitte op verzet van een andere partij. De kern van het probleem was dat de ver</w:t>
      </w:r>
      <w:r w:rsidR="005A51E0">
        <w:rPr>
          <w:rFonts w:ascii="Times New Roman" w:hAnsi="Times New Roman" w:cs="Times New Roman"/>
          <w:sz w:val="24"/>
          <w:szCs w:val="24"/>
        </w:rPr>
        <w:t>-</w:t>
      </w:r>
      <w:r w:rsidRPr="00D147A7">
        <w:rPr>
          <w:rFonts w:ascii="Times New Roman" w:hAnsi="Times New Roman" w:cs="Times New Roman"/>
          <w:sz w:val="24"/>
          <w:szCs w:val="24"/>
        </w:rPr>
        <w:t xml:space="preserve">schillende partijen niet eensgezind waren over het Landelijk EPD, noch over de inhoud, noch over het potentieel en de doelstellingen, noch over de doelgroep(en). </w:t>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Ook in Nederland werd eHealth stapsgewijs ingevoerd. Het Landelijk EPD bestaat in feite uit de toegang tot een verzameling van professionele samenvattingen per specifieke beroepsgroep of ziektebeeld (ook wel ‘hoofdstukken’ genoemd).</w:t>
      </w:r>
      <w:r w:rsidRPr="00D147A7">
        <w:rPr>
          <w:rStyle w:val="Voetnootmarkering"/>
          <w:rFonts w:ascii="Times New Roman" w:hAnsi="Times New Roman" w:cs="Times New Roman"/>
          <w:sz w:val="24"/>
          <w:szCs w:val="24"/>
        </w:rPr>
        <w:footnoteReference w:id="545"/>
      </w:r>
      <w:r w:rsidRPr="00D147A7">
        <w:rPr>
          <w:rFonts w:ascii="Times New Roman" w:hAnsi="Times New Roman" w:cs="Times New Roman"/>
          <w:sz w:val="24"/>
          <w:szCs w:val="24"/>
        </w:rPr>
        <w:t xml:space="preserve"> In 2006 werden twee hoofdstukken van het Landelijk EPD in een aantal ‘koploperregio’s’ ingevoerd: het Elektronisch Medicatie Dossier (EMD) werd door huisartsen, geneesheer-specialisten en apothekers in Amsterdam, Rijnmond, Nijmegen, Noord-Holland Noord en Harderwijk uitgetest; het Waarneemdossier Huisartsen (WDH) door waarnemers en huisartsen in Twente, Nijmegen, Utrecht, Drenthe, Friesland en Leiden.</w:t>
      </w:r>
      <w:r w:rsidRPr="00D147A7">
        <w:rPr>
          <w:rStyle w:val="Voetnootmarkering"/>
          <w:rFonts w:ascii="Times New Roman" w:hAnsi="Times New Roman" w:cs="Times New Roman"/>
          <w:sz w:val="24"/>
          <w:szCs w:val="24"/>
        </w:rPr>
        <w:footnoteReference w:id="546"/>
      </w:r>
      <w:r w:rsidRPr="00D147A7">
        <w:rPr>
          <w:rFonts w:ascii="Times New Roman" w:hAnsi="Times New Roman" w:cs="Times New Roman"/>
          <w:sz w:val="24"/>
          <w:szCs w:val="24"/>
        </w:rPr>
        <w:t xml:space="preserve"> Deze koplopergebieden werden als eersten aan het Landelijk Schakel</w:t>
      </w:r>
      <w:r w:rsidR="00240D99">
        <w:rPr>
          <w:rFonts w:ascii="Times New Roman" w:hAnsi="Times New Roman" w:cs="Times New Roman"/>
          <w:sz w:val="24"/>
          <w:szCs w:val="24"/>
        </w:rPr>
        <w:t>-</w:t>
      </w:r>
      <w:r w:rsidRPr="00D147A7">
        <w:rPr>
          <w:rFonts w:ascii="Times New Roman" w:hAnsi="Times New Roman" w:cs="Times New Roman"/>
          <w:sz w:val="24"/>
          <w:szCs w:val="24"/>
        </w:rPr>
        <w:t xml:space="preserve">punt </w:t>
      </w:r>
      <w:r w:rsidR="00240D99">
        <w:rPr>
          <w:rFonts w:ascii="Times New Roman" w:hAnsi="Times New Roman" w:cs="Times New Roman"/>
          <w:sz w:val="24"/>
          <w:szCs w:val="24"/>
        </w:rPr>
        <w:t xml:space="preserve">– </w:t>
      </w:r>
      <w:r w:rsidRPr="00D147A7">
        <w:rPr>
          <w:rFonts w:ascii="Times New Roman" w:hAnsi="Times New Roman" w:cs="Times New Roman"/>
          <w:sz w:val="24"/>
          <w:szCs w:val="24"/>
        </w:rPr>
        <w:t>Nictiz</w:t>
      </w:r>
      <w:r w:rsidR="00240D99">
        <w:rPr>
          <w:rFonts w:ascii="Times New Roman" w:hAnsi="Times New Roman" w:cs="Times New Roman"/>
          <w:sz w:val="24"/>
          <w:szCs w:val="24"/>
        </w:rPr>
        <w:t xml:space="preserve"> –</w:t>
      </w:r>
      <w:r w:rsidRPr="00D147A7">
        <w:rPr>
          <w:rFonts w:ascii="Times New Roman" w:hAnsi="Times New Roman" w:cs="Times New Roman"/>
          <w:sz w:val="24"/>
          <w:szCs w:val="24"/>
        </w:rPr>
        <w:t xml:space="preserve"> verbonden.</w:t>
      </w:r>
      <w:r w:rsidRPr="00D147A7">
        <w:rPr>
          <w:rStyle w:val="Voetnootmarkering"/>
          <w:rFonts w:ascii="Times New Roman" w:hAnsi="Times New Roman" w:cs="Times New Roman"/>
          <w:sz w:val="24"/>
          <w:szCs w:val="24"/>
        </w:rPr>
        <w:footnoteReference w:id="547"/>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Door het EMD en het WDH eerst op kleine schaal in te voeren, konden eventuele kinder</w:t>
      </w:r>
      <w:r w:rsidR="00240D99">
        <w:rPr>
          <w:rFonts w:ascii="Times New Roman" w:hAnsi="Times New Roman" w:cs="Times New Roman"/>
          <w:sz w:val="24"/>
          <w:szCs w:val="24"/>
        </w:rPr>
        <w:t>-</w:t>
      </w:r>
      <w:r w:rsidRPr="00D147A7">
        <w:rPr>
          <w:rFonts w:ascii="Times New Roman" w:hAnsi="Times New Roman" w:cs="Times New Roman"/>
          <w:sz w:val="24"/>
          <w:szCs w:val="24"/>
        </w:rPr>
        <w:t xml:space="preserve">ziektes eenvoudig </w:t>
      </w:r>
      <w:r w:rsidR="00240D99"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opgespoord en opgelost. De Minister van Volksgezondheid moest op halfjaarlijkse basis de stand van zaken aan de leden van de Tweede Kamer</w:t>
      </w:r>
      <w:r w:rsidR="00240D99" w:rsidRPr="00240D99">
        <w:rPr>
          <w:rFonts w:ascii="Times New Roman" w:hAnsi="Times New Roman" w:cs="Times New Roman"/>
          <w:sz w:val="24"/>
          <w:szCs w:val="24"/>
        </w:rPr>
        <w:t xml:space="preserve"> </w:t>
      </w:r>
      <w:r w:rsidR="00240D99" w:rsidRPr="00D147A7">
        <w:rPr>
          <w:rFonts w:ascii="Times New Roman" w:hAnsi="Times New Roman" w:cs="Times New Roman"/>
          <w:sz w:val="24"/>
          <w:szCs w:val="24"/>
        </w:rPr>
        <w:t>meedelen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48"/>
      </w:r>
      <w:r w:rsidRPr="00D147A7">
        <w:rPr>
          <w:rFonts w:ascii="Times New Roman" w:hAnsi="Times New Roman" w:cs="Times New Roman"/>
          <w:sz w:val="24"/>
          <w:szCs w:val="24"/>
        </w:rPr>
        <w:t xml:space="preserve"> Het was uiteraard de bedoeling dat eens het EMD en het WDH op punt stonden, ze in heel Nederland zouden worden ingevoerd.</w:t>
      </w:r>
      <w:r w:rsidRPr="00D147A7">
        <w:rPr>
          <w:rStyle w:val="Voetnootmarkering"/>
          <w:rFonts w:ascii="Times New Roman" w:hAnsi="Times New Roman" w:cs="Times New Roman"/>
          <w:sz w:val="24"/>
          <w:szCs w:val="24"/>
        </w:rPr>
        <w:footnoteReference w:id="549"/>
      </w:r>
      <w:r w:rsidRPr="00D147A7">
        <w:rPr>
          <w:rFonts w:ascii="Times New Roman" w:hAnsi="Times New Roman" w:cs="Times New Roman"/>
          <w:sz w:val="24"/>
          <w:szCs w:val="24"/>
        </w:rPr>
        <w:t xml:space="preserve"> Met het ‘Programma Invoering EMD/WDH en BSN’ werd – in nauwe samenwerking met het Nationaal ICT Instituut in de Zorg (NICTIZ), Cen</w:t>
      </w:r>
      <w:r w:rsidR="00240D99">
        <w:rPr>
          <w:rFonts w:ascii="Times New Roman" w:hAnsi="Times New Roman" w:cs="Times New Roman"/>
          <w:sz w:val="24"/>
          <w:szCs w:val="24"/>
        </w:rPr>
        <w:t>-</w:t>
      </w:r>
      <w:r w:rsidRPr="00D147A7">
        <w:rPr>
          <w:rFonts w:ascii="Times New Roman" w:hAnsi="Times New Roman" w:cs="Times New Roman"/>
          <w:sz w:val="24"/>
          <w:szCs w:val="24"/>
        </w:rPr>
        <w:t>traal Informatiepunt Beroepen Gezondheidszorg (CIBG), het Unieke Zorgverlener Identifi</w:t>
      </w:r>
      <w:r w:rsidR="00240D99">
        <w:rPr>
          <w:rFonts w:ascii="Times New Roman" w:hAnsi="Times New Roman" w:cs="Times New Roman"/>
          <w:sz w:val="24"/>
          <w:szCs w:val="24"/>
        </w:rPr>
        <w:t>-</w:t>
      </w:r>
      <w:r w:rsidRPr="00D147A7">
        <w:rPr>
          <w:rFonts w:ascii="Times New Roman" w:hAnsi="Times New Roman" w:cs="Times New Roman"/>
          <w:sz w:val="24"/>
          <w:szCs w:val="24"/>
        </w:rPr>
        <w:t>catienummer (UZI)-register, de Sectorale Berichtenvoorziening in de Zorg (SBV-Z), ICT-leveranciers, koepel- en brancheorganisaties – aan een brede landelijke invoering van het EMD en het WDH gewerkt.</w:t>
      </w:r>
      <w:r w:rsidRPr="00D147A7">
        <w:rPr>
          <w:rStyle w:val="Voetnootmarkering"/>
          <w:rFonts w:ascii="Times New Roman" w:hAnsi="Times New Roman" w:cs="Times New Roman"/>
          <w:sz w:val="24"/>
          <w:szCs w:val="24"/>
        </w:rPr>
        <w:footnoteReference w:id="550"/>
      </w:r>
      <w:r w:rsidRPr="00D147A7">
        <w:rPr>
          <w:rFonts w:ascii="Times New Roman" w:hAnsi="Times New Roman" w:cs="Times New Roman"/>
          <w:sz w:val="24"/>
          <w:szCs w:val="24"/>
        </w:rPr>
        <w:t xml:space="preserve"> </w:t>
      </w:r>
      <w:r w:rsidR="00240D99">
        <w:rPr>
          <w:rFonts w:ascii="Times New Roman" w:hAnsi="Times New Roman" w:cs="Times New Roman"/>
          <w:sz w:val="24"/>
          <w:szCs w:val="24"/>
        </w:rPr>
        <w:t>U</w:t>
      </w:r>
      <w:r w:rsidRPr="00D147A7">
        <w:rPr>
          <w:rFonts w:ascii="Times New Roman" w:hAnsi="Times New Roman" w:cs="Times New Roman"/>
          <w:sz w:val="24"/>
          <w:szCs w:val="24"/>
        </w:rPr>
        <w:t xml:space="preserve">it de audit van Het Expertise Centrum (HEC) </w:t>
      </w:r>
      <w:r w:rsidR="00240D99">
        <w:rPr>
          <w:rFonts w:ascii="Times New Roman" w:hAnsi="Times New Roman" w:cs="Times New Roman"/>
          <w:sz w:val="24"/>
          <w:szCs w:val="24"/>
        </w:rPr>
        <w:t xml:space="preserve">blijkt </w:t>
      </w:r>
      <w:r w:rsidRPr="00D147A7">
        <w:rPr>
          <w:rFonts w:ascii="Times New Roman" w:hAnsi="Times New Roman" w:cs="Times New Roman"/>
          <w:sz w:val="24"/>
          <w:szCs w:val="24"/>
        </w:rPr>
        <w:t xml:space="preserve">dat de landelijke uitrol veel vertraging </w:t>
      </w:r>
      <w:r w:rsidR="00240D99">
        <w:rPr>
          <w:rFonts w:ascii="Times New Roman" w:hAnsi="Times New Roman" w:cs="Times New Roman"/>
          <w:sz w:val="24"/>
          <w:szCs w:val="24"/>
        </w:rPr>
        <w:t>oploopt</w:t>
      </w:r>
      <w:r w:rsidRPr="00D147A7">
        <w:rPr>
          <w:rFonts w:ascii="Times New Roman" w:hAnsi="Times New Roman" w:cs="Times New Roman"/>
          <w:sz w:val="24"/>
          <w:szCs w:val="24"/>
        </w:rPr>
        <w:t xml:space="preserve"> en anno 2012 nog steeds op zich </w:t>
      </w:r>
      <w:r w:rsidR="00240D99" w:rsidRPr="00D147A7">
        <w:rPr>
          <w:rFonts w:ascii="Times New Roman" w:hAnsi="Times New Roman" w:cs="Times New Roman"/>
          <w:sz w:val="24"/>
          <w:szCs w:val="24"/>
        </w:rPr>
        <w:t xml:space="preserve">laat </w:t>
      </w:r>
      <w:r w:rsidRPr="00D147A7">
        <w:rPr>
          <w:rFonts w:ascii="Times New Roman" w:hAnsi="Times New Roman" w:cs="Times New Roman"/>
          <w:sz w:val="24"/>
          <w:szCs w:val="24"/>
        </w:rPr>
        <w:t>wachten.</w:t>
      </w:r>
      <w:r w:rsidRPr="00D147A7">
        <w:rPr>
          <w:rStyle w:val="Voetnootmarkering"/>
          <w:rFonts w:ascii="Times New Roman" w:hAnsi="Times New Roman" w:cs="Times New Roman"/>
          <w:sz w:val="24"/>
          <w:szCs w:val="24"/>
        </w:rPr>
        <w:footnoteReference w:id="551"/>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 de dag waarop de motie Koşer Kaya in de Tweede Kamer werd aangenomen (op 22 november 2005), werd in de Eerste Kamer het voorstel van de Wet gebruik burgerservice</w:t>
      </w:r>
      <w:r w:rsidR="00240D99">
        <w:rPr>
          <w:rFonts w:ascii="Times New Roman" w:hAnsi="Times New Roman" w:cs="Times New Roman"/>
          <w:sz w:val="24"/>
          <w:szCs w:val="24"/>
        </w:rPr>
        <w:t>-</w:t>
      </w:r>
      <w:r w:rsidRPr="00D147A7">
        <w:rPr>
          <w:rFonts w:ascii="Times New Roman" w:hAnsi="Times New Roman" w:cs="Times New Roman"/>
          <w:sz w:val="24"/>
          <w:szCs w:val="24"/>
        </w:rPr>
        <w:t>nummer in de zorg (Wbsn-z) ingediend.</w:t>
      </w:r>
      <w:r w:rsidRPr="00D147A7">
        <w:rPr>
          <w:rStyle w:val="Voetnootmarkering"/>
          <w:rFonts w:ascii="Times New Roman" w:hAnsi="Times New Roman" w:cs="Times New Roman"/>
          <w:sz w:val="24"/>
          <w:szCs w:val="24"/>
        </w:rPr>
        <w:footnoteReference w:id="552"/>
      </w:r>
      <w:r w:rsidRPr="00D147A7">
        <w:rPr>
          <w:rFonts w:ascii="Times New Roman" w:hAnsi="Times New Roman" w:cs="Times New Roman"/>
          <w:sz w:val="24"/>
          <w:szCs w:val="24"/>
        </w:rPr>
        <w:t xml:space="preserve"> De Tweede Kamer nam dit wetsvoorstel op 10 </w:t>
      </w:r>
      <w:r w:rsidRPr="00D147A7">
        <w:rPr>
          <w:rFonts w:ascii="Times New Roman" w:hAnsi="Times New Roman" w:cs="Times New Roman"/>
          <w:sz w:val="24"/>
          <w:szCs w:val="24"/>
        </w:rPr>
        <w:lastRenderedPageBreak/>
        <w:t>oktober 2006 aan</w:t>
      </w:r>
      <w:r w:rsidRPr="00D147A7">
        <w:rPr>
          <w:rStyle w:val="Voetnootmarkering"/>
          <w:rFonts w:ascii="Times New Roman" w:hAnsi="Times New Roman" w:cs="Times New Roman"/>
          <w:sz w:val="24"/>
          <w:szCs w:val="24"/>
        </w:rPr>
        <w:footnoteReference w:id="553"/>
      </w:r>
      <w:r w:rsidRPr="00D147A7">
        <w:rPr>
          <w:rFonts w:ascii="Times New Roman" w:hAnsi="Times New Roman" w:cs="Times New Roman"/>
          <w:sz w:val="24"/>
          <w:szCs w:val="24"/>
        </w:rPr>
        <w:t>; de Eerste Kamer volgde pas op 8 april 2008.</w:t>
      </w:r>
      <w:r w:rsidRPr="00D147A7">
        <w:rPr>
          <w:rStyle w:val="Voetnootmarkering"/>
          <w:rFonts w:ascii="Times New Roman" w:hAnsi="Times New Roman" w:cs="Times New Roman"/>
          <w:sz w:val="24"/>
          <w:szCs w:val="24"/>
        </w:rPr>
        <w:footnoteReference w:id="554"/>
      </w:r>
      <w:r w:rsidRPr="00D147A7">
        <w:rPr>
          <w:rFonts w:ascii="Times New Roman" w:hAnsi="Times New Roman" w:cs="Times New Roman"/>
          <w:sz w:val="24"/>
          <w:szCs w:val="24"/>
        </w:rPr>
        <w:t xml:space="preserve"> Enkele dagen na de stem</w:t>
      </w:r>
      <w:r w:rsidR="00240D99">
        <w:rPr>
          <w:rFonts w:ascii="Times New Roman" w:hAnsi="Times New Roman" w:cs="Times New Roman"/>
          <w:sz w:val="24"/>
          <w:szCs w:val="24"/>
        </w:rPr>
        <w:t>-</w:t>
      </w:r>
      <w:r w:rsidRPr="00D147A7">
        <w:rPr>
          <w:rFonts w:ascii="Times New Roman" w:hAnsi="Times New Roman" w:cs="Times New Roman"/>
          <w:sz w:val="24"/>
          <w:szCs w:val="24"/>
        </w:rPr>
        <w:t>ming in de Eerste Kamer verscheen deze wet in het Staatsblad.</w:t>
      </w:r>
      <w:r w:rsidRPr="00D147A7">
        <w:rPr>
          <w:rStyle w:val="Voetnootmarkering"/>
          <w:rFonts w:ascii="Times New Roman" w:hAnsi="Times New Roman" w:cs="Times New Roman"/>
          <w:sz w:val="24"/>
          <w:szCs w:val="24"/>
        </w:rPr>
        <w:footnoteReference w:id="555"/>
      </w:r>
      <w:r w:rsidRPr="00D147A7">
        <w:rPr>
          <w:rFonts w:ascii="Times New Roman" w:hAnsi="Times New Roman" w:cs="Times New Roman"/>
          <w:sz w:val="24"/>
          <w:szCs w:val="24"/>
        </w:rPr>
        <w:t xml:space="preserve"> Vanaf dat moment moeten zorgverleners op ieder bericht het burgerservicenummer van de betrokken patiënt </w:t>
      </w:r>
      <w:r w:rsidR="00014D48">
        <w:rPr>
          <w:rFonts w:ascii="Times New Roman" w:hAnsi="Times New Roman" w:cs="Times New Roman"/>
          <w:sz w:val="24"/>
          <w:szCs w:val="24"/>
        </w:rPr>
        <w:t>aanbrengen</w:t>
      </w:r>
      <w:r w:rsidRPr="00D147A7">
        <w:rPr>
          <w:rFonts w:ascii="Times New Roman" w:hAnsi="Times New Roman" w:cs="Times New Roman"/>
          <w:sz w:val="24"/>
          <w:szCs w:val="24"/>
        </w:rPr>
        <w:t>, als waarborg dat de verwerkte gegevens op de juiste patiënt betrekking hebben.</w:t>
      </w:r>
      <w:r w:rsidRPr="00D147A7">
        <w:rPr>
          <w:rStyle w:val="Voetnootmarkering"/>
          <w:rFonts w:ascii="Times New Roman" w:hAnsi="Times New Roman" w:cs="Times New Roman"/>
          <w:sz w:val="24"/>
          <w:szCs w:val="24"/>
        </w:rPr>
        <w:footnoteReference w:id="556"/>
      </w:r>
      <w:r w:rsidRPr="00D147A7">
        <w:rPr>
          <w:rFonts w:ascii="Times New Roman" w:hAnsi="Times New Roman" w:cs="Times New Roman"/>
          <w:sz w:val="24"/>
          <w:szCs w:val="24"/>
        </w:rPr>
        <w:t xml:space="preserve"> Zo worden medische fouten</w:t>
      </w:r>
      <w:r w:rsidR="00014D48">
        <w:rPr>
          <w:rFonts w:ascii="Times New Roman" w:hAnsi="Times New Roman" w:cs="Times New Roman"/>
          <w:sz w:val="24"/>
          <w:szCs w:val="24"/>
        </w:rPr>
        <w:t xml:space="preserve"> voorkomen. Het Landelijk Schakelpunt</w:t>
      </w:r>
      <w:r w:rsidRPr="00D147A7">
        <w:rPr>
          <w:rFonts w:ascii="Times New Roman" w:hAnsi="Times New Roman" w:cs="Times New Roman"/>
          <w:sz w:val="24"/>
          <w:szCs w:val="24"/>
        </w:rPr>
        <w:t xml:space="preserve"> ‘zoekt’ op basis van het burgerser</w:t>
      </w:r>
      <w:r w:rsidR="00014D48">
        <w:rPr>
          <w:rFonts w:ascii="Times New Roman" w:hAnsi="Times New Roman" w:cs="Times New Roman"/>
          <w:sz w:val="24"/>
          <w:szCs w:val="24"/>
        </w:rPr>
        <w:t>-</w:t>
      </w:r>
      <w:r w:rsidRPr="00D147A7">
        <w:rPr>
          <w:rFonts w:ascii="Times New Roman" w:hAnsi="Times New Roman" w:cs="Times New Roman"/>
          <w:sz w:val="24"/>
          <w:szCs w:val="24"/>
        </w:rPr>
        <w:t>vicenummer van een patiënt welke zorgverleners over gezondheidsgegevens van deze patiënt beschik</w:t>
      </w:r>
      <w:r w:rsidR="00FD1626">
        <w:rPr>
          <w:rFonts w:ascii="Times New Roman" w:hAnsi="Times New Roman" w:cs="Times New Roman"/>
          <w:sz w:val="24"/>
          <w:szCs w:val="24"/>
        </w:rPr>
        <w:t>ken. Hierdoor wordt de</w:t>
      </w:r>
      <w:r w:rsidRPr="00D147A7">
        <w:rPr>
          <w:rFonts w:ascii="Times New Roman" w:hAnsi="Times New Roman" w:cs="Times New Roman"/>
          <w:sz w:val="24"/>
          <w:szCs w:val="24"/>
        </w:rPr>
        <w:t xml:space="preserve"> uitwisseling van medische gegevens tussen zorgverleners mogelijk gemaakt.</w:t>
      </w:r>
      <w:r w:rsidRPr="00D147A7">
        <w:rPr>
          <w:rStyle w:val="Voetnootmarkering"/>
          <w:rFonts w:ascii="Times New Roman" w:hAnsi="Times New Roman" w:cs="Times New Roman"/>
          <w:sz w:val="24"/>
          <w:szCs w:val="24"/>
        </w:rPr>
        <w:footnoteReference w:id="557"/>
      </w:r>
      <w:r w:rsidRPr="00D147A7">
        <w:rPr>
          <w:rFonts w:ascii="Times New Roman" w:hAnsi="Times New Roman" w:cs="Times New Roman"/>
          <w:sz w:val="24"/>
          <w:szCs w:val="24"/>
        </w:rPr>
        <w:t xml:space="preserve"> Wanneer een patiënt voor het eerst een zorgverlener consulteert, moet deze zorgverlener (met uitzondering van apothekers</w:t>
      </w:r>
      <w:r w:rsidRPr="00D147A7">
        <w:rPr>
          <w:rStyle w:val="Voetnootmarkering"/>
          <w:rFonts w:ascii="Times New Roman" w:hAnsi="Times New Roman" w:cs="Times New Roman"/>
          <w:sz w:val="24"/>
          <w:szCs w:val="24"/>
        </w:rPr>
        <w:footnoteReference w:id="558"/>
      </w:r>
      <w:r w:rsidRPr="00D147A7">
        <w:rPr>
          <w:rFonts w:ascii="Times New Roman" w:hAnsi="Times New Roman" w:cs="Times New Roman"/>
          <w:sz w:val="24"/>
          <w:szCs w:val="24"/>
        </w:rPr>
        <w:t>) de identiteit en het burgerservice</w:t>
      </w:r>
      <w:r w:rsidR="00FD1626">
        <w:rPr>
          <w:rFonts w:ascii="Times New Roman" w:hAnsi="Times New Roman" w:cs="Times New Roman"/>
          <w:sz w:val="24"/>
          <w:szCs w:val="24"/>
        </w:rPr>
        <w:t>-</w:t>
      </w:r>
      <w:r w:rsidRPr="00D147A7">
        <w:rPr>
          <w:rFonts w:ascii="Times New Roman" w:hAnsi="Times New Roman" w:cs="Times New Roman"/>
          <w:sz w:val="24"/>
          <w:szCs w:val="24"/>
        </w:rPr>
        <w:t>nummer van de patiënt vaststellen.</w:t>
      </w:r>
      <w:r w:rsidRPr="00D147A7">
        <w:rPr>
          <w:rStyle w:val="Voetnootmarkering"/>
          <w:rFonts w:ascii="Times New Roman" w:hAnsi="Times New Roman" w:cs="Times New Roman"/>
          <w:sz w:val="24"/>
          <w:szCs w:val="24"/>
        </w:rPr>
        <w:footnoteReference w:id="559"/>
      </w:r>
      <w:r w:rsidRPr="00D147A7">
        <w:rPr>
          <w:rFonts w:ascii="Times New Roman" w:hAnsi="Times New Roman" w:cs="Times New Roman"/>
          <w:sz w:val="24"/>
          <w:szCs w:val="24"/>
        </w:rPr>
        <w:t xml:space="preserve"> De zorgverlener wordt dus van de identificatieplicht vrijgesteld als de patiënt geen onbekende voor hem is. Ook in spoedsituaties moet geen tijd besteed worden aan het vaststellen van de identiteit en het burgerservicenummer van de patiënt.</w:t>
      </w:r>
      <w:r w:rsidRPr="00D147A7">
        <w:rPr>
          <w:rStyle w:val="Voetnootmarkering"/>
          <w:rFonts w:ascii="Times New Roman" w:hAnsi="Times New Roman" w:cs="Times New Roman"/>
          <w:sz w:val="24"/>
          <w:szCs w:val="24"/>
        </w:rPr>
        <w:footnoteReference w:id="560"/>
      </w:r>
      <w:r w:rsidRPr="00D147A7">
        <w:rPr>
          <w:rFonts w:ascii="Times New Roman" w:hAnsi="Times New Roman" w:cs="Times New Roman"/>
          <w:sz w:val="24"/>
          <w:szCs w:val="24"/>
        </w:rPr>
        <w:t xml:space="preserve"> In de overige gevallen wordt het burgerservicenummer door raadpleging van het burgerservicenummerregister bij de Sectorale Berichtenvoorziening in de Zorg (SBV-Z) vast</w:t>
      </w:r>
      <w:r w:rsidR="00FD1626">
        <w:rPr>
          <w:rFonts w:ascii="Times New Roman" w:hAnsi="Times New Roman" w:cs="Times New Roman"/>
          <w:sz w:val="24"/>
          <w:szCs w:val="24"/>
        </w:rPr>
        <w:t>-</w:t>
      </w:r>
      <w:r w:rsidRPr="00D147A7">
        <w:rPr>
          <w:rFonts w:ascii="Times New Roman" w:hAnsi="Times New Roman" w:cs="Times New Roman"/>
          <w:sz w:val="24"/>
          <w:szCs w:val="24"/>
        </w:rPr>
        <w:t>gesteld.</w:t>
      </w:r>
      <w:r w:rsidRPr="00D147A7">
        <w:rPr>
          <w:rStyle w:val="Voetnootmarkering"/>
          <w:rFonts w:ascii="Times New Roman" w:hAnsi="Times New Roman" w:cs="Times New Roman"/>
          <w:sz w:val="24"/>
          <w:szCs w:val="24"/>
        </w:rPr>
        <w:footnoteReference w:id="561"/>
      </w:r>
      <w:r w:rsidRPr="00D147A7">
        <w:rPr>
          <w:rFonts w:ascii="Times New Roman" w:hAnsi="Times New Roman" w:cs="Times New Roman"/>
          <w:sz w:val="24"/>
          <w:szCs w:val="24"/>
        </w:rPr>
        <w:t xml:space="preserve"> Deze verplichting geldt niet indien de zorgverlener het burgerservicenummer reeds van de Gemeentelijke Basisadministratie ontvangen heeft of van een andere gebruiker die bij of krachtens wet gehouden is het burgerservicenummer van de patiënt vast te stellen aan de hand van het nummerregister en de registraties.</w:t>
      </w:r>
      <w:r w:rsidRPr="00D147A7">
        <w:rPr>
          <w:rStyle w:val="Voetnootmarkering"/>
          <w:rFonts w:ascii="Times New Roman" w:hAnsi="Times New Roman" w:cs="Times New Roman"/>
          <w:sz w:val="24"/>
          <w:szCs w:val="24"/>
        </w:rPr>
        <w:footnoteReference w:id="562"/>
      </w:r>
      <w:r w:rsidRPr="00D147A7">
        <w:rPr>
          <w:rFonts w:ascii="Times New Roman" w:hAnsi="Times New Roman" w:cs="Times New Roman"/>
          <w:sz w:val="24"/>
          <w:szCs w:val="24"/>
        </w:rPr>
        <w:t xml:space="preserve"> Als het vaststellen van de identiteit of het burgerservicenummer onmogelijk blijkt of onevenredige inspanningen vergt, kan het gebruik van het burgerservicenummer achterwege blijven en neemt de zorgverlener andere identifica</w:t>
      </w:r>
      <w:r w:rsidR="00FD1626">
        <w:rPr>
          <w:rFonts w:ascii="Times New Roman" w:hAnsi="Times New Roman" w:cs="Times New Roman"/>
          <w:sz w:val="24"/>
          <w:szCs w:val="24"/>
        </w:rPr>
        <w:t>-</w:t>
      </w:r>
      <w:r w:rsidRPr="00D147A7">
        <w:rPr>
          <w:rFonts w:ascii="Times New Roman" w:hAnsi="Times New Roman" w:cs="Times New Roman"/>
          <w:sz w:val="24"/>
          <w:szCs w:val="24"/>
        </w:rPr>
        <w:t>tiegegevens in zijn administratie op.</w:t>
      </w:r>
      <w:r w:rsidRPr="00D147A7">
        <w:rPr>
          <w:rStyle w:val="Voetnootmarkering"/>
          <w:rFonts w:ascii="Times New Roman" w:hAnsi="Times New Roman" w:cs="Times New Roman"/>
          <w:sz w:val="24"/>
          <w:szCs w:val="24"/>
        </w:rPr>
        <w:footnoteReference w:id="563"/>
      </w:r>
      <w:r w:rsidRPr="00D147A7">
        <w:rPr>
          <w:rFonts w:ascii="Times New Roman" w:hAnsi="Times New Roman" w:cs="Times New Roman"/>
          <w:sz w:val="24"/>
          <w:szCs w:val="24"/>
        </w:rPr>
        <w:t xml:space="preserve"> De zorgverlener kan het Landelijk EPD dan wel niet raadplegen.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 1 november 2008 verzond de Minister van Volksgezondheid een brief met informatie over het Landelijk EPD en een bijhorend bezwaarformulier aan alle Nederlandse burgers die over een burgerservicenummer beschikken.</w:t>
      </w:r>
      <w:r w:rsidRPr="00D147A7">
        <w:rPr>
          <w:rStyle w:val="Voetnootmarkering"/>
          <w:rFonts w:ascii="Times New Roman" w:hAnsi="Times New Roman" w:cs="Times New Roman"/>
          <w:sz w:val="24"/>
          <w:szCs w:val="24"/>
        </w:rPr>
        <w:footnoteReference w:id="564"/>
      </w:r>
      <w:r w:rsidRPr="00D147A7">
        <w:rPr>
          <w:rFonts w:ascii="Times New Roman" w:hAnsi="Times New Roman" w:cs="Times New Roman"/>
          <w:sz w:val="24"/>
          <w:szCs w:val="24"/>
        </w:rPr>
        <w:t xml:space="preserve"> Deze informatiecampagne kadert deels in de keuze van de Nederlandse wetgever om de verwij</w:t>
      </w:r>
      <w:r w:rsidR="00FD1626">
        <w:rPr>
          <w:rFonts w:ascii="Times New Roman" w:hAnsi="Times New Roman" w:cs="Times New Roman"/>
          <w:sz w:val="24"/>
          <w:szCs w:val="24"/>
        </w:rPr>
        <w:t>zingen naar</w:t>
      </w:r>
      <w:r w:rsidRPr="00D147A7">
        <w:rPr>
          <w:rFonts w:ascii="Times New Roman" w:hAnsi="Times New Roman" w:cs="Times New Roman"/>
          <w:sz w:val="24"/>
          <w:szCs w:val="24"/>
        </w:rPr>
        <w:t xml:space="preserve"> patiëntendossiers in het Landelijk Schakelpunt op te nemen, tenzij individuele patiënten zich daar uitdrukkelijk tegen verzetten </w:t>
      </w:r>
      <w:r w:rsidRPr="00D147A7">
        <w:rPr>
          <w:rFonts w:ascii="Times New Roman" w:hAnsi="Times New Roman" w:cs="Times New Roman"/>
          <w:sz w:val="24"/>
          <w:szCs w:val="24"/>
        </w:rPr>
        <w:lastRenderedPageBreak/>
        <w:t>(</w:t>
      </w:r>
      <w:r w:rsidRPr="00FD1626">
        <w:rPr>
          <w:rFonts w:ascii="Times New Roman" w:hAnsi="Times New Roman" w:cs="Times New Roman"/>
          <w:i/>
          <w:sz w:val="24"/>
          <w:szCs w:val="24"/>
        </w:rPr>
        <w:t>opt-out</w:t>
      </w:r>
      <w:r w:rsidRPr="00D147A7">
        <w:rPr>
          <w:rFonts w:ascii="Times New Roman" w:hAnsi="Times New Roman" w:cs="Times New Roman"/>
          <w:sz w:val="24"/>
          <w:szCs w:val="24"/>
        </w:rPr>
        <w:t xml:space="preserve"> systeem).</w:t>
      </w:r>
      <w:r w:rsidRPr="00D147A7">
        <w:rPr>
          <w:rStyle w:val="Voetnootmarkering"/>
          <w:rFonts w:ascii="Times New Roman" w:hAnsi="Times New Roman" w:cs="Times New Roman"/>
          <w:sz w:val="24"/>
          <w:szCs w:val="24"/>
        </w:rPr>
        <w:footnoteReference w:id="565"/>
      </w:r>
      <w:r w:rsidRPr="00D147A7">
        <w:rPr>
          <w:rFonts w:ascii="Times New Roman" w:hAnsi="Times New Roman" w:cs="Times New Roman"/>
          <w:sz w:val="24"/>
          <w:szCs w:val="24"/>
        </w:rPr>
        <w:t xml:space="preserve"> Een andere beweegreden was om zo transparant mogelijk te handelen door de burgers zo goed mogelijk te informeren over de ontwikkeling van het Landelijk EPD.</w:t>
      </w:r>
      <w:r w:rsidRPr="00D147A7">
        <w:rPr>
          <w:rStyle w:val="Voetnootmarkering"/>
          <w:rFonts w:ascii="Times New Roman" w:hAnsi="Times New Roman" w:cs="Times New Roman"/>
          <w:sz w:val="24"/>
          <w:szCs w:val="24"/>
        </w:rPr>
        <w:footnoteReference w:id="566"/>
      </w:r>
      <w:r w:rsidRPr="00D147A7">
        <w:rPr>
          <w:rFonts w:ascii="Times New Roman" w:hAnsi="Times New Roman" w:cs="Times New Roman"/>
          <w:sz w:val="24"/>
          <w:szCs w:val="24"/>
        </w:rPr>
        <w:t xml:space="preserve"> In d</w:t>
      </w:r>
      <w:r w:rsidR="00FD1626">
        <w:rPr>
          <w:rFonts w:ascii="Times New Roman" w:hAnsi="Times New Roman" w:cs="Times New Roman"/>
          <w:sz w:val="24"/>
          <w:szCs w:val="24"/>
        </w:rPr>
        <w:t>i</w:t>
      </w:r>
      <w:r w:rsidRPr="00D147A7">
        <w:rPr>
          <w:rFonts w:ascii="Times New Roman" w:hAnsi="Times New Roman" w:cs="Times New Roman"/>
          <w:sz w:val="24"/>
          <w:szCs w:val="24"/>
        </w:rPr>
        <w:t>t kader werd door het Informatiepunt Landelijk EPD ook een informatieve website opgezet.</w:t>
      </w:r>
      <w:r w:rsidRPr="00D147A7">
        <w:rPr>
          <w:rStyle w:val="Voetnootmarkering"/>
          <w:rFonts w:ascii="Times New Roman" w:hAnsi="Times New Roman" w:cs="Times New Roman"/>
          <w:sz w:val="24"/>
          <w:szCs w:val="24"/>
        </w:rPr>
        <w:footnoteReference w:id="567"/>
      </w:r>
      <w:r w:rsidRPr="00D147A7">
        <w:rPr>
          <w:rFonts w:ascii="Times New Roman" w:hAnsi="Times New Roman" w:cs="Times New Roman"/>
          <w:sz w:val="24"/>
          <w:szCs w:val="24"/>
        </w:rPr>
        <w:t xml:space="preserve"> Op zich lijkt dit een onschuldige stap in het implementatieproces van het Landelijk EPD. Hoewel alle partijen vooraf op de hoogte waren gebracht over de circulatie van deze brief, bracht deze voorlichtingscampagne heel wat commotie teweeg. De leden van de Tweede Kamer stoorden zich dat met het bezwaarformulier aan patiënten de mogelijkheid geboden werd om zich tegen het Landelijk EPD te verzetten. De Nederlandse bevolking maakte inderdaad veelvuldig gebruik van dit formulier: binnen de vier dagen werden niet minder dan 15.000 ondertekende bezwaarformulieren aan het adres van Minister Klink ge</w:t>
      </w:r>
      <w:r w:rsidR="00FD1626">
        <w:rPr>
          <w:rFonts w:ascii="Times New Roman" w:hAnsi="Times New Roman" w:cs="Times New Roman"/>
          <w:sz w:val="24"/>
          <w:szCs w:val="24"/>
        </w:rPr>
        <w:t>-</w:t>
      </w:r>
      <w:r w:rsidRPr="00D147A7">
        <w:rPr>
          <w:rFonts w:ascii="Times New Roman" w:hAnsi="Times New Roman" w:cs="Times New Roman"/>
          <w:sz w:val="24"/>
          <w:szCs w:val="24"/>
        </w:rPr>
        <w:t>richt.</w:t>
      </w:r>
      <w:r w:rsidRPr="00D147A7">
        <w:rPr>
          <w:rStyle w:val="Voetnootmarkering"/>
          <w:rFonts w:ascii="Times New Roman" w:hAnsi="Times New Roman" w:cs="Times New Roman"/>
          <w:sz w:val="24"/>
          <w:szCs w:val="24"/>
        </w:rPr>
        <w:footnoteReference w:id="568"/>
      </w:r>
      <w:r w:rsidRPr="00D147A7">
        <w:rPr>
          <w:rFonts w:ascii="Times New Roman" w:hAnsi="Times New Roman" w:cs="Times New Roman"/>
          <w:sz w:val="24"/>
          <w:szCs w:val="24"/>
        </w:rPr>
        <w:t xml:space="preserve"> Omdat in het totaal meer dan 400.000 Nederlandse burgers op deze manier hun be</w:t>
      </w:r>
      <w:r w:rsidR="00FD1626">
        <w:rPr>
          <w:rFonts w:ascii="Times New Roman" w:hAnsi="Times New Roman" w:cs="Times New Roman"/>
          <w:sz w:val="24"/>
          <w:szCs w:val="24"/>
        </w:rPr>
        <w:t>-</w:t>
      </w:r>
      <w:r w:rsidRPr="00D147A7">
        <w:rPr>
          <w:rFonts w:ascii="Times New Roman" w:hAnsi="Times New Roman" w:cs="Times New Roman"/>
          <w:sz w:val="24"/>
          <w:szCs w:val="24"/>
        </w:rPr>
        <w:t>zwaren t.o.v. het Landelijk EPD uitten</w:t>
      </w:r>
      <w:r w:rsidRPr="00D147A7">
        <w:rPr>
          <w:rStyle w:val="Voetnootmarkering"/>
          <w:rFonts w:ascii="Times New Roman" w:hAnsi="Times New Roman" w:cs="Times New Roman"/>
          <w:sz w:val="24"/>
          <w:szCs w:val="24"/>
        </w:rPr>
        <w:footnoteReference w:id="569"/>
      </w:r>
      <w:r w:rsidRPr="00D147A7">
        <w:rPr>
          <w:rFonts w:ascii="Times New Roman" w:hAnsi="Times New Roman" w:cs="Times New Roman"/>
          <w:sz w:val="24"/>
          <w:szCs w:val="24"/>
        </w:rPr>
        <w:t>, besloot de Eerste Kamer om de stemming op het voorstel van wet op het EPD voorlopig uit te stellen.</w:t>
      </w:r>
      <w:r w:rsidRPr="00D147A7">
        <w:rPr>
          <w:rStyle w:val="Voetnootmarkering"/>
          <w:rFonts w:ascii="Times New Roman" w:hAnsi="Times New Roman" w:cs="Times New Roman"/>
          <w:sz w:val="24"/>
          <w:szCs w:val="24"/>
        </w:rPr>
        <w:footnoteReference w:id="570"/>
      </w:r>
      <w:r w:rsidRPr="00D147A7">
        <w:rPr>
          <w:rFonts w:ascii="Times New Roman" w:hAnsi="Times New Roman" w:cs="Times New Roman"/>
          <w:sz w:val="24"/>
          <w:szCs w:val="24"/>
        </w:rPr>
        <w:t xml:space="preserve"> De leden van de Tweede Kamer be</w:t>
      </w:r>
      <w:r w:rsidR="00FD1626">
        <w:rPr>
          <w:rFonts w:ascii="Times New Roman" w:hAnsi="Times New Roman" w:cs="Times New Roman"/>
          <w:sz w:val="24"/>
          <w:szCs w:val="24"/>
        </w:rPr>
        <w:t>-</w:t>
      </w:r>
      <w:r w:rsidRPr="00D147A7">
        <w:rPr>
          <w:rFonts w:ascii="Times New Roman" w:hAnsi="Times New Roman" w:cs="Times New Roman"/>
          <w:sz w:val="24"/>
          <w:szCs w:val="24"/>
        </w:rPr>
        <w:t xml:space="preserve">steedden veel aandacht aan deze bezwaren en dienden vanaf </w:t>
      </w:r>
      <w:r w:rsidR="00FD1626">
        <w:rPr>
          <w:rFonts w:ascii="Times New Roman" w:hAnsi="Times New Roman" w:cs="Times New Roman"/>
          <w:sz w:val="24"/>
          <w:szCs w:val="24"/>
        </w:rPr>
        <w:t>d</w:t>
      </w:r>
      <w:r w:rsidRPr="00D147A7">
        <w:rPr>
          <w:rFonts w:ascii="Times New Roman" w:hAnsi="Times New Roman" w:cs="Times New Roman"/>
          <w:sz w:val="24"/>
          <w:szCs w:val="24"/>
        </w:rPr>
        <w:t>a</w:t>
      </w:r>
      <w:r w:rsidR="00FD1626">
        <w:rPr>
          <w:rFonts w:ascii="Times New Roman" w:hAnsi="Times New Roman" w:cs="Times New Roman"/>
          <w:sz w:val="24"/>
          <w:szCs w:val="24"/>
        </w:rPr>
        <w:t>t moment</w:t>
      </w:r>
      <w:r w:rsidRPr="00D147A7">
        <w:rPr>
          <w:rFonts w:ascii="Times New Roman" w:hAnsi="Times New Roman" w:cs="Times New Roman"/>
          <w:sz w:val="24"/>
          <w:szCs w:val="24"/>
        </w:rPr>
        <w:t xml:space="preserve"> verschillende moties in die voor een Landelijk EPD van </w:t>
      </w:r>
      <w:r w:rsidR="00FD1626" w:rsidRPr="00D147A7">
        <w:rPr>
          <w:rFonts w:ascii="Times New Roman" w:hAnsi="Times New Roman" w:cs="Times New Roman"/>
          <w:sz w:val="24"/>
          <w:szCs w:val="24"/>
        </w:rPr>
        <w:t>(en niet alleen vóór</w:t>
      </w:r>
      <w:r w:rsidR="00FD1626">
        <w:rPr>
          <w:rFonts w:ascii="Times New Roman" w:hAnsi="Times New Roman" w:cs="Times New Roman"/>
          <w:sz w:val="24"/>
          <w:szCs w:val="24"/>
        </w:rPr>
        <w:t>)</w:t>
      </w:r>
      <w:r w:rsidR="00FD1626" w:rsidRPr="00D147A7">
        <w:rPr>
          <w:rFonts w:ascii="Times New Roman" w:hAnsi="Times New Roman" w:cs="Times New Roman"/>
          <w:sz w:val="24"/>
          <w:szCs w:val="24"/>
        </w:rPr>
        <w:t xml:space="preserve"> </w:t>
      </w:r>
      <w:r w:rsidRPr="00D147A7">
        <w:rPr>
          <w:rFonts w:ascii="Times New Roman" w:hAnsi="Times New Roman" w:cs="Times New Roman"/>
          <w:sz w:val="24"/>
          <w:szCs w:val="24"/>
        </w:rPr>
        <w:t>de patiënt pleitten. Aan de patiënt wordt dus almaar meer regie toegekend.</w:t>
      </w:r>
      <w:r w:rsidRPr="00D147A7">
        <w:rPr>
          <w:rStyle w:val="Voetnootmarkering"/>
          <w:rFonts w:ascii="Times New Roman" w:hAnsi="Times New Roman" w:cs="Times New Roman"/>
          <w:sz w:val="24"/>
          <w:szCs w:val="24"/>
        </w:rPr>
        <w:footnoteReference w:id="571"/>
      </w:r>
      <w:r w:rsidRPr="00D147A7">
        <w:rPr>
          <w:rFonts w:ascii="Times New Roman" w:hAnsi="Times New Roman" w:cs="Times New Roman"/>
          <w:sz w:val="24"/>
          <w:szCs w:val="24"/>
        </w:rPr>
        <w:t xml:space="preserve"> Daarnaast hekelden de leden van de Eerste Kamer en de actoren in de zorgsector zich aan het tijdstip waarop deze brief </w:t>
      </w:r>
      <w:r w:rsidR="00FD1626" w:rsidRPr="00D147A7">
        <w:rPr>
          <w:rFonts w:ascii="Times New Roman" w:hAnsi="Times New Roman" w:cs="Times New Roman"/>
          <w:sz w:val="24"/>
          <w:szCs w:val="24"/>
        </w:rPr>
        <w:t xml:space="preserve">werd </w:t>
      </w:r>
      <w:r w:rsidRPr="00D147A7">
        <w:rPr>
          <w:rFonts w:ascii="Times New Roman" w:hAnsi="Times New Roman" w:cs="Times New Roman"/>
          <w:sz w:val="24"/>
          <w:szCs w:val="24"/>
        </w:rPr>
        <w:t xml:space="preserve">verstuurd. Op het moment van verzending </w:t>
      </w:r>
      <w:r w:rsidR="00FD1626">
        <w:rPr>
          <w:rFonts w:ascii="Times New Roman" w:hAnsi="Times New Roman" w:cs="Times New Roman"/>
          <w:sz w:val="24"/>
          <w:szCs w:val="24"/>
        </w:rPr>
        <w:t>had</w:t>
      </w:r>
      <w:r w:rsidRPr="00D147A7">
        <w:rPr>
          <w:rFonts w:ascii="Times New Roman" w:hAnsi="Times New Roman" w:cs="Times New Roman"/>
          <w:sz w:val="24"/>
          <w:szCs w:val="24"/>
        </w:rPr>
        <w:t xml:space="preserve"> de Eerste Kamer immers nog </w:t>
      </w:r>
      <w:r w:rsidR="00FD1626">
        <w:rPr>
          <w:rFonts w:ascii="Times New Roman" w:hAnsi="Times New Roman" w:cs="Times New Roman"/>
          <w:sz w:val="24"/>
          <w:szCs w:val="24"/>
        </w:rPr>
        <w:t xml:space="preserve">niet </w:t>
      </w:r>
      <w:r w:rsidRPr="00D147A7">
        <w:rPr>
          <w:rFonts w:ascii="Times New Roman" w:hAnsi="Times New Roman" w:cs="Times New Roman"/>
          <w:sz w:val="24"/>
          <w:szCs w:val="24"/>
        </w:rPr>
        <w:t xml:space="preserve">over de Wet op het EPD </w:t>
      </w:r>
      <w:r w:rsidR="00FD1626">
        <w:rPr>
          <w:rFonts w:ascii="Times New Roman" w:hAnsi="Times New Roman" w:cs="Times New Roman"/>
          <w:sz w:val="24"/>
          <w:szCs w:val="24"/>
        </w:rPr>
        <w:t>ge-</w:t>
      </w:r>
      <w:r w:rsidRPr="00D147A7">
        <w:rPr>
          <w:rFonts w:ascii="Times New Roman" w:hAnsi="Times New Roman" w:cs="Times New Roman"/>
          <w:sz w:val="24"/>
          <w:szCs w:val="24"/>
        </w:rPr>
        <w:t>stem</w:t>
      </w:r>
      <w:r w:rsidR="00FD1626">
        <w:rPr>
          <w:rFonts w:ascii="Times New Roman" w:hAnsi="Times New Roman" w:cs="Times New Roman"/>
          <w:sz w:val="24"/>
          <w:szCs w:val="24"/>
        </w:rPr>
        <w:t>d</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wettelijke basis van het Landelijk EPD</w:t>
      </w:r>
      <w:r w:rsidR="00FD1626">
        <w:rPr>
          <w:rFonts w:ascii="Times New Roman" w:hAnsi="Times New Roman" w:cs="Times New Roman"/>
          <w:sz w:val="24"/>
          <w:szCs w:val="24"/>
        </w:rPr>
        <w:t xml:space="preserve"> –</w:t>
      </w:r>
      <w:r w:rsidRPr="00D147A7">
        <w:rPr>
          <w:rFonts w:ascii="Times New Roman" w:hAnsi="Times New Roman" w:cs="Times New Roman"/>
          <w:sz w:val="24"/>
          <w:szCs w:val="24"/>
        </w:rPr>
        <w:t xml:space="preserve"> het voorstel tot wijziging van de Wet gebruik burgerservicenummer in de zorg in verband met de elektronische informatie-uitwisseling in de zorg (de wet op het EPD)</w:t>
      </w:r>
      <w:r w:rsidRPr="00D147A7">
        <w:rPr>
          <w:rStyle w:val="Voetnootmarkering"/>
          <w:rFonts w:ascii="Times New Roman" w:hAnsi="Times New Roman" w:cs="Times New Roman"/>
          <w:sz w:val="24"/>
          <w:szCs w:val="24"/>
        </w:rPr>
        <w:footnoteReference w:id="572"/>
      </w:r>
      <w:r w:rsidR="00FD1626">
        <w:rPr>
          <w:rFonts w:ascii="Times New Roman" w:hAnsi="Times New Roman" w:cs="Times New Roman"/>
          <w:sz w:val="24"/>
          <w:szCs w:val="24"/>
        </w:rPr>
        <w:t xml:space="preserve"> –</w:t>
      </w:r>
      <w:r w:rsidRPr="00D147A7">
        <w:rPr>
          <w:rFonts w:ascii="Times New Roman" w:hAnsi="Times New Roman" w:cs="Times New Roman"/>
          <w:sz w:val="24"/>
          <w:szCs w:val="24"/>
        </w:rPr>
        <w:t xml:space="preserve"> werd op 19 februari 2009 in de Tweede Kamer aangeno</w:t>
      </w:r>
      <w:r w:rsidR="00FD1626">
        <w:rPr>
          <w:rFonts w:ascii="Times New Roman" w:hAnsi="Times New Roman" w:cs="Times New Roman"/>
          <w:sz w:val="24"/>
          <w:szCs w:val="24"/>
        </w:rPr>
        <w:t>-</w:t>
      </w:r>
      <w:r w:rsidRPr="00D147A7">
        <w:rPr>
          <w:rFonts w:ascii="Times New Roman" w:hAnsi="Times New Roman" w:cs="Times New Roman"/>
          <w:sz w:val="24"/>
          <w:szCs w:val="24"/>
        </w:rPr>
        <w:t>men.</w:t>
      </w:r>
      <w:r w:rsidRPr="00D147A7">
        <w:rPr>
          <w:rStyle w:val="Voetnootmarkering"/>
          <w:rFonts w:ascii="Times New Roman" w:hAnsi="Times New Roman" w:cs="Times New Roman"/>
          <w:sz w:val="24"/>
          <w:szCs w:val="24"/>
        </w:rPr>
        <w:footnoteReference w:id="573"/>
      </w:r>
      <w:r w:rsidRPr="00D147A7">
        <w:rPr>
          <w:rFonts w:ascii="Times New Roman" w:hAnsi="Times New Roman" w:cs="Times New Roman"/>
          <w:sz w:val="24"/>
          <w:szCs w:val="24"/>
        </w:rPr>
        <w:t xml:space="preserve"> In dit wetsvoorstel werden de randvoorwaarden voor de invoering van het Landelijk EPD geregeld.</w:t>
      </w:r>
      <w:r w:rsidRPr="00D147A7">
        <w:rPr>
          <w:rStyle w:val="Voetnootmarkering"/>
          <w:rFonts w:ascii="Times New Roman" w:hAnsi="Times New Roman" w:cs="Times New Roman"/>
          <w:sz w:val="24"/>
          <w:szCs w:val="24"/>
        </w:rPr>
        <w:footnoteReference w:id="574"/>
      </w:r>
      <w:r w:rsidRPr="00D147A7">
        <w:rPr>
          <w:rFonts w:ascii="Times New Roman" w:hAnsi="Times New Roman" w:cs="Times New Roman"/>
          <w:sz w:val="24"/>
          <w:szCs w:val="24"/>
        </w:rPr>
        <w:t xml:space="preserve"> Zorgverleners werden ertoe verplicht om zich bij het Landelijk Schakelpunt aan te sluiten (en een elektronisch patiëntendossiers bij te houden).</w:t>
      </w:r>
      <w:r w:rsidRPr="00D147A7">
        <w:rPr>
          <w:rStyle w:val="Voetnootmarkering"/>
          <w:rFonts w:ascii="Times New Roman" w:hAnsi="Times New Roman" w:cs="Times New Roman"/>
          <w:sz w:val="24"/>
          <w:szCs w:val="24"/>
        </w:rPr>
        <w:footnoteReference w:id="575"/>
      </w:r>
      <w:r w:rsidRPr="00D147A7">
        <w:rPr>
          <w:rFonts w:ascii="Times New Roman" w:hAnsi="Times New Roman" w:cs="Times New Roman"/>
          <w:sz w:val="24"/>
          <w:szCs w:val="24"/>
        </w:rPr>
        <w:t xml:space="preserve"> Hierdoor steeg het be</w:t>
      </w:r>
      <w:r w:rsidR="00FD1626">
        <w:rPr>
          <w:rFonts w:ascii="Times New Roman" w:hAnsi="Times New Roman" w:cs="Times New Roman"/>
          <w:sz w:val="24"/>
          <w:szCs w:val="24"/>
        </w:rPr>
        <w:t>-</w:t>
      </w:r>
      <w:r w:rsidRPr="00D147A7">
        <w:rPr>
          <w:rFonts w:ascii="Times New Roman" w:hAnsi="Times New Roman" w:cs="Times New Roman"/>
          <w:sz w:val="24"/>
          <w:szCs w:val="24"/>
        </w:rPr>
        <w:t xml:space="preserve">lang van de digitalisering van patiëntendossiers. De Minister van Volksgezondheid hoopte het </w:t>
      </w:r>
      <w:r w:rsidRPr="00D147A7">
        <w:rPr>
          <w:rFonts w:ascii="Times New Roman" w:hAnsi="Times New Roman" w:cs="Times New Roman"/>
          <w:sz w:val="24"/>
          <w:szCs w:val="24"/>
        </w:rPr>
        <w:lastRenderedPageBreak/>
        <w:t>Landelijk EPD in 2009 in te kunnen voeren</w:t>
      </w:r>
      <w:r w:rsidRPr="00D147A7">
        <w:rPr>
          <w:rStyle w:val="Voetnootmarkering"/>
          <w:rFonts w:ascii="Times New Roman" w:hAnsi="Times New Roman" w:cs="Times New Roman"/>
          <w:sz w:val="24"/>
          <w:szCs w:val="24"/>
        </w:rPr>
        <w:footnoteReference w:id="576"/>
      </w:r>
      <w:r w:rsidRPr="00D147A7">
        <w:rPr>
          <w:rFonts w:ascii="Times New Roman" w:hAnsi="Times New Roman" w:cs="Times New Roman"/>
          <w:sz w:val="24"/>
          <w:szCs w:val="24"/>
        </w:rPr>
        <w:t xml:space="preserve">, wat al gauw </w:t>
      </w:r>
      <w:r w:rsidR="00812228">
        <w:rPr>
          <w:rFonts w:ascii="Times New Roman" w:hAnsi="Times New Roman" w:cs="Times New Roman"/>
          <w:sz w:val="24"/>
          <w:szCs w:val="24"/>
        </w:rPr>
        <w:t>onrealistisch</w:t>
      </w:r>
      <w:r w:rsidRPr="00D147A7">
        <w:rPr>
          <w:rFonts w:ascii="Times New Roman" w:hAnsi="Times New Roman" w:cs="Times New Roman"/>
          <w:sz w:val="24"/>
          <w:szCs w:val="24"/>
        </w:rPr>
        <w:t xml:space="preserve"> bleek.</w:t>
      </w:r>
      <w:r w:rsidRPr="00D147A7">
        <w:rPr>
          <w:rStyle w:val="Voetnootmarkering"/>
          <w:rFonts w:ascii="Times New Roman" w:hAnsi="Times New Roman" w:cs="Times New Roman"/>
          <w:sz w:val="24"/>
          <w:szCs w:val="24"/>
        </w:rPr>
        <w:footnoteReference w:id="577"/>
      </w:r>
      <w:r w:rsidRPr="00D147A7">
        <w:rPr>
          <w:rFonts w:ascii="Times New Roman" w:hAnsi="Times New Roman" w:cs="Times New Roman"/>
          <w:sz w:val="24"/>
          <w:szCs w:val="24"/>
        </w:rPr>
        <w:t xml:space="preserve"> De Wet op het EPD is geen zelfstandige wet, maar een wijzigingswet die een hoofdstuk aan de Wet ge</w:t>
      </w:r>
      <w:r w:rsidR="00812228">
        <w:rPr>
          <w:rFonts w:ascii="Times New Roman" w:hAnsi="Times New Roman" w:cs="Times New Roman"/>
          <w:sz w:val="24"/>
          <w:szCs w:val="24"/>
        </w:rPr>
        <w:t>-</w:t>
      </w:r>
      <w:r w:rsidRPr="00D147A7">
        <w:rPr>
          <w:rFonts w:ascii="Times New Roman" w:hAnsi="Times New Roman" w:cs="Times New Roman"/>
          <w:sz w:val="24"/>
          <w:szCs w:val="24"/>
        </w:rPr>
        <w:t xml:space="preserve">bruik burgerservicenummer in de zorg (Wbsn-z) toevoegt. Deze laatste wet zou op zijn beurt omgedoopt worden tot kaderwet elektronische zorginformatieuitwisseling. Het wetsvoorstel werd op 20 mei 2008 in de Eerste Kamer ingediend, alwaar het zeer uitvoerig behandeld werd, niet in het minst omdat er veel onduidelijkheid heerste over de feitelijkheden van het Landelijk EPD. Om </w:t>
      </w:r>
      <w:r w:rsidR="00812228">
        <w:rPr>
          <w:rFonts w:ascii="Times New Roman" w:hAnsi="Times New Roman" w:cs="Times New Roman"/>
          <w:sz w:val="24"/>
          <w:szCs w:val="24"/>
        </w:rPr>
        <w:t xml:space="preserve">tot </w:t>
      </w:r>
      <w:r w:rsidRPr="00D147A7">
        <w:rPr>
          <w:rFonts w:ascii="Times New Roman" w:hAnsi="Times New Roman" w:cs="Times New Roman"/>
          <w:sz w:val="24"/>
          <w:szCs w:val="24"/>
        </w:rPr>
        <w:t xml:space="preserve">meer duidelijkheid te </w:t>
      </w:r>
      <w:r w:rsidR="00812228">
        <w:rPr>
          <w:rFonts w:ascii="Times New Roman" w:hAnsi="Times New Roman" w:cs="Times New Roman"/>
          <w:sz w:val="24"/>
          <w:szCs w:val="24"/>
        </w:rPr>
        <w:t>komen</w:t>
      </w:r>
      <w:r w:rsidRPr="00D147A7">
        <w:rPr>
          <w:rFonts w:ascii="Times New Roman" w:hAnsi="Times New Roman" w:cs="Times New Roman"/>
          <w:sz w:val="24"/>
          <w:szCs w:val="24"/>
        </w:rPr>
        <w:t>, werd op 9 december 2009 een expert</w:t>
      </w:r>
      <w:r w:rsidR="00812228">
        <w:rPr>
          <w:rFonts w:ascii="Times New Roman" w:hAnsi="Times New Roman" w:cs="Times New Roman"/>
          <w:sz w:val="24"/>
          <w:szCs w:val="24"/>
        </w:rPr>
        <w:t>-</w:t>
      </w:r>
      <w:r w:rsidRPr="00D147A7">
        <w:rPr>
          <w:rFonts w:ascii="Times New Roman" w:hAnsi="Times New Roman" w:cs="Times New Roman"/>
          <w:sz w:val="24"/>
          <w:szCs w:val="24"/>
        </w:rPr>
        <w:t>meeting</w:t>
      </w:r>
      <w:r w:rsidRPr="00D147A7">
        <w:rPr>
          <w:rStyle w:val="Voetnootmarkering"/>
          <w:rFonts w:ascii="Times New Roman" w:hAnsi="Times New Roman" w:cs="Times New Roman"/>
          <w:sz w:val="24"/>
          <w:szCs w:val="24"/>
        </w:rPr>
        <w:footnoteReference w:id="578"/>
      </w:r>
      <w:r w:rsidRPr="00D147A7">
        <w:rPr>
          <w:rFonts w:ascii="Times New Roman" w:hAnsi="Times New Roman" w:cs="Times New Roman"/>
          <w:sz w:val="24"/>
          <w:szCs w:val="24"/>
        </w:rPr>
        <w:t xml:space="preserve"> en op 20 februari 2010 een rondetafelconferentie georganiseerd.</w:t>
      </w:r>
      <w:r w:rsidRPr="00D147A7">
        <w:rPr>
          <w:rStyle w:val="Voetnootmarkering"/>
          <w:rFonts w:ascii="Times New Roman" w:hAnsi="Times New Roman" w:cs="Times New Roman"/>
          <w:sz w:val="24"/>
          <w:szCs w:val="24"/>
        </w:rPr>
        <w:footnoteReference w:id="579"/>
      </w:r>
      <w:r w:rsidRPr="00D147A7">
        <w:rPr>
          <w:rFonts w:ascii="Times New Roman" w:hAnsi="Times New Roman" w:cs="Times New Roman"/>
          <w:sz w:val="24"/>
          <w:szCs w:val="24"/>
        </w:rPr>
        <w:t xml:space="preserve"> Maar omdat ook de uitgenodigde deskundigen het niet eens </w:t>
      </w:r>
      <w:r w:rsidR="00812228">
        <w:rPr>
          <w:rFonts w:ascii="Times New Roman" w:hAnsi="Times New Roman" w:cs="Times New Roman"/>
          <w:sz w:val="24"/>
          <w:szCs w:val="24"/>
        </w:rPr>
        <w:t>raakten</w:t>
      </w:r>
      <w:r w:rsidRPr="00D147A7">
        <w:rPr>
          <w:rFonts w:ascii="Times New Roman" w:hAnsi="Times New Roman" w:cs="Times New Roman"/>
          <w:sz w:val="24"/>
          <w:szCs w:val="24"/>
        </w:rPr>
        <w:t xml:space="preserve"> over wat het Landelijk EPD precies is en hoe het ingevuld moet worden, bleef het gewenste resultaat uit.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Naarmate de tijd vorderde, temperde de initiële euforie over de mogelijkheden van ICT – zeker wanneer meer inzichten verworven werden over de nadelen en risico’s die </w:t>
      </w:r>
      <w:r w:rsidR="00812228">
        <w:rPr>
          <w:rFonts w:ascii="Times New Roman" w:hAnsi="Times New Roman" w:cs="Times New Roman"/>
          <w:sz w:val="24"/>
          <w:szCs w:val="24"/>
        </w:rPr>
        <w:t xml:space="preserve">inherent </w:t>
      </w:r>
      <w:r w:rsidRPr="00D147A7">
        <w:rPr>
          <w:rFonts w:ascii="Times New Roman" w:hAnsi="Times New Roman" w:cs="Times New Roman"/>
          <w:sz w:val="24"/>
          <w:szCs w:val="24"/>
        </w:rPr>
        <w:t>aan het Landelijk EPD verbonden zijn (</w:t>
      </w:r>
      <w:r w:rsidR="00812228">
        <w:rPr>
          <w:rFonts w:ascii="Times New Roman" w:hAnsi="Times New Roman" w:cs="Times New Roman"/>
          <w:sz w:val="24"/>
          <w:szCs w:val="24"/>
        </w:rPr>
        <w:t>met vraagstukken rond</w:t>
      </w:r>
      <w:r w:rsidRPr="00D147A7">
        <w:rPr>
          <w:rFonts w:ascii="Times New Roman" w:hAnsi="Times New Roman" w:cs="Times New Roman"/>
          <w:sz w:val="24"/>
          <w:szCs w:val="24"/>
        </w:rPr>
        <w:t xml:space="preserve"> privacy en aansprakelijkheid</w:t>
      </w:r>
      <w:r w:rsidR="00812228">
        <w:rPr>
          <w:rFonts w:ascii="Times New Roman" w:hAnsi="Times New Roman" w:cs="Times New Roman"/>
          <w:sz w:val="24"/>
          <w:szCs w:val="24"/>
        </w:rPr>
        <w:t xml:space="preserve"> in het bijzonder</w:t>
      </w:r>
      <w:r w:rsidRPr="00D147A7">
        <w:rPr>
          <w:rFonts w:ascii="Times New Roman" w:hAnsi="Times New Roman" w:cs="Times New Roman"/>
          <w:sz w:val="24"/>
          <w:szCs w:val="24"/>
        </w:rPr>
        <w:t>). Uiteindelijk is het Landelijk EPD een veelheid aan schijnbaar onverenigbare tegenstellingen aan inzichten en opvattingen gebleken. De doodsteek van het Landelijk EPD was de mededeling van de C</w:t>
      </w:r>
      <w:r w:rsidR="00812228">
        <w:rPr>
          <w:rFonts w:ascii="Times New Roman" w:hAnsi="Times New Roman" w:cs="Times New Roman"/>
          <w:sz w:val="24"/>
          <w:szCs w:val="24"/>
        </w:rPr>
        <w:t>bp</w:t>
      </w:r>
      <w:r w:rsidRPr="00D147A7">
        <w:rPr>
          <w:rFonts w:ascii="Times New Roman" w:hAnsi="Times New Roman" w:cs="Times New Roman"/>
          <w:sz w:val="24"/>
          <w:szCs w:val="24"/>
        </w:rPr>
        <w:t xml:space="preserve"> aan de vooravond van de stemming over de Wet op het EPD in de Eerste Kamer dat zij </w:t>
      </w:r>
      <w:r w:rsidR="00812228">
        <w:rPr>
          <w:rFonts w:ascii="Times New Roman" w:hAnsi="Times New Roman" w:cs="Times New Roman"/>
          <w:sz w:val="24"/>
          <w:szCs w:val="24"/>
        </w:rPr>
        <w:t>het toenmalige</w:t>
      </w:r>
      <w:r w:rsidRPr="00D147A7">
        <w:rPr>
          <w:rFonts w:ascii="Times New Roman" w:hAnsi="Times New Roman" w:cs="Times New Roman"/>
          <w:sz w:val="24"/>
          <w:szCs w:val="24"/>
        </w:rPr>
        <w:t xml:space="preserve"> wet</w:t>
      </w:r>
      <w:r w:rsidR="00812228">
        <w:rPr>
          <w:rFonts w:ascii="Times New Roman" w:hAnsi="Times New Roman" w:cs="Times New Roman"/>
          <w:sz w:val="24"/>
          <w:szCs w:val="24"/>
        </w:rPr>
        <w:t>svoorstel</w:t>
      </w:r>
      <w:r w:rsidRPr="00D147A7">
        <w:rPr>
          <w:rFonts w:ascii="Times New Roman" w:hAnsi="Times New Roman" w:cs="Times New Roman"/>
          <w:sz w:val="24"/>
          <w:szCs w:val="24"/>
        </w:rPr>
        <w:t xml:space="preserve"> </w:t>
      </w:r>
      <w:r w:rsidR="00812228">
        <w:rPr>
          <w:rFonts w:ascii="Times New Roman" w:hAnsi="Times New Roman" w:cs="Times New Roman"/>
          <w:sz w:val="24"/>
          <w:szCs w:val="24"/>
        </w:rPr>
        <w:t xml:space="preserve">principieel </w:t>
      </w:r>
      <w:r w:rsidRPr="00D147A7">
        <w:rPr>
          <w:rFonts w:ascii="Times New Roman" w:hAnsi="Times New Roman" w:cs="Times New Roman"/>
          <w:sz w:val="24"/>
          <w:szCs w:val="24"/>
        </w:rPr>
        <w:t>niet kon steunen. In combi</w:t>
      </w:r>
      <w:r w:rsidR="00812228">
        <w:rPr>
          <w:rFonts w:ascii="Times New Roman" w:hAnsi="Times New Roman" w:cs="Times New Roman"/>
          <w:sz w:val="24"/>
          <w:szCs w:val="24"/>
        </w:rPr>
        <w:t>-</w:t>
      </w:r>
      <w:r w:rsidRPr="00D147A7">
        <w:rPr>
          <w:rFonts w:ascii="Times New Roman" w:hAnsi="Times New Roman" w:cs="Times New Roman"/>
          <w:sz w:val="24"/>
          <w:szCs w:val="24"/>
        </w:rPr>
        <w:t>natie met de hoog oplopende investeringskosten</w:t>
      </w:r>
      <w:r w:rsidRPr="00D147A7">
        <w:rPr>
          <w:rStyle w:val="Voetnootmarkering"/>
          <w:rFonts w:ascii="Times New Roman" w:hAnsi="Times New Roman" w:cs="Times New Roman"/>
          <w:sz w:val="24"/>
          <w:szCs w:val="24"/>
        </w:rPr>
        <w:footnoteReference w:id="580"/>
      </w:r>
      <w:r w:rsidRPr="00D147A7">
        <w:rPr>
          <w:rFonts w:ascii="Times New Roman" w:hAnsi="Times New Roman" w:cs="Times New Roman"/>
          <w:sz w:val="24"/>
          <w:szCs w:val="24"/>
        </w:rPr>
        <w:t xml:space="preserve"> en de tegenstrijdige signalen uit het veld verwierp de Eerste Kamer op 5 april 2011 unaniem de Wet op het EPD.</w:t>
      </w:r>
      <w:r w:rsidRPr="00D147A7">
        <w:rPr>
          <w:rStyle w:val="Voetnootmarkering"/>
          <w:rFonts w:ascii="Times New Roman" w:hAnsi="Times New Roman" w:cs="Times New Roman"/>
          <w:sz w:val="24"/>
          <w:szCs w:val="24"/>
        </w:rPr>
        <w:footnoteReference w:id="581"/>
      </w:r>
    </w:p>
    <w:p w:rsidR="008A3394" w:rsidRPr="00D147A7" w:rsidRDefault="008A3394" w:rsidP="009931C7">
      <w:pPr>
        <w:pStyle w:val="Geenafstand"/>
        <w:jc w:val="both"/>
        <w:rPr>
          <w:rFonts w:ascii="Times New Roman" w:hAnsi="Times New Roman" w:cs="Times New Roman"/>
          <w:sz w:val="24"/>
          <w:szCs w:val="24"/>
        </w:rPr>
      </w:pPr>
    </w:p>
    <w:p w:rsidR="008A3394" w:rsidRPr="00D147A7" w:rsidRDefault="008A3394"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highlight w:val="cyan"/>
        </w:rPr>
      </w:pPr>
      <w:r w:rsidRPr="00D147A7">
        <w:rPr>
          <w:rFonts w:ascii="Times New Roman" w:hAnsi="Times New Roman" w:cs="Times New Roman"/>
          <w:noProof/>
          <w:lang w:eastAsia="nl-BE"/>
        </w:rPr>
        <w:drawing>
          <wp:inline distT="0" distB="0" distL="0" distR="0" wp14:anchorId="2FDB8E62" wp14:editId="14F20179">
            <wp:extent cx="4171429" cy="914286"/>
            <wp:effectExtent l="0" t="0" r="635"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71429" cy="914286"/>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12: Het wetsvoorstel tot wijziging van de Wet gebruik burgerservicenummer in de zorg in verband met de elektronische informatie-uitwisseling in de zorg strandde in de vergadering van 5 april 2011 van de Eerste Kamer</w:t>
      </w:r>
      <w:r w:rsidRPr="00D147A7">
        <w:rPr>
          <w:rStyle w:val="Voetnootmarkering"/>
          <w:rFonts w:ascii="Times New Roman" w:hAnsi="Times New Roman" w:cs="Times New Roman"/>
          <w:sz w:val="24"/>
          <w:szCs w:val="24"/>
        </w:rPr>
        <w:footnoteReference w:id="582"/>
      </w:r>
    </w:p>
    <w:p w:rsidR="009931C7" w:rsidRPr="00D147A7" w:rsidRDefault="009931C7" w:rsidP="009931C7">
      <w:pPr>
        <w:pStyle w:val="Geenafstand"/>
        <w:jc w:val="both"/>
        <w:rPr>
          <w:rFonts w:ascii="Times New Roman" w:hAnsi="Times New Roman" w:cs="Times New Roman"/>
          <w:color w:val="FF0000"/>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De belangrijkste sta-in-de-weg van de invoering van het Landelijk EPD was de scepsis over de veiligheid van dit systeem. Dat recent in Nederland een groot schandaal aan het licht</w:t>
      </w:r>
      <w:r w:rsidR="000F6CE3">
        <w:rPr>
          <w:rFonts w:ascii="Times New Roman" w:hAnsi="Times New Roman" w:cs="Times New Roman"/>
          <w:sz w:val="24"/>
          <w:szCs w:val="24"/>
        </w:rPr>
        <w:t xml:space="preserve"> kwam waarbij medische gegevens</w:t>
      </w:r>
      <w:r w:rsidRPr="00D147A7">
        <w:rPr>
          <w:rFonts w:ascii="Times New Roman" w:hAnsi="Times New Roman" w:cs="Times New Roman"/>
          <w:sz w:val="24"/>
          <w:szCs w:val="24"/>
        </w:rPr>
        <w:t xml:space="preserve"> van meer dan 300.000 Nederlandse werknemers door een slecht beveiligd computerprogramma (m.n. Humannet van IT-bedrijf VCD</w:t>
      </w:r>
      <w:r w:rsidRPr="00D147A7">
        <w:rPr>
          <w:rStyle w:val="Voetnootmarkering"/>
          <w:rFonts w:ascii="Times New Roman" w:hAnsi="Times New Roman" w:cs="Times New Roman"/>
          <w:sz w:val="24"/>
          <w:szCs w:val="24"/>
        </w:rPr>
        <w:footnoteReference w:id="583"/>
      </w:r>
      <w:r w:rsidRPr="00D147A7">
        <w:rPr>
          <w:rFonts w:ascii="Times New Roman" w:hAnsi="Times New Roman" w:cs="Times New Roman"/>
          <w:sz w:val="24"/>
          <w:szCs w:val="24"/>
        </w:rPr>
        <w:t xml:space="preserve">) maanden lang </w:t>
      </w:r>
      <w:r w:rsidR="000F6CE3" w:rsidRPr="00D147A7">
        <w:rPr>
          <w:rFonts w:ascii="Times New Roman" w:hAnsi="Times New Roman" w:cs="Times New Roman"/>
          <w:sz w:val="24"/>
          <w:szCs w:val="24"/>
        </w:rPr>
        <w:t xml:space="preserve">voor onbevoegden </w:t>
      </w:r>
      <w:r w:rsidRPr="00D147A7">
        <w:rPr>
          <w:rFonts w:ascii="Times New Roman" w:hAnsi="Times New Roman" w:cs="Times New Roman"/>
          <w:sz w:val="24"/>
          <w:szCs w:val="24"/>
        </w:rPr>
        <w:t>toegankelijk</w:t>
      </w:r>
      <w:r w:rsidR="000F6CE3">
        <w:rPr>
          <w:rFonts w:ascii="Times New Roman" w:hAnsi="Times New Roman" w:cs="Times New Roman"/>
          <w:sz w:val="24"/>
          <w:szCs w:val="24"/>
        </w:rPr>
        <w:t xml:space="preserve"> bleken te zijn geweest</w:t>
      </w:r>
      <w:r w:rsidRPr="00D147A7">
        <w:rPr>
          <w:rStyle w:val="Voetnootmarkering"/>
          <w:rFonts w:ascii="Times New Roman" w:hAnsi="Times New Roman" w:cs="Times New Roman"/>
          <w:sz w:val="24"/>
          <w:szCs w:val="24"/>
        </w:rPr>
        <w:footnoteReference w:id="584"/>
      </w:r>
      <w:r w:rsidRPr="00D147A7">
        <w:rPr>
          <w:rFonts w:ascii="Times New Roman" w:hAnsi="Times New Roman" w:cs="Times New Roman"/>
          <w:sz w:val="24"/>
          <w:szCs w:val="24"/>
        </w:rPr>
        <w:t>, speelt in de kaarten van de tegenstanders van het Landelijk EPD.</w:t>
      </w:r>
    </w:p>
    <w:p w:rsidR="009931C7" w:rsidRPr="00D147A7" w:rsidRDefault="009931C7" w:rsidP="009931C7">
      <w:pPr>
        <w:pStyle w:val="Geenafstand"/>
        <w:jc w:val="both"/>
        <w:rPr>
          <w:rFonts w:ascii="Times New Roman" w:hAnsi="Times New Roman" w:cs="Times New Roman"/>
          <w:color w:val="FF0000"/>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Tijdens de parlementaire discussie kwam het Landelijk EPD tegenover de regionale uitwissel</w:t>
      </w:r>
      <w:r w:rsidR="000F6CE3">
        <w:rPr>
          <w:rFonts w:ascii="Times New Roman" w:hAnsi="Times New Roman" w:cs="Times New Roman"/>
          <w:sz w:val="24"/>
          <w:szCs w:val="24"/>
        </w:rPr>
        <w:t>-</w:t>
      </w:r>
      <w:r w:rsidRPr="00D147A7">
        <w:rPr>
          <w:rFonts w:ascii="Times New Roman" w:hAnsi="Times New Roman" w:cs="Times New Roman"/>
          <w:sz w:val="24"/>
          <w:szCs w:val="24"/>
        </w:rPr>
        <w:t>ing van gezondheidsgegevens te staan. Net voor de stemming van de wet op het EPD, op 5 april 2011, werd een motie ingediend waarin benadrukt w</w:t>
      </w:r>
      <w:r w:rsidR="000F6CE3">
        <w:rPr>
          <w:rFonts w:ascii="Times New Roman" w:hAnsi="Times New Roman" w:cs="Times New Roman"/>
          <w:sz w:val="24"/>
          <w:szCs w:val="24"/>
        </w:rPr>
        <w:t>e</w:t>
      </w:r>
      <w:r w:rsidRPr="00D147A7">
        <w:rPr>
          <w:rFonts w:ascii="Times New Roman" w:hAnsi="Times New Roman" w:cs="Times New Roman"/>
          <w:sz w:val="24"/>
          <w:szCs w:val="24"/>
        </w:rPr>
        <w:t xml:space="preserve">rd </w:t>
      </w:r>
      <w:r w:rsidRPr="00D147A7">
        <w:rPr>
          <w:rFonts w:ascii="Times New Roman" w:hAnsi="Times New Roman" w:cs="Times New Roman"/>
          <w:i/>
          <w:sz w:val="24"/>
          <w:szCs w:val="24"/>
        </w:rPr>
        <w:t>dat regionale elektronische patiëntendossiers veelal niet voldoen aan de in vigerende wetgeving (BIG, WGBO, Wbp) ge</w:t>
      </w:r>
      <w:r w:rsidR="000F6CE3">
        <w:rPr>
          <w:rFonts w:ascii="Times New Roman" w:hAnsi="Times New Roman" w:cs="Times New Roman"/>
          <w:i/>
          <w:sz w:val="24"/>
          <w:szCs w:val="24"/>
        </w:rPr>
        <w:t>-</w:t>
      </w:r>
      <w:r w:rsidRPr="00D147A7">
        <w:rPr>
          <w:rFonts w:ascii="Times New Roman" w:hAnsi="Times New Roman" w:cs="Times New Roman"/>
          <w:i/>
          <w:sz w:val="24"/>
          <w:szCs w:val="24"/>
        </w:rPr>
        <w:t>stelde eisen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85"/>
      </w:r>
      <w:r w:rsidRPr="00D147A7">
        <w:rPr>
          <w:rFonts w:ascii="Times New Roman" w:hAnsi="Times New Roman" w:cs="Times New Roman"/>
          <w:sz w:val="24"/>
          <w:szCs w:val="24"/>
        </w:rPr>
        <w:t xml:space="preserve"> In de Tweede Kamer en in de Cbp </w:t>
      </w:r>
      <w:r w:rsidR="000F6CE3">
        <w:rPr>
          <w:rFonts w:ascii="Times New Roman" w:hAnsi="Times New Roman" w:cs="Times New Roman"/>
          <w:sz w:val="24"/>
          <w:szCs w:val="24"/>
        </w:rPr>
        <w:t>rezen</w:t>
      </w:r>
      <w:r w:rsidRPr="00D147A7">
        <w:rPr>
          <w:rFonts w:ascii="Times New Roman" w:hAnsi="Times New Roman" w:cs="Times New Roman"/>
          <w:sz w:val="24"/>
          <w:szCs w:val="24"/>
        </w:rPr>
        <w:t xml:space="preserve"> daarentegen stemmen </w:t>
      </w:r>
      <w:r w:rsidR="000F6CE3">
        <w:rPr>
          <w:rFonts w:ascii="Times New Roman" w:hAnsi="Times New Roman" w:cs="Times New Roman"/>
          <w:sz w:val="24"/>
          <w:szCs w:val="24"/>
        </w:rPr>
        <w:t xml:space="preserve">op </w:t>
      </w:r>
      <w:r w:rsidRPr="00D147A7">
        <w:rPr>
          <w:rFonts w:ascii="Times New Roman" w:hAnsi="Times New Roman" w:cs="Times New Roman"/>
          <w:sz w:val="24"/>
          <w:szCs w:val="24"/>
        </w:rPr>
        <w:t>die beweer</w:t>
      </w:r>
      <w:r w:rsidR="000F6CE3">
        <w:rPr>
          <w:rFonts w:ascii="Times New Roman" w:hAnsi="Times New Roman" w:cs="Times New Roman"/>
          <w:sz w:val="24"/>
          <w:szCs w:val="24"/>
        </w:rPr>
        <w:t>-</w:t>
      </w:r>
      <w:r w:rsidRPr="00D147A7">
        <w:rPr>
          <w:rFonts w:ascii="Times New Roman" w:hAnsi="Times New Roman" w:cs="Times New Roman"/>
          <w:sz w:val="24"/>
          <w:szCs w:val="24"/>
        </w:rPr>
        <w:t>den dat een landelijk schakelpunt weinig meerwaarde zou hebben en het systeem alleen maar onveiliger zou maken.</w:t>
      </w:r>
      <w:r w:rsidRPr="00D147A7">
        <w:rPr>
          <w:rStyle w:val="Voetnootmarkering"/>
          <w:rFonts w:ascii="Times New Roman" w:hAnsi="Times New Roman" w:cs="Times New Roman"/>
          <w:sz w:val="24"/>
          <w:szCs w:val="24"/>
        </w:rPr>
        <w:footnoteReference w:id="586"/>
      </w:r>
      <w:r w:rsidRPr="00D147A7">
        <w:rPr>
          <w:rFonts w:ascii="Times New Roman" w:hAnsi="Times New Roman" w:cs="Times New Roman"/>
          <w:sz w:val="24"/>
          <w:szCs w:val="24"/>
        </w:rPr>
        <w:t xml:space="preserve"> In de </w:t>
      </w:r>
      <w:r w:rsidRPr="00D147A7">
        <w:rPr>
          <w:rFonts w:ascii="Times New Roman" w:hAnsi="Times New Roman" w:cs="Times New Roman"/>
          <w:i/>
          <w:sz w:val="24"/>
          <w:szCs w:val="24"/>
        </w:rPr>
        <w:t>Uitgangspuntennotitie inzake invoering landelijk EPD</w:t>
      </w:r>
      <w:r w:rsidRPr="00D147A7">
        <w:rPr>
          <w:rFonts w:ascii="Times New Roman" w:hAnsi="Times New Roman" w:cs="Times New Roman"/>
          <w:sz w:val="24"/>
          <w:szCs w:val="24"/>
        </w:rPr>
        <w:t xml:space="preserve"> van het Ministerie van Volksgezondheid, Welzijn en Sport en de koepelorganisaties (KNMG, LHV, KNMP, NHG, KNGF, VHN, V&amp;VN, NMT en Orde</w:t>
      </w:r>
      <w:r w:rsidRPr="00D147A7">
        <w:rPr>
          <w:rStyle w:val="Voetnootmarkering"/>
          <w:rFonts w:ascii="Times New Roman" w:hAnsi="Times New Roman" w:cs="Times New Roman"/>
          <w:sz w:val="24"/>
          <w:szCs w:val="24"/>
        </w:rPr>
        <w:footnoteReference w:id="587"/>
      </w:r>
      <w:r w:rsidRPr="00D147A7">
        <w:rPr>
          <w:rFonts w:ascii="Times New Roman" w:hAnsi="Times New Roman" w:cs="Times New Roman"/>
          <w:sz w:val="24"/>
          <w:szCs w:val="24"/>
        </w:rPr>
        <w:t>) wordt gesteld dat regionale en lande</w:t>
      </w:r>
      <w:r w:rsidR="000F6CE3">
        <w:rPr>
          <w:rFonts w:ascii="Times New Roman" w:hAnsi="Times New Roman" w:cs="Times New Roman"/>
          <w:sz w:val="24"/>
          <w:szCs w:val="24"/>
        </w:rPr>
        <w:t>-</w:t>
      </w:r>
      <w:r w:rsidRPr="00D147A7">
        <w:rPr>
          <w:rFonts w:ascii="Times New Roman" w:hAnsi="Times New Roman" w:cs="Times New Roman"/>
          <w:sz w:val="24"/>
          <w:szCs w:val="24"/>
        </w:rPr>
        <w:t>lijke uitwisselingsnetwerken elkaar dienen aan te vullen.</w:t>
      </w:r>
      <w:r w:rsidRPr="00D147A7">
        <w:rPr>
          <w:rStyle w:val="Voetnootmarkering"/>
          <w:rFonts w:ascii="Times New Roman" w:hAnsi="Times New Roman" w:cs="Times New Roman"/>
          <w:sz w:val="24"/>
          <w:szCs w:val="24"/>
        </w:rPr>
        <w:footnoteReference w:id="588"/>
      </w:r>
      <w:r w:rsidRPr="00D147A7">
        <w:rPr>
          <w:rFonts w:ascii="Times New Roman" w:hAnsi="Times New Roman" w:cs="Times New Roman"/>
          <w:sz w:val="24"/>
          <w:szCs w:val="24"/>
        </w:rPr>
        <w:t xml:space="preserve"> De meningen waren dus</w:t>
      </w:r>
      <w:r w:rsidR="00BE3AFF">
        <w:rPr>
          <w:rFonts w:ascii="Times New Roman" w:hAnsi="Times New Roman" w:cs="Times New Roman"/>
          <w:sz w:val="24"/>
          <w:szCs w:val="24"/>
        </w:rPr>
        <w:t xml:space="preserve"> erg ver-deeld.</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Via een amendement werd in het wetsvoorstel op het EPD de voorwaarden voor het gebruik van gezondheidsgegevens in regionale zorginformatiesystemen opgenomen.</w:t>
      </w:r>
      <w:r w:rsidRPr="00D147A7">
        <w:rPr>
          <w:rStyle w:val="Voetnootmarkering"/>
          <w:rFonts w:ascii="Times New Roman" w:hAnsi="Times New Roman" w:cs="Times New Roman"/>
          <w:sz w:val="24"/>
          <w:szCs w:val="24"/>
        </w:rPr>
        <w:footnoteReference w:id="589"/>
      </w:r>
      <w:r w:rsidRPr="00D147A7">
        <w:rPr>
          <w:rFonts w:ascii="Times New Roman" w:hAnsi="Times New Roman" w:cs="Times New Roman"/>
          <w:sz w:val="24"/>
          <w:szCs w:val="24"/>
        </w:rPr>
        <w:t xml:space="preserve"> Hierdoor werd de reikwijdte van het wetsvoorstel tot op regionaal niveau uitgebreid.</w:t>
      </w:r>
      <w:r w:rsidRPr="00D147A7">
        <w:rPr>
          <w:rStyle w:val="Voetnootmarkering"/>
          <w:rFonts w:ascii="Times New Roman" w:hAnsi="Times New Roman" w:cs="Times New Roman"/>
          <w:sz w:val="24"/>
          <w:szCs w:val="24"/>
        </w:rPr>
        <w:footnoteReference w:id="590"/>
      </w:r>
      <w:r w:rsidRPr="00D147A7">
        <w:rPr>
          <w:rFonts w:ascii="Times New Roman" w:hAnsi="Times New Roman" w:cs="Times New Roman"/>
          <w:sz w:val="24"/>
          <w:szCs w:val="24"/>
        </w:rPr>
        <w:t xml:space="preserve"> Krachtens dit amen</w:t>
      </w:r>
      <w:r w:rsidR="000F6CE3">
        <w:rPr>
          <w:rFonts w:ascii="Times New Roman" w:hAnsi="Times New Roman" w:cs="Times New Roman"/>
          <w:sz w:val="24"/>
          <w:szCs w:val="24"/>
        </w:rPr>
        <w:t>-</w:t>
      </w:r>
      <w:r w:rsidRPr="00D147A7">
        <w:rPr>
          <w:rFonts w:ascii="Times New Roman" w:hAnsi="Times New Roman" w:cs="Times New Roman"/>
          <w:sz w:val="24"/>
          <w:szCs w:val="24"/>
        </w:rPr>
        <w:t>dement is het alleen geoorloofd om gezondheidsgegevens via regionale zorginformatiesys</w:t>
      </w:r>
      <w:r w:rsidR="000F6CE3">
        <w:rPr>
          <w:rFonts w:ascii="Times New Roman" w:hAnsi="Times New Roman" w:cs="Times New Roman"/>
          <w:sz w:val="24"/>
          <w:szCs w:val="24"/>
        </w:rPr>
        <w:t>-</w:t>
      </w:r>
      <w:r w:rsidRPr="00D147A7">
        <w:rPr>
          <w:rFonts w:ascii="Times New Roman" w:hAnsi="Times New Roman" w:cs="Times New Roman"/>
          <w:sz w:val="24"/>
          <w:szCs w:val="24"/>
        </w:rPr>
        <w:t>temen te verwerken wanneer dat noodzakelijk is voor een goede zorgverlening aan of behan</w:t>
      </w:r>
      <w:r w:rsidR="000F6CE3">
        <w:rPr>
          <w:rFonts w:ascii="Times New Roman" w:hAnsi="Times New Roman" w:cs="Times New Roman"/>
          <w:sz w:val="24"/>
          <w:szCs w:val="24"/>
        </w:rPr>
        <w:t>-</w:t>
      </w:r>
      <w:r w:rsidRPr="00D147A7">
        <w:rPr>
          <w:rFonts w:ascii="Times New Roman" w:hAnsi="Times New Roman" w:cs="Times New Roman"/>
          <w:sz w:val="24"/>
          <w:szCs w:val="24"/>
        </w:rPr>
        <w:t xml:space="preserve">deling van de patiënt, tenzij deze zich hier uitdrukkelijk tegen verzet </w:t>
      </w:r>
      <w:r w:rsidR="00BE3AFF">
        <w:rPr>
          <w:rFonts w:ascii="Times New Roman" w:hAnsi="Times New Roman" w:cs="Times New Roman"/>
          <w:sz w:val="24"/>
          <w:szCs w:val="24"/>
        </w:rPr>
        <w:t xml:space="preserve">heeft </w:t>
      </w:r>
      <w:r w:rsidRPr="00D147A7">
        <w:rPr>
          <w:rFonts w:ascii="Times New Roman" w:hAnsi="Times New Roman" w:cs="Times New Roman"/>
          <w:sz w:val="24"/>
          <w:szCs w:val="24"/>
        </w:rPr>
        <w:t>(</w:t>
      </w:r>
      <w:r w:rsidRPr="00BE3AFF">
        <w:rPr>
          <w:rFonts w:ascii="Times New Roman" w:hAnsi="Times New Roman" w:cs="Times New Roman"/>
          <w:i/>
          <w:sz w:val="24"/>
          <w:szCs w:val="24"/>
        </w:rPr>
        <w:t>opt-out</w:t>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Nu het Landelijk EPD niet langer een optie is, worden alle pijlen op de verdere ontwikkeling van de regionale gegevensuitwisseling gericht. Hoewel de Nederlandse regio-indelingen die in aanmerking komen voor de regionale gegevensuitwisseling </w:t>
      </w:r>
      <w:r w:rsidRPr="00D147A7">
        <w:rPr>
          <w:rFonts w:ascii="Times New Roman" w:hAnsi="Times New Roman" w:cs="Times New Roman"/>
          <w:i/>
          <w:sz w:val="24"/>
          <w:szCs w:val="24"/>
        </w:rPr>
        <w:t>legio</w:t>
      </w:r>
      <w:r w:rsidRPr="00D147A7">
        <w:rPr>
          <w:rFonts w:ascii="Times New Roman" w:hAnsi="Times New Roman" w:cs="Times New Roman"/>
          <w:sz w:val="24"/>
          <w:szCs w:val="24"/>
        </w:rPr>
        <w:t xml:space="preserve"> zijn</w:t>
      </w:r>
      <w:r w:rsidRPr="00D147A7">
        <w:rPr>
          <w:rStyle w:val="Voetnootmarkering"/>
          <w:rFonts w:ascii="Times New Roman" w:hAnsi="Times New Roman" w:cs="Times New Roman"/>
          <w:sz w:val="24"/>
          <w:szCs w:val="24"/>
        </w:rPr>
        <w:footnoteReference w:id="591"/>
      </w:r>
      <w:r w:rsidRPr="00D147A7">
        <w:rPr>
          <w:rFonts w:ascii="Times New Roman" w:hAnsi="Times New Roman" w:cs="Times New Roman"/>
          <w:sz w:val="24"/>
          <w:szCs w:val="24"/>
        </w:rPr>
        <w:t xml:space="preserve">, kan een ‘regio’ omschreven worden als een regionale samenwerkingsorganisatie die de </w:t>
      </w:r>
      <w:r w:rsidR="00BE3AFF">
        <w:rPr>
          <w:rFonts w:ascii="Times New Roman" w:hAnsi="Times New Roman" w:cs="Times New Roman"/>
          <w:sz w:val="24"/>
          <w:szCs w:val="24"/>
        </w:rPr>
        <w:t>coöperatie</w:t>
      </w:r>
      <w:r w:rsidRPr="00D147A7">
        <w:rPr>
          <w:rFonts w:ascii="Times New Roman" w:hAnsi="Times New Roman" w:cs="Times New Roman"/>
          <w:sz w:val="24"/>
          <w:szCs w:val="24"/>
        </w:rPr>
        <w:t xml:space="preserve"> tussen regionale zorgverleners of verzorgingsinstellingen op zorginhoudelijk gebied ondersteunt, vooral op het gebied van gezamenlijke informatievoorziening en ICT-diensten.</w:t>
      </w:r>
      <w:r w:rsidRPr="00D147A7">
        <w:rPr>
          <w:rStyle w:val="Voetnootmarkering"/>
          <w:rFonts w:ascii="Times New Roman" w:hAnsi="Times New Roman" w:cs="Times New Roman"/>
          <w:sz w:val="24"/>
          <w:szCs w:val="24"/>
        </w:rPr>
        <w:footnoteReference w:id="592"/>
      </w:r>
      <w:r w:rsidRPr="00D147A7">
        <w:rPr>
          <w:rFonts w:ascii="Times New Roman" w:hAnsi="Times New Roman" w:cs="Times New Roman"/>
          <w:sz w:val="24"/>
          <w:szCs w:val="24"/>
        </w:rPr>
        <w:t xml:space="preserve"> Een regio vereist </w:t>
      </w:r>
      <w:r w:rsidR="00BE3AFF">
        <w:rPr>
          <w:rFonts w:ascii="Times New Roman" w:hAnsi="Times New Roman" w:cs="Times New Roman"/>
          <w:sz w:val="24"/>
          <w:szCs w:val="24"/>
        </w:rPr>
        <w:t xml:space="preserve">evenwel </w:t>
      </w:r>
      <w:r w:rsidRPr="00D147A7">
        <w:rPr>
          <w:rFonts w:ascii="Times New Roman" w:hAnsi="Times New Roman" w:cs="Times New Roman"/>
          <w:sz w:val="24"/>
          <w:szCs w:val="24"/>
        </w:rPr>
        <w:t>geen formeel organisatieverband. Huisartsen in een bepaald geografisch ge</w:t>
      </w:r>
      <w:r w:rsidR="00BE3AFF">
        <w:rPr>
          <w:rFonts w:ascii="Times New Roman" w:hAnsi="Times New Roman" w:cs="Times New Roman"/>
          <w:sz w:val="24"/>
          <w:szCs w:val="24"/>
        </w:rPr>
        <w:t>-</w:t>
      </w:r>
      <w:r w:rsidRPr="00D147A7">
        <w:rPr>
          <w:rFonts w:ascii="Times New Roman" w:hAnsi="Times New Roman" w:cs="Times New Roman"/>
          <w:sz w:val="24"/>
          <w:szCs w:val="24"/>
        </w:rPr>
        <w:lastRenderedPageBreak/>
        <w:t>bied kunnen bijvoorbeeld ook toegang tot elektronische patiëntendossiers van verzorg</w:t>
      </w:r>
      <w:r w:rsidR="00BE3AFF">
        <w:rPr>
          <w:rFonts w:ascii="Times New Roman" w:hAnsi="Times New Roman" w:cs="Times New Roman"/>
          <w:sz w:val="24"/>
          <w:szCs w:val="24"/>
        </w:rPr>
        <w:t>ings</w:t>
      </w:r>
      <w:r w:rsidRPr="00D147A7">
        <w:rPr>
          <w:rFonts w:ascii="Times New Roman" w:hAnsi="Times New Roman" w:cs="Times New Roman"/>
          <w:sz w:val="24"/>
          <w:szCs w:val="24"/>
        </w:rPr>
        <w:t>in</w:t>
      </w:r>
      <w:r w:rsidR="00BE3AFF">
        <w:rPr>
          <w:rFonts w:ascii="Times New Roman" w:hAnsi="Times New Roman" w:cs="Times New Roman"/>
          <w:sz w:val="24"/>
          <w:szCs w:val="24"/>
        </w:rPr>
        <w:t>-</w:t>
      </w:r>
      <w:r w:rsidRPr="00D147A7">
        <w:rPr>
          <w:rFonts w:ascii="Times New Roman" w:hAnsi="Times New Roman" w:cs="Times New Roman"/>
          <w:sz w:val="24"/>
          <w:szCs w:val="24"/>
        </w:rPr>
        <w:t>stellingen uit datzelfde gebied</w:t>
      </w:r>
      <w:r w:rsidR="00BE3AFF" w:rsidRPr="00BE3AFF">
        <w:rPr>
          <w:rFonts w:ascii="Times New Roman" w:hAnsi="Times New Roman" w:cs="Times New Roman"/>
          <w:sz w:val="24"/>
          <w:szCs w:val="24"/>
        </w:rPr>
        <w:t xml:space="preserve"> </w:t>
      </w:r>
      <w:r w:rsidR="00BE3AFF" w:rsidRPr="00D147A7">
        <w:rPr>
          <w:rFonts w:ascii="Times New Roman" w:hAnsi="Times New Roman" w:cs="Times New Roman"/>
          <w:sz w:val="24"/>
          <w:szCs w:val="24"/>
        </w:rPr>
        <w:t>hebben</w:t>
      </w:r>
      <w:r w:rsidRPr="00D147A7">
        <w:rPr>
          <w:rFonts w:ascii="Times New Roman" w:hAnsi="Times New Roman" w:cs="Times New Roman"/>
          <w:sz w:val="24"/>
          <w:szCs w:val="24"/>
        </w:rPr>
        <w:t xml:space="preserve">. De relatie tussen huisarts en ziekenhuis wordt dan wel best contractueel </w:t>
      </w:r>
      <w:r w:rsidR="00BE3AFF">
        <w:rPr>
          <w:rFonts w:ascii="Times New Roman" w:hAnsi="Times New Roman" w:cs="Times New Roman"/>
          <w:sz w:val="24"/>
          <w:szCs w:val="24"/>
        </w:rPr>
        <w:t>opgetekend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93"/>
      </w:r>
    </w:p>
    <w:p w:rsidR="009931C7" w:rsidRPr="00D147A7" w:rsidRDefault="009931C7" w:rsidP="009931C7"/>
    <w:p w:rsidR="009931C7" w:rsidRPr="00D147A7" w:rsidRDefault="009931C7" w:rsidP="009931C7"/>
    <w:p w:rsidR="009931C7" w:rsidRPr="00D147A7" w:rsidRDefault="009931C7" w:rsidP="009931C7">
      <w:pPr>
        <w:jc w:val="center"/>
      </w:pPr>
      <w:r w:rsidRPr="00D147A7">
        <w:rPr>
          <w:noProof/>
          <w:lang w:eastAsia="nl-BE" w:bidi="ar-SA"/>
        </w:rPr>
        <w:drawing>
          <wp:inline distT="0" distB="0" distL="0" distR="0" wp14:anchorId="232F3774" wp14:editId="656F3554">
            <wp:extent cx="3615069" cy="1408593"/>
            <wp:effectExtent l="0" t="0" r="444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40136" cy="1418360"/>
                    </a:xfrm>
                    <a:prstGeom prst="rect">
                      <a:avLst/>
                    </a:prstGeom>
                  </pic:spPr>
                </pic:pic>
              </a:graphicData>
            </a:graphic>
          </wp:inline>
        </w:drawing>
      </w:r>
    </w:p>
    <w:p w:rsidR="009931C7" w:rsidRPr="00D147A7" w:rsidRDefault="009931C7" w:rsidP="009931C7">
      <w:pPr>
        <w:jc w:val="center"/>
      </w:pPr>
      <w:r w:rsidRPr="00D147A7">
        <w:rPr>
          <w:noProof/>
          <w:lang w:eastAsia="nl-BE" w:bidi="ar-SA"/>
        </w:rPr>
        <w:drawing>
          <wp:inline distT="0" distB="0" distL="0" distR="0" wp14:anchorId="765DCFB3" wp14:editId="07F5ED5B">
            <wp:extent cx="3615069" cy="1554641"/>
            <wp:effectExtent l="0" t="0" r="4445"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50821" cy="1570016"/>
                    </a:xfrm>
                    <a:prstGeom prst="rect">
                      <a:avLst/>
                    </a:prstGeom>
                  </pic:spPr>
                </pic:pic>
              </a:graphicData>
            </a:graphic>
          </wp:inline>
        </w:drawing>
      </w:r>
    </w:p>
    <w:p w:rsidR="009931C7" w:rsidRPr="00D147A7" w:rsidRDefault="009931C7" w:rsidP="009931C7">
      <w:pPr>
        <w:jc w:val="center"/>
      </w:pPr>
      <w:r w:rsidRPr="00D147A7">
        <w:rPr>
          <w:noProof/>
          <w:lang w:eastAsia="nl-BE" w:bidi="ar-SA"/>
        </w:rPr>
        <w:drawing>
          <wp:inline distT="0" distB="0" distL="0" distR="0" wp14:anchorId="009F821F" wp14:editId="024F8C5F">
            <wp:extent cx="3615069" cy="1367854"/>
            <wp:effectExtent l="0" t="0" r="444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1345" cy="1374012"/>
                    </a:xfrm>
                    <a:prstGeom prst="rect">
                      <a:avLst/>
                    </a:prstGeom>
                  </pic:spPr>
                </pic:pic>
              </a:graphicData>
            </a:graphic>
          </wp:inline>
        </w:drawing>
      </w:r>
    </w:p>
    <w:p w:rsidR="009931C7" w:rsidRPr="00D147A7" w:rsidRDefault="009931C7" w:rsidP="009931C7">
      <w:pPr>
        <w:jc w:val="center"/>
      </w:pPr>
      <w:r w:rsidRPr="00D147A7">
        <w:rPr>
          <w:noProof/>
          <w:lang w:eastAsia="nl-BE" w:bidi="ar-SA"/>
        </w:rPr>
        <w:drawing>
          <wp:inline distT="0" distB="0" distL="0" distR="0" wp14:anchorId="40C8D953" wp14:editId="74462F0F">
            <wp:extent cx="3540642" cy="1409332"/>
            <wp:effectExtent l="0" t="0" r="3175"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65565" cy="1419253"/>
                    </a:xfrm>
                    <a:prstGeom prst="rect">
                      <a:avLst/>
                    </a:prstGeom>
                  </pic:spPr>
                </pic:pic>
              </a:graphicData>
            </a:graphic>
          </wp:inline>
        </w:drawing>
      </w:r>
    </w:p>
    <w:p w:rsidR="009931C7" w:rsidRPr="00D147A7" w:rsidRDefault="009931C7" w:rsidP="009931C7">
      <w:pPr>
        <w:jc w:val="center"/>
      </w:pPr>
      <w:r w:rsidRPr="00D147A7">
        <w:rPr>
          <w:noProof/>
          <w:lang w:eastAsia="nl-BE" w:bidi="ar-SA"/>
        </w:rPr>
        <w:drawing>
          <wp:inline distT="0" distB="0" distL="0" distR="0" wp14:anchorId="4388453D" wp14:editId="5DD5197D">
            <wp:extent cx="3572539" cy="1404934"/>
            <wp:effectExtent l="0" t="0" r="0" b="508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82802" cy="1408970"/>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Kaart 2: Vijftien voorbeelden van regio-indelingen voor de gezondheidszorg in Nederland</w:t>
      </w:r>
      <w:r w:rsidRPr="00D147A7">
        <w:rPr>
          <w:rStyle w:val="Voetnootmarkering"/>
          <w:rFonts w:ascii="Times New Roman" w:hAnsi="Times New Roman" w:cs="Times New Roman"/>
          <w:sz w:val="24"/>
          <w:szCs w:val="24"/>
        </w:rPr>
        <w:footnoteReference w:id="594"/>
      </w:r>
    </w:p>
    <w:p w:rsidR="008A3394" w:rsidRPr="00D147A7" w:rsidRDefault="008A3394"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Het Ministerie van Volksgezondheid had beter eerst goed </w:t>
      </w:r>
      <w:r w:rsidR="008870F0">
        <w:rPr>
          <w:rFonts w:ascii="Times New Roman" w:hAnsi="Times New Roman" w:cs="Times New Roman"/>
          <w:sz w:val="24"/>
          <w:szCs w:val="24"/>
        </w:rPr>
        <w:t>gereflecteerd</w:t>
      </w:r>
      <w:r w:rsidRPr="00D147A7">
        <w:rPr>
          <w:rFonts w:ascii="Times New Roman" w:hAnsi="Times New Roman" w:cs="Times New Roman"/>
          <w:sz w:val="24"/>
          <w:szCs w:val="24"/>
        </w:rPr>
        <w:t xml:space="preserve"> over wat het Landelijk EPD precies moest zijn en wat hiermee beoogd werd, om met een duidelijk, ondubbelzinnig standpunt op de proppen te kunnen komen. In plaats daarvan werd alle energie in de project</w:t>
      </w:r>
      <w:r w:rsidR="008870F0">
        <w:rPr>
          <w:rFonts w:ascii="Times New Roman" w:hAnsi="Times New Roman" w:cs="Times New Roman"/>
          <w:sz w:val="24"/>
          <w:szCs w:val="24"/>
        </w:rPr>
        <w:t>-</w:t>
      </w:r>
      <w:r w:rsidRPr="00D147A7">
        <w:rPr>
          <w:rFonts w:ascii="Times New Roman" w:hAnsi="Times New Roman" w:cs="Times New Roman"/>
          <w:sz w:val="24"/>
          <w:szCs w:val="24"/>
        </w:rPr>
        <w:t xml:space="preserve">matige realisatie van het Landelijk EPD geïnvesteerd. Alle voor het EPD benodigde ICT-infrastructuur </w:t>
      </w:r>
      <w:r w:rsidR="008870F0">
        <w:rPr>
          <w:rFonts w:ascii="Times New Roman" w:hAnsi="Times New Roman" w:cs="Times New Roman"/>
          <w:sz w:val="24"/>
          <w:szCs w:val="24"/>
        </w:rPr>
        <w:t>werd</w:t>
      </w:r>
      <w:r w:rsidRPr="00D147A7">
        <w:rPr>
          <w:rFonts w:ascii="Times New Roman" w:hAnsi="Times New Roman" w:cs="Times New Roman"/>
          <w:sz w:val="24"/>
          <w:szCs w:val="24"/>
        </w:rPr>
        <w:t xml:space="preserve"> tot stand gebracht, waardoor de ontwikkeling van het EPD in operationele zin als geslaagd kan worden beschouwd. De eenzijdige nadruk op de realisatie van het Lande</w:t>
      </w:r>
      <w:r w:rsidR="008870F0">
        <w:rPr>
          <w:rFonts w:ascii="Times New Roman" w:hAnsi="Times New Roman" w:cs="Times New Roman"/>
          <w:sz w:val="24"/>
          <w:szCs w:val="24"/>
        </w:rPr>
        <w:t>-</w:t>
      </w:r>
      <w:r w:rsidRPr="00D147A7">
        <w:rPr>
          <w:rFonts w:ascii="Times New Roman" w:hAnsi="Times New Roman" w:cs="Times New Roman"/>
          <w:sz w:val="24"/>
          <w:szCs w:val="24"/>
        </w:rPr>
        <w:t>lijk EPD heeft de partijen belemmerd om de cruciale vraag te stellen welk EPD geïmplemen</w:t>
      </w:r>
      <w:r w:rsidR="008870F0">
        <w:rPr>
          <w:rFonts w:ascii="Times New Roman" w:hAnsi="Times New Roman" w:cs="Times New Roman"/>
          <w:sz w:val="24"/>
          <w:szCs w:val="24"/>
        </w:rPr>
        <w:t>-</w:t>
      </w:r>
      <w:r w:rsidRPr="00D147A7">
        <w:rPr>
          <w:rFonts w:ascii="Times New Roman" w:hAnsi="Times New Roman" w:cs="Times New Roman"/>
          <w:sz w:val="24"/>
          <w:szCs w:val="24"/>
        </w:rPr>
        <w:t>teerd zou moeten worden om aan de uiteenlopende ideeën en opvattingen van alle betrokken partijen in de zorgsector tegemoet te komen.</w:t>
      </w:r>
      <w:r w:rsidRPr="00D147A7">
        <w:rPr>
          <w:rStyle w:val="Voetnootmarkering"/>
          <w:rFonts w:ascii="Times New Roman" w:hAnsi="Times New Roman" w:cs="Times New Roman"/>
          <w:sz w:val="24"/>
          <w:szCs w:val="24"/>
        </w:rPr>
        <w:footnoteReference w:id="595"/>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Reeds in de herfst van 2008 was het Landelijk EPD – zonder wettelijke basis – operationeel. Zolang beide Kamers de Wet op het EPD niet goedgekeurd hadden, moesten patiënten expli</w:t>
      </w:r>
      <w:r w:rsidR="008870F0">
        <w:rPr>
          <w:rFonts w:ascii="Times New Roman" w:hAnsi="Times New Roman" w:cs="Times New Roman"/>
          <w:sz w:val="24"/>
          <w:szCs w:val="24"/>
        </w:rPr>
        <w:t>-</w:t>
      </w:r>
      <w:r w:rsidRPr="00D147A7">
        <w:rPr>
          <w:rFonts w:ascii="Times New Roman" w:hAnsi="Times New Roman" w:cs="Times New Roman"/>
          <w:sz w:val="24"/>
          <w:szCs w:val="24"/>
        </w:rPr>
        <w:t xml:space="preserve">ciet </w:t>
      </w:r>
      <w:r w:rsidR="008870F0">
        <w:rPr>
          <w:rFonts w:ascii="Times New Roman" w:hAnsi="Times New Roman" w:cs="Times New Roman"/>
          <w:sz w:val="24"/>
          <w:szCs w:val="24"/>
        </w:rPr>
        <w:t>hun goedkeuring verlenen</w:t>
      </w:r>
      <w:r w:rsidRPr="00D147A7">
        <w:rPr>
          <w:rFonts w:ascii="Times New Roman" w:hAnsi="Times New Roman" w:cs="Times New Roman"/>
          <w:sz w:val="24"/>
          <w:szCs w:val="24"/>
        </w:rPr>
        <w:t xml:space="preserve"> om de verwijzingsgegevens van hun </w:t>
      </w:r>
      <w:r w:rsidR="008870F0">
        <w:rPr>
          <w:rFonts w:ascii="Times New Roman" w:hAnsi="Times New Roman" w:cs="Times New Roman"/>
          <w:sz w:val="24"/>
          <w:szCs w:val="24"/>
        </w:rPr>
        <w:t>patiëntendossier</w:t>
      </w:r>
      <w:r w:rsidRPr="00D147A7">
        <w:rPr>
          <w:rFonts w:ascii="Times New Roman" w:hAnsi="Times New Roman" w:cs="Times New Roman"/>
          <w:sz w:val="24"/>
          <w:szCs w:val="24"/>
        </w:rPr>
        <w:t xml:space="preserve"> in het Landelijk Schakelpunt op te laten nemen (</w:t>
      </w:r>
      <w:r w:rsidRPr="008870F0">
        <w:rPr>
          <w:rFonts w:ascii="Times New Roman" w:hAnsi="Times New Roman" w:cs="Times New Roman"/>
          <w:i/>
          <w:sz w:val="24"/>
          <w:szCs w:val="24"/>
        </w:rPr>
        <w:t>opt-in</w:t>
      </w:r>
      <w:r w:rsidRPr="00D147A7">
        <w:rPr>
          <w:rFonts w:ascii="Times New Roman" w:hAnsi="Times New Roman" w:cs="Times New Roman"/>
          <w:sz w:val="24"/>
          <w:szCs w:val="24"/>
        </w:rPr>
        <w:t xml:space="preserve"> systeem).</w:t>
      </w:r>
      <w:r w:rsidRPr="00D147A7">
        <w:rPr>
          <w:rStyle w:val="Voetnootmarkering"/>
          <w:rFonts w:ascii="Times New Roman" w:hAnsi="Times New Roman" w:cs="Times New Roman"/>
          <w:sz w:val="24"/>
          <w:szCs w:val="24"/>
        </w:rPr>
        <w:footnoteReference w:id="596"/>
      </w:r>
      <w:r w:rsidRPr="00D147A7">
        <w:rPr>
          <w:rFonts w:ascii="Times New Roman" w:hAnsi="Times New Roman" w:cs="Times New Roman"/>
          <w:sz w:val="24"/>
          <w:szCs w:val="24"/>
        </w:rPr>
        <w:t xml:space="preserve"> Het gebruikers- en toegangsbe</w:t>
      </w:r>
      <w:r w:rsidR="008870F0">
        <w:rPr>
          <w:rFonts w:ascii="Times New Roman" w:hAnsi="Times New Roman" w:cs="Times New Roman"/>
          <w:sz w:val="24"/>
          <w:szCs w:val="24"/>
        </w:rPr>
        <w:t>-</w:t>
      </w:r>
      <w:r w:rsidRPr="00D147A7">
        <w:rPr>
          <w:rFonts w:ascii="Times New Roman" w:hAnsi="Times New Roman" w:cs="Times New Roman"/>
          <w:sz w:val="24"/>
          <w:szCs w:val="24"/>
        </w:rPr>
        <w:t>heer tot het EPD lag dus (voorlopig) bij de patiënten.</w:t>
      </w:r>
      <w:r w:rsidRPr="00D147A7">
        <w:rPr>
          <w:rStyle w:val="Voetnootmarkering"/>
          <w:rFonts w:ascii="Times New Roman" w:hAnsi="Times New Roman" w:cs="Times New Roman"/>
          <w:sz w:val="24"/>
          <w:szCs w:val="24"/>
        </w:rPr>
        <w:footnoteReference w:id="597"/>
      </w:r>
      <w:r w:rsidRPr="00D147A7">
        <w:rPr>
          <w:rFonts w:ascii="Times New Roman" w:hAnsi="Times New Roman" w:cs="Times New Roman"/>
          <w:sz w:val="24"/>
          <w:szCs w:val="24"/>
        </w:rPr>
        <w:t xml:space="preserve"> Op het moment dat het wetsvoorstel op het EPD in de Eerste Kamer gestemd werd, </w:t>
      </w:r>
      <w:r w:rsidR="008870F0">
        <w:rPr>
          <w:rFonts w:ascii="Times New Roman" w:hAnsi="Times New Roman" w:cs="Times New Roman"/>
          <w:sz w:val="24"/>
          <w:szCs w:val="24"/>
        </w:rPr>
        <w:t>waren</w:t>
      </w:r>
      <w:r w:rsidRPr="00D147A7">
        <w:rPr>
          <w:rFonts w:ascii="Times New Roman" w:hAnsi="Times New Roman" w:cs="Times New Roman"/>
          <w:sz w:val="24"/>
          <w:szCs w:val="24"/>
        </w:rPr>
        <w:t xml:space="preserve"> ruim 8,7 miljoen burger(servicenum</w:t>
      </w:r>
      <w:r w:rsidR="008870F0">
        <w:rPr>
          <w:rFonts w:ascii="Times New Roman" w:hAnsi="Times New Roman" w:cs="Times New Roman"/>
          <w:sz w:val="24"/>
          <w:szCs w:val="24"/>
        </w:rPr>
        <w:t>-</w:t>
      </w:r>
      <w:r w:rsidRPr="00D147A7">
        <w:rPr>
          <w:rFonts w:ascii="Times New Roman" w:hAnsi="Times New Roman" w:cs="Times New Roman"/>
          <w:sz w:val="24"/>
          <w:szCs w:val="24"/>
        </w:rPr>
        <w:t>mer)s en bijna 4.400 zorgverleners – 1.740 apotheken, 118 huisartsenposten, 2.521 huisarts</w:t>
      </w:r>
      <w:r w:rsidR="008870F0">
        <w:rPr>
          <w:rFonts w:ascii="Times New Roman" w:hAnsi="Times New Roman" w:cs="Times New Roman"/>
          <w:sz w:val="24"/>
          <w:szCs w:val="24"/>
        </w:rPr>
        <w:t>-</w:t>
      </w:r>
      <w:r w:rsidRPr="00D147A7">
        <w:rPr>
          <w:rFonts w:ascii="Times New Roman" w:hAnsi="Times New Roman" w:cs="Times New Roman"/>
          <w:sz w:val="24"/>
          <w:szCs w:val="24"/>
        </w:rPr>
        <w:t>enpraktijken en 17 ziekenhuizen – in het Landelijk Schakelpunt opgenomen.</w:t>
      </w:r>
      <w:r w:rsidRPr="00D147A7">
        <w:rPr>
          <w:rStyle w:val="Voetnootmarkering"/>
          <w:rFonts w:ascii="Times New Roman" w:hAnsi="Times New Roman" w:cs="Times New Roman"/>
          <w:sz w:val="24"/>
          <w:szCs w:val="24"/>
        </w:rPr>
        <w:footnoteReference w:id="598"/>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 5 april 2011 namen de leden van de Eerste Kamer een motie aan waarin de regering uit</w:t>
      </w:r>
      <w:r w:rsidR="008870F0">
        <w:rPr>
          <w:rFonts w:ascii="Times New Roman" w:hAnsi="Times New Roman" w:cs="Times New Roman"/>
          <w:sz w:val="24"/>
          <w:szCs w:val="24"/>
        </w:rPr>
        <w:t>-</w:t>
      </w:r>
      <w:r w:rsidRPr="00D147A7">
        <w:rPr>
          <w:rFonts w:ascii="Times New Roman" w:hAnsi="Times New Roman" w:cs="Times New Roman"/>
          <w:sz w:val="24"/>
          <w:szCs w:val="24"/>
        </w:rPr>
        <w:t xml:space="preserve">drukkelijk </w:t>
      </w:r>
      <w:r w:rsidR="008870F0" w:rsidRPr="00D147A7">
        <w:rPr>
          <w:rFonts w:ascii="Times New Roman" w:hAnsi="Times New Roman" w:cs="Times New Roman"/>
          <w:sz w:val="24"/>
          <w:szCs w:val="24"/>
        </w:rPr>
        <w:t xml:space="preserve">werd </w:t>
      </w:r>
      <w:r w:rsidRPr="00D147A7">
        <w:rPr>
          <w:rFonts w:ascii="Times New Roman" w:hAnsi="Times New Roman" w:cs="Times New Roman"/>
          <w:sz w:val="24"/>
          <w:szCs w:val="24"/>
        </w:rPr>
        <w:t xml:space="preserve">verzocht om </w:t>
      </w:r>
      <w:r w:rsidRPr="00D147A7">
        <w:rPr>
          <w:rFonts w:ascii="Times New Roman" w:hAnsi="Times New Roman" w:cs="Times New Roman"/>
          <w:i/>
          <w:sz w:val="24"/>
          <w:szCs w:val="24"/>
        </w:rPr>
        <w:t>verdere beleidsinhoudelijke, financiële en organisatorische medewerking aan de ontwikkeling van het Landelijk Schakelpunt te beëindigen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599"/>
      </w:r>
      <w:r w:rsidRPr="00D147A7">
        <w:rPr>
          <w:rFonts w:ascii="Times New Roman" w:hAnsi="Times New Roman" w:cs="Times New Roman"/>
          <w:sz w:val="24"/>
          <w:szCs w:val="24"/>
        </w:rPr>
        <w:t xml:space="preserve"> De rege</w:t>
      </w:r>
      <w:r w:rsidR="008870F0">
        <w:rPr>
          <w:rFonts w:ascii="Times New Roman" w:hAnsi="Times New Roman" w:cs="Times New Roman"/>
          <w:sz w:val="24"/>
          <w:szCs w:val="24"/>
        </w:rPr>
        <w:t>-</w:t>
      </w:r>
      <w:r w:rsidRPr="00D147A7">
        <w:rPr>
          <w:rFonts w:ascii="Times New Roman" w:hAnsi="Times New Roman" w:cs="Times New Roman"/>
          <w:sz w:val="24"/>
          <w:szCs w:val="24"/>
        </w:rPr>
        <w:t xml:space="preserve">ring zal bij de verdere ontwikkeling van het Landelijk EPD dus geen directe coördinerende rol meer vervullen, zoals zij dat in de afgelopen jaren </w:t>
      </w:r>
      <w:r w:rsidR="008870F0" w:rsidRPr="00D147A7">
        <w:rPr>
          <w:rFonts w:ascii="Times New Roman" w:hAnsi="Times New Roman" w:cs="Times New Roman"/>
          <w:sz w:val="24"/>
          <w:szCs w:val="24"/>
        </w:rPr>
        <w:t xml:space="preserve">heeft </w:t>
      </w:r>
      <w:r w:rsidRPr="00D147A7">
        <w:rPr>
          <w:rFonts w:ascii="Times New Roman" w:hAnsi="Times New Roman" w:cs="Times New Roman"/>
          <w:sz w:val="24"/>
          <w:szCs w:val="24"/>
        </w:rPr>
        <w:t>gedaan.</w:t>
      </w:r>
      <w:r w:rsidRPr="00D147A7">
        <w:rPr>
          <w:rStyle w:val="Voetnootmarkering"/>
          <w:rFonts w:ascii="Times New Roman" w:hAnsi="Times New Roman" w:cs="Times New Roman"/>
          <w:sz w:val="24"/>
          <w:szCs w:val="24"/>
        </w:rPr>
        <w:footnoteReference w:id="600"/>
      </w:r>
      <w:r w:rsidRPr="00D147A7">
        <w:rPr>
          <w:rFonts w:ascii="Times New Roman" w:hAnsi="Times New Roman" w:cs="Times New Roman"/>
          <w:sz w:val="24"/>
          <w:szCs w:val="24"/>
        </w:rPr>
        <w:t xml:space="preserve"> Hierdoor worden zorgver</w:t>
      </w:r>
      <w:r w:rsidR="008870F0">
        <w:rPr>
          <w:rFonts w:ascii="Times New Roman" w:hAnsi="Times New Roman" w:cs="Times New Roman"/>
          <w:sz w:val="24"/>
          <w:szCs w:val="24"/>
        </w:rPr>
        <w:t>-</w:t>
      </w:r>
      <w:r w:rsidRPr="00D147A7">
        <w:rPr>
          <w:rFonts w:ascii="Times New Roman" w:hAnsi="Times New Roman" w:cs="Times New Roman"/>
          <w:sz w:val="24"/>
          <w:szCs w:val="24"/>
        </w:rPr>
        <w:t xml:space="preserve">leners niet langer verplicht om zich bij het Landelijk Schakelpunt aan te laten sluiten en wordt ook voorgoed van de </w:t>
      </w:r>
      <w:r w:rsidRPr="008870F0">
        <w:rPr>
          <w:rFonts w:ascii="Times New Roman" w:hAnsi="Times New Roman" w:cs="Times New Roman"/>
          <w:i/>
          <w:sz w:val="24"/>
          <w:szCs w:val="24"/>
        </w:rPr>
        <w:t>opt-out</w:t>
      </w:r>
      <w:r w:rsidRPr="00D147A7">
        <w:rPr>
          <w:rFonts w:ascii="Times New Roman" w:hAnsi="Times New Roman" w:cs="Times New Roman"/>
          <w:sz w:val="24"/>
          <w:szCs w:val="24"/>
        </w:rPr>
        <w:t xml:space="preserve"> regeling</w:t>
      </w:r>
      <w:r w:rsidR="008870F0" w:rsidRPr="008870F0">
        <w:rPr>
          <w:rFonts w:ascii="Times New Roman" w:hAnsi="Times New Roman" w:cs="Times New Roman"/>
          <w:sz w:val="24"/>
          <w:szCs w:val="24"/>
        </w:rPr>
        <w:t xml:space="preserve"> </w:t>
      </w:r>
      <w:r w:rsidR="008870F0" w:rsidRPr="00D147A7">
        <w:rPr>
          <w:rFonts w:ascii="Times New Roman" w:hAnsi="Times New Roman" w:cs="Times New Roman"/>
          <w:sz w:val="24"/>
          <w:szCs w:val="24"/>
        </w:rPr>
        <w:t>afgestapt</w:t>
      </w:r>
      <w:r w:rsidRPr="00D147A7">
        <w:rPr>
          <w:rFonts w:ascii="Times New Roman" w:hAnsi="Times New Roman" w:cs="Times New Roman"/>
          <w:sz w:val="24"/>
          <w:szCs w:val="24"/>
        </w:rPr>
        <w:t>. Het Landelijk Schakelpunt bleef drie maan</w:t>
      </w:r>
      <w:r w:rsidR="008870F0">
        <w:rPr>
          <w:rFonts w:ascii="Times New Roman" w:hAnsi="Times New Roman" w:cs="Times New Roman"/>
          <w:sz w:val="24"/>
          <w:szCs w:val="24"/>
        </w:rPr>
        <w:t>-</w:t>
      </w:r>
      <w:r w:rsidRPr="00D147A7">
        <w:rPr>
          <w:rFonts w:ascii="Times New Roman" w:hAnsi="Times New Roman" w:cs="Times New Roman"/>
          <w:sz w:val="24"/>
          <w:szCs w:val="24"/>
        </w:rPr>
        <w:t>den na de verwerping van de Wet op het EPD actief, al werden er geen nieuwe dossiers meer aan toegevoegd.</w:t>
      </w:r>
      <w:r w:rsidRPr="00D147A7">
        <w:rPr>
          <w:rStyle w:val="Voetnootmarkering"/>
          <w:rFonts w:ascii="Times New Roman" w:hAnsi="Times New Roman" w:cs="Times New Roman"/>
          <w:sz w:val="24"/>
          <w:szCs w:val="24"/>
        </w:rPr>
        <w:footnoteReference w:id="601"/>
      </w:r>
      <w:r w:rsidRPr="00D147A7">
        <w:rPr>
          <w:rFonts w:ascii="Times New Roman" w:hAnsi="Times New Roman" w:cs="Times New Roman"/>
          <w:sz w:val="24"/>
          <w:szCs w:val="24"/>
        </w:rPr>
        <w:t xml:space="preserve"> Tijdens die periode vroeg Minister Schippers aan Nictiz, de organisatie die het Landelijk Schakelpunt beheerde en ondersteunde, om </w:t>
      </w:r>
      <w:r w:rsidR="008870F0">
        <w:rPr>
          <w:rFonts w:ascii="Times New Roman" w:hAnsi="Times New Roman" w:cs="Times New Roman"/>
          <w:sz w:val="24"/>
          <w:szCs w:val="24"/>
        </w:rPr>
        <w:t xml:space="preserve">na </w:t>
      </w:r>
      <w:r w:rsidRPr="00D147A7">
        <w:rPr>
          <w:rFonts w:ascii="Times New Roman" w:hAnsi="Times New Roman" w:cs="Times New Roman"/>
          <w:sz w:val="24"/>
          <w:szCs w:val="24"/>
        </w:rPr>
        <w:t xml:space="preserve">te </w:t>
      </w:r>
      <w:r w:rsidR="008870F0">
        <w:rPr>
          <w:rFonts w:ascii="Times New Roman" w:hAnsi="Times New Roman" w:cs="Times New Roman"/>
          <w:sz w:val="24"/>
          <w:szCs w:val="24"/>
        </w:rPr>
        <w:t>gaan</w:t>
      </w:r>
      <w:r w:rsidRPr="00D147A7">
        <w:rPr>
          <w:rFonts w:ascii="Times New Roman" w:hAnsi="Times New Roman" w:cs="Times New Roman"/>
          <w:sz w:val="24"/>
          <w:szCs w:val="24"/>
        </w:rPr>
        <w:t xml:space="preserve"> of een toekomst zonder overheidssteun ook effectief mogelijk </w:t>
      </w:r>
      <w:r w:rsidR="008870F0">
        <w:rPr>
          <w:rFonts w:ascii="Times New Roman" w:hAnsi="Times New Roman" w:cs="Times New Roman"/>
          <w:sz w:val="24"/>
          <w:szCs w:val="24"/>
        </w:rPr>
        <w:t>wa</w:t>
      </w:r>
      <w:r w:rsidRPr="00D147A7">
        <w:rPr>
          <w:rFonts w:ascii="Times New Roman" w:hAnsi="Times New Roman" w:cs="Times New Roman"/>
          <w:sz w:val="24"/>
          <w:szCs w:val="24"/>
        </w:rPr>
        <w:t>s.</w:t>
      </w:r>
      <w:r w:rsidRPr="00D147A7">
        <w:rPr>
          <w:rStyle w:val="Voetnootmarkering"/>
          <w:rFonts w:ascii="Times New Roman" w:hAnsi="Times New Roman" w:cs="Times New Roman"/>
          <w:sz w:val="24"/>
          <w:szCs w:val="24"/>
        </w:rPr>
        <w:footnoteReference w:id="602"/>
      </w:r>
      <w:r w:rsidRPr="00D147A7">
        <w:rPr>
          <w:rFonts w:ascii="Times New Roman" w:hAnsi="Times New Roman" w:cs="Times New Roman"/>
          <w:sz w:val="24"/>
          <w:szCs w:val="24"/>
        </w:rPr>
        <w:t xml:space="preserve"> D</w:t>
      </w:r>
      <w:r w:rsidR="008870F0">
        <w:rPr>
          <w:rFonts w:ascii="Times New Roman" w:hAnsi="Times New Roman" w:cs="Times New Roman"/>
          <w:sz w:val="24"/>
          <w:szCs w:val="24"/>
        </w:rPr>
        <w:t>a</w:t>
      </w:r>
      <w:r w:rsidRPr="00D147A7">
        <w:rPr>
          <w:rFonts w:ascii="Times New Roman" w:hAnsi="Times New Roman" w:cs="Times New Roman"/>
          <w:sz w:val="24"/>
          <w:szCs w:val="24"/>
        </w:rPr>
        <w:t>t bleek niet het geval te zijn, daar het bestuur van Nictiz op 8 november 2011 besloot om de doorstart van het Landelijk Schakelpunt met ingang van januari 2012 niet verder te zetten wegens het gebrek aan voldoende financiële garanties.</w:t>
      </w:r>
      <w:r w:rsidRPr="00D147A7">
        <w:rPr>
          <w:rStyle w:val="Voetnootmarkering"/>
          <w:rFonts w:ascii="Times New Roman" w:hAnsi="Times New Roman" w:cs="Times New Roman"/>
          <w:sz w:val="24"/>
          <w:szCs w:val="24"/>
        </w:rPr>
        <w:footnoteReference w:id="603"/>
      </w:r>
      <w:r w:rsidRPr="00D147A7">
        <w:rPr>
          <w:rFonts w:ascii="Times New Roman" w:hAnsi="Times New Roman" w:cs="Times New Roman"/>
          <w:sz w:val="24"/>
          <w:szCs w:val="24"/>
        </w:rPr>
        <w:t xml:space="preserve"> Omdat vele partijen in de zorgsector vreesden dat met de afkeuring van het voor</w:t>
      </w:r>
      <w:r w:rsidR="008870F0">
        <w:rPr>
          <w:rFonts w:ascii="Times New Roman" w:hAnsi="Times New Roman" w:cs="Times New Roman"/>
          <w:sz w:val="24"/>
          <w:szCs w:val="24"/>
        </w:rPr>
        <w:t>-</w:t>
      </w:r>
      <w:r w:rsidRPr="00D147A7">
        <w:rPr>
          <w:rFonts w:ascii="Times New Roman" w:hAnsi="Times New Roman" w:cs="Times New Roman"/>
          <w:sz w:val="24"/>
          <w:szCs w:val="24"/>
        </w:rPr>
        <w:lastRenderedPageBreak/>
        <w:t>stel van wet op het EPD de elektronische gegevensuitwisseling via een landelijke infrastruc</w:t>
      </w:r>
      <w:r w:rsidR="008870F0">
        <w:rPr>
          <w:rFonts w:ascii="Times New Roman" w:hAnsi="Times New Roman" w:cs="Times New Roman"/>
          <w:sz w:val="24"/>
          <w:szCs w:val="24"/>
        </w:rPr>
        <w:t>-</w:t>
      </w:r>
      <w:r w:rsidRPr="00D147A7">
        <w:rPr>
          <w:rFonts w:ascii="Times New Roman" w:hAnsi="Times New Roman" w:cs="Times New Roman"/>
          <w:sz w:val="24"/>
          <w:szCs w:val="24"/>
        </w:rPr>
        <w:t>tuur aan een zijden draadje zou komen te hangen, hebben verschillende koepelorganisaties van zorgverleners – in overleg met de Nederlandse Patiënten Consumenten Federatie (NPCF) – afspraken gemaakt over een verder verloop van het Landelijk EPD zonder overheids</w:t>
      </w:r>
      <w:r w:rsidR="00430430">
        <w:rPr>
          <w:rFonts w:ascii="Times New Roman" w:hAnsi="Times New Roman" w:cs="Times New Roman"/>
          <w:sz w:val="24"/>
          <w:szCs w:val="24"/>
        </w:rPr>
        <w:t>-</w:t>
      </w:r>
      <w:r w:rsidRPr="00D147A7">
        <w:rPr>
          <w:rFonts w:ascii="Times New Roman" w:hAnsi="Times New Roman" w:cs="Times New Roman"/>
          <w:sz w:val="24"/>
          <w:szCs w:val="24"/>
        </w:rPr>
        <w:t>steun.</w:t>
      </w:r>
      <w:r w:rsidRPr="00D147A7">
        <w:rPr>
          <w:rStyle w:val="Voetnootmarkering"/>
          <w:rFonts w:ascii="Times New Roman" w:hAnsi="Times New Roman" w:cs="Times New Roman"/>
          <w:sz w:val="24"/>
          <w:szCs w:val="24"/>
        </w:rPr>
        <w:footnoteReference w:id="604"/>
      </w:r>
      <w:r w:rsidRPr="00D147A7">
        <w:rPr>
          <w:rFonts w:ascii="Times New Roman" w:hAnsi="Times New Roman" w:cs="Times New Roman"/>
          <w:sz w:val="24"/>
          <w:szCs w:val="24"/>
        </w:rPr>
        <w:t xml:space="preserve"> De koepelorganisaties van zorgverleners, waaronder de Landelijke Huisartsen Vereniging (LHV), boden het bestuur van Nictiz bijkomende waarborgen over de verdere ont</w:t>
      </w:r>
      <w:r w:rsidR="00430430">
        <w:rPr>
          <w:rFonts w:ascii="Times New Roman" w:hAnsi="Times New Roman" w:cs="Times New Roman"/>
          <w:sz w:val="24"/>
          <w:szCs w:val="24"/>
        </w:rPr>
        <w:t>-</w:t>
      </w:r>
      <w:r w:rsidRPr="00D147A7">
        <w:rPr>
          <w:rFonts w:ascii="Times New Roman" w:hAnsi="Times New Roman" w:cs="Times New Roman"/>
          <w:sz w:val="24"/>
          <w:szCs w:val="24"/>
        </w:rPr>
        <w:t>plooiing van de infrastructuur van het Landelijk Steunpunt. Zorgverzekeraars Nederland (ZN) verklaarde zich bijvoorbeeld bereid om de aansluiting van apothekers en ziekenhuizen op het Landelijk Steunpunt in 2012 te vergoeden. Om de betrokkenheid van patiënten en consument</w:t>
      </w:r>
      <w:r w:rsidR="00430430">
        <w:rPr>
          <w:rFonts w:ascii="Times New Roman" w:hAnsi="Times New Roman" w:cs="Times New Roman"/>
          <w:sz w:val="24"/>
          <w:szCs w:val="24"/>
        </w:rPr>
        <w:t>-</w:t>
      </w:r>
      <w:r w:rsidRPr="00D147A7">
        <w:rPr>
          <w:rFonts w:ascii="Times New Roman" w:hAnsi="Times New Roman" w:cs="Times New Roman"/>
          <w:sz w:val="24"/>
          <w:szCs w:val="24"/>
        </w:rPr>
        <w:t>en te waarborgen, werd er een Patiënten- en Consumentenraad opgericht.</w:t>
      </w:r>
      <w:r w:rsidRPr="00D147A7">
        <w:rPr>
          <w:rStyle w:val="Voetnootmarkering"/>
          <w:rFonts w:ascii="Times New Roman" w:hAnsi="Times New Roman" w:cs="Times New Roman"/>
          <w:sz w:val="24"/>
          <w:szCs w:val="24"/>
        </w:rPr>
        <w:footnoteReference w:id="605"/>
      </w:r>
      <w:r w:rsidRPr="00D147A7">
        <w:rPr>
          <w:rFonts w:ascii="Times New Roman" w:hAnsi="Times New Roman" w:cs="Times New Roman"/>
          <w:sz w:val="24"/>
          <w:szCs w:val="24"/>
        </w:rPr>
        <w:t xml:space="preserve"> Bij alle privacy-gerelateerde beslissingen moeten zorgverleners voortaan het advies van deze raad inwinnen.</w:t>
      </w:r>
    </w:p>
    <w:p w:rsidR="009931C7" w:rsidRPr="00D147A7" w:rsidRDefault="009931C7" w:rsidP="009931C7">
      <w:pPr>
        <w:pStyle w:val="Geenafstand"/>
        <w:ind w:firstLine="708"/>
        <w:jc w:val="both"/>
        <w:rPr>
          <w:rFonts w:ascii="Times New Roman" w:hAnsi="Times New Roman" w:cs="Times New Roman"/>
          <w:b/>
          <w:sz w:val="24"/>
          <w:szCs w:val="24"/>
        </w:rPr>
      </w:pP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t>Hoofdstuk 2: Werking en organisatie van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Als een zorgverlener gegevens van een patiënt in zijn informatiesysteem (waar doorgaans naar verwezen wordt met de term X-informatiesysteem (XIS)) opneemt, moet hij een centraal punt – de zogenaamde landelijke verwijsindex van het Landelijk Schakelpunt – hiervan op de hoogte brengen. De verwijzing naar deze gegevens wordt in de verwijsindex opgenomen, ten</w:t>
      </w:r>
      <w:r w:rsidR="00430430">
        <w:rPr>
          <w:rFonts w:ascii="Times New Roman" w:hAnsi="Times New Roman" w:cs="Times New Roman"/>
          <w:sz w:val="24"/>
          <w:szCs w:val="24"/>
        </w:rPr>
        <w:t>-</w:t>
      </w:r>
      <w:r w:rsidRPr="00D147A7">
        <w:rPr>
          <w:rFonts w:ascii="Times New Roman" w:hAnsi="Times New Roman" w:cs="Times New Roman"/>
          <w:sz w:val="24"/>
          <w:szCs w:val="24"/>
        </w:rPr>
        <w:t>zij de patiënt zich hier uitdrukkelijk tegen verzet (</w:t>
      </w:r>
      <w:r w:rsidRPr="00430430">
        <w:rPr>
          <w:rFonts w:ascii="Times New Roman" w:hAnsi="Times New Roman" w:cs="Times New Roman"/>
          <w:i/>
          <w:sz w:val="24"/>
          <w:szCs w:val="24"/>
        </w:rPr>
        <w:t>opt-out</w:t>
      </w:r>
      <w:r w:rsidRPr="00D147A7">
        <w:rPr>
          <w:rFonts w:ascii="Times New Roman" w:hAnsi="Times New Roman" w:cs="Times New Roman"/>
          <w:sz w:val="24"/>
          <w:szCs w:val="24"/>
        </w:rPr>
        <w:t>). De gezondheidsgegevens blijven dus in het XIS van de zorgverlener opgeslagen. Het Landelijk Schakelpunt fungeert als essen</w:t>
      </w:r>
      <w:r w:rsidR="00430430">
        <w:rPr>
          <w:rFonts w:ascii="Times New Roman" w:hAnsi="Times New Roman" w:cs="Times New Roman"/>
          <w:sz w:val="24"/>
          <w:szCs w:val="24"/>
        </w:rPr>
        <w:t>-</w:t>
      </w:r>
      <w:r w:rsidRPr="00D147A7">
        <w:rPr>
          <w:rFonts w:ascii="Times New Roman" w:hAnsi="Times New Roman" w:cs="Times New Roman"/>
          <w:sz w:val="24"/>
          <w:szCs w:val="24"/>
        </w:rPr>
        <w:t>tiële schakel in de onderlinge uitwisseling van gegevens tussen zorgverleners.</w:t>
      </w:r>
      <w:r w:rsidRPr="00D147A7">
        <w:rPr>
          <w:rStyle w:val="Voetnootmarkering"/>
          <w:rFonts w:ascii="Times New Roman" w:hAnsi="Times New Roman" w:cs="Times New Roman"/>
          <w:sz w:val="24"/>
          <w:szCs w:val="24"/>
        </w:rPr>
        <w:footnoteReference w:id="606"/>
      </w:r>
      <w:r w:rsidRPr="00D147A7">
        <w:rPr>
          <w:rFonts w:ascii="Times New Roman" w:hAnsi="Times New Roman" w:cs="Times New Roman"/>
          <w:sz w:val="24"/>
          <w:szCs w:val="24"/>
        </w:rPr>
        <w:t xml:space="preserve"> Zorgver</w:t>
      </w:r>
      <w:r w:rsidR="00430430">
        <w:rPr>
          <w:rFonts w:ascii="Times New Roman" w:hAnsi="Times New Roman" w:cs="Times New Roman"/>
          <w:sz w:val="24"/>
          <w:szCs w:val="24"/>
        </w:rPr>
        <w:t>-</w:t>
      </w:r>
      <w:r w:rsidRPr="00D147A7">
        <w:rPr>
          <w:rFonts w:ascii="Times New Roman" w:hAnsi="Times New Roman" w:cs="Times New Roman"/>
          <w:sz w:val="24"/>
          <w:szCs w:val="24"/>
        </w:rPr>
        <w:t xml:space="preserve">leners kunnen enkel met een </w:t>
      </w:r>
      <w:r w:rsidRPr="00D147A7">
        <w:rPr>
          <w:rFonts w:ascii="Times New Roman" w:hAnsi="Times New Roman" w:cs="Times New Roman"/>
          <w:i/>
          <w:sz w:val="24"/>
          <w:szCs w:val="24"/>
        </w:rPr>
        <w:t>smart card</w:t>
      </w:r>
      <w:r w:rsidRPr="00D147A7">
        <w:rPr>
          <w:rStyle w:val="Voetnootmarkering"/>
          <w:rFonts w:ascii="Times New Roman" w:hAnsi="Times New Roman" w:cs="Times New Roman"/>
          <w:i/>
          <w:sz w:val="24"/>
          <w:szCs w:val="24"/>
        </w:rPr>
        <w:footnoteReference w:id="607"/>
      </w:r>
      <w:r w:rsidRPr="00D147A7">
        <w:rPr>
          <w:rFonts w:ascii="Times New Roman" w:hAnsi="Times New Roman" w:cs="Times New Roman"/>
          <w:sz w:val="24"/>
          <w:szCs w:val="24"/>
        </w:rPr>
        <w:t xml:space="preserve"> – de zogenaamde Unieke Zorgverlener Identifica</w:t>
      </w:r>
      <w:r w:rsidR="00430430">
        <w:rPr>
          <w:rFonts w:ascii="Times New Roman" w:hAnsi="Times New Roman" w:cs="Times New Roman"/>
          <w:sz w:val="24"/>
          <w:szCs w:val="24"/>
        </w:rPr>
        <w:t>-</w:t>
      </w:r>
      <w:r w:rsidRPr="00D147A7">
        <w:rPr>
          <w:rFonts w:ascii="Times New Roman" w:hAnsi="Times New Roman" w:cs="Times New Roman"/>
          <w:sz w:val="24"/>
          <w:szCs w:val="24"/>
        </w:rPr>
        <w:t>tie (UZI)-pas – en een bijhorende pincode toegang krijgen tot het Landelijk Schakelpunt.</w:t>
      </w:r>
      <w:r w:rsidRPr="00D147A7">
        <w:rPr>
          <w:rStyle w:val="Voetnootmarkering"/>
          <w:rFonts w:ascii="Times New Roman" w:hAnsi="Times New Roman" w:cs="Times New Roman"/>
          <w:sz w:val="24"/>
          <w:szCs w:val="24"/>
        </w:rPr>
        <w:footnoteReference w:id="608"/>
      </w:r>
      <w:r w:rsidRPr="00D147A7">
        <w:rPr>
          <w:rFonts w:ascii="Times New Roman" w:hAnsi="Times New Roman" w:cs="Times New Roman"/>
          <w:sz w:val="24"/>
          <w:szCs w:val="24"/>
        </w:rPr>
        <w:t xml:space="preserve"> Met de UZI-pas kan de zorgverlener zijn identiteit en hoedanigheid bewijzen bij het Landelijk Schakelpunt. Op basis hiervan legt het Landelijk Schakelpunt vast welke gegevens </w:t>
      </w:r>
      <w:r w:rsidR="00430430" w:rsidRPr="00D147A7">
        <w:rPr>
          <w:rFonts w:ascii="Times New Roman" w:hAnsi="Times New Roman" w:cs="Times New Roman"/>
          <w:sz w:val="24"/>
          <w:szCs w:val="24"/>
        </w:rPr>
        <w:t xml:space="preserve">voor de zorgverlener in kwestie </w:t>
      </w:r>
      <w:r w:rsidRPr="00D147A7">
        <w:rPr>
          <w:rFonts w:ascii="Times New Roman" w:hAnsi="Times New Roman" w:cs="Times New Roman"/>
          <w:sz w:val="24"/>
          <w:szCs w:val="24"/>
        </w:rPr>
        <w:t>toegankelijk zijn.</w:t>
      </w:r>
      <w:r w:rsidRPr="00D147A7">
        <w:rPr>
          <w:rStyle w:val="Voetnootmarkering"/>
          <w:rFonts w:ascii="Times New Roman" w:hAnsi="Times New Roman" w:cs="Times New Roman"/>
          <w:sz w:val="24"/>
          <w:szCs w:val="24"/>
        </w:rPr>
        <w:footnoteReference w:id="609"/>
      </w:r>
      <w:r w:rsidRPr="00D147A7">
        <w:rPr>
          <w:rFonts w:ascii="Times New Roman" w:hAnsi="Times New Roman" w:cs="Times New Roman"/>
          <w:sz w:val="24"/>
          <w:szCs w:val="24"/>
        </w:rPr>
        <w:t xml:space="preserve"> De UZI-passen worden uitgereikt door het UZI-register van het Centraal Informatiepunt Beroepen Gezondheidszorg (CIBG), een uitvoerings</w:t>
      </w:r>
      <w:r w:rsidR="00430430">
        <w:rPr>
          <w:rFonts w:ascii="Times New Roman" w:hAnsi="Times New Roman" w:cs="Times New Roman"/>
          <w:sz w:val="24"/>
          <w:szCs w:val="24"/>
        </w:rPr>
        <w:t>-</w:t>
      </w:r>
      <w:r w:rsidRPr="00D147A7">
        <w:rPr>
          <w:rFonts w:ascii="Times New Roman" w:hAnsi="Times New Roman" w:cs="Times New Roman"/>
          <w:sz w:val="24"/>
          <w:szCs w:val="24"/>
        </w:rPr>
        <w:t>organisatie van het Nederlandse Ministerie van Volksgezondheid, Welzijn en Sport.</w:t>
      </w:r>
      <w:r w:rsidRPr="00D147A7">
        <w:rPr>
          <w:rStyle w:val="Voetnootmarkering"/>
          <w:rFonts w:ascii="Times New Roman" w:hAnsi="Times New Roman" w:cs="Times New Roman"/>
          <w:sz w:val="24"/>
          <w:szCs w:val="24"/>
        </w:rPr>
        <w:footnoteReference w:id="610"/>
      </w:r>
      <w:r w:rsidRPr="00D147A7">
        <w:rPr>
          <w:rFonts w:ascii="Times New Roman" w:hAnsi="Times New Roman" w:cs="Times New Roman"/>
          <w:sz w:val="24"/>
          <w:szCs w:val="24"/>
        </w:rPr>
        <w:t xml:space="preserve"> Het UZI-register is verantwoordelijk voor de aanvraag, productie en uitgifte van de UZI-pas. Ver</w:t>
      </w:r>
      <w:r w:rsidR="00430430">
        <w:rPr>
          <w:rFonts w:ascii="Times New Roman" w:hAnsi="Times New Roman" w:cs="Times New Roman"/>
          <w:sz w:val="24"/>
          <w:szCs w:val="24"/>
        </w:rPr>
        <w:t>-</w:t>
      </w:r>
      <w:r w:rsidRPr="00D147A7">
        <w:rPr>
          <w:rFonts w:ascii="Times New Roman" w:hAnsi="Times New Roman" w:cs="Times New Roman"/>
          <w:sz w:val="24"/>
          <w:szCs w:val="24"/>
        </w:rPr>
        <w:t>zorgingsinstellingen</w:t>
      </w:r>
      <w:r w:rsidRPr="00D147A7">
        <w:rPr>
          <w:rStyle w:val="Voetnootmarkering"/>
          <w:rFonts w:ascii="Times New Roman" w:hAnsi="Times New Roman" w:cs="Times New Roman"/>
          <w:sz w:val="24"/>
          <w:szCs w:val="24"/>
        </w:rPr>
        <w:footnoteReference w:id="611"/>
      </w:r>
      <w:r w:rsidRPr="00D147A7">
        <w:rPr>
          <w:rFonts w:ascii="Times New Roman" w:hAnsi="Times New Roman" w:cs="Times New Roman"/>
          <w:sz w:val="24"/>
          <w:szCs w:val="24"/>
        </w:rPr>
        <w:t>, zorgverleners</w:t>
      </w:r>
      <w:r w:rsidRPr="00D147A7">
        <w:rPr>
          <w:rStyle w:val="Voetnootmarkering"/>
          <w:rFonts w:ascii="Times New Roman" w:hAnsi="Times New Roman" w:cs="Times New Roman"/>
          <w:sz w:val="24"/>
          <w:szCs w:val="24"/>
        </w:rPr>
        <w:footnoteReference w:id="612"/>
      </w:r>
      <w:r w:rsidRPr="00D147A7">
        <w:rPr>
          <w:rFonts w:ascii="Times New Roman" w:hAnsi="Times New Roman" w:cs="Times New Roman"/>
          <w:sz w:val="24"/>
          <w:szCs w:val="24"/>
        </w:rPr>
        <w:t xml:space="preserve">, indicatieorganen en medewerkers van deze groepen </w:t>
      </w:r>
      <w:r w:rsidRPr="00D147A7">
        <w:rPr>
          <w:rFonts w:ascii="Times New Roman" w:hAnsi="Times New Roman" w:cs="Times New Roman"/>
          <w:sz w:val="24"/>
          <w:szCs w:val="24"/>
        </w:rPr>
        <w:lastRenderedPageBreak/>
        <w:t xml:space="preserve">kunnen een UZI-pas bekomen. Medewerkers van verzorgingsinstellingen kunnen niet zelf een UZI-pas aanvragen. Dit moet </w:t>
      </w:r>
      <w:r w:rsidR="00430430">
        <w:rPr>
          <w:rFonts w:ascii="Times New Roman" w:hAnsi="Times New Roman" w:cs="Times New Roman"/>
          <w:sz w:val="24"/>
          <w:szCs w:val="24"/>
        </w:rPr>
        <w:t>via</w:t>
      </w:r>
      <w:r w:rsidRPr="00D147A7">
        <w:rPr>
          <w:rFonts w:ascii="Times New Roman" w:hAnsi="Times New Roman" w:cs="Times New Roman"/>
          <w:sz w:val="24"/>
          <w:szCs w:val="24"/>
        </w:rPr>
        <w:t xml:space="preserve"> hun werkgever gebeuren. Met de UZI-pas en de pincode kunnen zorgverleners het burgerservicenummer van een patiënt terugvinden op de portaalsite van het Landelijk Schakelpunt.</w:t>
      </w:r>
      <w:r w:rsidRPr="00D147A7">
        <w:rPr>
          <w:rStyle w:val="Voetnootmarkering"/>
          <w:rFonts w:ascii="Times New Roman" w:hAnsi="Times New Roman" w:cs="Times New Roman"/>
          <w:sz w:val="24"/>
          <w:szCs w:val="24"/>
        </w:rPr>
        <w:footnoteReference w:id="613"/>
      </w:r>
      <w:r w:rsidRPr="00D147A7">
        <w:rPr>
          <w:rFonts w:ascii="Times New Roman" w:hAnsi="Times New Roman" w:cs="Times New Roman"/>
          <w:sz w:val="24"/>
          <w:szCs w:val="24"/>
        </w:rPr>
        <w:t xml:space="preserve"> Op basis van het burgerservicenummer van een patiënt zoekt het Landelijk Schakelpunt welke zorgverleners informatie over de betreffende patiënt hebben. Zorgverleners kunnen alleen gezondheidsgegevens opvragen van patiënten waarmee </w:t>
      </w:r>
      <w:r w:rsidR="00430430">
        <w:rPr>
          <w:rFonts w:ascii="Times New Roman" w:hAnsi="Times New Roman" w:cs="Times New Roman"/>
          <w:sz w:val="24"/>
          <w:szCs w:val="24"/>
        </w:rPr>
        <w:t xml:space="preserve">zij </w:t>
      </w:r>
      <w:r w:rsidRPr="00D147A7">
        <w:rPr>
          <w:rFonts w:ascii="Times New Roman" w:hAnsi="Times New Roman" w:cs="Times New Roman"/>
          <w:sz w:val="24"/>
          <w:szCs w:val="24"/>
        </w:rPr>
        <w:t>op dat ogenblik een therapeutische relatie he</w:t>
      </w:r>
      <w:r w:rsidR="00430430">
        <w:rPr>
          <w:rFonts w:ascii="Times New Roman" w:hAnsi="Times New Roman" w:cs="Times New Roman"/>
          <w:sz w:val="24"/>
          <w:szCs w:val="24"/>
        </w:rPr>
        <w:t>bben</w:t>
      </w:r>
      <w:r w:rsidRPr="00D147A7">
        <w:rPr>
          <w:rFonts w:ascii="Times New Roman" w:hAnsi="Times New Roman" w:cs="Times New Roman"/>
          <w:sz w:val="24"/>
          <w:szCs w:val="24"/>
        </w:rPr>
        <w:t xml:space="preserve"> en die noodzakelijk zijn in het kader van de behandeling of zorgverlening (proportionaliteits- en finaliteitsbeginselen).</w:t>
      </w:r>
      <w:r w:rsidRPr="00D147A7">
        <w:rPr>
          <w:rStyle w:val="Voetnootmarkering"/>
          <w:rFonts w:ascii="Times New Roman" w:hAnsi="Times New Roman" w:cs="Times New Roman"/>
          <w:sz w:val="24"/>
          <w:szCs w:val="24"/>
        </w:rPr>
        <w:footnoteReference w:id="614"/>
      </w:r>
      <w:r w:rsidRPr="00D147A7">
        <w:rPr>
          <w:rFonts w:ascii="Times New Roman" w:hAnsi="Times New Roman" w:cs="Times New Roman"/>
          <w:sz w:val="24"/>
          <w:szCs w:val="24"/>
        </w:rPr>
        <w:t xml:space="preserve"> Als dit inder</w:t>
      </w:r>
      <w:r w:rsidR="00430430">
        <w:rPr>
          <w:rFonts w:ascii="Times New Roman" w:hAnsi="Times New Roman" w:cs="Times New Roman"/>
          <w:sz w:val="24"/>
          <w:szCs w:val="24"/>
        </w:rPr>
        <w:t>-</w:t>
      </w:r>
      <w:r w:rsidRPr="00D147A7">
        <w:rPr>
          <w:rFonts w:ascii="Times New Roman" w:hAnsi="Times New Roman" w:cs="Times New Roman"/>
          <w:sz w:val="24"/>
          <w:szCs w:val="24"/>
        </w:rPr>
        <w:t>daad het geval is, kan de elektronische gegevensuitwisseling effectief plaatsvinden. Het Lan</w:t>
      </w:r>
      <w:r w:rsidR="00430430">
        <w:rPr>
          <w:rFonts w:ascii="Times New Roman" w:hAnsi="Times New Roman" w:cs="Times New Roman"/>
          <w:sz w:val="24"/>
          <w:szCs w:val="24"/>
        </w:rPr>
        <w:t>-</w:t>
      </w:r>
      <w:r w:rsidRPr="00D147A7">
        <w:rPr>
          <w:rFonts w:ascii="Times New Roman" w:hAnsi="Times New Roman" w:cs="Times New Roman"/>
          <w:sz w:val="24"/>
          <w:szCs w:val="24"/>
        </w:rPr>
        <w:t>delijk Schakelpunt houdt bij welke zorgverlener</w:t>
      </w:r>
      <w:r w:rsidR="00430430">
        <w:rPr>
          <w:rFonts w:ascii="Times New Roman" w:hAnsi="Times New Roman" w:cs="Times New Roman"/>
          <w:sz w:val="24"/>
          <w:szCs w:val="24"/>
        </w:rPr>
        <w:t>s</w:t>
      </w:r>
      <w:r w:rsidRPr="00D147A7">
        <w:rPr>
          <w:rFonts w:ascii="Times New Roman" w:hAnsi="Times New Roman" w:cs="Times New Roman"/>
          <w:sz w:val="24"/>
          <w:szCs w:val="24"/>
        </w:rPr>
        <w:t xml:space="preserve"> zich hebben aangemeld en welke gegevens zij geraadpleegd hebben (beheer van loggings).</w:t>
      </w:r>
      <w:r w:rsidRPr="00D147A7">
        <w:rPr>
          <w:rStyle w:val="Voetnootmarkering"/>
          <w:rFonts w:ascii="Times New Roman" w:hAnsi="Times New Roman" w:cs="Times New Roman"/>
          <w:sz w:val="24"/>
          <w:szCs w:val="24"/>
        </w:rPr>
        <w:footnoteReference w:id="615"/>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Er w</w:t>
      </w:r>
      <w:r w:rsidR="00430430">
        <w:rPr>
          <w:rFonts w:ascii="Times New Roman" w:hAnsi="Times New Roman" w:cs="Times New Roman"/>
          <w:sz w:val="24"/>
          <w:szCs w:val="24"/>
        </w:rPr>
        <w:t>e</w:t>
      </w:r>
      <w:r w:rsidRPr="00D147A7">
        <w:rPr>
          <w:rFonts w:ascii="Times New Roman" w:hAnsi="Times New Roman" w:cs="Times New Roman"/>
          <w:sz w:val="24"/>
          <w:szCs w:val="24"/>
        </w:rPr>
        <w:t xml:space="preserve">rd niet vastgelegd welke gegevens </w:t>
      </w:r>
      <w:r w:rsidR="00430430">
        <w:rPr>
          <w:rFonts w:ascii="Times New Roman" w:hAnsi="Times New Roman" w:cs="Times New Roman"/>
          <w:sz w:val="24"/>
          <w:szCs w:val="24"/>
        </w:rPr>
        <w:t xml:space="preserve">zorgverleners </w:t>
      </w:r>
      <w:r w:rsidRPr="00D147A7">
        <w:rPr>
          <w:rFonts w:ascii="Times New Roman" w:hAnsi="Times New Roman" w:cs="Times New Roman"/>
          <w:sz w:val="24"/>
          <w:szCs w:val="24"/>
        </w:rPr>
        <w:t>in digitale, uitwisselbare vorm bij</w:t>
      </w:r>
      <w:r w:rsidR="00430430">
        <w:rPr>
          <w:rFonts w:ascii="Times New Roman" w:hAnsi="Times New Roman" w:cs="Times New Roman"/>
          <w:sz w:val="24"/>
          <w:szCs w:val="24"/>
        </w:rPr>
        <w:t xml:space="preserve"> moeten </w:t>
      </w:r>
      <w:r w:rsidRPr="00D147A7">
        <w:rPr>
          <w:rFonts w:ascii="Times New Roman" w:hAnsi="Times New Roman" w:cs="Times New Roman"/>
          <w:sz w:val="24"/>
          <w:szCs w:val="24"/>
        </w:rPr>
        <w:t>houden. In ieder geval moeten verslag verstrekt kunnen worden over de consultaties van de laatste zes maanden of</w:t>
      </w:r>
      <w:r w:rsidR="00430430">
        <w:rPr>
          <w:rFonts w:ascii="Times New Roman" w:hAnsi="Times New Roman" w:cs="Times New Roman"/>
          <w:sz w:val="24"/>
          <w:szCs w:val="24"/>
        </w:rPr>
        <w:t xml:space="preserve"> –</w:t>
      </w:r>
      <w:r w:rsidRPr="00D147A7">
        <w:rPr>
          <w:rFonts w:ascii="Times New Roman" w:hAnsi="Times New Roman" w:cs="Times New Roman"/>
          <w:sz w:val="24"/>
          <w:szCs w:val="24"/>
        </w:rPr>
        <w:t xml:space="preserve"> indien de patiënt in die periode geen contact met de zorgver</w:t>
      </w:r>
      <w:r w:rsidR="00430430">
        <w:rPr>
          <w:rFonts w:ascii="Times New Roman" w:hAnsi="Times New Roman" w:cs="Times New Roman"/>
          <w:sz w:val="24"/>
          <w:szCs w:val="24"/>
        </w:rPr>
        <w:t>-</w:t>
      </w:r>
      <w:r w:rsidRPr="00D147A7">
        <w:rPr>
          <w:rFonts w:ascii="Times New Roman" w:hAnsi="Times New Roman" w:cs="Times New Roman"/>
          <w:sz w:val="24"/>
          <w:szCs w:val="24"/>
        </w:rPr>
        <w:t>lener opgenomen</w:t>
      </w:r>
      <w:r w:rsidR="00430430">
        <w:rPr>
          <w:rFonts w:ascii="Times New Roman" w:hAnsi="Times New Roman" w:cs="Times New Roman"/>
          <w:sz w:val="24"/>
          <w:szCs w:val="24"/>
        </w:rPr>
        <w:t xml:space="preserve"> </w:t>
      </w:r>
      <w:r w:rsidR="00430430" w:rsidRPr="00D147A7">
        <w:rPr>
          <w:rFonts w:ascii="Times New Roman" w:hAnsi="Times New Roman" w:cs="Times New Roman"/>
          <w:sz w:val="24"/>
          <w:szCs w:val="24"/>
        </w:rPr>
        <w:t xml:space="preserve">heeft </w:t>
      </w:r>
      <w:r w:rsidR="00430430">
        <w:rPr>
          <w:rFonts w:ascii="Times New Roman" w:hAnsi="Times New Roman" w:cs="Times New Roman"/>
          <w:sz w:val="24"/>
          <w:szCs w:val="24"/>
        </w:rPr>
        <w:t>–</w:t>
      </w:r>
      <w:r w:rsidRPr="00D147A7">
        <w:rPr>
          <w:rFonts w:ascii="Times New Roman" w:hAnsi="Times New Roman" w:cs="Times New Roman"/>
          <w:sz w:val="24"/>
          <w:szCs w:val="24"/>
        </w:rPr>
        <w:t xml:space="preserve"> een verslag van de laatste vier consultaties. Ook moet informatie over medicatie en allergieën beschikbaar zijn en moet een overzicht van de lichamelijke of psychische gezondheidsproblemen van de patiënt geboden kunnen worden.</w:t>
      </w:r>
      <w:r w:rsidRPr="00D147A7">
        <w:rPr>
          <w:rStyle w:val="Voetnootmarkering"/>
          <w:rFonts w:ascii="Times New Roman" w:hAnsi="Times New Roman" w:cs="Times New Roman"/>
          <w:sz w:val="24"/>
          <w:szCs w:val="24"/>
        </w:rPr>
        <w:footnoteReference w:id="616"/>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jc w:val="center"/>
      </w:pPr>
      <w:r w:rsidRPr="00D147A7">
        <w:rPr>
          <w:noProof/>
          <w:lang w:eastAsia="nl-BE" w:bidi="ar-SA"/>
        </w:rPr>
        <w:drawing>
          <wp:inline distT="0" distB="0" distL="0" distR="0" wp14:anchorId="533FB291" wp14:editId="4DB23C91">
            <wp:extent cx="3918857" cy="2035770"/>
            <wp:effectExtent l="0" t="0" r="5715" b="3175"/>
            <wp:docPr id="18" name="Afbeelding 18" descr="C:\Users\Merijn\AppData\Roaming\PixelMetrics\CaptureWiz\Te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jn\AppData\Roaming\PixelMetrics\CaptureWiz\Temp\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22710" cy="2037772"/>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13: De werking van het Landelijk EPD</w:t>
      </w:r>
      <w:r w:rsidRPr="00D147A7">
        <w:rPr>
          <w:rStyle w:val="Voetnootmarkering"/>
          <w:rFonts w:ascii="Times New Roman" w:hAnsi="Times New Roman" w:cs="Times New Roman"/>
          <w:sz w:val="24"/>
          <w:szCs w:val="24"/>
        </w:rPr>
        <w:footnoteReference w:id="617"/>
      </w:r>
    </w:p>
    <w:p w:rsidR="008A3394" w:rsidRPr="00D147A7" w:rsidRDefault="008A3394" w:rsidP="009931C7">
      <w:pPr>
        <w:pStyle w:val="Geenafstand"/>
        <w:jc w:val="center"/>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Digitale Identiteit (DigiD) is de Nederlandse authenticatie serviceprovider die instaat voor de authenticatie van burgers bij online contact met de overheid (onder meer bij elektronische belastingaangifte en bij het inloggen op de website voor overheidszaken</w:t>
      </w:r>
      <w:r w:rsidRPr="00D147A7">
        <w:rPr>
          <w:rStyle w:val="Voetnootmarkering"/>
          <w:rFonts w:ascii="Times New Roman" w:hAnsi="Times New Roman" w:cs="Times New Roman"/>
          <w:color w:val="000000"/>
          <w:sz w:val="24"/>
          <w:szCs w:val="24"/>
        </w:rPr>
        <w:footnoteReference w:id="618"/>
      </w:r>
      <w:r w:rsidRPr="00D147A7">
        <w:rPr>
          <w:rFonts w:ascii="Times New Roman" w:hAnsi="Times New Roman" w:cs="Times New Roman"/>
          <w:sz w:val="24"/>
          <w:szCs w:val="24"/>
        </w:rPr>
        <w:t>). Enkel de burgers die in het Nederlandse bevolkingsregister – de Gemeentelijke basisadministratie van per</w:t>
      </w:r>
      <w:r w:rsidR="00430430">
        <w:rPr>
          <w:rFonts w:ascii="Times New Roman" w:hAnsi="Times New Roman" w:cs="Times New Roman"/>
          <w:sz w:val="24"/>
          <w:szCs w:val="24"/>
        </w:rPr>
        <w:t>-</w:t>
      </w:r>
      <w:r w:rsidRPr="00D147A7">
        <w:rPr>
          <w:rFonts w:ascii="Times New Roman" w:hAnsi="Times New Roman" w:cs="Times New Roman"/>
          <w:sz w:val="24"/>
          <w:szCs w:val="24"/>
        </w:rPr>
        <w:t>soonsgegevens (GBA) – ingeschreven staan, kunnen over een Landelijk EPD beschikken. Omdat patiënten die hun Landelijk EPD wensen te raadplegen mede door het burgerservice</w:t>
      </w:r>
      <w:r w:rsidR="00430430">
        <w:rPr>
          <w:rFonts w:ascii="Times New Roman" w:hAnsi="Times New Roman" w:cs="Times New Roman"/>
          <w:sz w:val="24"/>
          <w:szCs w:val="24"/>
        </w:rPr>
        <w:t>-</w:t>
      </w:r>
      <w:r w:rsidRPr="00D147A7">
        <w:rPr>
          <w:rFonts w:ascii="Times New Roman" w:hAnsi="Times New Roman" w:cs="Times New Roman"/>
          <w:sz w:val="24"/>
          <w:szCs w:val="24"/>
        </w:rPr>
        <w:lastRenderedPageBreak/>
        <w:t>nummer geïdentificeerd worden, is het aangewezen dat ook de authenticatie via de DigiD verloopt.</w:t>
      </w:r>
      <w:r w:rsidRPr="00D147A7">
        <w:rPr>
          <w:rStyle w:val="Voetnootmarkering"/>
          <w:rFonts w:ascii="Times New Roman" w:hAnsi="Times New Roman" w:cs="Times New Roman"/>
          <w:sz w:val="24"/>
          <w:szCs w:val="24"/>
        </w:rPr>
        <w:footnoteReference w:id="619"/>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Patiënten die de portaalsite van het Landelijk EPD raadplegen, worden dan bij de authenticatie automatisch naar de website van DigiD doorverwezen – via een met Secure Sockets Layer (SSL) beveiligde verbinding (waarbij de URL steevast met ‘http://’ aanvat).</w:t>
      </w:r>
      <w:r w:rsidRPr="00D147A7">
        <w:rPr>
          <w:rStyle w:val="Voetnootmarkering"/>
          <w:rFonts w:ascii="Times New Roman" w:hAnsi="Times New Roman" w:cs="Times New Roman"/>
          <w:sz w:val="24"/>
          <w:szCs w:val="24"/>
        </w:rPr>
        <w:footnoteReference w:id="620"/>
      </w:r>
      <w:r w:rsidRPr="00D147A7">
        <w:rPr>
          <w:rFonts w:ascii="Times New Roman" w:hAnsi="Times New Roman" w:cs="Times New Roman"/>
          <w:sz w:val="24"/>
          <w:szCs w:val="24"/>
        </w:rPr>
        <w:t xml:space="preserve"> Hiervoor wordt een beroep gedaan op de zgn. </w:t>
      </w:r>
      <w:r w:rsidRPr="00D147A7">
        <w:rPr>
          <w:rFonts w:ascii="Times New Roman" w:hAnsi="Times New Roman" w:cs="Times New Roman"/>
          <w:i/>
          <w:sz w:val="24"/>
          <w:szCs w:val="24"/>
        </w:rPr>
        <w:t xml:space="preserve">Public Key Infrastructure </w:t>
      </w:r>
      <w:r w:rsidRPr="00D147A7">
        <w:rPr>
          <w:rFonts w:ascii="Times New Roman" w:hAnsi="Times New Roman" w:cs="Times New Roman"/>
          <w:sz w:val="24"/>
          <w:szCs w:val="24"/>
        </w:rPr>
        <w:t>(PKI).</w:t>
      </w:r>
      <w:r w:rsidRPr="00D147A7">
        <w:rPr>
          <w:rStyle w:val="Voetnootmarkering"/>
          <w:rFonts w:ascii="Times New Roman" w:hAnsi="Times New Roman" w:cs="Times New Roman"/>
          <w:sz w:val="24"/>
          <w:szCs w:val="24"/>
        </w:rPr>
        <w:footnoteReference w:id="621"/>
      </w:r>
      <w:r w:rsidRPr="00D147A7">
        <w:rPr>
          <w:rFonts w:ascii="Times New Roman" w:hAnsi="Times New Roman" w:cs="Times New Roman"/>
          <w:sz w:val="24"/>
          <w:szCs w:val="24"/>
        </w:rPr>
        <w:t xml:space="preserve"> De patiënt wordt vervolgens met een ‘ticket’ terugverwezen naar de oorspronkelijke website, alwaar het ‘ticket’ gelezen wordt (deze gebruiker heeft met zekerheidsniveau X burgerservicenummer Y). DigiD onderscheidt drie zekerheidsniveaus: niveau 1 (basis), niveau 2 (midden) en niveau 3 (hoog). Om aan het laagste zekerheidsniveau te voldoen, volstaat het dat gebruikers d.m.v. een zelfgekozen gebruikersnaam en paswoord via internet inloggen. Vervolgens wordt een activeringscode naar hun thuisadres (zoals geregistreerd in de GBA) toegestuurd. Niveau 2 vereist het gebruik van eenmalige paswoorden, die door DigiD via Short Message Service (SMS) verstuurd worden naar het mobiele nummer van de burger. Ook hier wordt de active</w:t>
      </w:r>
      <w:r w:rsidR="00430430">
        <w:rPr>
          <w:rFonts w:ascii="Times New Roman" w:hAnsi="Times New Roman" w:cs="Times New Roman"/>
          <w:sz w:val="24"/>
          <w:szCs w:val="24"/>
        </w:rPr>
        <w:t>-</w:t>
      </w:r>
      <w:r w:rsidRPr="00D147A7">
        <w:rPr>
          <w:rFonts w:ascii="Times New Roman" w:hAnsi="Times New Roman" w:cs="Times New Roman"/>
          <w:sz w:val="24"/>
          <w:szCs w:val="24"/>
        </w:rPr>
        <w:t>ringscode naar de domicilie van de burger verstuurd. Bij het derde en hoogste zekerheids</w:t>
      </w:r>
      <w:r w:rsidR="00430430">
        <w:rPr>
          <w:rFonts w:ascii="Times New Roman" w:hAnsi="Times New Roman" w:cs="Times New Roman"/>
          <w:sz w:val="24"/>
          <w:szCs w:val="24"/>
        </w:rPr>
        <w:t>-</w:t>
      </w:r>
      <w:r w:rsidRPr="00D147A7">
        <w:rPr>
          <w:rFonts w:ascii="Times New Roman" w:hAnsi="Times New Roman" w:cs="Times New Roman"/>
          <w:sz w:val="24"/>
          <w:szCs w:val="24"/>
        </w:rPr>
        <w:t>niveau is er</w:t>
      </w:r>
      <w:r w:rsidR="00430430">
        <w:rPr>
          <w:rFonts w:ascii="Times New Roman" w:hAnsi="Times New Roman" w:cs="Times New Roman"/>
          <w:sz w:val="24"/>
          <w:szCs w:val="24"/>
        </w:rPr>
        <w:t xml:space="preserve"> –</w:t>
      </w:r>
      <w:r w:rsidRPr="00D147A7">
        <w:rPr>
          <w:rFonts w:ascii="Times New Roman" w:hAnsi="Times New Roman" w:cs="Times New Roman"/>
          <w:sz w:val="24"/>
          <w:szCs w:val="24"/>
        </w:rPr>
        <w:t xml:space="preserve"> i.t.t. de voorgaande zekerheidsniveaus</w:t>
      </w:r>
      <w:r w:rsidR="00430430">
        <w:rPr>
          <w:rFonts w:ascii="Times New Roman" w:hAnsi="Times New Roman" w:cs="Times New Roman"/>
          <w:sz w:val="24"/>
          <w:szCs w:val="24"/>
        </w:rPr>
        <w:t xml:space="preserve"> –</w:t>
      </w:r>
      <w:r w:rsidRPr="00D147A7">
        <w:rPr>
          <w:rFonts w:ascii="Times New Roman" w:hAnsi="Times New Roman" w:cs="Times New Roman"/>
          <w:sz w:val="24"/>
          <w:szCs w:val="24"/>
        </w:rPr>
        <w:t xml:space="preserve"> </w:t>
      </w:r>
      <w:r w:rsidRPr="00430430">
        <w:rPr>
          <w:rFonts w:ascii="Times New Roman" w:hAnsi="Times New Roman" w:cs="Times New Roman"/>
          <w:i/>
          <w:sz w:val="24"/>
          <w:szCs w:val="24"/>
        </w:rPr>
        <w:t>face-to-face</w:t>
      </w:r>
      <w:r w:rsidRPr="00D147A7">
        <w:rPr>
          <w:rFonts w:ascii="Times New Roman" w:hAnsi="Times New Roman" w:cs="Times New Roman"/>
          <w:sz w:val="24"/>
          <w:szCs w:val="24"/>
        </w:rPr>
        <w:t xml:space="preserve"> contact tussen DigiD en de gebruiker. Dit kan enkel via de geavanceerde elektronische handtekening </w:t>
      </w:r>
      <w:r w:rsidR="00430430"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bereikt.</w:t>
      </w:r>
      <w:r w:rsidRPr="00D147A7">
        <w:rPr>
          <w:rStyle w:val="Voetnootmarkering"/>
          <w:rFonts w:ascii="Times New Roman" w:hAnsi="Times New Roman" w:cs="Times New Roman"/>
          <w:color w:val="000000"/>
          <w:sz w:val="24"/>
          <w:szCs w:val="24"/>
        </w:rPr>
        <w:footnoteReference w:id="622"/>
      </w:r>
      <w:r w:rsidRPr="00D147A7">
        <w:rPr>
          <w:rFonts w:ascii="Times New Roman" w:hAnsi="Times New Roman" w:cs="Times New Roman"/>
          <w:sz w:val="24"/>
          <w:szCs w:val="24"/>
        </w:rPr>
        <w:t xml:space="preserve"> De elektronische Nederlandse identiteitskaart (eNIK)</w:t>
      </w:r>
      <w:r w:rsidRPr="00D147A7">
        <w:rPr>
          <w:rStyle w:val="Voetnootmarkering"/>
          <w:rFonts w:ascii="Times New Roman" w:hAnsi="Times New Roman" w:cs="Times New Roman"/>
          <w:sz w:val="24"/>
          <w:szCs w:val="24"/>
        </w:rPr>
        <w:footnoteReference w:id="623"/>
      </w:r>
      <w:r w:rsidRPr="00D147A7">
        <w:rPr>
          <w:rFonts w:ascii="Times New Roman" w:hAnsi="Times New Roman" w:cs="Times New Roman"/>
          <w:sz w:val="24"/>
          <w:szCs w:val="24"/>
        </w:rPr>
        <w:t xml:space="preserve"> en het elektronisch rijbewijs (eDL) zijn voor dit hoogste niveau voorzien. Omwille van de juridische en technische beveiligings</w:t>
      </w:r>
      <w:r w:rsidR="00430430">
        <w:rPr>
          <w:rFonts w:ascii="Times New Roman" w:hAnsi="Times New Roman" w:cs="Times New Roman"/>
          <w:sz w:val="24"/>
          <w:szCs w:val="24"/>
        </w:rPr>
        <w:t>-</w:t>
      </w:r>
      <w:r w:rsidRPr="00D147A7">
        <w:rPr>
          <w:rFonts w:ascii="Times New Roman" w:hAnsi="Times New Roman" w:cs="Times New Roman"/>
          <w:sz w:val="24"/>
          <w:szCs w:val="24"/>
        </w:rPr>
        <w:t>eisen rondom het Landelijk EPD is een zekerheidsniveau van meer dan 2 vereist. Informeel kan gesproken worden van DigiD zekerheidsniveau 2+, 2½  of 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DigiD is overigens enkel en alleen een serviceprovider voor de authenticatie en niet voor autorisatie of </w:t>
      </w:r>
      <w:r w:rsidRPr="00D147A7">
        <w:rPr>
          <w:rFonts w:ascii="Times New Roman" w:hAnsi="Times New Roman" w:cs="Times New Roman"/>
          <w:i/>
          <w:sz w:val="24"/>
          <w:szCs w:val="24"/>
        </w:rPr>
        <w:t>non-repudiation</w:t>
      </w:r>
      <w:r w:rsidRPr="00D147A7">
        <w:rPr>
          <w:rFonts w:ascii="Times New Roman" w:hAnsi="Times New Roman" w:cs="Times New Roman"/>
          <w:sz w:val="24"/>
          <w:szCs w:val="24"/>
        </w:rPr>
        <w:t xml:space="preserve"> (onweerlegbaarheid). Daarom is er een extra authenticatiestap vereist met een instrument waarmee alleen de gebruiker een elektronische handtekening kan zetten na het invoeren van de eigen </w:t>
      </w:r>
      <w:r w:rsidRPr="00D147A7">
        <w:rPr>
          <w:rFonts w:ascii="Times New Roman" w:hAnsi="Times New Roman" w:cs="Times New Roman"/>
          <w:i/>
          <w:sz w:val="24"/>
          <w:szCs w:val="24"/>
        </w:rPr>
        <w:t xml:space="preserve">Personal Identification Number </w:t>
      </w:r>
      <w:r w:rsidRPr="00D147A7">
        <w:rPr>
          <w:rFonts w:ascii="Times New Roman" w:hAnsi="Times New Roman" w:cs="Times New Roman"/>
          <w:sz w:val="24"/>
          <w:szCs w:val="24"/>
        </w:rPr>
        <w:t>(PIN). Ook auditbureau PriceWaterhouseCoopers bevestigde dat het DigiD-systeem niet veilig genoeg is voor het Landelijk EPD. Daarom werden de volgende mogelijkheden onder de loep genomen: een bij</w:t>
      </w:r>
      <w:r w:rsidR="009D0223">
        <w:rPr>
          <w:rFonts w:ascii="Times New Roman" w:hAnsi="Times New Roman" w:cs="Times New Roman"/>
          <w:sz w:val="24"/>
          <w:szCs w:val="24"/>
        </w:rPr>
        <w:t>-</w:t>
      </w:r>
      <w:r w:rsidRPr="00D147A7">
        <w:rPr>
          <w:rFonts w:ascii="Times New Roman" w:hAnsi="Times New Roman" w:cs="Times New Roman"/>
          <w:sz w:val="24"/>
          <w:szCs w:val="24"/>
        </w:rPr>
        <w:t xml:space="preserve">komende, aangetekend verstuurde code of wachtwoord; face-to-face authenticatie aan de hand van het mobiel </w:t>
      </w:r>
      <w:r w:rsidR="009D0223">
        <w:rPr>
          <w:rFonts w:ascii="Times New Roman" w:hAnsi="Times New Roman" w:cs="Times New Roman"/>
          <w:sz w:val="24"/>
          <w:szCs w:val="24"/>
        </w:rPr>
        <w:t>telefoon</w:t>
      </w:r>
      <w:r w:rsidRPr="00D147A7">
        <w:rPr>
          <w:rFonts w:ascii="Times New Roman" w:hAnsi="Times New Roman" w:cs="Times New Roman"/>
          <w:sz w:val="24"/>
          <w:szCs w:val="24"/>
        </w:rPr>
        <w:t>nummer (SMS+ variant 1 en variant 2); authenticatiemiddelen van internetbankieren; de elektronische identiteitskaart; het elektronisch rijbewijs; de UZI-pas en het reisdocument (</w:t>
      </w:r>
      <w:r w:rsidRPr="009D0223">
        <w:rPr>
          <w:rFonts w:ascii="Times New Roman" w:hAnsi="Times New Roman" w:cs="Times New Roman"/>
          <w:i/>
          <w:sz w:val="24"/>
          <w:szCs w:val="24"/>
        </w:rPr>
        <w:t>Remote Travel Document Authentication</w:t>
      </w:r>
      <w:r w:rsidRPr="00D147A7">
        <w:rPr>
          <w:rFonts w:ascii="Times New Roman" w:hAnsi="Times New Roman" w:cs="Times New Roman"/>
          <w:sz w:val="24"/>
          <w:szCs w:val="24"/>
        </w:rPr>
        <w:t xml:space="preserve"> (RTDA)).</w:t>
      </w:r>
      <w:r w:rsidRPr="00D147A7">
        <w:rPr>
          <w:rStyle w:val="Voetnootmarkering"/>
          <w:rFonts w:ascii="Times New Roman" w:hAnsi="Times New Roman" w:cs="Times New Roman"/>
          <w:color w:val="000000"/>
          <w:sz w:val="24"/>
          <w:szCs w:val="24"/>
        </w:rPr>
        <w:footnoteReference w:id="624"/>
      </w:r>
      <w:r w:rsidRPr="00D147A7">
        <w:rPr>
          <w:rFonts w:ascii="Times New Roman" w:hAnsi="Times New Roman" w:cs="Times New Roman"/>
          <w:sz w:val="24"/>
          <w:szCs w:val="24"/>
        </w:rPr>
        <w:t xml:space="preserve"> De elektronische </w:t>
      </w:r>
      <w:r w:rsidRPr="00D147A7">
        <w:rPr>
          <w:rFonts w:ascii="Times New Roman" w:hAnsi="Times New Roman" w:cs="Times New Roman"/>
          <w:sz w:val="24"/>
          <w:szCs w:val="24"/>
        </w:rPr>
        <w:lastRenderedPageBreak/>
        <w:t>identiteitskaart en het vergelijkbare elektronisch rijbewijs werden het meest geschikt bevond</w:t>
      </w:r>
      <w:r w:rsidR="009D0223">
        <w:rPr>
          <w:rFonts w:ascii="Times New Roman" w:hAnsi="Times New Roman" w:cs="Times New Roman"/>
          <w:sz w:val="24"/>
          <w:szCs w:val="24"/>
        </w:rPr>
        <w:t>-</w:t>
      </w:r>
      <w:r w:rsidRPr="00D147A7">
        <w:rPr>
          <w:rFonts w:ascii="Times New Roman" w:hAnsi="Times New Roman" w:cs="Times New Roman"/>
          <w:sz w:val="24"/>
          <w:szCs w:val="24"/>
        </w:rPr>
        <w:t xml:space="preserve">en (niveau 3), maar zullen </w:t>
      </w:r>
      <w:r w:rsidR="009D0223">
        <w:rPr>
          <w:rFonts w:ascii="Times New Roman" w:hAnsi="Times New Roman" w:cs="Times New Roman"/>
          <w:sz w:val="24"/>
          <w:szCs w:val="24"/>
        </w:rPr>
        <w:t>de eerstkomende</w:t>
      </w:r>
      <w:r w:rsidRPr="00D147A7">
        <w:rPr>
          <w:rFonts w:ascii="Times New Roman" w:hAnsi="Times New Roman" w:cs="Times New Roman"/>
          <w:sz w:val="24"/>
          <w:szCs w:val="24"/>
        </w:rPr>
        <w:t xml:space="preserve"> jaren </w:t>
      </w:r>
      <w:r w:rsidR="009D0223">
        <w:rPr>
          <w:rFonts w:ascii="Times New Roman" w:hAnsi="Times New Roman" w:cs="Times New Roman"/>
          <w:sz w:val="24"/>
          <w:szCs w:val="24"/>
        </w:rPr>
        <w:t>nog niet voorhanden zijn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25"/>
      </w:r>
      <w:r w:rsidRPr="00D147A7">
        <w:rPr>
          <w:rFonts w:ascii="Times New Roman" w:hAnsi="Times New Roman" w:cs="Times New Roman"/>
          <w:sz w:val="24"/>
          <w:szCs w:val="24"/>
        </w:rPr>
        <w:t xml:space="preserve"> </w:t>
      </w:r>
    </w:p>
    <w:p w:rsidR="009D0223" w:rsidRDefault="009D0223"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afwachting daarvan reikte het rapport van PriceWaterhouseCoopers twee tijdelijke authen</w:t>
      </w:r>
      <w:r w:rsidR="009D0223">
        <w:rPr>
          <w:rFonts w:ascii="Times New Roman" w:hAnsi="Times New Roman" w:cs="Times New Roman"/>
          <w:sz w:val="24"/>
          <w:szCs w:val="24"/>
        </w:rPr>
        <w:t>-</w:t>
      </w:r>
      <w:r w:rsidRPr="00D147A7">
        <w:rPr>
          <w:rFonts w:ascii="Times New Roman" w:hAnsi="Times New Roman" w:cs="Times New Roman"/>
          <w:sz w:val="24"/>
          <w:szCs w:val="24"/>
        </w:rPr>
        <w:t xml:space="preserve">ticatiemiddelen aan: SMS+ (variant 1) en RTDA.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SMS+ (variant 1) is gebaseerd op DigiD. Door de noodzakelijke </w:t>
      </w:r>
      <w:r w:rsidRPr="009D0223">
        <w:rPr>
          <w:rFonts w:ascii="Times New Roman" w:hAnsi="Times New Roman" w:cs="Times New Roman"/>
          <w:i/>
          <w:sz w:val="24"/>
          <w:szCs w:val="24"/>
        </w:rPr>
        <w:t>face-to-face</w:t>
      </w:r>
      <w:r w:rsidRPr="00D147A7">
        <w:rPr>
          <w:rFonts w:ascii="Times New Roman" w:hAnsi="Times New Roman" w:cs="Times New Roman"/>
          <w:sz w:val="24"/>
          <w:szCs w:val="24"/>
        </w:rPr>
        <w:t xml:space="preserve"> verificatie zal de patiënt zich persoonlijk bij een controle-instantie (zoals een ap</w:t>
      </w:r>
      <w:r w:rsidR="00436FB0">
        <w:rPr>
          <w:rFonts w:ascii="Times New Roman" w:hAnsi="Times New Roman" w:cs="Times New Roman"/>
          <w:sz w:val="24"/>
          <w:szCs w:val="24"/>
        </w:rPr>
        <w:t>o</w:t>
      </w:r>
      <w:r w:rsidRPr="00D147A7">
        <w:rPr>
          <w:rFonts w:ascii="Times New Roman" w:hAnsi="Times New Roman" w:cs="Times New Roman"/>
          <w:sz w:val="24"/>
          <w:szCs w:val="24"/>
        </w:rPr>
        <w:t xml:space="preserve">theek of het gemeentehuis) moeten melden, waar hij door een baliemedewerker geïdentificeerd wordt. Voor </w:t>
      </w:r>
      <w:r w:rsidRPr="00436FB0">
        <w:rPr>
          <w:rFonts w:ascii="Times New Roman" w:hAnsi="Times New Roman" w:cs="Times New Roman"/>
          <w:i/>
          <w:sz w:val="24"/>
          <w:szCs w:val="24"/>
        </w:rPr>
        <w:t>face-to-face</w:t>
      </w:r>
      <w:r w:rsidRPr="00D147A7">
        <w:rPr>
          <w:rFonts w:ascii="Times New Roman" w:hAnsi="Times New Roman" w:cs="Times New Roman"/>
          <w:sz w:val="24"/>
          <w:szCs w:val="24"/>
        </w:rPr>
        <w:t xml:space="preserve"> verificatie van het </w:t>
      </w:r>
      <w:r w:rsidR="00436FB0">
        <w:rPr>
          <w:rFonts w:ascii="Times New Roman" w:hAnsi="Times New Roman" w:cs="Times New Roman"/>
          <w:sz w:val="24"/>
          <w:szCs w:val="24"/>
        </w:rPr>
        <w:t xml:space="preserve">mobiel </w:t>
      </w:r>
      <w:r w:rsidRPr="00D147A7">
        <w:rPr>
          <w:rFonts w:ascii="Times New Roman" w:hAnsi="Times New Roman" w:cs="Times New Roman"/>
          <w:sz w:val="24"/>
          <w:szCs w:val="24"/>
        </w:rPr>
        <w:t xml:space="preserve">nummer maakt SMS+ (variant 1) gebruik van een applicatie die in contact staat met de DigiD-server. De DigiD-server stuurt een SMS naar het opgegeven </w:t>
      </w:r>
      <w:r w:rsidR="00436FB0">
        <w:rPr>
          <w:rFonts w:ascii="Times New Roman" w:hAnsi="Times New Roman" w:cs="Times New Roman"/>
          <w:sz w:val="24"/>
          <w:szCs w:val="24"/>
        </w:rPr>
        <w:t xml:space="preserve">mo-biel </w:t>
      </w:r>
      <w:r w:rsidRPr="00D147A7">
        <w:rPr>
          <w:rFonts w:ascii="Times New Roman" w:hAnsi="Times New Roman" w:cs="Times New Roman"/>
          <w:sz w:val="24"/>
          <w:szCs w:val="24"/>
        </w:rPr>
        <w:t>nummer, dat bij DigiD aan het burgersevicenummer van de desbetreffende persoon ge</w:t>
      </w:r>
      <w:r w:rsidR="00436FB0">
        <w:rPr>
          <w:rFonts w:ascii="Times New Roman" w:hAnsi="Times New Roman" w:cs="Times New Roman"/>
          <w:sz w:val="24"/>
          <w:szCs w:val="24"/>
        </w:rPr>
        <w:t>-</w:t>
      </w:r>
      <w:r w:rsidRPr="00D147A7">
        <w:rPr>
          <w:rFonts w:ascii="Times New Roman" w:hAnsi="Times New Roman" w:cs="Times New Roman"/>
          <w:sz w:val="24"/>
          <w:szCs w:val="24"/>
        </w:rPr>
        <w:t>koppeld is. Deze SMS bevat een specifieke (eenmalige) code, die ook in de applicatie ver</w:t>
      </w:r>
      <w:r w:rsidR="00436FB0">
        <w:rPr>
          <w:rFonts w:ascii="Times New Roman" w:hAnsi="Times New Roman" w:cs="Times New Roman"/>
          <w:sz w:val="24"/>
          <w:szCs w:val="24"/>
        </w:rPr>
        <w:t>-</w:t>
      </w:r>
      <w:r w:rsidRPr="00D147A7">
        <w:rPr>
          <w:rFonts w:ascii="Times New Roman" w:hAnsi="Times New Roman" w:cs="Times New Roman"/>
          <w:sz w:val="24"/>
          <w:szCs w:val="24"/>
        </w:rPr>
        <w:t xml:space="preserve">schijnt. De baliemedewerker controleert op het scherm van de </w:t>
      </w:r>
      <w:r w:rsidR="00436FB0">
        <w:rPr>
          <w:rFonts w:ascii="Times New Roman" w:hAnsi="Times New Roman" w:cs="Times New Roman"/>
          <w:sz w:val="24"/>
          <w:szCs w:val="24"/>
        </w:rPr>
        <w:t>mobiele telefoon</w:t>
      </w:r>
      <w:r w:rsidRPr="00D147A7">
        <w:rPr>
          <w:rFonts w:ascii="Times New Roman" w:hAnsi="Times New Roman" w:cs="Times New Roman"/>
          <w:sz w:val="24"/>
          <w:szCs w:val="24"/>
        </w:rPr>
        <w:t xml:space="preserve"> </w:t>
      </w:r>
      <w:r w:rsidR="00436FB0">
        <w:rPr>
          <w:rFonts w:ascii="Times New Roman" w:hAnsi="Times New Roman" w:cs="Times New Roman"/>
          <w:sz w:val="24"/>
          <w:szCs w:val="24"/>
        </w:rPr>
        <w:t>of</w:t>
      </w:r>
      <w:r w:rsidRPr="00D147A7">
        <w:rPr>
          <w:rFonts w:ascii="Times New Roman" w:hAnsi="Times New Roman" w:cs="Times New Roman"/>
          <w:sz w:val="24"/>
          <w:szCs w:val="24"/>
        </w:rPr>
        <w:t xml:space="preserve"> de juiste code binnengekomen is en geeft via de applicatie aan dat dit telefoonnummer gevalideerd is. De uitvoering van het identificatie- en verificatieproces door de betreffende baliemedewerker wordt in de applicatie geregistreerd. Door deze SMS-authenticatie krijgt de patiënt een hoger zekerheidsniveau.</w:t>
      </w:r>
    </w:p>
    <w:p w:rsidR="009931C7" w:rsidRPr="00D147A7" w:rsidRDefault="009931C7" w:rsidP="009931C7">
      <w:pPr>
        <w:pStyle w:val="Geenafstand"/>
        <w:jc w:val="both"/>
        <w:rPr>
          <w:rFonts w:ascii="Times New Roman" w:hAnsi="Times New Roman" w:cs="Times New Roman"/>
          <w:sz w:val="24"/>
          <w:szCs w:val="24"/>
        </w:rPr>
      </w:pPr>
      <w:r w:rsidRPr="00436FB0">
        <w:rPr>
          <w:rFonts w:ascii="Times New Roman" w:hAnsi="Times New Roman" w:cs="Times New Roman"/>
          <w:i/>
          <w:sz w:val="24"/>
          <w:szCs w:val="24"/>
        </w:rPr>
        <w:t>Remote Travel Document Authentication</w:t>
      </w:r>
      <w:r w:rsidR="00436FB0">
        <w:rPr>
          <w:rFonts w:ascii="Times New Roman" w:hAnsi="Times New Roman" w:cs="Times New Roman"/>
          <w:sz w:val="24"/>
          <w:szCs w:val="24"/>
        </w:rPr>
        <w:t xml:space="preserve"> (RTDA</w:t>
      </w:r>
      <w:r w:rsidRPr="00D147A7">
        <w:rPr>
          <w:rFonts w:ascii="Times New Roman" w:hAnsi="Times New Roman" w:cs="Times New Roman"/>
          <w:sz w:val="24"/>
          <w:szCs w:val="24"/>
        </w:rPr>
        <w:t xml:space="preserve">) is eveneens op DigiD gebaseerd, maar wordt </w:t>
      </w:r>
      <w:r w:rsidR="00436FB0">
        <w:rPr>
          <w:rFonts w:ascii="Times New Roman" w:hAnsi="Times New Roman" w:cs="Times New Roman"/>
          <w:sz w:val="24"/>
          <w:szCs w:val="24"/>
        </w:rPr>
        <w:t xml:space="preserve">aangevuld </w:t>
      </w:r>
      <w:r w:rsidRPr="00D147A7">
        <w:rPr>
          <w:rFonts w:ascii="Times New Roman" w:hAnsi="Times New Roman" w:cs="Times New Roman"/>
          <w:sz w:val="24"/>
          <w:szCs w:val="24"/>
        </w:rPr>
        <w:t xml:space="preserve">met </w:t>
      </w:r>
      <w:r w:rsidR="00436FB0">
        <w:rPr>
          <w:rFonts w:ascii="Times New Roman" w:hAnsi="Times New Roman" w:cs="Times New Roman"/>
          <w:sz w:val="24"/>
          <w:szCs w:val="24"/>
        </w:rPr>
        <w:t xml:space="preserve">de </w:t>
      </w:r>
      <w:r w:rsidRPr="00D147A7">
        <w:rPr>
          <w:rFonts w:ascii="Times New Roman" w:hAnsi="Times New Roman" w:cs="Times New Roman"/>
          <w:sz w:val="24"/>
          <w:szCs w:val="24"/>
        </w:rPr>
        <w:t xml:space="preserve">authenticatie </w:t>
      </w:r>
      <w:r w:rsidR="00436FB0">
        <w:rPr>
          <w:rFonts w:ascii="Times New Roman" w:hAnsi="Times New Roman" w:cs="Times New Roman"/>
          <w:sz w:val="24"/>
          <w:szCs w:val="24"/>
        </w:rPr>
        <w:t>via</w:t>
      </w:r>
      <w:r w:rsidRPr="00D147A7">
        <w:rPr>
          <w:rFonts w:ascii="Times New Roman" w:hAnsi="Times New Roman" w:cs="Times New Roman"/>
          <w:sz w:val="24"/>
          <w:szCs w:val="24"/>
        </w:rPr>
        <w:t xml:space="preserve"> elektronische reisdocument</w:t>
      </w:r>
      <w:r w:rsidR="00436FB0">
        <w:rPr>
          <w:rFonts w:ascii="Times New Roman" w:hAnsi="Times New Roman" w:cs="Times New Roman"/>
          <w:sz w:val="24"/>
          <w:szCs w:val="24"/>
        </w:rPr>
        <w:t>en</w:t>
      </w:r>
      <w:r w:rsidRPr="00D147A7">
        <w:rPr>
          <w:rFonts w:ascii="Times New Roman" w:hAnsi="Times New Roman" w:cs="Times New Roman"/>
          <w:sz w:val="24"/>
          <w:szCs w:val="24"/>
        </w:rPr>
        <w:t xml:space="preserve"> d</w:t>
      </w:r>
      <w:r w:rsidR="00436FB0">
        <w:rPr>
          <w:rFonts w:ascii="Times New Roman" w:hAnsi="Times New Roman" w:cs="Times New Roman"/>
          <w:sz w:val="24"/>
          <w:szCs w:val="24"/>
        </w:rPr>
        <w:t>ie</w:t>
      </w:r>
      <w:r w:rsidRPr="00D147A7">
        <w:rPr>
          <w:rFonts w:ascii="Times New Roman" w:hAnsi="Times New Roman" w:cs="Times New Roman"/>
          <w:sz w:val="24"/>
          <w:szCs w:val="24"/>
        </w:rPr>
        <w:t xml:space="preserve"> </w:t>
      </w:r>
      <w:r w:rsidR="00436FB0">
        <w:rPr>
          <w:rFonts w:ascii="Times New Roman" w:hAnsi="Times New Roman" w:cs="Times New Roman"/>
          <w:sz w:val="24"/>
          <w:szCs w:val="24"/>
        </w:rPr>
        <w:t>sinds</w:t>
      </w:r>
      <w:r w:rsidRPr="00D147A7">
        <w:rPr>
          <w:rFonts w:ascii="Times New Roman" w:hAnsi="Times New Roman" w:cs="Times New Roman"/>
          <w:sz w:val="24"/>
          <w:szCs w:val="24"/>
        </w:rPr>
        <w:t xml:space="preserve"> 26 augustus 2006 </w:t>
      </w:r>
      <w:r w:rsidR="00436FB0">
        <w:rPr>
          <w:rFonts w:ascii="Times New Roman" w:hAnsi="Times New Roman" w:cs="Times New Roman"/>
          <w:sz w:val="24"/>
          <w:szCs w:val="24"/>
        </w:rPr>
        <w:t xml:space="preserve">worden </w:t>
      </w:r>
      <w:r w:rsidRPr="00D147A7">
        <w:rPr>
          <w:rFonts w:ascii="Times New Roman" w:hAnsi="Times New Roman" w:cs="Times New Roman"/>
          <w:sz w:val="24"/>
          <w:szCs w:val="24"/>
        </w:rPr>
        <w:t>uitgereikt.</w:t>
      </w:r>
      <w:r w:rsidRPr="00D147A7">
        <w:rPr>
          <w:rStyle w:val="Voetnootmarkering"/>
          <w:rFonts w:ascii="Times New Roman" w:hAnsi="Times New Roman" w:cs="Times New Roman"/>
          <w:sz w:val="24"/>
          <w:szCs w:val="24"/>
        </w:rPr>
        <w:footnoteReference w:id="626"/>
      </w:r>
      <w:r w:rsidRPr="00D147A7">
        <w:rPr>
          <w:rFonts w:ascii="Times New Roman" w:hAnsi="Times New Roman" w:cs="Times New Roman"/>
          <w:sz w:val="24"/>
          <w:szCs w:val="24"/>
        </w:rPr>
        <w:t xml:space="preserve"> De overheid presenteert het reisdocument</w:t>
      </w:r>
      <w:r w:rsidR="00436FB0">
        <w:rPr>
          <w:rFonts w:ascii="Times New Roman" w:hAnsi="Times New Roman" w:cs="Times New Roman"/>
          <w:sz w:val="24"/>
          <w:szCs w:val="24"/>
        </w:rPr>
        <w:t xml:space="preserve"> –</w:t>
      </w:r>
      <w:r w:rsidRPr="00D147A7">
        <w:rPr>
          <w:rFonts w:ascii="Times New Roman" w:hAnsi="Times New Roman" w:cs="Times New Roman"/>
          <w:sz w:val="24"/>
          <w:szCs w:val="24"/>
        </w:rPr>
        <w:t xml:space="preserve"> i.t.t. de DigiD</w:t>
      </w:r>
      <w:r w:rsidR="00436FB0">
        <w:rPr>
          <w:rFonts w:ascii="Times New Roman" w:hAnsi="Times New Roman" w:cs="Times New Roman"/>
          <w:sz w:val="24"/>
          <w:szCs w:val="24"/>
        </w:rPr>
        <w:t xml:space="preserve"> –</w:t>
      </w:r>
      <w:r w:rsidRPr="00D147A7">
        <w:rPr>
          <w:rFonts w:ascii="Times New Roman" w:hAnsi="Times New Roman" w:cs="Times New Roman"/>
          <w:sz w:val="24"/>
          <w:szCs w:val="24"/>
        </w:rPr>
        <w:t xml:space="preserve"> als een zeer waardevol iets: het moet persoonlijk aangevraagd en opgehaald worden</w:t>
      </w:r>
      <w:r w:rsidR="00436FB0">
        <w:rPr>
          <w:rFonts w:ascii="Times New Roman" w:hAnsi="Times New Roman" w:cs="Times New Roman"/>
          <w:sz w:val="24"/>
          <w:szCs w:val="24"/>
        </w:rPr>
        <w:t>;</w:t>
      </w:r>
      <w:r w:rsidRPr="00D147A7">
        <w:rPr>
          <w:rFonts w:ascii="Times New Roman" w:hAnsi="Times New Roman" w:cs="Times New Roman"/>
          <w:sz w:val="24"/>
          <w:szCs w:val="24"/>
        </w:rPr>
        <w:t xml:space="preserve"> het is niet gratis</w:t>
      </w:r>
      <w:r w:rsidR="00436FB0">
        <w:rPr>
          <w:rFonts w:ascii="Times New Roman" w:hAnsi="Times New Roman" w:cs="Times New Roman"/>
          <w:sz w:val="24"/>
          <w:szCs w:val="24"/>
        </w:rPr>
        <w:t>;</w:t>
      </w:r>
      <w:r w:rsidRPr="00D147A7">
        <w:rPr>
          <w:rFonts w:ascii="Times New Roman" w:hAnsi="Times New Roman" w:cs="Times New Roman"/>
          <w:sz w:val="24"/>
          <w:szCs w:val="24"/>
        </w:rPr>
        <w:t xml:space="preserve"> en bij verlies moet een officiële aangifte </w:t>
      </w:r>
      <w:r w:rsidR="00436FB0" w:rsidRPr="00D147A7">
        <w:rPr>
          <w:rFonts w:ascii="Times New Roman" w:hAnsi="Times New Roman" w:cs="Times New Roman"/>
          <w:sz w:val="24"/>
          <w:szCs w:val="24"/>
        </w:rPr>
        <w:t>gedaan worden</w:t>
      </w:r>
      <w:r w:rsidRPr="00D147A7">
        <w:rPr>
          <w:rFonts w:ascii="Times New Roman" w:hAnsi="Times New Roman" w:cs="Times New Roman"/>
          <w:sz w:val="24"/>
          <w:szCs w:val="24"/>
        </w:rPr>
        <w:t>. Hierdoor gaan mensen doorgaans veel zorgvuldiger met h</w:t>
      </w:r>
      <w:r w:rsidR="00436FB0">
        <w:rPr>
          <w:rFonts w:ascii="Times New Roman" w:hAnsi="Times New Roman" w:cs="Times New Roman"/>
          <w:sz w:val="24"/>
          <w:szCs w:val="24"/>
        </w:rPr>
        <w:t>et</w:t>
      </w:r>
      <w:r w:rsidRPr="00D147A7">
        <w:rPr>
          <w:rFonts w:ascii="Times New Roman" w:hAnsi="Times New Roman" w:cs="Times New Roman"/>
          <w:sz w:val="24"/>
          <w:szCs w:val="24"/>
        </w:rPr>
        <w:t xml:space="preserve"> reisdocument </w:t>
      </w:r>
      <w:r w:rsidR="00436FB0" w:rsidRPr="00D147A7">
        <w:rPr>
          <w:rFonts w:ascii="Times New Roman" w:hAnsi="Times New Roman" w:cs="Times New Roman"/>
          <w:sz w:val="24"/>
          <w:szCs w:val="24"/>
        </w:rPr>
        <w:t xml:space="preserve">om </w:t>
      </w:r>
      <w:r w:rsidRPr="00D147A7">
        <w:rPr>
          <w:rFonts w:ascii="Times New Roman" w:hAnsi="Times New Roman" w:cs="Times New Roman"/>
          <w:sz w:val="24"/>
          <w:szCs w:val="24"/>
        </w:rPr>
        <w:t>dan met hun DigiD. Reisdocumenten zijn vijf jaar geldig, waardoor de niet-elektronische reisdocumenten pas in 2011 volledig uit omloop ver</w:t>
      </w:r>
      <w:r w:rsidR="00436FB0">
        <w:rPr>
          <w:rFonts w:ascii="Times New Roman" w:hAnsi="Times New Roman" w:cs="Times New Roman"/>
          <w:sz w:val="24"/>
          <w:szCs w:val="24"/>
        </w:rPr>
        <w:t>-</w:t>
      </w:r>
      <w:r w:rsidRPr="00D147A7">
        <w:rPr>
          <w:rFonts w:ascii="Times New Roman" w:hAnsi="Times New Roman" w:cs="Times New Roman"/>
          <w:sz w:val="24"/>
          <w:szCs w:val="24"/>
        </w:rPr>
        <w:t xml:space="preserve">dwenen </w:t>
      </w:r>
      <w:r w:rsidR="00436FB0">
        <w:rPr>
          <w:rFonts w:ascii="Times New Roman" w:hAnsi="Times New Roman" w:cs="Times New Roman"/>
          <w:sz w:val="24"/>
          <w:szCs w:val="24"/>
        </w:rPr>
        <w:t>zijn</w:t>
      </w:r>
      <w:r w:rsidRPr="00D147A7">
        <w:rPr>
          <w:rFonts w:ascii="Times New Roman" w:hAnsi="Times New Roman" w:cs="Times New Roman"/>
          <w:sz w:val="24"/>
          <w:szCs w:val="24"/>
        </w:rPr>
        <w:t xml:space="preserve">. Om toegang tot </w:t>
      </w:r>
      <w:r w:rsidR="00436FB0">
        <w:rPr>
          <w:rFonts w:ascii="Times New Roman" w:hAnsi="Times New Roman" w:cs="Times New Roman"/>
          <w:sz w:val="24"/>
          <w:szCs w:val="24"/>
        </w:rPr>
        <w:t>het</w:t>
      </w:r>
      <w:r w:rsidRPr="00D147A7">
        <w:rPr>
          <w:rFonts w:ascii="Times New Roman" w:hAnsi="Times New Roman" w:cs="Times New Roman"/>
          <w:sz w:val="24"/>
          <w:szCs w:val="24"/>
        </w:rPr>
        <w:t xml:space="preserve"> Landelijk EPD te krijgen, moet de patiënt zich op een daar</w:t>
      </w:r>
      <w:r w:rsidR="00436FB0">
        <w:rPr>
          <w:rFonts w:ascii="Times New Roman" w:hAnsi="Times New Roman" w:cs="Times New Roman"/>
          <w:sz w:val="24"/>
          <w:szCs w:val="24"/>
        </w:rPr>
        <w:t>-</w:t>
      </w:r>
      <w:r w:rsidRPr="00D147A7">
        <w:rPr>
          <w:rFonts w:ascii="Times New Roman" w:hAnsi="Times New Roman" w:cs="Times New Roman"/>
          <w:sz w:val="24"/>
          <w:szCs w:val="24"/>
        </w:rPr>
        <w:t>toe bestemde webpagina aanmelden. Vervolgens wordt (de browser van) deze persoon auto</w:t>
      </w:r>
      <w:r w:rsidR="00436FB0">
        <w:rPr>
          <w:rFonts w:ascii="Times New Roman" w:hAnsi="Times New Roman" w:cs="Times New Roman"/>
          <w:sz w:val="24"/>
          <w:szCs w:val="24"/>
        </w:rPr>
        <w:t>-</w:t>
      </w:r>
      <w:r w:rsidRPr="00D147A7">
        <w:rPr>
          <w:rFonts w:ascii="Times New Roman" w:hAnsi="Times New Roman" w:cs="Times New Roman"/>
          <w:sz w:val="24"/>
          <w:szCs w:val="24"/>
        </w:rPr>
        <w:t>matisch naar de DigiD-server</w:t>
      </w:r>
      <w:r w:rsidR="00436FB0" w:rsidRPr="00436FB0">
        <w:rPr>
          <w:rFonts w:ascii="Times New Roman" w:hAnsi="Times New Roman" w:cs="Times New Roman"/>
          <w:sz w:val="24"/>
          <w:szCs w:val="24"/>
        </w:rPr>
        <w:t xml:space="preserve"> </w:t>
      </w:r>
      <w:r w:rsidR="00436FB0" w:rsidRPr="00D147A7">
        <w:rPr>
          <w:rFonts w:ascii="Times New Roman" w:hAnsi="Times New Roman" w:cs="Times New Roman"/>
          <w:sz w:val="24"/>
          <w:szCs w:val="24"/>
        </w:rPr>
        <w:t>doorgestuurd</w:t>
      </w:r>
      <w:r w:rsidRPr="00D147A7">
        <w:rPr>
          <w:rFonts w:ascii="Times New Roman" w:hAnsi="Times New Roman" w:cs="Times New Roman"/>
          <w:sz w:val="24"/>
          <w:szCs w:val="24"/>
        </w:rPr>
        <w:t xml:space="preserve">, waar een ‘ticket’ </w:t>
      </w:r>
      <w:r w:rsidR="00436FB0" w:rsidRPr="00D147A7">
        <w:rPr>
          <w:rFonts w:ascii="Times New Roman" w:hAnsi="Times New Roman" w:cs="Times New Roman"/>
          <w:sz w:val="24"/>
          <w:szCs w:val="24"/>
        </w:rPr>
        <w:t xml:space="preserve">verzocht </w:t>
      </w:r>
      <w:r w:rsidRPr="00D147A7">
        <w:rPr>
          <w:rFonts w:ascii="Times New Roman" w:hAnsi="Times New Roman" w:cs="Times New Roman"/>
          <w:sz w:val="24"/>
          <w:szCs w:val="24"/>
        </w:rPr>
        <w:t>wordt (zekerheids</w:t>
      </w:r>
      <w:r w:rsidR="00436FB0">
        <w:rPr>
          <w:rFonts w:ascii="Times New Roman" w:hAnsi="Times New Roman" w:cs="Times New Roman"/>
          <w:sz w:val="24"/>
          <w:szCs w:val="24"/>
        </w:rPr>
        <w:t>-</w:t>
      </w:r>
      <w:r w:rsidRPr="00D147A7">
        <w:rPr>
          <w:rFonts w:ascii="Times New Roman" w:hAnsi="Times New Roman" w:cs="Times New Roman"/>
          <w:sz w:val="24"/>
          <w:szCs w:val="24"/>
        </w:rPr>
        <w:t>niveau 2½). Eerst logt de patiënt via zijn</w:t>
      </w:r>
      <w:r w:rsidR="00436FB0">
        <w:rPr>
          <w:rFonts w:ascii="Times New Roman" w:hAnsi="Times New Roman" w:cs="Times New Roman"/>
          <w:sz w:val="24"/>
          <w:szCs w:val="24"/>
        </w:rPr>
        <w:t xml:space="preserve"> of haar</w:t>
      </w:r>
      <w:r w:rsidRPr="00D147A7">
        <w:rPr>
          <w:rFonts w:ascii="Times New Roman" w:hAnsi="Times New Roman" w:cs="Times New Roman"/>
          <w:sz w:val="24"/>
          <w:szCs w:val="24"/>
        </w:rPr>
        <w:t xml:space="preserve"> gebruikersnaam en SMS-authenticatie in (zekerheidsniveau 2). Vervolgens wordt de patiënt op de DigiD-site verzocht om zijn</w:t>
      </w:r>
      <w:r w:rsidR="00436FB0">
        <w:rPr>
          <w:rFonts w:ascii="Times New Roman" w:hAnsi="Times New Roman" w:cs="Times New Roman"/>
          <w:sz w:val="24"/>
          <w:szCs w:val="24"/>
        </w:rPr>
        <w:t xml:space="preserve"> of haar</w:t>
      </w:r>
      <w:r w:rsidRPr="00D147A7">
        <w:rPr>
          <w:rFonts w:ascii="Times New Roman" w:hAnsi="Times New Roman" w:cs="Times New Roman"/>
          <w:sz w:val="24"/>
          <w:szCs w:val="24"/>
        </w:rPr>
        <w:t xml:space="preserve"> identiteitskaart op een kaartlezer te leggen en om het nummer en de geldigheidsdatum van het document op de webpagina in te vullen. De DigiD-server communiceert dan met de chip in het reisdocument, controleert de echtheid ervan en gaat via het burgerservicenummer na of de identiteit van de houder van het reisdocument overeen</w:t>
      </w:r>
      <w:r w:rsidR="00436FB0">
        <w:rPr>
          <w:rFonts w:ascii="Times New Roman" w:hAnsi="Times New Roman" w:cs="Times New Roman"/>
          <w:sz w:val="24"/>
          <w:szCs w:val="24"/>
        </w:rPr>
        <w:t>stem</w:t>
      </w:r>
      <w:r w:rsidRPr="00D147A7">
        <w:rPr>
          <w:rFonts w:ascii="Times New Roman" w:hAnsi="Times New Roman" w:cs="Times New Roman"/>
          <w:sz w:val="24"/>
          <w:szCs w:val="24"/>
        </w:rPr>
        <w:t xml:space="preserve">t met de identiteit van de persoon die zich reeds met zijn </w:t>
      </w:r>
      <w:r w:rsidR="00436FB0">
        <w:rPr>
          <w:rFonts w:ascii="Times New Roman" w:hAnsi="Times New Roman" w:cs="Times New Roman"/>
          <w:sz w:val="24"/>
          <w:szCs w:val="24"/>
        </w:rPr>
        <w:t xml:space="preserve">of haar </w:t>
      </w:r>
      <w:r w:rsidRPr="00D147A7">
        <w:rPr>
          <w:rFonts w:ascii="Times New Roman" w:hAnsi="Times New Roman" w:cs="Times New Roman"/>
          <w:sz w:val="24"/>
          <w:szCs w:val="24"/>
        </w:rPr>
        <w:t>gebruikersnaam en SMS-authenticatie heeft ingelogd. Als dat het geval is, wordt de betreffende persoon door de DigiD-server met een valide ‘ticket’ terug naar de oorspronkelijke website verwezen en kan het Landelijk EPD geraadpleegd worden.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Toch zijn deze oplossingen niet </w:t>
      </w:r>
      <w:r w:rsidR="00436FB0">
        <w:rPr>
          <w:rFonts w:ascii="Times New Roman" w:hAnsi="Times New Roman" w:cs="Times New Roman"/>
          <w:sz w:val="24"/>
          <w:szCs w:val="24"/>
        </w:rPr>
        <w:t>meteen</w:t>
      </w:r>
      <w:r w:rsidRPr="00D147A7">
        <w:rPr>
          <w:rFonts w:ascii="Times New Roman" w:hAnsi="Times New Roman" w:cs="Times New Roman"/>
          <w:sz w:val="24"/>
          <w:szCs w:val="24"/>
        </w:rPr>
        <w:t xml:space="preserve"> </w:t>
      </w:r>
      <w:r w:rsidR="00436FB0">
        <w:rPr>
          <w:rFonts w:ascii="Times New Roman" w:hAnsi="Times New Roman" w:cs="Times New Roman"/>
          <w:sz w:val="24"/>
          <w:szCs w:val="24"/>
        </w:rPr>
        <w:t>uitvoerbaar</w:t>
      </w:r>
      <w:r w:rsidRPr="00D147A7">
        <w:rPr>
          <w:rFonts w:ascii="Times New Roman" w:hAnsi="Times New Roman" w:cs="Times New Roman"/>
          <w:sz w:val="24"/>
          <w:szCs w:val="24"/>
        </w:rPr>
        <w:t xml:space="preserve"> omdat </w:t>
      </w:r>
      <w:r w:rsidR="00436FB0">
        <w:rPr>
          <w:rFonts w:ascii="Times New Roman" w:hAnsi="Times New Roman" w:cs="Times New Roman"/>
          <w:sz w:val="24"/>
          <w:szCs w:val="24"/>
        </w:rPr>
        <w:t>hier</w:t>
      </w:r>
      <w:r w:rsidRPr="00D147A7">
        <w:rPr>
          <w:rFonts w:ascii="Times New Roman" w:hAnsi="Times New Roman" w:cs="Times New Roman"/>
          <w:sz w:val="24"/>
          <w:szCs w:val="24"/>
        </w:rPr>
        <w:t xml:space="preserve"> geavanceerde programmatuur, procedures en controle-instanties </w:t>
      </w:r>
      <w:r w:rsidR="00436FB0">
        <w:rPr>
          <w:rFonts w:ascii="Times New Roman" w:hAnsi="Times New Roman" w:cs="Times New Roman"/>
          <w:sz w:val="24"/>
          <w:szCs w:val="24"/>
        </w:rPr>
        <w:t xml:space="preserve">voor </w:t>
      </w:r>
      <w:r w:rsidRPr="00D147A7">
        <w:rPr>
          <w:rFonts w:ascii="Times New Roman" w:hAnsi="Times New Roman" w:cs="Times New Roman"/>
          <w:sz w:val="24"/>
          <w:szCs w:val="24"/>
        </w:rPr>
        <w:t>vereis</w:t>
      </w:r>
      <w:r w:rsidR="00436FB0">
        <w:rPr>
          <w:rFonts w:ascii="Times New Roman" w:hAnsi="Times New Roman" w:cs="Times New Roman"/>
          <w:sz w:val="24"/>
          <w:szCs w:val="24"/>
        </w:rPr>
        <w:t>t zijn</w:t>
      </w:r>
      <w:r w:rsidRPr="00D147A7">
        <w:rPr>
          <w:rFonts w:ascii="Times New Roman" w:hAnsi="Times New Roman" w:cs="Times New Roman"/>
          <w:sz w:val="24"/>
          <w:szCs w:val="24"/>
        </w:rPr>
        <w:t xml:space="preserve">. </w:t>
      </w:r>
      <w:r w:rsidR="00436FB0">
        <w:rPr>
          <w:rFonts w:ascii="Times New Roman" w:hAnsi="Times New Roman" w:cs="Times New Roman"/>
          <w:sz w:val="24"/>
          <w:szCs w:val="24"/>
        </w:rPr>
        <w:t>Omdat</w:t>
      </w:r>
      <w:r w:rsidRPr="00D147A7">
        <w:rPr>
          <w:rFonts w:ascii="Times New Roman" w:hAnsi="Times New Roman" w:cs="Times New Roman"/>
          <w:sz w:val="24"/>
          <w:szCs w:val="24"/>
        </w:rPr>
        <w:t xml:space="preserve"> </w:t>
      </w:r>
      <w:r w:rsidR="00436FB0">
        <w:rPr>
          <w:rFonts w:ascii="Times New Roman" w:hAnsi="Times New Roman" w:cs="Times New Roman"/>
          <w:sz w:val="24"/>
          <w:szCs w:val="24"/>
        </w:rPr>
        <w:t xml:space="preserve">het </w:t>
      </w:r>
      <w:r w:rsidRPr="00D147A7">
        <w:rPr>
          <w:rFonts w:ascii="Times New Roman" w:hAnsi="Times New Roman" w:cs="Times New Roman"/>
          <w:sz w:val="24"/>
          <w:szCs w:val="24"/>
        </w:rPr>
        <w:t xml:space="preserve">niet ondenkbaar </w:t>
      </w:r>
      <w:r w:rsidR="00436FB0">
        <w:rPr>
          <w:rFonts w:ascii="Times New Roman" w:hAnsi="Times New Roman" w:cs="Times New Roman"/>
          <w:sz w:val="24"/>
          <w:szCs w:val="24"/>
        </w:rPr>
        <w:t xml:space="preserve">is </w:t>
      </w:r>
      <w:r w:rsidRPr="00D147A7">
        <w:rPr>
          <w:rFonts w:ascii="Times New Roman" w:hAnsi="Times New Roman" w:cs="Times New Roman"/>
          <w:sz w:val="24"/>
          <w:szCs w:val="24"/>
        </w:rPr>
        <w:t>dat de super</w:t>
      </w:r>
      <w:r w:rsidR="00436FB0">
        <w:rPr>
          <w:rFonts w:ascii="Times New Roman" w:hAnsi="Times New Roman" w:cs="Times New Roman"/>
          <w:sz w:val="24"/>
          <w:szCs w:val="24"/>
        </w:rPr>
        <w:t>-</w:t>
      </w:r>
      <w:r w:rsidRPr="00D147A7">
        <w:rPr>
          <w:rFonts w:ascii="Times New Roman" w:hAnsi="Times New Roman" w:cs="Times New Roman"/>
          <w:sz w:val="24"/>
          <w:szCs w:val="24"/>
        </w:rPr>
        <w:t>ieure authenticatiemiddelen (</w:t>
      </w:r>
      <w:r w:rsidR="00436FB0">
        <w:rPr>
          <w:rFonts w:ascii="Times New Roman" w:hAnsi="Times New Roman" w:cs="Times New Roman"/>
          <w:sz w:val="24"/>
          <w:szCs w:val="24"/>
        </w:rPr>
        <w:t xml:space="preserve">i.e. </w:t>
      </w:r>
      <w:r w:rsidRPr="00D147A7">
        <w:rPr>
          <w:rFonts w:ascii="Times New Roman" w:hAnsi="Times New Roman" w:cs="Times New Roman"/>
          <w:sz w:val="24"/>
          <w:szCs w:val="24"/>
        </w:rPr>
        <w:t xml:space="preserve">de elektronische identiteitskaart en het elektronisch rijbewijs) tegen dan reeds ingevoerd </w:t>
      </w:r>
      <w:r w:rsidR="00436FB0">
        <w:rPr>
          <w:rFonts w:ascii="Times New Roman" w:hAnsi="Times New Roman" w:cs="Times New Roman"/>
          <w:sz w:val="24"/>
          <w:szCs w:val="24"/>
        </w:rPr>
        <w:t xml:space="preserve">zullen </w:t>
      </w:r>
      <w:r w:rsidRPr="00D147A7">
        <w:rPr>
          <w:rFonts w:ascii="Times New Roman" w:hAnsi="Times New Roman" w:cs="Times New Roman"/>
          <w:sz w:val="24"/>
          <w:szCs w:val="24"/>
        </w:rPr>
        <w:t>zijn</w:t>
      </w:r>
      <w:r w:rsidR="00436FB0">
        <w:rPr>
          <w:rFonts w:ascii="Times New Roman" w:hAnsi="Times New Roman" w:cs="Times New Roman"/>
          <w:sz w:val="24"/>
          <w:szCs w:val="24"/>
        </w:rPr>
        <w:t>,</w:t>
      </w:r>
      <w:r w:rsidRPr="00D147A7">
        <w:rPr>
          <w:rFonts w:ascii="Times New Roman" w:hAnsi="Times New Roman" w:cs="Times New Roman"/>
          <w:sz w:val="24"/>
          <w:szCs w:val="24"/>
        </w:rPr>
        <w:t xml:space="preserve"> investeerde Ab Klink in de ontwikkeling van </w:t>
      </w:r>
      <w:r w:rsidR="00523401">
        <w:rPr>
          <w:rFonts w:ascii="Times New Roman" w:hAnsi="Times New Roman" w:cs="Times New Roman"/>
          <w:sz w:val="24"/>
          <w:szCs w:val="24"/>
        </w:rPr>
        <w:t>het</w:t>
      </w:r>
      <w:r w:rsidRPr="00D147A7">
        <w:rPr>
          <w:rFonts w:ascii="Times New Roman" w:hAnsi="Times New Roman" w:cs="Times New Roman"/>
          <w:sz w:val="24"/>
          <w:szCs w:val="24"/>
        </w:rPr>
        <w:t xml:space="preserve"> EPD-DigiD, een nieuwe vorm van DigiD op basis van SMS-authenticatie en een </w:t>
      </w:r>
      <w:r w:rsidRPr="00523401">
        <w:rPr>
          <w:rFonts w:ascii="Times New Roman" w:hAnsi="Times New Roman" w:cs="Times New Roman"/>
          <w:i/>
          <w:sz w:val="24"/>
          <w:szCs w:val="24"/>
        </w:rPr>
        <w:t>face-to-face</w:t>
      </w:r>
      <w:r w:rsidRPr="00D147A7">
        <w:rPr>
          <w:rFonts w:ascii="Times New Roman" w:hAnsi="Times New Roman" w:cs="Times New Roman"/>
          <w:sz w:val="24"/>
          <w:szCs w:val="24"/>
        </w:rPr>
        <w:t xml:space="preserve"> uit</w:t>
      </w:r>
      <w:r w:rsidR="00523401">
        <w:rPr>
          <w:rFonts w:ascii="Times New Roman" w:hAnsi="Times New Roman" w:cs="Times New Roman"/>
          <w:sz w:val="24"/>
          <w:szCs w:val="24"/>
        </w:rPr>
        <w:t>-</w:t>
      </w:r>
      <w:r w:rsidRPr="00D147A7">
        <w:rPr>
          <w:rFonts w:ascii="Times New Roman" w:hAnsi="Times New Roman" w:cs="Times New Roman"/>
          <w:sz w:val="24"/>
          <w:szCs w:val="24"/>
        </w:rPr>
        <w:t>gifteproces</w:t>
      </w:r>
      <w:r w:rsidR="00523401">
        <w:rPr>
          <w:rFonts w:ascii="Times New Roman" w:hAnsi="Times New Roman" w:cs="Times New Roman"/>
          <w:sz w:val="24"/>
          <w:szCs w:val="24"/>
        </w:rPr>
        <w:t>.</w:t>
      </w:r>
      <w:r w:rsidRPr="00D147A7">
        <w:rPr>
          <w:rFonts w:ascii="Times New Roman" w:hAnsi="Times New Roman" w:cs="Times New Roman"/>
          <w:sz w:val="24"/>
          <w:szCs w:val="24"/>
        </w:rPr>
        <w:t xml:space="preserve"> </w:t>
      </w:r>
      <w:r w:rsidR="00523401">
        <w:rPr>
          <w:rFonts w:ascii="Times New Roman" w:hAnsi="Times New Roman" w:cs="Times New Roman"/>
          <w:sz w:val="24"/>
          <w:szCs w:val="24"/>
        </w:rPr>
        <w:t xml:space="preserve">Er moet m.a.w. eerst contact opgenomen worden met </w:t>
      </w:r>
      <w:r w:rsidRPr="00D147A7">
        <w:rPr>
          <w:rFonts w:ascii="Times New Roman" w:hAnsi="Times New Roman" w:cs="Times New Roman"/>
          <w:sz w:val="24"/>
          <w:szCs w:val="24"/>
        </w:rPr>
        <w:t>de balie van de DigiD al</w:t>
      </w:r>
      <w:r w:rsidR="00523401">
        <w:rPr>
          <w:rFonts w:ascii="Times New Roman" w:hAnsi="Times New Roman" w:cs="Times New Roman"/>
          <w:sz w:val="24"/>
          <w:szCs w:val="24"/>
        </w:rPr>
        <w:t>-</w:t>
      </w:r>
      <w:r w:rsidRPr="00D147A7">
        <w:rPr>
          <w:rFonts w:ascii="Times New Roman" w:hAnsi="Times New Roman" w:cs="Times New Roman"/>
          <w:sz w:val="24"/>
          <w:szCs w:val="24"/>
        </w:rPr>
        <w:t xml:space="preserve">vorens een burger zijn </w:t>
      </w:r>
      <w:r w:rsidR="00523401">
        <w:rPr>
          <w:rFonts w:ascii="Times New Roman" w:hAnsi="Times New Roman" w:cs="Times New Roman"/>
          <w:sz w:val="24"/>
          <w:szCs w:val="24"/>
        </w:rPr>
        <w:t xml:space="preserve">of haar </w:t>
      </w:r>
      <w:r w:rsidRPr="00D147A7">
        <w:rPr>
          <w:rFonts w:ascii="Times New Roman" w:hAnsi="Times New Roman" w:cs="Times New Roman"/>
          <w:sz w:val="24"/>
          <w:szCs w:val="24"/>
        </w:rPr>
        <w:t>landelijk EPD kan raadp</w:t>
      </w:r>
      <w:r w:rsidR="00523401">
        <w:rPr>
          <w:rFonts w:ascii="Times New Roman" w:hAnsi="Times New Roman" w:cs="Times New Roman"/>
          <w:sz w:val="24"/>
          <w:szCs w:val="24"/>
        </w:rPr>
        <w:t>legen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27"/>
      </w:r>
      <w:r w:rsidRPr="00D147A7">
        <w:rPr>
          <w:rFonts w:ascii="Times New Roman" w:hAnsi="Times New Roman" w:cs="Times New Roman"/>
          <w:sz w:val="24"/>
          <w:szCs w:val="24"/>
        </w:rPr>
        <w:t xml:space="preserve"> De versleuteling van GSM (en SMS)-verkeer maakt gebruik van het A5/1 algoritme, dat evenwel kwetsbaar bevonden werd. Opnieuw deed het Ministerie van Volksgezondheid beroep op PriceWaterhouseCoopers </w:t>
      </w:r>
      <w:r w:rsidRPr="00D147A7">
        <w:rPr>
          <w:rFonts w:ascii="Times New Roman" w:hAnsi="Times New Roman" w:cs="Times New Roman"/>
          <w:sz w:val="24"/>
          <w:szCs w:val="24"/>
        </w:rPr>
        <w:lastRenderedPageBreak/>
        <w:t>om de verschillende mogelijkheden aan elkaar te toetsen. Onderzocht werden: de versterkte encryptie van het GSM- en SMS-verkeer (door telecommunicatie operators te verplichten om versleutelingsstandaard A5/3, de opvolger van standaard A5/1, toe te passen); de elektro</w:t>
      </w:r>
      <w:r w:rsidR="00523401">
        <w:rPr>
          <w:rFonts w:ascii="Times New Roman" w:hAnsi="Times New Roman" w:cs="Times New Roman"/>
          <w:sz w:val="24"/>
          <w:szCs w:val="24"/>
        </w:rPr>
        <w:t>-</w:t>
      </w:r>
      <w:r w:rsidRPr="00D147A7">
        <w:rPr>
          <w:rFonts w:ascii="Times New Roman" w:hAnsi="Times New Roman" w:cs="Times New Roman"/>
          <w:sz w:val="24"/>
          <w:szCs w:val="24"/>
        </w:rPr>
        <w:t xml:space="preserve">nische identiteitskaart; het elektronisch rijbewijs; het reisdocument voorzien van RTDA; een persoonlijke conversietabel voor SMS-codes; </w:t>
      </w:r>
      <w:r w:rsidRPr="00523401">
        <w:rPr>
          <w:rFonts w:ascii="Times New Roman" w:hAnsi="Times New Roman" w:cs="Times New Roman"/>
          <w:i/>
          <w:sz w:val="24"/>
          <w:szCs w:val="24"/>
        </w:rPr>
        <w:t>Transaction Authentication Number</w:t>
      </w:r>
      <w:r w:rsidRPr="00D147A7">
        <w:rPr>
          <w:rFonts w:ascii="Times New Roman" w:hAnsi="Times New Roman" w:cs="Times New Roman"/>
          <w:sz w:val="24"/>
          <w:szCs w:val="24"/>
        </w:rPr>
        <w:t xml:space="preserve"> (TAN)-codelijsten; </w:t>
      </w:r>
      <w:r w:rsidR="00523401">
        <w:rPr>
          <w:rFonts w:ascii="Times New Roman" w:hAnsi="Times New Roman" w:cs="Times New Roman"/>
          <w:sz w:val="24"/>
          <w:szCs w:val="24"/>
        </w:rPr>
        <w:t xml:space="preserve">en </w:t>
      </w:r>
      <w:r w:rsidRPr="00D147A7">
        <w:rPr>
          <w:rFonts w:ascii="Times New Roman" w:hAnsi="Times New Roman" w:cs="Times New Roman"/>
          <w:sz w:val="24"/>
          <w:szCs w:val="24"/>
        </w:rPr>
        <w:t>de versterking van DigiD-wachtwoorden.</w:t>
      </w:r>
      <w:r w:rsidRPr="00D147A7">
        <w:rPr>
          <w:rStyle w:val="Voetnootmarkering"/>
          <w:rFonts w:ascii="Times New Roman" w:hAnsi="Times New Roman" w:cs="Times New Roman"/>
          <w:color w:val="000000"/>
          <w:sz w:val="24"/>
          <w:szCs w:val="24"/>
        </w:rPr>
        <w:footnoteReference w:id="628"/>
      </w:r>
      <w:r w:rsidRPr="00D147A7">
        <w:rPr>
          <w:rFonts w:ascii="Times New Roman" w:hAnsi="Times New Roman" w:cs="Times New Roman"/>
          <w:sz w:val="24"/>
          <w:szCs w:val="24"/>
        </w:rPr>
        <w:t xml:space="preserve"> De conversietabel </w:t>
      </w:r>
      <w:r w:rsidR="00523401">
        <w:rPr>
          <w:rFonts w:ascii="Times New Roman" w:hAnsi="Times New Roman" w:cs="Times New Roman"/>
          <w:sz w:val="24"/>
          <w:szCs w:val="24"/>
        </w:rPr>
        <w:t>kwam als</w:t>
      </w:r>
      <w:r w:rsidRPr="00D147A7">
        <w:rPr>
          <w:rFonts w:ascii="Times New Roman" w:hAnsi="Times New Roman" w:cs="Times New Roman"/>
          <w:sz w:val="24"/>
          <w:szCs w:val="24"/>
        </w:rPr>
        <w:t xml:space="preserve"> meest realistische oplossing</w:t>
      </w:r>
      <w:r w:rsidR="00523401">
        <w:rPr>
          <w:rFonts w:ascii="Times New Roman" w:hAnsi="Times New Roman" w:cs="Times New Roman"/>
          <w:sz w:val="24"/>
          <w:szCs w:val="24"/>
        </w:rPr>
        <w:t xml:space="preserve"> uit de bus</w:t>
      </w:r>
      <w:r w:rsidRPr="00D147A7">
        <w:rPr>
          <w:rFonts w:ascii="Times New Roman" w:hAnsi="Times New Roman" w:cs="Times New Roman"/>
          <w:sz w:val="24"/>
          <w:szCs w:val="24"/>
        </w:rPr>
        <w:t xml:space="preserve">. Iedere patiënt kan aan de hand van zijn </w:t>
      </w:r>
      <w:r w:rsidR="00523401">
        <w:rPr>
          <w:rFonts w:ascii="Times New Roman" w:hAnsi="Times New Roman" w:cs="Times New Roman"/>
          <w:sz w:val="24"/>
          <w:szCs w:val="24"/>
        </w:rPr>
        <w:t xml:space="preserve">of haar </w:t>
      </w:r>
      <w:r w:rsidRPr="00D147A7">
        <w:rPr>
          <w:rFonts w:ascii="Times New Roman" w:hAnsi="Times New Roman" w:cs="Times New Roman"/>
          <w:sz w:val="24"/>
          <w:szCs w:val="24"/>
        </w:rPr>
        <w:t>persoonlijke tabel de karakters van de ontvangen SMS-codes omzetten naar de code die op de DigiD-web</w:t>
      </w:r>
      <w:r w:rsidR="00523401">
        <w:rPr>
          <w:rFonts w:ascii="Times New Roman" w:hAnsi="Times New Roman" w:cs="Times New Roman"/>
          <w:sz w:val="24"/>
          <w:szCs w:val="24"/>
        </w:rPr>
        <w:t>-</w:t>
      </w:r>
      <w:r w:rsidRPr="00D147A7">
        <w:rPr>
          <w:rFonts w:ascii="Times New Roman" w:hAnsi="Times New Roman" w:cs="Times New Roman"/>
          <w:sz w:val="24"/>
          <w:szCs w:val="24"/>
        </w:rPr>
        <w:t>site ingevoerd moet worden.</w:t>
      </w:r>
      <w:r w:rsidRPr="00D147A7">
        <w:rPr>
          <w:rStyle w:val="Voetnootmarkering"/>
          <w:rFonts w:ascii="Times New Roman" w:hAnsi="Times New Roman" w:cs="Times New Roman"/>
          <w:color w:val="000000"/>
          <w:sz w:val="24"/>
          <w:szCs w:val="24"/>
        </w:rPr>
        <w:footnoteReference w:id="629"/>
      </w:r>
      <w:r w:rsidRPr="00D147A7">
        <w:rPr>
          <w:rFonts w:ascii="Times New Roman" w:hAnsi="Times New Roman" w:cs="Times New Roman"/>
          <w:sz w:val="24"/>
          <w:szCs w:val="24"/>
        </w:rPr>
        <w:t xml:space="preserve"> Zo, bijvoorbeeld, kan de SMS-code Q-9-G-M-Z-C-3-U in toe</w:t>
      </w:r>
      <w:r w:rsidR="00523401">
        <w:rPr>
          <w:rFonts w:ascii="Times New Roman" w:hAnsi="Times New Roman" w:cs="Times New Roman"/>
          <w:sz w:val="24"/>
          <w:szCs w:val="24"/>
        </w:rPr>
        <w:t>-</w:t>
      </w:r>
      <w:r w:rsidRPr="00D147A7">
        <w:rPr>
          <w:rFonts w:ascii="Times New Roman" w:hAnsi="Times New Roman" w:cs="Times New Roman"/>
          <w:sz w:val="24"/>
          <w:szCs w:val="24"/>
        </w:rPr>
        <w:t>passing van onderstaande conversietabel omgezet worden naar 6-b-g-k-w-r-f-5.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fldChar w:fldCharType="begin"/>
      </w:r>
      <w:r w:rsidRPr="00D147A7">
        <w:rPr>
          <w:rFonts w:ascii="Times New Roman" w:hAnsi="Times New Roman" w:cs="Times New Roman"/>
          <w:sz w:val="24"/>
          <w:szCs w:val="24"/>
        </w:rPr>
        <w:instrText xml:space="preserve"> LINK Excel.Sheet.12 Map1 Blad1!R2K3:R3K33 \a \f 4 \h  \* MERGEFORMAT </w:instrText>
      </w:r>
      <w:r w:rsidRPr="00D147A7">
        <w:rPr>
          <w:rFonts w:ascii="Times New Roman" w:hAnsi="Times New Roman" w:cs="Times New Roman"/>
          <w:sz w:val="24"/>
          <w:szCs w:val="24"/>
        </w:rPr>
        <w:fldChar w:fldCharType="separate"/>
      </w:r>
    </w:p>
    <w:tbl>
      <w:tblPr>
        <w:tblW w:w="7280" w:type="dxa"/>
        <w:tblInd w:w="70" w:type="dxa"/>
        <w:tblCellMar>
          <w:left w:w="70" w:type="dxa"/>
          <w:right w:w="70" w:type="dxa"/>
        </w:tblCellMar>
        <w:tblLook w:val="04A0" w:firstRow="1" w:lastRow="0" w:firstColumn="1" w:lastColumn="0" w:noHBand="0" w:noVBand="1"/>
      </w:tblPr>
      <w:tblGrid>
        <w:gridCol w:w="313"/>
        <w:gridCol w:w="300"/>
        <w:gridCol w:w="300"/>
        <w:gridCol w:w="313"/>
        <w:gridCol w:w="286"/>
        <w:gridCol w:w="273"/>
        <w:gridCol w:w="313"/>
        <w:gridCol w:w="313"/>
        <w:gridCol w:w="233"/>
        <w:gridCol w:w="313"/>
        <w:gridCol w:w="353"/>
        <w:gridCol w:w="314"/>
        <w:gridCol w:w="274"/>
        <w:gridCol w:w="314"/>
        <w:gridCol w:w="301"/>
        <w:gridCol w:w="326"/>
        <w:gridCol w:w="287"/>
        <w:gridCol w:w="314"/>
        <w:gridCol w:w="314"/>
        <w:gridCol w:w="366"/>
        <w:gridCol w:w="314"/>
        <w:gridCol w:w="314"/>
        <w:gridCol w:w="314"/>
        <w:gridCol w:w="260"/>
        <w:gridCol w:w="260"/>
        <w:gridCol w:w="260"/>
        <w:gridCol w:w="260"/>
        <w:gridCol w:w="260"/>
        <w:gridCol w:w="260"/>
        <w:gridCol w:w="260"/>
        <w:gridCol w:w="260"/>
      </w:tblGrid>
      <w:tr w:rsidR="009931C7" w:rsidRPr="00D147A7" w:rsidTr="004721B1">
        <w:trPr>
          <w:trHeight w:val="315"/>
        </w:trPr>
        <w:tc>
          <w:tcPr>
            <w:tcW w:w="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A</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B</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C</w:t>
            </w:r>
          </w:p>
        </w:tc>
        <w:tc>
          <w:tcPr>
            <w:tcW w:w="24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D</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E</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F</w:t>
            </w:r>
          </w:p>
        </w:tc>
        <w:tc>
          <w:tcPr>
            <w:tcW w:w="24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G</w:t>
            </w:r>
          </w:p>
        </w:tc>
        <w:tc>
          <w:tcPr>
            <w:tcW w:w="24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H</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J</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K</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M</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N</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P</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Q</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R</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S</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T</w:t>
            </w:r>
          </w:p>
        </w:tc>
        <w:tc>
          <w:tcPr>
            <w:tcW w:w="24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U</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V</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W</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X</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Y</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Z</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2</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3</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4</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5</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6</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7</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8</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9</w:t>
            </w:r>
          </w:p>
        </w:tc>
      </w:tr>
      <w:tr w:rsidR="009931C7" w:rsidRPr="00D147A7" w:rsidTr="004721B1">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p</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q</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r</w:t>
            </w:r>
          </w:p>
        </w:tc>
        <w:tc>
          <w:tcPr>
            <w:tcW w:w="24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4</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y</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3</w:t>
            </w:r>
          </w:p>
        </w:tc>
        <w:tc>
          <w:tcPr>
            <w:tcW w:w="24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g</w:t>
            </w:r>
          </w:p>
        </w:tc>
        <w:tc>
          <w:tcPr>
            <w:tcW w:w="24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9</w:t>
            </w:r>
          </w:p>
        </w:tc>
        <w:tc>
          <w:tcPr>
            <w:tcW w:w="20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s</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8</w:t>
            </w:r>
          </w:p>
        </w:tc>
        <w:tc>
          <w:tcPr>
            <w:tcW w:w="28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k</w:t>
            </w:r>
          </w:p>
        </w:tc>
        <w:tc>
          <w:tcPr>
            <w:tcW w:w="26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t</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4</w:t>
            </w:r>
          </w:p>
        </w:tc>
        <w:tc>
          <w:tcPr>
            <w:tcW w:w="26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6</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7</w:t>
            </w:r>
          </w:p>
        </w:tc>
        <w:tc>
          <w:tcPr>
            <w:tcW w:w="28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m</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a</w:t>
            </w:r>
          </w:p>
        </w:tc>
        <w:tc>
          <w:tcPr>
            <w:tcW w:w="24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5</w:t>
            </w:r>
          </w:p>
        </w:tc>
        <w:tc>
          <w:tcPr>
            <w:tcW w:w="26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N</w:t>
            </w:r>
          </w:p>
        </w:tc>
        <w:tc>
          <w:tcPr>
            <w:tcW w:w="30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h</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2</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j</w:t>
            </w:r>
          </w:p>
        </w:tc>
        <w:tc>
          <w:tcPr>
            <w:tcW w:w="28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w</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x</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f</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e</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z</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v</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u</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c</w:t>
            </w:r>
          </w:p>
        </w:tc>
        <w:tc>
          <w:tcPr>
            <w:tcW w:w="22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sz w:val="24"/>
                <w:szCs w:val="24"/>
                <w:lang w:eastAsia="nl-BE"/>
              </w:rPr>
            </w:pPr>
            <w:r w:rsidRPr="00D147A7">
              <w:rPr>
                <w:rFonts w:ascii="Times New Roman" w:eastAsia="Times New Roman" w:hAnsi="Times New Roman" w:cs="Times New Roman"/>
                <w:sz w:val="24"/>
                <w:szCs w:val="24"/>
                <w:lang w:eastAsia="nl-BE"/>
              </w:rPr>
              <w:t>b</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Tabel 7: Voorbeeld van een conversietabel</w:t>
      </w:r>
      <w:r w:rsidRPr="00D147A7">
        <w:rPr>
          <w:rStyle w:val="Voetnootmarkering"/>
          <w:rFonts w:ascii="Times New Roman" w:hAnsi="Times New Roman" w:cs="Times New Roman"/>
          <w:color w:val="000000"/>
          <w:sz w:val="24"/>
          <w:szCs w:val="24"/>
        </w:rPr>
        <w:footnoteReference w:id="630"/>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Zoals reeds werd vermeld, riep de Eerste Kamer in 2011 de invoering van het Landelijk EPD een halt toe. Tegelijkertijd werd evenwel een motie aanvaard om de gegevensuitwisseling op regionaal niveau te standaardiseren. Opnieuw werd PriceWaterhouseCoopers verzocht om de mogelijkheden te onderzoeken waarmee een elektronische sleutel gerealiseerd kan worden, zodat patiënten hun rechten m.b.t. het patiëntendossier kunnen uitoefenen.</w:t>
      </w:r>
      <w:r w:rsidRPr="00D147A7">
        <w:rPr>
          <w:rStyle w:val="Voetnootmarkering"/>
          <w:rFonts w:ascii="Times New Roman" w:hAnsi="Times New Roman" w:cs="Times New Roman"/>
          <w:color w:val="000000"/>
          <w:sz w:val="24"/>
          <w:szCs w:val="24"/>
        </w:rPr>
        <w:footnoteReference w:id="631"/>
      </w:r>
      <w:r w:rsidRPr="00D147A7">
        <w:rPr>
          <w:rFonts w:ascii="Times New Roman" w:hAnsi="Times New Roman" w:cs="Times New Roman"/>
          <w:sz w:val="24"/>
          <w:szCs w:val="24"/>
        </w:rPr>
        <w:t xml:space="preserve"> De elektronische sleutel is </w:t>
      </w:r>
      <w:r w:rsidR="00523401">
        <w:rPr>
          <w:rFonts w:ascii="Times New Roman" w:hAnsi="Times New Roman" w:cs="Times New Roman"/>
          <w:sz w:val="24"/>
          <w:szCs w:val="24"/>
        </w:rPr>
        <w:t xml:space="preserve">zowel </w:t>
      </w:r>
      <w:r w:rsidRPr="00D147A7">
        <w:rPr>
          <w:rFonts w:ascii="Times New Roman" w:hAnsi="Times New Roman" w:cs="Times New Roman"/>
          <w:sz w:val="24"/>
          <w:szCs w:val="24"/>
        </w:rPr>
        <w:t xml:space="preserve">een toegangsmiddel </w:t>
      </w:r>
      <w:r w:rsidR="00523401">
        <w:rPr>
          <w:rFonts w:ascii="Times New Roman" w:hAnsi="Times New Roman" w:cs="Times New Roman"/>
          <w:sz w:val="24"/>
          <w:szCs w:val="24"/>
        </w:rPr>
        <w:t>als een toegangs</w:t>
      </w:r>
      <w:r w:rsidRPr="00D147A7">
        <w:rPr>
          <w:rFonts w:ascii="Times New Roman" w:hAnsi="Times New Roman" w:cs="Times New Roman"/>
          <w:sz w:val="24"/>
          <w:szCs w:val="24"/>
        </w:rPr>
        <w:t>methode. Het toegangsmiddel is een identificatie- en authenticatiemiddel dat patiënten moeten gebruiken om de toegangsmethode toe te kunnen passen. De toegangsmethode is de wijze waarop patiënt</w:t>
      </w:r>
      <w:r w:rsidR="00523401">
        <w:rPr>
          <w:rFonts w:ascii="Times New Roman" w:hAnsi="Times New Roman" w:cs="Times New Roman"/>
          <w:sz w:val="24"/>
          <w:szCs w:val="24"/>
        </w:rPr>
        <w:t>en</w:t>
      </w:r>
      <w:r w:rsidRPr="00D147A7">
        <w:rPr>
          <w:rFonts w:ascii="Times New Roman" w:hAnsi="Times New Roman" w:cs="Times New Roman"/>
          <w:sz w:val="24"/>
          <w:szCs w:val="24"/>
        </w:rPr>
        <w:t xml:space="preserve"> </w:t>
      </w:r>
      <w:r w:rsidR="00523401">
        <w:rPr>
          <w:rFonts w:ascii="Times New Roman" w:hAnsi="Times New Roman" w:cs="Times New Roman"/>
          <w:sz w:val="24"/>
          <w:szCs w:val="24"/>
        </w:rPr>
        <w:t>de</w:t>
      </w:r>
      <w:r w:rsidRPr="00D147A7">
        <w:rPr>
          <w:rFonts w:ascii="Times New Roman" w:hAnsi="Times New Roman" w:cs="Times New Roman"/>
          <w:sz w:val="24"/>
          <w:szCs w:val="24"/>
        </w:rPr>
        <w:t xml:space="preserve"> digitale versie van het </w:t>
      </w:r>
      <w:r w:rsidR="00523401">
        <w:rPr>
          <w:rFonts w:ascii="Times New Roman" w:hAnsi="Times New Roman" w:cs="Times New Roman"/>
          <w:sz w:val="24"/>
          <w:szCs w:val="24"/>
        </w:rPr>
        <w:t>hen betreffende</w:t>
      </w:r>
      <w:r w:rsidRPr="00D147A7">
        <w:rPr>
          <w:rFonts w:ascii="Times New Roman" w:hAnsi="Times New Roman" w:cs="Times New Roman"/>
          <w:sz w:val="24"/>
          <w:szCs w:val="24"/>
        </w:rPr>
        <w:t xml:space="preserve"> patiëntendossier k</w:t>
      </w:r>
      <w:r w:rsidR="00523401">
        <w:rPr>
          <w:rFonts w:ascii="Times New Roman" w:hAnsi="Times New Roman" w:cs="Times New Roman"/>
          <w:sz w:val="24"/>
          <w:szCs w:val="24"/>
        </w:rPr>
        <w:t>unnen inzien en opslaan</w:t>
      </w:r>
      <w:r w:rsidRPr="00D147A7">
        <w:rPr>
          <w:rFonts w:ascii="Times New Roman" w:hAnsi="Times New Roman" w:cs="Times New Roman"/>
          <w:sz w:val="24"/>
          <w:szCs w:val="24"/>
        </w:rPr>
        <w:t xml:space="preserve"> en vervolgens </w:t>
      </w:r>
      <w:r w:rsidR="00523401">
        <w:rPr>
          <w:rFonts w:ascii="Times New Roman" w:hAnsi="Times New Roman" w:cs="Times New Roman"/>
          <w:sz w:val="24"/>
          <w:szCs w:val="24"/>
        </w:rPr>
        <w:t>de</w:t>
      </w:r>
      <w:r w:rsidRPr="00D147A7">
        <w:rPr>
          <w:rFonts w:ascii="Times New Roman" w:hAnsi="Times New Roman" w:cs="Times New Roman"/>
          <w:sz w:val="24"/>
          <w:szCs w:val="24"/>
        </w:rPr>
        <w:t xml:space="preserve"> overige patiëntenrechten in </w:t>
      </w:r>
      <w:r w:rsidR="00523401">
        <w:rPr>
          <w:rFonts w:ascii="Times New Roman" w:hAnsi="Times New Roman" w:cs="Times New Roman"/>
          <w:sz w:val="24"/>
          <w:szCs w:val="24"/>
        </w:rPr>
        <w:t xml:space="preserve">de </w:t>
      </w:r>
      <w:r w:rsidRPr="00D147A7">
        <w:rPr>
          <w:rFonts w:ascii="Times New Roman" w:hAnsi="Times New Roman" w:cs="Times New Roman"/>
          <w:sz w:val="24"/>
          <w:szCs w:val="24"/>
        </w:rPr>
        <w:t xml:space="preserve">praktijk kan brengen. De toegangsmiddelen en –methodes kunnen in verschillende combinaties voorkomen.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sz w:val="24"/>
          <w:szCs w:val="24"/>
          <w:lang w:eastAsia="nl-BE"/>
        </w:rPr>
        <w:drawing>
          <wp:inline distT="0" distB="0" distL="0" distR="0" wp14:anchorId="49CA62FD" wp14:editId="7444555B">
            <wp:extent cx="3730789" cy="1774613"/>
            <wp:effectExtent l="0" t="0" r="3175" b="0"/>
            <wp:docPr id="19" name="Afbeelding 19" descr="C:\Users\Merijn\AppData\Roaming\PixelMetrics\CaptureWiz\Tem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jn\AppData\Roaming\PixelMetrics\CaptureWiz\Temp\2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31113" cy="1774767"/>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14: Referentiekader met eisen waaraan de middelen en methodes voor de toegang van patiënten tot hun dossier moeten voldoen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Drie toegangsmiddelen werden getoetst: de zorgpas, de elektronische identiteitskaart en DigiD Middenvariant met </w:t>
      </w:r>
      <w:r w:rsidRPr="00523401">
        <w:rPr>
          <w:rFonts w:ascii="Times New Roman" w:hAnsi="Times New Roman" w:cs="Times New Roman"/>
          <w:i/>
          <w:sz w:val="24"/>
          <w:szCs w:val="24"/>
        </w:rPr>
        <w:t>face-to-face</w:t>
      </w:r>
      <w:r w:rsidRPr="00D147A7">
        <w:rPr>
          <w:rFonts w:ascii="Times New Roman" w:hAnsi="Times New Roman" w:cs="Times New Roman"/>
          <w:sz w:val="24"/>
          <w:szCs w:val="24"/>
        </w:rPr>
        <w:t xml:space="preserve"> uitgifte van een activatiecode, aan te vullen met een conversietabel. Zowel de zorgpas als de elektronische identiteitskaart voldoen aan alle eisen, maar kunnen niet op korte termijn ingevoerd worden</w:t>
      </w:r>
      <w:r w:rsidR="00523401">
        <w:rPr>
          <w:rFonts w:ascii="Times New Roman" w:hAnsi="Times New Roman" w:cs="Times New Roman"/>
          <w:sz w:val="24"/>
          <w:szCs w:val="24"/>
        </w:rPr>
        <w:t>, onder meer wegens het gebrek</w:t>
      </w:r>
      <w:r w:rsidRPr="00D147A7">
        <w:rPr>
          <w:rFonts w:ascii="Times New Roman" w:hAnsi="Times New Roman" w:cs="Times New Roman"/>
          <w:sz w:val="24"/>
          <w:szCs w:val="24"/>
        </w:rPr>
        <w:t xml:space="preserve"> </w:t>
      </w:r>
      <w:r w:rsidR="00523401">
        <w:rPr>
          <w:rFonts w:ascii="Times New Roman" w:hAnsi="Times New Roman" w:cs="Times New Roman"/>
          <w:sz w:val="24"/>
          <w:szCs w:val="24"/>
        </w:rPr>
        <w:t>aan</w:t>
      </w:r>
      <w:r w:rsidRPr="00D147A7">
        <w:rPr>
          <w:rFonts w:ascii="Times New Roman" w:hAnsi="Times New Roman" w:cs="Times New Roman"/>
          <w:sz w:val="24"/>
          <w:szCs w:val="24"/>
        </w:rPr>
        <w:t xml:space="preserve"> </w:t>
      </w:r>
      <w:r w:rsidR="00523401">
        <w:rPr>
          <w:rFonts w:ascii="Times New Roman" w:hAnsi="Times New Roman" w:cs="Times New Roman"/>
          <w:sz w:val="24"/>
          <w:szCs w:val="24"/>
        </w:rPr>
        <w:t>de nodige</w:t>
      </w:r>
      <w:r w:rsidRPr="00D147A7">
        <w:rPr>
          <w:rFonts w:ascii="Times New Roman" w:hAnsi="Times New Roman" w:cs="Times New Roman"/>
          <w:sz w:val="24"/>
          <w:szCs w:val="24"/>
        </w:rPr>
        <w:t xml:space="preserve"> infrastructuur. Naast de lange implementatieperiode, moet voor beide toegangsmid</w:t>
      </w:r>
      <w:r w:rsidR="00523401">
        <w:rPr>
          <w:rFonts w:ascii="Times New Roman" w:hAnsi="Times New Roman" w:cs="Times New Roman"/>
          <w:sz w:val="24"/>
          <w:szCs w:val="24"/>
        </w:rPr>
        <w:t>-</w:t>
      </w:r>
      <w:r w:rsidRPr="00D147A7">
        <w:rPr>
          <w:rFonts w:ascii="Times New Roman" w:hAnsi="Times New Roman" w:cs="Times New Roman"/>
          <w:sz w:val="24"/>
          <w:szCs w:val="24"/>
        </w:rPr>
        <w:t xml:space="preserve">delen een kaartlezer ontwikkeld worden.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DigiD Middenvariant met </w:t>
      </w:r>
      <w:r w:rsidRPr="00523401">
        <w:rPr>
          <w:rFonts w:ascii="Times New Roman" w:hAnsi="Times New Roman" w:cs="Times New Roman"/>
          <w:i/>
          <w:sz w:val="24"/>
          <w:szCs w:val="24"/>
        </w:rPr>
        <w:t>face-to-face</w:t>
      </w:r>
      <w:r w:rsidRPr="00D147A7">
        <w:rPr>
          <w:rFonts w:ascii="Times New Roman" w:hAnsi="Times New Roman" w:cs="Times New Roman"/>
          <w:sz w:val="24"/>
          <w:szCs w:val="24"/>
        </w:rPr>
        <w:t xml:space="preserve"> uitgifte van een activatiecode, aan te vullen met een conversietabel voldoet ook</w:t>
      </w:r>
      <w:r w:rsidR="00523401">
        <w:rPr>
          <w:rFonts w:ascii="Times New Roman" w:hAnsi="Times New Roman" w:cs="Times New Roman"/>
          <w:sz w:val="24"/>
          <w:szCs w:val="24"/>
        </w:rPr>
        <w:t xml:space="preserve"> –</w:t>
      </w:r>
      <w:r w:rsidRPr="00D147A7">
        <w:rPr>
          <w:rFonts w:ascii="Times New Roman" w:hAnsi="Times New Roman" w:cs="Times New Roman"/>
          <w:sz w:val="24"/>
          <w:szCs w:val="24"/>
        </w:rPr>
        <w:t xml:space="preserve"> mits toevoeging van </w:t>
      </w:r>
      <w:r w:rsidR="00523401">
        <w:rPr>
          <w:rFonts w:ascii="Times New Roman" w:hAnsi="Times New Roman" w:cs="Times New Roman"/>
          <w:sz w:val="24"/>
          <w:szCs w:val="24"/>
        </w:rPr>
        <w:t xml:space="preserve">een </w:t>
      </w:r>
      <w:r w:rsidRPr="00D147A7">
        <w:rPr>
          <w:rFonts w:ascii="Times New Roman" w:hAnsi="Times New Roman" w:cs="Times New Roman"/>
          <w:sz w:val="24"/>
          <w:szCs w:val="24"/>
        </w:rPr>
        <w:t>beperkte functionaliteit</w:t>
      </w:r>
      <w:r w:rsidR="00523401">
        <w:rPr>
          <w:rFonts w:ascii="Times New Roman" w:hAnsi="Times New Roman" w:cs="Times New Roman"/>
          <w:sz w:val="24"/>
          <w:szCs w:val="24"/>
        </w:rPr>
        <w:t xml:space="preserve"> –</w:t>
      </w:r>
      <w:r w:rsidRPr="00D147A7">
        <w:rPr>
          <w:rFonts w:ascii="Times New Roman" w:hAnsi="Times New Roman" w:cs="Times New Roman"/>
          <w:sz w:val="24"/>
          <w:szCs w:val="24"/>
        </w:rPr>
        <w:t xml:space="preserve"> aan alle </w:t>
      </w:r>
      <w:r w:rsidR="00523401">
        <w:rPr>
          <w:rFonts w:ascii="Times New Roman" w:hAnsi="Times New Roman" w:cs="Times New Roman"/>
          <w:sz w:val="24"/>
          <w:szCs w:val="24"/>
        </w:rPr>
        <w:t>ver</w:t>
      </w:r>
      <w:r w:rsidRPr="00D147A7">
        <w:rPr>
          <w:rFonts w:ascii="Times New Roman" w:hAnsi="Times New Roman" w:cs="Times New Roman"/>
          <w:sz w:val="24"/>
          <w:szCs w:val="24"/>
        </w:rPr>
        <w:t>eis</w:t>
      </w:r>
      <w:r w:rsidR="00523401">
        <w:rPr>
          <w:rFonts w:ascii="Times New Roman" w:hAnsi="Times New Roman" w:cs="Times New Roman"/>
          <w:sz w:val="24"/>
          <w:szCs w:val="24"/>
        </w:rPr>
        <w:t>t</w:t>
      </w:r>
      <w:r w:rsidRPr="00D147A7">
        <w:rPr>
          <w:rFonts w:ascii="Times New Roman" w:hAnsi="Times New Roman" w:cs="Times New Roman"/>
          <w:sz w:val="24"/>
          <w:szCs w:val="24"/>
        </w:rPr>
        <w:t xml:space="preserve">en. De extra functionaliteit moet aan patiënten de mogelijkheid bieden om berichten (elektronisch) te ondertekenen, opdat derden inzage in het dossier zouden kunnen hebben. Hiervoor kan </w:t>
      </w:r>
      <w:r w:rsidR="005232E7">
        <w:rPr>
          <w:rFonts w:ascii="Times New Roman" w:hAnsi="Times New Roman" w:cs="Times New Roman"/>
          <w:sz w:val="24"/>
          <w:szCs w:val="24"/>
        </w:rPr>
        <w:t>beroep gedaan</w:t>
      </w:r>
      <w:r w:rsidRPr="00D147A7">
        <w:rPr>
          <w:rFonts w:ascii="Times New Roman" w:hAnsi="Times New Roman" w:cs="Times New Roman"/>
          <w:sz w:val="24"/>
          <w:szCs w:val="24"/>
        </w:rPr>
        <w:t xml:space="preserve"> worden </w:t>
      </w:r>
      <w:r w:rsidR="005232E7">
        <w:rPr>
          <w:rFonts w:ascii="Times New Roman" w:hAnsi="Times New Roman" w:cs="Times New Roman"/>
          <w:sz w:val="24"/>
          <w:szCs w:val="24"/>
        </w:rPr>
        <w:t>op</w:t>
      </w:r>
      <w:r w:rsidRPr="00D147A7">
        <w:rPr>
          <w:rFonts w:ascii="Times New Roman" w:hAnsi="Times New Roman" w:cs="Times New Roman"/>
          <w:sz w:val="24"/>
          <w:szCs w:val="24"/>
        </w:rPr>
        <w:t xml:space="preserve"> de zorgpas en/of de elektronische identiteitskaart. Omdat de DigiD Middenvariant van de bestaande en in opbouw zijnde infrastructuur gebruik maakt, moeten er niet veel investeringen gemaakt worden en kan dit toegangsmiddel op rela</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tief korte termijn </w:t>
      </w:r>
      <w:r w:rsidR="005232E7">
        <w:rPr>
          <w:rFonts w:ascii="Times New Roman" w:hAnsi="Times New Roman" w:cs="Times New Roman"/>
          <w:sz w:val="24"/>
          <w:szCs w:val="24"/>
        </w:rPr>
        <w:t>benut worden</w:t>
      </w:r>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Daarnaast zijn er verschillende toegangsmethoden: de directe toegang van patiënten tot hun digitaal patiëntdossier; </w:t>
      </w:r>
      <w:r w:rsidR="005232E7">
        <w:rPr>
          <w:rFonts w:ascii="Times New Roman" w:hAnsi="Times New Roman" w:cs="Times New Roman"/>
          <w:sz w:val="24"/>
          <w:szCs w:val="24"/>
        </w:rPr>
        <w:t xml:space="preserve">de </w:t>
      </w:r>
      <w:r w:rsidRPr="00D147A7">
        <w:rPr>
          <w:rFonts w:ascii="Times New Roman" w:hAnsi="Times New Roman" w:cs="Times New Roman"/>
          <w:sz w:val="24"/>
          <w:szCs w:val="24"/>
        </w:rPr>
        <w:t>indirecte toegang via een portaal die door een derde partij beheerd wordt; digitale medische dagboeken; en de opslag van gezondheidsgegevens op een persoon</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lijke gegevensdrager (van de patiënt).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Digitale medische dagboeken – websites waarop patiënten zelf gegevens kunnen invoeren en bijhouden – zijn geen geschikte toegangsmethode daar ze doorgaans niet aan de informatie</w:t>
      </w:r>
      <w:r w:rsidR="005232E7">
        <w:rPr>
          <w:rFonts w:ascii="Times New Roman" w:hAnsi="Times New Roman" w:cs="Times New Roman"/>
          <w:sz w:val="24"/>
          <w:szCs w:val="24"/>
        </w:rPr>
        <w:t>-</w:t>
      </w:r>
      <w:r w:rsidRPr="00D147A7">
        <w:rPr>
          <w:rFonts w:ascii="Times New Roman" w:hAnsi="Times New Roman" w:cs="Times New Roman"/>
          <w:sz w:val="24"/>
          <w:szCs w:val="24"/>
        </w:rPr>
        <w:t>systemen van zorgverleners gekoppeld zijn.</w:t>
      </w:r>
      <w:r w:rsidRPr="00D147A7">
        <w:rPr>
          <w:rStyle w:val="Voetnootmarkering"/>
          <w:rFonts w:ascii="Times New Roman" w:hAnsi="Times New Roman" w:cs="Times New Roman"/>
          <w:color w:val="000000"/>
          <w:sz w:val="24"/>
          <w:szCs w:val="24"/>
        </w:rPr>
        <w:footnoteReference w:id="632"/>
      </w:r>
      <w:r w:rsidRPr="00D147A7">
        <w:rPr>
          <w:rFonts w:ascii="Times New Roman" w:hAnsi="Times New Roman" w:cs="Times New Roman"/>
          <w:sz w:val="24"/>
          <w:szCs w:val="24"/>
        </w:rPr>
        <w:t xml:space="preserve"> In hun dagboek kunnen patiënten enkel gege</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vens van hun zorgverlener(s) overnemen die zij op papier verkregen hebben.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Wanneer gezondheidsgegevens op een USB-stick, een </w:t>
      </w:r>
      <w:r w:rsidRPr="00D147A7">
        <w:rPr>
          <w:rFonts w:ascii="Times New Roman" w:hAnsi="Times New Roman" w:cs="Times New Roman"/>
          <w:i/>
          <w:sz w:val="24"/>
          <w:szCs w:val="24"/>
        </w:rPr>
        <w:t xml:space="preserve">mobile device </w:t>
      </w:r>
      <w:r w:rsidRPr="00D147A7">
        <w:rPr>
          <w:rFonts w:ascii="Times New Roman" w:hAnsi="Times New Roman" w:cs="Times New Roman"/>
          <w:sz w:val="24"/>
          <w:szCs w:val="24"/>
        </w:rPr>
        <w:t xml:space="preserve">(in de vorm van </w:t>
      </w:r>
      <w:r w:rsidRPr="00D147A7">
        <w:rPr>
          <w:rFonts w:ascii="Times New Roman" w:hAnsi="Times New Roman" w:cs="Times New Roman"/>
          <w:i/>
          <w:sz w:val="24"/>
          <w:szCs w:val="24"/>
        </w:rPr>
        <w:t xml:space="preserve">apps </w:t>
      </w:r>
      <w:r w:rsidRPr="00D147A7">
        <w:rPr>
          <w:rFonts w:ascii="Times New Roman" w:hAnsi="Times New Roman" w:cs="Times New Roman"/>
          <w:sz w:val="24"/>
          <w:szCs w:val="24"/>
        </w:rPr>
        <w:t>op</w:t>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tablet-pc’s en smartphones</w:t>
      </w:r>
      <w:r w:rsidRPr="00D147A7">
        <w:rPr>
          <w:rStyle w:val="Voetnootmarkering"/>
          <w:rFonts w:ascii="Times New Roman" w:hAnsi="Times New Roman" w:cs="Times New Roman"/>
          <w:sz w:val="24"/>
          <w:szCs w:val="24"/>
        </w:rPr>
        <w:footnoteReference w:id="633"/>
      </w:r>
      <w:r w:rsidRPr="00D147A7">
        <w:rPr>
          <w:rFonts w:ascii="Times New Roman" w:hAnsi="Times New Roman" w:cs="Times New Roman"/>
          <w:sz w:val="24"/>
          <w:szCs w:val="24"/>
        </w:rPr>
        <w:t>) of een zorgpas (waarop programmatuur aanwezig is) van een patiënt opgeslagen worden, is er evenmin een (continue) verbinding met het informatie</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systeem van de zorgverlener en kunnen de gezondheidsgegevens slechts in beperkte mate </w:t>
      </w:r>
      <w:r w:rsidR="005232E7">
        <w:rPr>
          <w:rFonts w:ascii="Times New Roman" w:hAnsi="Times New Roman" w:cs="Times New Roman"/>
          <w:sz w:val="24"/>
          <w:szCs w:val="24"/>
        </w:rPr>
        <w:t>ge-actualiseerd</w:t>
      </w:r>
      <w:r w:rsidRPr="00D147A7">
        <w:rPr>
          <w:rFonts w:ascii="Times New Roman" w:hAnsi="Times New Roman" w:cs="Times New Roman"/>
          <w:sz w:val="24"/>
          <w:szCs w:val="24"/>
        </w:rPr>
        <w:t xml:space="preserve"> worden.</w:t>
      </w:r>
      <w:r w:rsidRPr="00D147A7">
        <w:rPr>
          <w:rStyle w:val="Voetnootmarkering"/>
          <w:rFonts w:ascii="Times New Roman" w:hAnsi="Times New Roman" w:cs="Times New Roman"/>
          <w:sz w:val="24"/>
          <w:szCs w:val="24"/>
        </w:rPr>
        <w:footnoteReference w:id="634"/>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 een derde toegangsmethode kunnen patiënten toegang krijgen tot hun dossier binnen een gecontroleerde omgeving, zoals een beveiligde portaalsite waarop de gezondheidsgegevens van de zorgverlener ontsloten worden (al dan niet door samenwerking van zorgverleners via een schakelpunt). De verantwoordelijkheid voor de (toegang tot de) gezondheidsgegevens be</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rust in dit geval bij de zorgverlener.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Tot slot kan aan patiënten indirect toegang tot hun dossier verleend worden via een portaalsite die door derde</w:t>
      </w:r>
      <w:r w:rsidR="005232E7">
        <w:rPr>
          <w:rFonts w:ascii="Times New Roman" w:hAnsi="Times New Roman" w:cs="Times New Roman"/>
          <w:sz w:val="24"/>
          <w:szCs w:val="24"/>
        </w:rPr>
        <w:t>n</w:t>
      </w:r>
      <w:r w:rsidRPr="00D147A7">
        <w:rPr>
          <w:rFonts w:ascii="Times New Roman" w:hAnsi="Times New Roman" w:cs="Times New Roman"/>
          <w:sz w:val="24"/>
          <w:szCs w:val="24"/>
        </w:rPr>
        <w:t xml:space="preserve"> (een commerciële onderneming, een zorgverzekeraar of een patiëntenver</w:t>
      </w:r>
      <w:r w:rsidR="005232E7">
        <w:rPr>
          <w:rFonts w:ascii="Times New Roman" w:hAnsi="Times New Roman" w:cs="Times New Roman"/>
          <w:sz w:val="24"/>
          <w:szCs w:val="24"/>
        </w:rPr>
        <w:t>-</w:t>
      </w:r>
      <w:r w:rsidRPr="00D147A7">
        <w:rPr>
          <w:rFonts w:ascii="Times New Roman" w:hAnsi="Times New Roman" w:cs="Times New Roman"/>
          <w:sz w:val="24"/>
          <w:szCs w:val="24"/>
        </w:rPr>
        <w:t>eniging)</w:t>
      </w:r>
      <w:r w:rsidRPr="00D147A7">
        <w:rPr>
          <w:rStyle w:val="Voetnootmarkering"/>
          <w:rFonts w:ascii="Times New Roman" w:hAnsi="Times New Roman" w:cs="Times New Roman"/>
          <w:color w:val="000000"/>
          <w:sz w:val="24"/>
          <w:szCs w:val="24"/>
        </w:rPr>
        <w:t xml:space="preserve"> </w:t>
      </w:r>
      <w:r w:rsidRPr="00D147A7">
        <w:rPr>
          <w:rFonts w:ascii="Times New Roman" w:hAnsi="Times New Roman" w:cs="Times New Roman"/>
          <w:sz w:val="24"/>
          <w:szCs w:val="24"/>
        </w:rPr>
        <w:t>beheerd wordt. Deze derde treedt als intermedi</w:t>
      </w:r>
      <w:r w:rsidR="005232E7">
        <w:rPr>
          <w:rFonts w:ascii="Times New Roman" w:hAnsi="Times New Roman" w:cs="Times New Roman"/>
          <w:sz w:val="24"/>
          <w:szCs w:val="24"/>
        </w:rPr>
        <w:t xml:space="preserve">aire partij tussen zorgverlener en patiënt </w:t>
      </w:r>
      <w:r w:rsidR="005232E7" w:rsidRPr="00D147A7">
        <w:rPr>
          <w:rFonts w:ascii="Times New Roman" w:hAnsi="Times New Roman" w:cs="Times New Roman"/>
          <w:sz w:val="24"/>
          <w:szCs w:val="24"/>
        </w:rPr>
        <w:t>op</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35"/>
      </w:r>
      <w:r w:rsidRPr="00D147A7">
        <w:rPr>
          <w:rFonts w:ascii="Times New Roman" w:hAnsi="Times New Roman" w:cs="Times New Roman"/>
          <w:sz w:val="24"/>
          <w:szCs w:val="24"/>
        </w:rPr>
        <w:t xml:space="preserve"> Op de portaalsite worden gezondheidsgegevens uit de patiëntendossiers van </w:t>
      </w:r>
      <w:r w:rsidRPr="00D147A7">
        <w:rPr>
          <w:rFonts w:ascii="Times New Roman" w:hAnsi="Times New Roman" w:cs="Times New Roman"/>
          <w:sz w:val="24"/>
          <w:szCs w:val="24"/>
        </w:rPr>
        <w:lastRenderedPageBreak/>
        <w:t>individuele zorgverleners verzameld. De verantwoordelijkheid voor de (toegang tot de) ge</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zondheidsgegevens berust bij de derde </w:t>
      </w:r>
      <w:r w:rsidR="005232E7">
        <w:rPr>
          <w:rFonts w:ascii="Times New Roman" w:hAnsi="Times New Roman" w:cs="Times New Roman"/>
          <w:sz w:val="24"/>
          <w:szCs w:val="24"/>
        </w:rPr>
        <w:t xml:space="preserve">partij </w:t>
      </w:r>
      <w:r w:rsidRPr="00D147A7">
        <w:rPr>
          <w:rFonts w:ascii="Times New Roman" w:hAnsi="Times New Roman" w:cs="Times New Roman"/>
          <w:sz w:val="24"/>
          <w:szCs w:val="24"/>
        </w:rPr>
        <w:t>of bij de patiënt. Een voorbeeld van deze indi</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recte toegangsmethode is </w:t>
      </w:r>
      <w:hyperlink r:id="rId89" w:history="1">
        <w:r w:rsidRPr="00D147A7">
          <w:rPr>
            <w:rStyle w:val="Hyperlink"/>
            <w:rFonts w:ascii="Times New Roman" w:hAnsi="Times New Roman" w:cs="Times New Roman"/>
            <w:sz w:val="24"/>
            <w:szCs w:val="24"/>
          </w:rPr>
          <w:t>www.medischegegevens.nl/</w:t>
        </w:r>
      </w:hyperlink>
      <w:r w:rsidRPr="00D147A7">
        <w:rPr>
          <w:rFonts w:ascii="Times New Roman" w:hAnsi="Times New Roman" w:cs="Times New Roman"/>
          <w:sz w:val="24"/>
          <w:szCs w:val="24"/>
        </w:rPr>
        <w:t>. Deze patiëntenportaal verzoekt zieken</w:t>
      </w:r>
      <w:r w:rsidR="005232E7">
        <w:rPr>
          <w:rFonts w:ascii="Times New Roman" w:hAnsi="Times New Roman" w:cs="Times New Roman"/>
          <w:sz w:val="24"/>
          <w:szCs w:val="24"/>
        </w:rPr>
        <w:t>-</w:t>
      </w:r>
      <w:r w:rsidRPr="00D147A7">
        <w:rPr>
          <w:rFonts w:ascii="Times New Roman" w:hAnsi="Times New Roman" w:cs="Times New Roman"/>
          <w:sz w:val="24"/>
          <w:szCs w:val="24"/>
        </w:rPr>
        <w:t xml:space="preserve">huizen in opdracht van patiënten om gezondheidsgegevens online ter beschikking te stellen. Via een beveiligde verbinding kunnen patiënten aan de hand van een beveiligde </w:t>
      </w:r>
      <w:r w:rsidR="005232E7">
        <w:rPr>
          <w:rFonts w:ascii="Times New Roman" w:hAnsi="Times New Roman" w:cs="Times New Roman"/>
          <w:sz w:val="24"/>
          <w:szCs w:val="24"/>
        </w:rPr>
        <w:t>SMS</w:t>
      </w:r>
      <w:r w:rsidRPr="00D147A7">
        <w:rPr>
          <w:rFonts w:ascii="Times New Roman" w:hAnsi="Times New Roman" w:cs="Times New Roman"/>
          <w:sz w:val="24"/>
          <w:szCs w:val="24"/>
        </w:rPr>
        <w:t>-code hun gezondheidsgegevens raadplegen. Het systeem wordt eens per etmaal geactualiseerd.</w:t>
      </w:r>
      <w:r w:rsidRPr="00D147A7">
        <w:rPr>
          <w:rStyle w:val="Voetnootmarkering"/>
          <w:rFonts w:ascii="Times New Roman" w:hAnsi="Times New Roman" w:cs="Times New Roman"/>
          <w:sz w:val="24"/>
          <w:szCs w:val="24"/>
        </w:rPr>
        <w:footnoteReference w:id="636"/>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5232E7" w:rsidP="009931C7">
      <w:pPr>
        <w:pStyle w:val="Geenafstand"/>
        <w:jc w:val="both"/>
        <w:rPr>
          <w:rFonts w:ascii="Times New Roman" w:hAnsi="Times New Roman" w:cs="Times New Roman"/>
          <w:sz w:val="24"/>
          <w:szCs w:val="24"/>
        </w:rPr>
      </w:pPr>
      <w:r>
        <w:rPr>
          <w:rFonts w:ascii="Times New Roman" w:hAnsi="Times New Roman" w:cs="Times New Roman"/>
          <w:sz w:val="24"/>
          <w:szCs w:val="24"/>
        </w:rPr>
        <w:t>Zowel de</w:t>
      </w:r>
      <w:r w:rsidR="009931C7" w:rsidRPr="00D147A7">
        <w:rPr>
          <w:rFonts w:ascii="Times New Roman" w:hAnsi="Times New Roman" w:cs="Times New Roman"/>
          <w:sz w:val="24"/>
          <w:szCs w:val="24"/>
        </w:rPr>
        <w:t xml:space="preserve"> directe </w:t>
      </w:r>
      <w:r>
        <w:rPr>
          <w:rFonts w:ascii="Times New Roman" w:hAnsi="Times New Roman" w:cs="Times New Roman"/>
          <w:sz w:val="24"/>
          <w:szCs w:val="24"/>
        </w:rPr>
        <w:t>als de</w:t>
      </w:r>
      <w:r w:rsidR="009931C7" w:rsidRPr="00D147A7">
        <w:rPr>
          <w:rFonts w:ascii="Times New Roman" w:hAnsi="Times New Roman" w:cs="Times New Roman"/>
          <w:sz w:val="24"/>
          <w:szCs w:val="24"/>
        </w:rPr>
        <w:t xml:space="preserve"> indirect</w:t>
      </w:r>
      <w:r>
        <w:rPr>
          <w:rFonts w:ascii="Times New Roman" w:hAnsi="Times New Roman" w:cs="Times New Roman"/>
          <w:sz w:val="24"/>
          <w:szCs w:val="24"/>
        </w:rPr>
        <w:t>e toegangsmethode</w:t>
      </w:r>
      <w:r w:rsidR="009931C7" w:rsidRPr="00D147A7">
        <w:rPr>
          <w:rFonts w:ascii="Times New Roman" w:hAnsi="Times New Roman" w:cs="Times New Roman"/>
          <w:sz w:val="24"/>
          <w:szCs w:val="24"/>
        </w:rPr>
        <w:t xml:space="preserve"> voldoen aan de eisen uit het referentie</w:t>
      </w:r>
      <w:r>
        <w:rPr>
          <w:rFonts w:ascii="Times New Roman" w:hAnsi="Times New Roman" w:cs="Times New Roman"/>
          <w:sz w:val="24"/>
          <w:szCs w:val="24"/>
        </w:rPr>
        <w:t>-</w:t>
      </w:r>
      <w:r w:rsidR="009931C7" w:rsidRPr="00D147A7">
        <w:rPr>
          <w:rFonts w:ascii="Times New Roman" w:hAnsi="Times New Roman" w:cs="Times New Roman"/>
          <w:sz w:val="24"/>
          <w:szCs w:val="24"/>
        </w:rPr>
        <w:t xml:space="preserve">kader. Het grote voordeel van de directe toegangsmethode is dat patiënten altijd toegang tot de meest recente gegevens hebben en </w:t>
      </w:r>
      <w:r>
        <w:rPr>
          <w:rFonts w:ascii="Times New Roman" w:hAnsi="Times New Roman" w:cs="Times New Roman"/>
          <w:sz w:val="24"/>
          <w:szCs w:val="24"/>
        </w:rPr>
        <w:t xml:space="preserve">zij </w:t>
      </w:r>
      <w:r w:rsidR="009931C7" w:rsidRPr="00D147A7">
        <w:rPr>
          <w:rFonts w:ascii="Times New Roman" w:hAnsi="Times New Roman" w:cs="Times New Roman"/>
          <w:sz w:val="24"/>
          <w:szCs w:val="24"/>
        </w:rPr>
        <w:t>zorgverleners onmiddellijk kunnen verzoeken om hun gegevens te wijzigen of aan te vullen. Maar om een globaal overzicht te bekomen van de eigen gezondheidsgegevens moet de patiënt zich soms op de verschillende portaalsites van in</w:t>
      </w:r>
      <w:r>
        <w:rPr>
          <w:rFonts w:ascii="Times New Roman" w:hAnsi="Times New Roman" w:cs="Times New Roman"/>
          <w:sz w:val="24"/>
          <w:szCs w:val="24"/>
        </w:rPr>
        <w:t>-</w:t>
      </w:r>
      <w:r w:rsidR="009931C7" w:rsidRPr="00D147A7">
        <w:rPr>
          <w:rFonts w:ascii="Times New Roman" w:hAnsi="Times New Roman" w:cs="Times New Roman"/>
          <w:sz w:val="24"/>
          <w:szCs w:val="24"/>
        </w:rPr>
        <w:t xml:space="preserve">dividuele zorgverleners inloggen. Enkel een doorgedreven samenwerking (en </w:t>
      </w:r>
      <w:r>
        <w:rPr>
          <w:rFonts w:ascii="Times New Roman" w:hAnsi="Times New Roman" w:cs="Times New Roman"/>
          <w:sz w:val="24"/>
          <w:szCs w:val="24"/>
        </w:rPr>
        <w:t xml:space="preserve">dus </w:t>
      </w:r>
      <w:r w:rsidR="009931C7" w:rsidRPr="00D147A7">
        <w:rPr>
          <w:rFonts w:ascii="Times New Roman" w:hAnsi="Times New Roman" w:cs="Times New Roman"/>
          <w:sz w:val="24"/>
          <w:szCs w:val="24"/>
        </w:rPr>
        <w:t>een gestan</w:t>
      </w:r>
      <w:r>
        <w:rPr>
          <w:rFonts w:ascii="Times New Roman" w:hAnsi="Times New Roman" w:cs="Times New Roman"/>
          <w:sz w:val="24"/>
          <w:szCs w:val="24"/>
        </w:rPr>
        <w:t>-</w:t>
      </w:r>
      <w:r w:rsidR="009931C7" w:rsidRPr="00D147A7">
        <w:rPr>
          <w:rFonts w:ascii="Times New Roman" w:hAnsi="Times New Roman" w:cs="Times New Roman"/>
          <w:sz w:val="24"/>
          <w:szCs w:val="24"/>
        </w:rPr>
        <w:t>daardiseerde gegevensuitwisse</w:t>
      </w:r>
      <w:r>
        <w:rPr>
          <w:rFonts w:ascii="Times New Roman" w:hAnsi="Times New Roman" w:cs="Times New Roman"/>
          <w:sz w:val="24"/>
          <w:szCs w:val="24"/>
        </w:rPr>
        <w:t xml:space="preserve">ling) kan dit euvel verhelpen.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Hoewel bij de indirecte toegangsmethode het patiëntendossier wel integraal toegankelijk is (wat vooral in noodsituaties van belang is), vergt ook deze methode verregaande samenwerk</w:t>
      </w:r>
      <w:r w:rsidR="005232E7">
        <w:rPr>
          <w:rFonts w:ascii="Times New Roman" w:hAnsi="Times New Roman" w:cs="Times New Roman"/>
          <w:sz w:val="24"/>
          <w:szCs w:val="24"/>
        </w:rPr>
        <w:t>-</w:t>
      </w:r>
      <w:r w:rsidRPr="00D147A7">
        <w:rPr>
          <w:rFonts w:ascii="Times New Roman" w:hAnsi="Times New Roman" w:cs="Times New Roman"/>
          <w:sz w:val="24"/>
          <w:szCs w:val="24"/>
        </w:rPr>
        <w:t>ing en een gestandaardiseerde gegevensuitwisseling. Derden kunnen evenwel</w:t>
      </w:r>
      <w:r w:rsidR="005232E7">
        <w:rPr>
          <w:rFonts w:ascii="Times New Roman" w:hAnsi="Times New Roman" w:cs="Times New Roman"/>
          <w:sz w:val="24"/>
          <w:szCs w:val="24"/>
        </w:rPr>
        <w:t xml:space="preserve"> –</w:t>
      </w:r>
      <w:r w:rsidRPr="00D147A7">
        <w:rPr>
          <w:rFonts w:ascii="Times New Roman" w:hAnsi="Times New Roman" w:cs="Times New Roman"/>
          <w:sz w:val="24"/>
          <w:szCs w:val="24"/>
        </w:rPr>
        <w:t xml:space="preserve"> met uitzon</w:t>
      </w:r>
      <w:r w:rsidR="005232E7">
        <w:rPr>
          <w:rFonts w:ascii="Times New Roman" w:hAnsi="Times New Roman" w:cs="Times New Roman"/>
          <w:sz w:val="24"/>
          <w:szCs w:val="24"/>
        </w:rPr>
        <w:t>-</w:t>
      </w:r>
      <w:r w:rsidRPr="00D147A7">
        <w:rPr>
          <w:rFonts w:ascii="Times New Roman" w:hAnsi="Times New Roman" w:cs="Times New Roman"/>
          <w:sz w:val="24"/>
          <w:szCs w:val="24"/>
        </w:rPr>
        <w:t>dering van zorgverzekeraars</w:t>
      </w:r>
      <w:r w:rsidR="005232E7">
        <w:rPr>
          <w:rFonts w:ascii="Times New Roman" w:hAnsi="Times New Roman" w:cs="Times New Roman"/>
          <w:sz w:val="24"/>
          <w:szCs w:val="24"/>
        </w:rPr>
        <w:t xml:space="preserve"> –</w:t>
      </w:r>
      <w:r w:rsidRPr="00D147A7">
        <w:rPr>
          <w:rFonts w:ascii="Times New Roman" w:hAnsi="Times New Roman" w:cs="Times New Roman"/>
          <w:sz w:val="24"/>
          <w:szCs w:val="24"/>
        </w:rPr>
        <w:t xml:space="preserve"> geen gegevens op het niveau van de individuele patiënt aan el</w:t>
      </w:r>
      <w:r w:rsidR="005232E7">
        <w:rPr>
          <w:rFonts w:ascii="Times New Roman" w:hAnsi="Times New Roman" w:cs="Times New Roman"/>
          <w:sz w:val="24"/>
          <w:szCs w:val="24"/>
        </w:rPr>
        <w:t>-</w:t>
      </w:r>
      <w:r w:rsidRPr="00D147A7">
        <w:rPr>
          <w:rFonts w:ascii="Times New Roman" w:hAnsi="Times New Roman" w:cs="Times New Roman"/>
          <w:sz w:val="24"/>
          <w:szCs w:val="24"/>
        </w:rPr>
        <w:t>kaar koppelen. Als men met private partijen werkt, is niet alleen de toestemmingsprocedure omslachtiger; ook wordt aan patiënten geen garantie geboden dat al hun gezondheidsgegevens op de portaalsite opgenomen</w:t>
      </w:r>
      <w:r w:rsidR="005232E7" w:rsidRPr="005232E7">
        <w:rPr>
          <w:rFonts w:ascii="Times New Roman" w:hAnsi="Times New Roman" w:cs="Times New Roman"/>
          <w:sz w:val="24"/>
          <w:szCs w:val="24"/>
        </w:rPr>
        <w:t xml:space="preserve"> </w:t>
      </w:r>
      <w:r w:rsidR="005232E7" w:rsidRPr="00D147A7">
        <w:rPr>
          <w:rFonts w:ascii="Times New Roman" w:hAnsi="Times New Roman" w:cs="Times New Roman"/>
          <w:sz w:val="24"/>
          <w:szCs w:val="24"/>
        </w:rPr>
        <w:t>worden</w:t>
      </w:r>
      <w:r w:rsidRPr="00D147A7">
        <w:rPr>
          <w:rFonts w:ascii="Times New Roman" w:hAnsi="Times New Roman" w:cs="Times New Roman"/>
          <w:sz w:val="24"/>
          <w:szCs w:val="24"/>
        </w:rPr>
        <w:t>. Bovendien moeten de gegevens zeer frequent gesyn</w:t>
      </w:r>
      <w:r w:rsidR="005232E7">
        <w:rPr>
          <w:rFonts w:ascii="Times New Roman" w:hAnsi="Times New Roman" w:cs="Times New Roman"/>
          <w:sz w:val="24"/>
          <w:szCs w:val="24"/>
        </w:rPr>
        <w:t>-</w:t>
      </w:r>
      <w:r w:rsidRPr="00D147A7">
        <w:rPr>
          <w:rFonts w:ascii="Times New Roman" w:hAnsi="Times New Roman" w:cs="Times New Roman"/>
          <w:sz w:val="24"/>
          <w:szCs w:val="24"/>
        </w:rPr>
        <w:t>chroniseerd worden met de gegevens uit de patiëntendossiers opdat ze altijd voldoende actueel zouden zijn.</w:t>
      </w:r>
    </w:p>
    <w:p w:rsidR="009931C7" w:rsidRDefault="009931C7" w:rsidP="009931C7"/>
    <w:p w:rsidR="005232E7" w:rsidRPr="00D147A7" w:rsidRDefault="005232E7" w:rsidP="009931C7"/>
    <w:p w:rsidR="009931C7" w:rsidRPr="00D147A7" w:rsidRDefault="009931C7" w:rsidP="009931C7">
      <w:pPr>
        <w:pStyle w:val="Geenafstand"/>
        <w:numPr>
          <w:ilvl w:val="1"/>
          <w:numId w:val="30"/>
        </w:numPr>
        <w:rPr>
          <w:rFonts w:ascii="Times New Roman" w:hAnsi="Times New Roman" w:cs="Times New Roman"/>
          <w:smallCaps/>
          <w:sz w:val="24"/>
          <w:szCs w:val="24"/>
        </w:rPr>
      </w:pPr>
      <w:r w:rsidRPr="00D147A7">
        <w:rPr>
          <w:rFonts w:ascii="Times New Roman" w:hAnsi="Times New Roman" w:cs="Times New Roman"/>
          <w:smallCaps/>
          <w:sz w:val="24"/>
          <w:szCs w:val="24"/>
        </w:rPr>
        <w:t>Frankrijk</w:t>
      </w:r>
    </w:p>
    <w:p w:rsidR="009931C7" w:rsidRPr="00D147A7" w:rsidRDefault="009931C7" w:rsidP="009931C7">
      <w:pPr>
        <w:pStyle w:val="Geenafstand"/>
        <w:rPr>
          <w:rFonts w:ascii="Times New Roman" w:hAnsi="Times New Roman" w:cs="Times New Roman"/>
          <w:smallCaps/>
          <w:sz w:val="24"/>
          <w:szCs w:val="24"/>
        </w:rPr>
      </w:pPr>
    </w:p>
    <w:p w:rsidR="009931C7" w:rsidRPr="00D147A7" w:rsidRDefault="009931C7" w:rsidP="009931C7">
      <w:pPr>
        <w:pStyle w:val="Geenafstand"/>
        <w:ind w:left="360"/>
        <w:jc w:val="both"/>
        <w:rPr>
          <w:rFonts w:ascii="Times New Roman" w:hAnsi="Times New Roman" w:cs="Times New Roman"/>
          <w:b/>
          <w:sz w:val="24"/>
          <w:szCs w:val="24"/>
        </w:rPr>
      </w:pPr>
      <w:r w:rsidRPr="00D147A7">
        <w:rPr>
          <w:rFonts w:ascii="Times New Roman" w:hAnsi="Times New Roman" w:cs="Times New Roman"/>
          <w:b/>
          <w:sz w:val="24"/>
          <w:szCs w:val="24"/>
        </w:rPr>
        <w:t>Hoofdstuk 1: Geschiedenis van ontwikkelingen rondom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eerste regelgevende initiatieven in Frankrijk met betrekking tot de modernisering van de zorgsector aan de hand van informatietechnologieën dateren al van de late jaren 1990.</w:t>
      </w:r>
      <w:r w:rsidRPr="00D147A7">
        <w:rPr>
          <w:rStyle w:val="Voetnootmarkering"/>
          <w:rFonts w:ascii="Times New Roman" w:hAnsi="Times New Roman" w:cs="Times New Roman"/>
          <w:sz w:val="24"/>
          <w:szCs w:val="24"/>
        </w:rPr>
        <w:footnoteReference w:id="637"/>
      </w:r>
      <w:r w:rsidRPr="00D147A7">
        <w:rPr>
          <w:rFonts w:ascii="Times New Roman" w:hAnsi="Times New Roman" w:cs="Times New Roman"/>
          <w:sz w:val="24"/>
          <w:szCs w:val="24"/>
        </w:rPr>
        <w:t xml:space="preserve"> Maar in maart 2002 haalde de Franse wetgever voor het eerst expliciet de mogelijkheid voor zorg</w:t>
      </w:r>
      <w:r w:rsidR="00A028B7">
        <w:rPr>
          <w:rFonts w:ascii="Times New Roman" w:hAnsi="Times New Roman" w:cs="Times New Roman"/>
          <w:sz w:val="24"/>
          <w:szCs w:val="24"/>
        </w:rPr>
        <w:t>-</w:t>
      </w:r>
      <w:r w:rsidRPr="00D147A7">
        <w:rPr>
          <w:rFonts w:ascii="Times New Roman" w:hAnsi="Times New Roman" w:cs="Times New Roman"/>
          <w:sz w:val="24"/>
          <w:szCs w:val="24"/>
        </w:rPr>
        <w:t xml:space="preserve">verleners aan om gezondheidsgegevens </w:t>
      </w:r>
      <w:r w:rsidR="00A028B7" w:rsidRPr="00D147A7">
        <w:rPr>
          <w:rFonts w:ascii="Times New Roman" w:hAnsi="Times New Roman" w:cs="Times New Roman"/>
          <w:sz w:val="24"/>
          <w:szCs w:val="24"/>
        </w:rPr>
        <w:t xml:space="preserve">elektronische </w:t>
      </w:r>
      <w:r w:rsidRPr="00D147A7">
        <w:rPr>
          <w:rFonts w:ascii="Times New Roman" w:hAnsi="Times New Roman" w:cs="Times New Roman"/>
          <w:sz w:val="24"/>
          <w:szCs w:val="24"/>
        </w:rPr>
        <w:t>met elkaar uit te wisselen.</w:t>
      </w:r>
      <w:r w:rsidRPr="00D147A7">
        <w:rPr>
          <w:rStyle w:val="Voetnootmarkering"/>
          <w:rFonts w:ascii="Times New Roman" w:hAnsi="Times New Roman" w:cs="Times New Roman"/>
          <w:sz w:val="24"/>
          <w:szCs w:val="24"/>
        </w:rPr>
        <w:footnoteReference w:id="638"/>
      </w:r>
      <w:r w:rsidRPr="00D147A7">
        <w:rPr>
          <w:rFonts w:ascii="Times New Roman" w:hAnsi="Times New Roman" w:cs="Times New Roman"/>
          <w:sz w:val="24"/>
          <w:szCs w:val="24"/>
        </w:rPr>
        <w:t xml:space="preserve"> Voorals</w:t>
      </w:r>
      <w:r w:rsidR="00A028B7">
        <w:rPr>
          <w:rFonts w:ascii="Times New Roman" w:hAnsi="Times New Roman" w:cs="Times New Roman"/>
          <w:sz w:val="24"/>
          <w:szCs w:val="24"/>
        </w:rPr>
        <w:t>-</w:t>
      </w:r>
      <w:r w:rsidRPr="00D147A7">
        <w:rPr>
          <w:rFonts w:ascii="Times New Roman" w:hAnsi="Times New Roman" w:cs="Times New Roman"/>
          <w:sz w:val="24"/>
          <w:szCs w:val="24"/>
        </w:rPr>
        <w:lastRenderedPageBreak/>
        <w:t xml:space="preserve">nog werd de </w:t>
      </w:r>
      <w:r w:rsidR="00A028B7">
        <w:rPr>
          <w:rFonts w:ascii="Times New Roman" w:hAnsi="Times New Roman" w:cs="Times New Roman"/>
          <w:sz w:val="24"/>
          <w:szCs w:val="24"/>
        </w:rPr>
        <w:t xml:space="preserve">bal naar </w:t>
      </w:r>
      <w:r w:rsidRPr="00D147A7">
        <w:rPr>
          <w:rFonts w:ascii="Times New Roman" w:hAnsi="Times New Roman" w:cs="Times New Roman"/>
          <w:sz w:val="24"/>
          <w:szCs w:val="24"/>
        </w:rPr>
        <w:t xml:space="preserve">de Raad van State doorgespeeld door deze met de opdracht te belasten om – na het advies van het CNIL </w:t>
      </w:r>
      <w:r w:rsidR="00A028B7" w:rsidRPr="00D147A7">
        <w:rPr>
          <w:rFonts w:ascii="Times New Roman" w:hAnsi="Times New Roman" w:cs="Times New Roman"/>
          <w:sz w:val="24"/>
          <w:szCs w:val="24"/>
        </w:rPr>
        <w:t xml:space="preserve">te hebben </w:t>
      </w:r>
      <w:r w:rsidRPr="00D147A7">
        <w:rPr>
          <w:rFonts w:ascii="Times New Roman" w:hAnsi="Times New Roman" w:cs="Times New Roman"/>
          <w:sz w:val="24"/>
          <w:szCs w:val="24"/>
        </w:rPr>
        <w:t>ingewonnen</w:t>
      </w:r>
      <w:r w:rsidR="00A028B7">
        <w:rPr>
          <w:rFonts w:ascii="Times New Roman" w:hAnsi="Times New Roman" w:cs="Times New Roman"/>
          <w:sz w:val="24"/>
          <w:szCs w:val="24"/>
        </w:rPr>
        <w:t xml:space="preserve"> </w:t>
      </w:r>
      <w:r w:rsidRPr="00D147A7">
        <w:rPr>
          <w:rFonts w:ascii="Times New Roman" w:hAnsi="Times New Roman" w:cs="Times New Roman"/>
          <w:sz w:val="24"/>
          <w:szCs w:val="24"/>
        </w:rPr>
        <w:t>– regels op te stellen waaraan gege</w:t>
      </w:r>
      <w:r w:rsidR="00A028B7">
        <w:rPr>
          <w:rFonts w:ascii="Times New Roman" w:hAnsi="Times New Roman" w:cs="Times New Roman"/>
          <w:sz w:val="24"/>
          <w:szCs w:val="24"/>
        </w:rPr>
        <w:t>-</w:t>
      </w:r>
      <w:r w:rsidRPr="00D147A7">
        <w:rPr>
          <w:rFonts w:ascii="Times New Roman" w:hAnsi="Times New Roman" w:cs="Times New Roman"/>
          <w:sz w:val="24"/>
          <w:szCs w:val="24"/>
        </w:rPr>
        <w:t xml:space="preserve">vensuitwisselingen in de zorgsector moeten voldoen. Hoewel de wetgever tweeëneenhalf jaar later opmerkte dat de Raad van State dit nog steeds niet had </w:t>
      </w:r>
      <w:r w:rsidR="00A028B7">
        <w:rPr>
          <w:rFonts w:ascii="Times New Roman" w:hAnsi="Times New Roman" w:cs="Times New Roman"/>
          <w:sz w:val="24"/>
          <w:szCs w:val="24"/>
        </w:rPr>
        <w:t>verzocht</w:t>
      </w:r>
      <w:r w:rsidRPr="00D147A7">
        <w:rPr>
          <w:rStyle w:val="Voetnootmarkering"/>
          <w:rFonts w:ascii="Times New Roman" w:hAnsi="Times New Roman" w:cs="Times New Roman"/>
          <w:sz w:val="24"/>
          <w:szCs w:val="24"/>
        </w:rPr>
        <w:footnoteReference w:id="639"/>
      </w:r>
      <w:r w:rsidRPr="00D147A7">
        <w:rPr>
          <w:rFonts w:ascii="Times New Roman" w:hAnsi="Times New Roman" w:cs="Times New Roman"/>
          <w:sz w:val="24"/>
          <w:szCs w:val="24"/>
        </w:rPr>
        <w:t xml:space="preserve">, werd </w:t>
      </w:r>
      <w:r w:rsidR="00A028B7" w:rsidRPr="00D147A7">
        <w:rPr>
          <w:rFonts w:ascii="Times New Roman" w:hAnsi="Times New Roman" w:cs="Times New Roman"/>
          <w:sz w:val="24"/>
          <w:szCs w:val="24"/>
        </w:rPr>
        <w:t xml:space="preserve">het </w:t>
      </w:r>
      <w:r w:rsidR="00A028B7" w:rsidRPr="00D147A7">
        <w:rPr>
          <w:rFonts w:ascii="Times New Roman" w:hAnsi="Times New Roman" w:cs="Times New Roman"/>
          <w:i/>
          <w:sz w:val="24"/>
          <w:szCs w:val="24"/>
        </w:rPr>
        <w:t>dossier médical personnel</w:t>
      </w:r>
      <w:r w:rsidR="00A028B7" w:rsidRPr="00D147A7">
        <w:rPr>
          <w:rFonts w:ascii="Times New Roman" w:hAnsi="Times New Roman" w:cs="Times New Roman"/>
          <w:sz w:val="24"/>
          <w:szCs w:val="24"/>
        </w:rPr>
        <w:t xml:space="preserve"> (DMP) </w:t>
      </w:r>
      <w:r w:rsidRPr="00D147A7">
        <w:rPr>
          <w:rFonts w:ascii="Times New Roman" w:hAnsi="Times New Roman" w:cs="Times New Roman"/>
          <w:sz w:val="24"/>
          <w:szCs w:val="24"/>
        </w:rPr>
        <w:t>op 13 augustus 2004 toch reeds in het leven geroepen.</w:t>
      </w:r>
      <w:r w:rsidRPr="00D147A7">
        <w:rPr>
          <w:rStyle w:val="Voetnootmarkering"/>
          <w:rFonts w:ascii="Times New Roman" w:hAnsi="Times New Roman" w:cs="Times New Roman"/>
          <w:sz w:val="24"/>
          <w:szCs w:val="24"/>
        </w:rPr>
        <w:footnoteReference w:id="640"/>
      </w:r>
      <w:r w:rsidRPr="00D147A7">
        <w:rPr>
          <w:rFonts w:ascii="Times New Roman" w:hAnsi="Times New Roman" w:cs="Times New Roman"/>
          <w:sz w:val="24"/>
          <w:szCs w:val="24"/>
        </w:rPr>
        <w:t xml:space="preserve"> Het DMP werd als hulpmiddel voor de coördinatie van de zorgverlening gecreëerd.</w:t>
      </w:r>
      <w:r w:rsidRPr="00D147A7">
        <w:rPr>
          <w:rStyle w:val="Voetnootmarkering"/>
          <w:rFonts w:ascii="Times New Roman" w:hAnsi="Times New Roman" w:cs="Times New Roman"/>
          <w:sz w:val="24"/>
          <w:szCs w:val="24"/>
        </w:rPr>
        <w:footnoteReference w:id="641"/>
      </w:r>
      <w:r w:rsidRPr="00D147A7">
        <w:rPr>
          <w:rFonts w:ascii="Times New Roman" w:hAnsi="Times New Roman" w:cs="Times New Roman"/>
          <w:sz w:val="24"/>
          <w:szCs w:val="24"/>
        </w:rPr>
        <w:t xml:space="preserve"> Verder biedt het DMP controle over de kosten van de gezondheidszorg en kan zelfs tot bezuinigingen leiden (dezelfde onderzoeken moeten</w:t>
      </w:r>
      <w:r w:rsidR="00A028B7">
        <w:rPr>
          <w:rFonts w:ascii="Times New Roman" w:hAnsi="Times New Roman" w:cs="Times New Roman"/>
          <w:sz w:val="24"/>
          <w:szCs w:val="24"/>
        </w:rPr>
        <w:t>,</w:t>
      </w:r>
      <w:r w:rsidRPr="00D147A7">
        <w:rPr>
          <w:rFonts w:ascii="Times New Roman" w:hAnsi="Times New Roman" w:cs="Times New Roman"/>
          <w:sz w:val="24"/>
          <w:szCs w:val="24"/>
        </w:rPr>
        <w:t xml:space="preserve"> bijvoorbeeld</w:t>
      </w:r>
      <w:r w:rsidR="00A028B7">
        <w:rPr>
          <w:rFonts w:ascii="Times New Roman" w:hAnsi="Times New Roman" w:cs="Times New Roman"/>
          <w:sz w:val="24"/>
          <w:szCs w:val="24"/>
        </w:rPr>
        <w:t>,</w:t>
      </w:r>
      <w:r w:rsidRPr="00D147A7">
        <w:rPr>
          <w:rFonts w:ascii="Times New Roman" w:hAnsi="Times New Roman" w:cs="Times New Roman"/>
          <w:sz w:val="24"/>
          <w:szCs w:val="24"/>
        </w:rPr>
        <w:t xml:space="preserve"> niet langer meermaals worden uitgevoerd).</w:t>
      </w:r>
      <w:r w:rsidRPr="00D147A7">
        <w:rPr>
          <w:rStyle w:val="Voetnootmarkering"/>
          <w:rFonts w:ascii="Times New Roman" w:hAnsi="Times New Roman" w:cs="Times New Roman"/>
          <w:sz w:val="24"/>
          <w:szCs w:val="24"/>
        </w:rPr>
        <w:footnoteReference w:id="642"/>
      </w:r>
      <w:r w:rsidRPr="00D147A7">
        <w:rPr>
          <w:rFonts w:ascii="Times New Roman" w:hAnsi="Times New Roman" w:cs="Times New Roman"/>
          <w:sz w:val="24"/>
          <w:szCs w:val="24"/>
        </w:rPr>
        <w:t xml:space="preserve"> Bovendien bevordert een veilige elektronische gegevensuitwisseling de kwaliteit van de zorg</w:t>
      </w:r>
      <w:r w:rsidR="00A028B7">
        <w:rPr>
          <w:rFonts w:ascii="Times New Roman" w:hAnsi="Times New Roman" w:cs="Times New Roman"/>
          <w:sz w:val="24"/>
          <w:szCs w:val="24"/>
        </w:rPr>
        <w:t>-</w:t>
      </w:r>
      <w:r w:rsidRPr="00D147A7">
        <w:rPr>
          <w:rFonts w:ascii="Times New Roman" w:hAnsi="Times New Roman" w:cs="Times New Roman"/>
          <w:sz w:val="24"/>
          <w:szCs w:val="24"/>
        </w:rPr>
        <w:t>verlening.</w:t>
      </w:r>
      <w:r w:rsidRPr="00D147A7">
        <w:rPr>
          <w:rStyle w:val="Voetnootmarkering"/>
          <w:rFonts w:ascii="Times New Roman" w:hAnsi="Times New Roman" w:cs="Times New Roman"/>
          <w:sz w:val="24"/>
          <w:szCs w:val="24"/>
        </w:rPr>
        <w:footnoteReference w:id="643"/>
      </w:r>
      <w:r w:rsidRPr="00D147A7">
        <w:rPr>
          <w:rFonts w:ascii="Times New Roman" w:hAnsi="Times New Roman" w:cs="Times New Roman"/>
          <w:sz w:val="24"/>
          <w:szCs w:val="24"/>
        </w:rPr>
        <w:t xml:space="preserve"> Bij de bouw en implementatie van het DMP werd o.a. rekening gehouden met interoperabiliteit, beveiliging van informatiesystemen, organisatie van regionale aanbesteders en de betrokkenheid van stakeholders.</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rPr>
        <w:t xml:space="preserve">Op 11 april 2005 werd de </w:t>
      </w:r>
      <w:r w:rsidRPr="00D147A7">
        <w:rPr>
          <w:rFonts w:ascii="Times New Roman" w:hAnsi="Times New Roman" w:cs="Times New Roman"/>
          <w:i/>
          <w:sz w:val="24"/>
          <w:szCs w:val="24"/>
        </w:rPr>
        <w:t>Groupement d’intérêt public du Dossier Médical Personnel</w:t>
      </w:r>
      <w:r w:rsidRPr="00D147A7">
        <w:rPr>
          <w:rFonts w:ascii="Times New Roman" w:hAnsi="Times New Roman" w:cs="Times New Roman"/>
          <w:sz w:val="24"/>
          <w:szCs w:val="24"/>
        </w:rPr>
        <w:t xml:space="preserve"> (GIP DMP) opgericht, die de ontwikkeling en implementering van het DMP moest coördineren en bevorderen.</w:t>
      </w:r>
      <w:r w:rsidRPr="00D147A7">
        <w:rPr>
          <w:rStyle w:val="Voetnootmarkering"/>
          <w:rFonts w:ascii="Times New Roman" w:hAnsi="Times New Roman" w:cs="Times New Roman"/>
          <w:sz w:val="24"/>
          <w:szCs w:val="24"/>
        </w:rPr>
        <w:footnoteReference w:id="644"/>
      </w:r>
      <w:r w:rsidRPr="00D147A7">
        <w:rPr>
          <w:rFonts w:ascii="Times New Roman" w:hAnsi="Times New Roman" w:cs="Times New Roman"/>
          <w:sz w:val="24"/>
          <w:szCs w:val="24"/>
        </w:rPr>
        <w:t xml:space="preserve"> </w:t>
      </w:r>
      <w:r w:rsidRPr="00D147A7">
        <w:rPr>
          <w:rFonts w:ascii="Times New Roman" w:hAnsi="Times New Roman" w:cs="Times New Roman"/>
          <w:sz w:val="24"/>
          <w:szCs w:val="24"/>
          <w:lang w:val="fr-BE"/>
        </w:rPr>
        <w:t xml:space="preserve">In de GIP DMP waren het Ministerie van Volksgezondheid, de </w:t>
      </w:r>
      <w:r w:rsidRPr="00D147A7">
        <w:rPr>
          <w:rFonts w:ascii="Times New Roman" w:hAnsi="Times New Roman" w:cs="Times New Roman"/>
          <w:i/>
          <w:sz w:val="24"/>
          <w:szCs w:val="24"/>
          <w:lang w:val="fr-BE"/>
        </w:rPr>
        <w:t>Caisse natio</w:t>
      </w:r>
      <w:r w:rsidR="00A028B7">
        <w:rPr>
          <w:rFonts w:ascii="Times New Roman" w:hAnsi="Times New Roman" w:cs="Times New Roman"/>
          <w:i/>
          <w:sz w:val="24"/>
          <w:szCs w:val="24"/>
          <w:lang w:val="fr-BE"/>
        </w:rPr>
        <w:t>-</w:t>
      </w:r>
      <w:r w:rsidRPr="00D147A7">
        <w:rPr>
          <w:rFonts w:ascii="Times New Roman" w:hAnsi="Times New Roman" w:cs="Times New Roman"/>
          <w:i/>
          <w:sz w:val="24"/>
          <w:szCs w:val="24"/>
          <w:lang w:val="fr-BE"/>
        </w:rPr>
        <w:t>nale de l'assurance maladie des travailleurs salariés</w:t>
      </w:r>
      <w:r w:rsidRPr="00D147A7">
        <w:rPr>
          <w:rFonts w:ascii="Times New Roman" w:hAnsi="Times New Roman" w:cs="Times New Roman"/>
          <w:sz w:val="24"/>
          <w:szCs w:val="24"/>
          <w:lang w:val="fr-BE"/>
        </w:rPr>
        <w:t xml:space="preserve"> (CNAMTS) en de </w:t>
      </w:r>
      <w:r w:rsidRPr="00D147A7">
        <w:rPr>
          <w:rFonts w:ascii="Times New Roman" w:hAnsi="Times New Roman" w:cs="Times New Roman"/>
          <w:i/>
          <w:sz w:val="24"/>
          <w:szCs w:val="24"/>
          <w:lang w:val="fr-BE"/>
        </w:rPr>
        <w:t>Caisse des dépôts et consignations</w:t>
      </w:r>
      <w:r w:rsidRPr="00D147A7">
        <w:rPr>
          <w:rFonts w:ascii="Times New Roman" w:hAnsi="Times New Roman" w:cs="Times New Roman"/>
          <w:sz w:val="24"/>
          <w:szCs w:val="24"/>
          <w:lang w:val="fr-BE"/>
        </w:rPr>
        <w:t xml:space="preserve"> (CDC) vertegenwoordigd.</w:t>
      </w:r>
    </w:p>
    <w:p w:rsidR="009931C7" w:rsidRPr="00D147A7" w:rsidRDefault="009931C7" w:rsidP="009931C7">
      <w:pPr>
        <w:pStyle w:val="Geenafstand"/>
        <w:jc w:val="both"/>
        <w:rPr>
          <w:rFonts w:ascii="Times New Roman" w:hAnsi="Times New Roman" w:cs="Times New Roman"/>
          <w:sz w:val="24"/>
          <w:szCs w:val="24"/>
          <w:lang w:val="fr-BE"/>
        </w:rPr>
      </w:pP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rPr>
        <w:t>In Frankrijk besloot de wetgever</w:t>
      </w:r>
      <w:r w:rsidR="00A028B7">
        <w:rPr>
          <w:rFonts w:ascii="Times New Roman" w:hAnsi="Times New Roman" w:cs="Times New Roman"/>
          <w:sz w:val="24"/>
          <w:szCs w:val="24"/>
        </w:rPr>
        <w:t xml:space="preserve"> –</w:t>
      </w:r>
      <w:r w:rsidRPr="00D147A7">
        <w:rPr>
          <w:rFonts w:ascii="Times New Roman" w:hAnsi="Times New Roman" w:cs="Times New Roman"/>
          <w:sz w:val="24"/>
          <w:szCs w:val="24"/>
        </w:rPr>
        <w:t xml:space="preserve"> i.t.t. in België en in Nederland</w:t>
      </w:r>
      <w:r w:rsidR="00A028B7">
        <w:rPr>
          <w:rFonts w:ascii="Times New Roman" w:hAnsi="Times New Roman" w:cs="Times New Roman"/>
          <w:sz w:val="24"/>
          <w:szCs w:val="24"/>
        </w:rPr>
        <w:t xml:space="preserve"> –</w:t>
      </w:r>
      <w:r w:rsidRPr="00D147A7">
        <w:rPr>
          <w:rFonts w:ascii="Times New Roman" w:hAnsi="Times New Roman" w:cs="Times New Roman"/>
          <w:sz w:val="24"/>
          <w:szCs w:val="24"/>
        </w:rPr>
        <w:t xml:space="preserve"> om gezondheidsgegevens in één databank</w:t>
      </w:r>
      <w:r w:rsidR="00A028B7" w:rsidRPr="00A028B7">
        <w:rPr>
          <w:rFonts w:ascii="Times New Roman" w:hAnsi="Times New Roman" w:cs="Times New Roman"/>
          <w:sz w:val="24"/>
          <w:szCs w:val="24"/>
        </w:rPr>
        <w:t xml:space="preserve"> </w:t>
      </w:r>
      <w:r w:rsidR="00A028B7" w:rsidRPr="00D147A7">
        <w:rPr>
          <w:rFonts w:ascii="Times New Roman" w:hAnsi="Times New Roman" w:cs="Times New Roman"/>
          <w:sz w:val="24"/>
          <w:szCs w:val="24"/>
        </w:rPr>
        <w:t>centraal op te slagen</w:t>
      </w:r>
      <w:r w:rsidRPr="00D147A7">
        <w:rPr>
          <w:rFonts w:ascii="Times New Roman" w:hAnsi="Times New Roman" w:cs="Times New Roman"/>
          <w:sz w:val="24"/>
          <w:szCs w:val="24"/>
        </w:rPr>
        <w:t xml:space="preserve">. Daarom werden in 2006 de modaliteiten vastgelegd waaraan gespecialiseerde </w:t>
      </w:r>
      <w:r w:rsidRPr="00D147A7">
        <w:rPr>
          <w:rFonts w:ascii="Times New Roman" w:hAnsi="Times New Roman" w:cs="Times New Roman"/>
          <w:i/>
          <w:sz w:val="24"/>
          <w:szCs w:val="24"/>
        </w:rPr>
        <w:t>host providers</w:t>
      </w:r>
      <w:r w:rsidRPr="00D147A7">
        <w:rPr>
          <w:rFonts w:ascii="Times New Roman" w:hAnsi="Times New Roman" w:cs="Times New Roman"/>
          <w:sz w:val="24"/>
          <w:szCs w:val="24"/>
        </w:rPr>
        <w:t xml:space="preserve"> moeten voldoen om officieel te worden</w:t>
      </w:r>
      <w:r w:rsidR="00A028B7" w:rsidRPr="00A028B7">
        <w:rPr>
          <w:rFonts w:ascii="Times New Roman" w:hAnsi="Times New Roman" w:cs="Times New Roman"/>
          <w:sz w:val="24"/>
          <w:szCs w:val="24"/>
        </w:rPr>
        <w:t xml:space="preserve"> </w:t>
      </w:r>
      <w:r w:rsidR="00A028B7" w:rsidRPr="00D147A7">
        <w:rPr>
          <w:rFonts w:ascii="Times New Roman" w:hAnsi="Times New Roman" w:cs="Times New Roman"/>
          <w:sz w:val="24"/>
          <w:szCs w:val="24"/>
        </w:rPr>
        <w:t>erkend</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45"/>
      </w:r>
      <w:r w:rsidRPr="00D147A7">
        <w:rPr>
          <w:rFonts w:ascii="Times New Roman" w:hAnsi="Times New Roman" w:cs="Times New Roman"/>
          <w:sz w:val="24"/>
          <w:szCs w:val="24"/>
        </w:rPr>
        <w:t xml:space="preserve"> Van 1 juni tot 31 december 2006 werd het DMP-project in vier Franse regio’s (Aquitanië, </w:t>
      </w:r>
      <w:r w:rsidRPr="00D147A7">
        <w:rPr>
          <w:rFonts w:ascii="Times New Roman" w:hAnsi="Times New Roman" w:cs="Times New Roman"/>
          <w:sz w:val="24"/>
          <w:szCs w:val="24"/>
        </w:rPr>
        <w:lastRenderedPageBreak/>
        <w:t>Elzas, Franche-Comté en Picardië</w:t>
      </w:r>
      <w:r w:rsidRPr="00D147A7">
        <w:rPr>
          <w:rStyle w:val="Voetnootmarkering"/>
          <w:rFonts w:ascii="Times New Roman" w:hAnsi="Times New Roman" w:cs="Times New Roman"/>
          <w:sz w:val="24"/>
          <w:szCs w:val="24"/>
        </w:rPr>
        <w:footnoteReference w:id="646"/>
      </w:r>
      <w:r w:rsidRPr="00D147A7">
        <w:rPr>
          <w:rFonts w:ascii="Times New Roman" w:hAnsi="Times New Roman" w:cs="Times New Roman"/>
          <w:sz w:val="24"/>
          <w:szCs w:val="24"/>
        </w:rPr>
        <w:t>) door meer dan 6.000 zorgverleners en 150 verzorgings</w:t>
      </w:r>
      <w:r w:rsidR="00EF42C0">
        <w:rPr>
          <w:rFonts w:ascii="Times New Roman" w:hAnsi="Times New Roman" w:cs="Times New Roman"/>
          <w:sz w:val="24"/>
          <w:szCs w:val="24"/>
        </w:rPr>
        <w:t>-</w:t>
      </w:r>
      <w:r w:rsidRPr="00D147A7">
        <w:rPr>
          <w:rFonts w:ascii="Times New Roman" w:hAnsi="Times New Roman" w:cs="Times New Roman"/>
          <w:sz w:val="24"/>
          <w:szCs w:val="24"/>
        </w:rPr>
        <w:t>instellingen</w:t>
      </w:r>
      <w:r w:rsidR="00EF42C0" w:rsidRPr="00EF42C0">
        <w:rPr>
          <w:rFonts w:ascii="Times New Roman" w:hAnsi="Times New Roman" w:cs="Times New Roman"/>
          <w:sz w:val="24"/>
          <w:szCs w:val="24"/>
        </w:rPr>
        <w:t xml:space="preserve"> </w:t>
      </w:r>
      <w:r w:rsidR="00EF42C0" w:rsidRPr="00D147A7">
        <w:rPr>
          <w:rFonts w:ascii="Times New Roman" w:hAnsi="Times New Roman" w:cs="Times New Roman"/>
          <w:sz w:val="24"/>
          <w:szCs w:val="24"/>
        </w:rPr>
        <w:t>uitgetest</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47"/>
      </w:r>
      <w:r w:rsidRPr="00D147A7">
        <w:rPr>
          <w:rFonts w:ascii="Times New Roman" w:hAnsi="Times New Roman" w:cs="Times New Roman"/>
          <w:sz w:val="24"/>
          <w:szCs w:val="24"/>
        </w:rPr>
        <w:t xml:space="preserve"> De op de bevindingen van deze beproeving afgestelde strategie werd op 12 november 2007 gepubliceerd in een gezamenlijke nota van Roselyne Bachelot-Narquin, Minister van Volksgezondheid en Sport, en Eric Woerth, Minister van Budget, Openbare Boekhouding en Burgerlijke Administratie.</w:t>
      </w:r>
      <w:r w:rsidRPr="00D147A7">
        <w:rPr>
          <w:rStyle w:val="Voetnootmarkering"/>
          <w:rFonts w:ascii="Times New Roman" w:hAnsi="Times New Roman" w:cs="Times New Roman"/>
          <w:sz w:val="24"/>
          <w:szCs w:val="24"/>
        </w:rPr>
        <w:footnoteReference w:id="648"/>
      </w:r>
      <w:r w:rsidRPr="00D147A7">
        <w:rPr>
          <w:rFonts w:ascii="Times New Roman" w:hAnsi="Times New Roman" w:cs="Times New Roman"/>
          <w:sz w:val="24"/>
          <w:szCs w:val="24"/>
        </w:rPr>
        <w:t xml:space="preserve"> De vertraging van de nationale invoering van het DMP werd op enkele jaren begroot en er werd besloten om het DMP stapsgewijs te imple</w:t>
      </w:r>
      <w:r w:rsidR="00B0088F">
        <w:rPr>
          <w:rFonts w:ascii="Times New Roman" w:hAnsi="Times New Roman" w:cs="Times New Roman"/>
          <w:sz w:val="24"/>
          <w:szCs w:val="24"/>
        </w:rPr>
        <w:t>-</w:t>
      </w:r>
      <w:r w:rsidRPr="00D147A7">
        <w:rPr>
          <w:rFonts w:ascii="Times New Roman" w:hAnsi="Times New Roman" w:cs="Times New Roman"/>
          <w:sz w:val="24"/>
          <w:szCs w:val="24"/>
        </w:rPr>
        <w:t>menteren.</w:t>
      </w:r>
      <w:r w:rsidRPr="00D147A7">
        <w:rPr>
          <w:rStyle w:val="Voetnootmarkering"/>
          <w:rFonts w:ascii="Times New Roman" w:hAnsi="Times New Roman" w:cs="Times New Roman"/>
          <w:sz w:val="24"/>
          <w:szCs w:val="24"/>
        </w:rPr>
        <w:footnoteReference w:id="649"/>
      </w:r>
      <w:r w:rsidRPr="00D147A7">
        <w:rPr>
          <w:rFonts w:ascii="Times New Roman" w:hAnsi="Times New Roman" w:cs="Times New Roman"/>
          <w:sz w:val="24"/>
          <w:szCs w:val="24"/>
        </w:rPr>
        <w:t xml:space="preserve"> De </w:t>
      </w:r>
      <w:r w:rsidR="00B0088F">
        <w:rPr>
          <w:rFonts w:ascii="Times New Roman" w:hAnsi="Times New Roman" w:cs="Times New Roman"/>
          <w:sz w:val="24"/>
          <w:szCs w:val="24"/>
        </w:rPr>
        <w:t>verschoven</w:t>
      </w:r>
      <w:r w:rsidRPr="00D147A7">
        <w:rPr>
          <w:rFonts w:ascii="Times New Roman" w:hAnsi="Times New Roman" w:cs="Times New Roman"/>
          <w:sz w:val="24"/>
          <w:szCs w:val="24"/>
        </w:rPr>
        <w:t xml:space="preserve"> invoering was het resultaat van de verschillende beperkingen waarmee men tijdens de experimenten </w:t>
      </w:r>
      <w:r w:rsidR="00B0088F">
        <w:rPr>
          <w:rFonts w:ascii="Times New Roman" w:hAnsi="Times New Roman" w:cs="Times New Roman"/>
          <w:sz w:val="24"/>
          <w:szCs w:val="24"/>
        </w:rPr>
        <w:t>in</w:t>
      </w:r>
      <w:r w:rsidRPr="00D147A7">
        <w:rPr>
          <w:rFonts w:ascii="Times New Roman" w:hAnsi="Times New Roman" w:cs="Times New Roman"/>
          <w:sz w:val="24"/>
          <w:szCs w:val="24"/>
        </w:rPr>
        <w:t xml:space="preserve"> 2006 geconfronteerd werd. In Frankrijk was de privacy-problematiek niet de enige struikelblok</w:t>
      </w:r>
      <w:r w:rsidR="00B0088F">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50"/>
      </w:r>
      <w:r w:rsidRPr="00D147A7">
        <w:rPr>
          <w:rFonts w:ascii="Times New Roman" w:hAnsi="Times New Roman" w:cs="Times New Roman"/>
          <w:sz w:val="24"/>
          <w:szCs w:val="24"/>
        </w:rPr>
        <w:t xml:space="preserve"> </w:t>
      </w:r>
      <w:r w:rsidR="00B0088F">
        <w:rPr>
          <w:rFonts w:ascii="Times New Roman" w:hAnsi="Times New Roman" w:cs="Times New Roman"/>
          <w:sz w:val="24"/>
          <w:szCs w:val="24"/>
        </w:rPr>
        <w:t>O</w:t>
      </w:r>
      <w:r w:rsidRPr="00D147A7">
        <w:rPr>
          <w:rFonts w:ascii="Times New Roman" w:hAnsi="Times New Roman" w:cs="Times New Roman"/>
          <w:sz w:val="24"/>
          <w:szCs w:val="24"/>
        </w:rPr>
        <w:t>ok de toenmalige zorginformatiesyste</w:t>
      </w:r>
      <w:r w:rsidR="00B0088F">
        <w:rPr>
          <w:rFonts w:ascii="Times New Roman" w:hAnsi="Times New Roman" w:cs="Times New Roman"/>
          <w:sz w:val="24"/>
          <w:szCs w:val="24"/>
        </w:rPr>
        <w:t>-</w:t>
      </w:r>
      <w:r w:rsidRPr="00D147A7">
        <w:rPr>
          <w:rFonts w:ascii="Times New Roman" w:hAnsi="Times New Roman" w:cs="Times New Roman"/>
          <w:sz w:val="24"/>
          <w:szCs w:val="24"/>
        </w:rPr>
        <w:t xml:space="preserve">men </w:t>
      </w:r>
      <w:r w:rsidR="00B0088F" w:rsidRPr="00D147A7">
        <w:rPr>
          <w:rFonts w:ascii="Times New Roman" w:hAnsi="Times New Roman" w:cs="Times New Roman"/>
          <w:sz w:val="24"/>
          <w:szCs w:val="24"/>
        </w:rPr>
        <w:t xml:space="preserve">waren </w:t>
      </w:r>
      <w:r w:rsidRPr="00D147A7">
        <w:rPr>
          <w:rFonts w:ascii="Times New Roman" w:hAnsi="Times New Roman" w:cs="Times New Roman"/>
          <w:sz w:val="24"/>
          <w:szCs w:val="24"/>
        </w:rPr>
        <w:t>uiteenlopend, incoherent en niet-communicatief; de door ziekenhuizen gebruikte software was veel te rudimentair (70% van de ziekenhuizen gebruikten ICT enkel voor administratieve en financiële doeleinden</w:t>
      </w:r>
      <w:r w:rsidRPr="00D147A7">
        <w:rPr>
          <w:rStyle w:val="Voetnootmarkering"/>
          <w:rFonts w:ascii="Times New Roman" w:hAnsi="Times New Roman" w:cs="Times New Roman"/>
          <w:sz w:val="24"/>
          <w:szCs w:val="24"/>
        </w:rPr>
        <w:footnoteReference w:id="651"/>
      </w:r>
      <w:r w:rsidRPr="00D147A7">
        <w:rPr>
          <w:rFonts w:ascii="Times New Roman" w:hAnsi="Times New Roman" w:cs="Times New Roman"/>
          <w:sz w:val="24"/>
          <w:szCs w:val="24"/>
        </w:rPr>
        <w:t>); de organisatie van de gezondheidszorg was ver</w:t>
      </w:r>
      <w:r w:rsidR="00B0088F">
        <w:rPr>
          <w:rFonts w:ascii="Times New Roman" w:hAnsi="Times New Roman" w:cs="Times New Roman"/>
          <w:sz w:val="24"/>
          <w:szCs w:val="24"/>
        </w:rPr>
        <w:t>-</w:t>
      </w:r>
      <w:r w:rsidRPr="00D147A7">
        <w:rPr>
          <w:rFonts w:ascii="Times New Roman" w:hAnsi="Times New Roman" w:cs="Times New Roman"/>
          <w:sz w:val="24"/>
          <w:szCs w:val="24"/>
        </w:rPr>
        <w:t xml:space="preserve">snipperd; </w:t>
      </w:r>
      <w:r w:rsidR="00B0088F">
        <w:rPr>
          <w:rFonts w:ascii="Times New Roman" w:hAnsi="Times New Roman" w:cs="Times New Roman"/>
          <w:sz w:val="24"/>
          <w:szCs w:val="24"/>
        </w:rPr>
        <w:t xml:space="preserve">het </w:t>
      </w:r>
      <w:r w:rsidRPr="00D147A7">
        <w:rPr>
          <w:rFonts w:ascii="Times New Roman" w:hAnsi="Times New Roman" w:cs="Times New Roman"/>
          <w:sz w:val="24"/>
          <w:szCs w:val="24"/>
        </w:rPr>
        <w:t xml:space="preserve">bestuur was gefragmenteerd door de aanwezigheid van verschillende </w:t>
      </w:r>
      <w:r w:rsidRPr="00D147A7">
        <w:rPr>
          <w:rFonts w:ascii="Times New Roman" w:hAnsi="Times New Roman" w:cs="Times New Roman"/>
          <w:i/>
          <w:sz w:val="24"/>
          <w:szCs w:val="24"/>
        </w:rPr>
        <w:t>stakehol</w:t>
      </w:r>
      <w:r w:rsidR="00B0088F">
        <w:rPr>
          <w:rFonts w:ascii="Times New Roman" w:hAnsi="Times New Roman" w:cs="Times New Roman"/>
          <w:i/>
          <w:sz w:val="24"/>
          <w:szCs w:val="24"/>
        </w:rPr>
        <w:t>-</w:t>
      </w:r>
      <w:r w:rsidRPr="00D147A7">
        <w:rPr>
          <w:rFonts w:ascii="Times New Roman" w:hAnsi="Times New Roman" w:cs="Times New Roman"/>
          <w:i/>
          <w:sz w:val="24"/>
          <w:szCs w:val="24"/>
        </w:rPr>
        <w:t>ders</w:t>
      </w:r>
      <w:r w:rsidRPr="00D147A7">
        <w:rPr>
          <w:rFonts w:ascii="Times New Roman" w:hAnsi="Times New Roman" w:cs="Times New Roman"/>
          <w:sz w:val="24"/>
          <w:szCs w:val="24"/>
        </w:rPr>
        <w:t>; etc.</w:t>
      </w:r>
      <w:r w:rsidRPr="00D147A7">
        <w:rPr>
          <w:rStyle w:val="Voetnootmarkering"/>
          <w:rFonts w:ascii="Times New Roman" w:hAnsi="Times New Roman" w:cs="Times New Roman"/>
          <w:sz w:val="24"/>
          <w:szCs w:val="24"/>
        </w:rPr>
        <w:footnoteReference w:id="652"/>
      </w:r>
      <w:r w:rsidRPr="00D147A7">
        <w:rPr>
          <w:rFonts w:ascii="Times New Roman" w:hAnsi="Times New Roman" w:cs="Times New Roman"/>
          <w:sz w:val="24"/>
          <w:szCs w:val="24"/>
        </w:rPr>
        <w:t xml:space="preserve">  Hoewel de verdere ontwikkeling van het Franse eHealth-project tijdelijk op een lager pitje kwam te staan, stond het project nooit volledig stil. Zo, bijvoorbeeld, werd op 30 januari 2007 specifiek voor de gezondheidszorg een </w:t>
      </w:r>
      <w:r w:rsidRPr="00D147A7">
        <w:rPr>
          <w:rFonts w:ascii="Times New Roman" w:hAnsi="Times New Roman" w:cs="Times New Roman"/>
          <w:i/>
          <w:sz w:val="24"/>
          <w:szCs w:val="24"/>
        </w:rPr>
        <w:t>unique persistent identifier</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 xml:space="preserve">identifiant nationale de santé </w:t>
      </w:r>
      <w:r w:rsidRPr="00D147A7">
        <w:rPr>
          <w:rFonts w:ascii="Times New Roman" w:hAnsi="Times New Roman" w:cs="Times New Roman"/>
          <w:sz w:val="24"/>
          <w:szCs w:val="24"/>
        </w:rPr>
        <w:t>(INS)) ingevoerd. Alle begunstigden van de zorgverzekering ouder dan 16 jaar beschikken over dergelijk identificatienummer.</w:t>
      </w:r>
      <w:r w:rsidRPr="00D147A7">
        <w:rPr>
          <w:rStyle w:val="Voetnootmarkering"/>
          <w:rFonts w:ascii="Times New Roman" w:hAnsi="Times New Roman" w:cs="Times New Roman"/>
          <w:sz w:val="24"/>
          <w:szCs w:val="24"/>
        </w:rPr>
        <w:footnoteReference w:id="653"/>
      </w:r>
      <w:r w:rsidRPr="00D147A7">
        <w:rPr>
          <w:rFonts w:ascii="Times New Roman" w:hAnsi="Times New Roman" w:cs="Times New Roman"/>
          <w:sz w:val="24"/>
          <w:szCs w:val="24"/>
        </w:rPr>
        <w:t xml:space="preserve"> De INS is een betrouwbaar, uniek en betekenisloos nummer dat tot doel heeft om gezondheidsgegevens met 100% zekerheid aan het DMP van de juiste patiënt te koppelen.</w:t>
      </w:r>
      <w:r w:rsidRPr="00D147A7">
        <w:rPr>
          <w:rStyle w:val="Voetnootmarkering"/>
          <w:rFonts w:ascii="Times New Roman" w:hAnsi="Times New Roman" w:cs="Times New Roman"/>
          <w:sz w:val="24"/>
          <w:szCs w:val="24"/>
        </w:rPr>
        <w:footnoteReference w:id="654"/>
      </w:r>
      <w:r w:rsidRPr="00D147A7">
        <w:rPr>
          <w:rFonts w:ascii="Times New Roman" w:hAnsi="Times New Roman" w:cs="Times New Roman"/>
          <w:sz w:val="24"/>
          <w:szCs w:val="24"/>
        </w:rPr>
        <w:t xml:space="preserve"> Omdat het Franse sofinummer (</w:t>
      </w:r>
      <w:r w:rsidRPr="00D147A7">
        <w:rPr>
          <w:rFonts w:ascii="Times New Roman" w:hAnsi="Times New Roman" w:cs="Times New Roman"/>
          <w:i/>
          <w:sz w:val="24"/>
          <w:szCs w:val="24"/>
        </w:rPr>
        <w:t>numéro de sécu</w:t>
      </w:r>
      <w:r w:rsidR="00B0088F">
        <w:rPr>
          <w:rFonts w:ascii="Times New Roman" w:hAnsi="Times New Roman" w:cs="Times New Roman"/>
          <w:i/>
          <w:sz w:val="24"/>
          <w:szCs w:val="24"/>
        </w:rPr>
        <w:t>-</w:t>
      </w:r>
      <w:r w:rsidRPr="00D147A7">
        <w:rPr>
          <w:rFonts w:ascii="Times New Roman" w:hAnsi="Times New Roman" w:cs="Times New Roman"/>
          <w:i/>
          <w:sz w:val="24"/>
          <w:szCs w:val="24"/>
        </w:rPr>
        <w:t xml:space="preserve">rité social </w:t>
      </w:r>
      <w:r w:rsidRPr="00D147A7">
        <w:rPr>
          <w:rFonts w:ascii="Times New Roman" w:hAnsi="Times New Roman" w:cs="Times New Roman"/>
          <w:sz w:val="24"/>
          <w:szCs w:val="24"/>
        </w:rPr>
        <w:t>(NIR)</w:t>
      </w:r>
      <w:r w:rsidRPr="00D147A7">
        <w:rPr>
          <w:rStyle w:val="Voetnootmarkering"/>
          <w:rFonts w:ascii="Times New Roman" w:hAnsi="Times New Roman" w:cs="Times New Roman"/>
          <w:sz w:val="24"/>
          <w:szCs w:val="24"/>
        </w:rPr>
        <w:footnoteReference w:id="655"/>
      </w:r>
      <w:r w:rsidRPr="00D147A7">
        <w:rPr>
          <w:rFonts w:ascii="Times New Roman" w:hAnsi="Times New Roman" w:cs="Times New Roman"/>
          <w:sz w:val="24"/>
          <w:szCs w:val="24"/>
        </w:rPr>
        <w:t>) niet anoniem is en door verschillende overheidsdiensten gebruikt wordt, werd het op 20 februari 2007 door het CNIL ongeschikt bevonden voor de elektronische uit</w:t>
      </w:r>
      <w:r w:rsidR="00B0088F">
        <w:rPr>
          <w:rFonts w:ascii="Times New Roman" w:hAnsi="Times New Roman" w:cs="Times New Roman"/>
          <w:sz w:val="24"/>
          <w:szCs w:val="24"/>
        </w:rPr>
        <w:t>-</w:t>
      </w:r>
      <w:r w:rsidRPr="00D147A7">
        <w:rPr>
          <w:rFonts w:ascii="Times New Roman" w:hAnsi="Times New Roman" w:cs="Times New Roman"/>
          <w:sz w:val="24"/>
          <w:szCs w:val="24"/>
        </w:rPr>
        <w:t>wisseling van gezondheidsgegevens.</w:t>
      </w:r>
      <w:r w:rsidRPr="00D147A7">
        <w:rPr>
          <w:rStyle w:val="Voetnootmarkering"/>
          <w:rFonts w:ascii="Times New Roman" w:hAnsi="Times New Roman" w:cs="Times New Roman"/>
          <w:sz w:val="24"/>
          <w:szCs w:val="24"/>
        </w:rPr>
        <w:footnoteReference w:id="656"/>
      </w:r>
      <w:r w:rsidRPr="00D147A7">
        <w:rPr>
          <w:rFonts w:ascii="Times New Roman" w:hAnsi="Times New Roman" w:cs="Times New Roman"/>
          <w:sz w:val="24"/>
          <w:szCs w:val="24"/>
        </w:rPr>
        <w:t xml:space="preserve"> Verder voorkomt de INS ook dat voor eenzelfde patiënt meerdere lokale identificatienummers gecreëerd worden.</w:t>
      </w:r>
      <w:r w:rsidRPr="00D147A7">
        <w:rPr>
          <w:rStyle w:val="Voetnootmarkering"/>
          <w:rFonts w:ascii="Times New Roman" w:hAnsi="Times New Roman" w:cs="Times New Roman"/>
          <w:sz w:val="24"/>
          <w:szCs w:val="24"/>
        </w:rPr>
        <w:footnoteReference w:id="657"/>
      </w:r>
      <w:r w:rsidR="00B0088F">
        <w:rPr>
          <w:rFonts w:ascii="Times New Roman" w:hAnsi="Times New Roman" w:cs="Times New Roman"/>
          <w:sz w:val="24"/>
          <w:szCs w:val="24"/>
        </w:rPr>
        <w:t xml:space="preserve"> De INS we</w:t>
      </w:r>
      <w:r w:rsidRPr="00D147A7">
        <w:rPr>
          <w:rFonts w:ascii="Times New Roman" w:hAnsi="Times New Roman" w:cs="Times New Roman"/>
          <w:sz w:val="24"/>
          <w:szCs w:val="24"/>
        </w:rPr>
        <w:t xml:space="preserve">rd in twee </w:t>
      </w:r>
      <w:r w:rsidRPr="00D147A7">
        <w:rPr>
          <w:rFonts w:ascii="Times New Roman" w:hAnsi="Times New Roman" w:cs="Times New Roman"/>
          <w:sz w:val="24"/>
          <w:szCs w:val="24"/>
        </w:rPr>
        <w:lastRenderedPageBreak/>
        <w:t>fasen</w:t>
      </w:r>
      <w:r w:rsidR="00B0088F">
        <w:rPr>
          <w:rFonts w:ascii="Times New Roman" w:hAnsi="Times New Roman" w:cs="Times New Roman"/>
          <w:sz w:val="24"/>
          <w:szCs w:val="24"/>
        </w:rPr>
        <w:t xml:space="preserve"> ingevoerd. In de eerste fase werd</w:t>
      </w:r>
      <w:r w:rsidRPr="00D147A7">
        <w:rPr>
          <w:rFonts w:ascii="Times New Roman" w:hAnsi="Times New Roman" w:cs="Times New Roman"/>
          <w:sz w:val="24"/>
          <w:szCs w:val="24"/>
        </w:rPr>
        <w:t xml:space="preserve"> aan patiënten een </w:t>
      </w:r>
      <w:r w:rsidRPr="00D147A7">
        <w:rPr>
          <w:rFonts w:ascii="Times New Roman" w:hAnsi="Times New Roman" w:cs="Times New Roman"/>
          <w:i/>
          <w:sz w:val="24"/>
          <w:szCs w:val="24"/>
        </w:rPr>
        <w:t xml:space="preserve">identifiant nationale de santé </w:t>
      </w:r>
      <w:r w:rsidR="00B0088F">
        <w:rPr>
          <w:rFonts w:ascii="Times New Roman" w:hAnsi="Times New Roman" w:cs="Times New Roman"/>
          <w:i/>
          <w:sz w:val="24"/>
          <w:szCs w:val="24"/>
        </w:rPr>
        <w:t>–</w:t>
      </w:r>
      <w:r w:rsidRPr="00D147A7">
        <w:rPr>
          <w:rFonts w:ascii="Times New Roman" w:hAnsi="Times New Roman" w:cs="Times New Roman"/>
          <w:i/>
          <w:sz w:val="24"/>
          <w:szCs w:val="24"/>
        </w:rPr>
        <w:t xml:space="preserve"> cal</w:t>
      </w:r>
      <w:r w:rsidR="00B0088F">
        <w:rPr>
          <w:rFonts w:ascii="Times New Roman" w:hAnsi="Times New Roman" w:cs="Times New Roman"/>
          <w:i/>
          <w:sz w:val="24"/>
          <w:szCs w:val="24"/>
        </w:rPr>
        <w:t>-</w:t>
      </w:r>
      <w:r w:rsidRPr="00D147A7">
        <w:rPr>
          <w:rFonts w:ascii="Times New Roman" w:hAnsi="Times New Roman" w:cs="Times New Roman"/>
          <w:i/>
          <w:sz w:val="24"/>
          <w:szCs w:val="24"/>
        </w:rPr>
        <w:t xml:space="preserve">culé </w:t>
      </w:r>
      <w:r w:rsidRPr="00D147A7">
        <w:rPr>
          <w:rFonts w:ascii="Times New Roman" w:hAnsi="Times New Roman" w:cs="Times New Roman"/>
          <w:sz w:val="24"/>
          <w:szCs w:val="24"/>
        </w:rPr>
        <w:t xml:space="preserve">(INS-C) toegekend. Aan de hand van de informatie op de </w:t>
      </w:r>
      <w:r w:rsidRPr="00D147A7">
        <w:rPr>
          <w:rFonts w:ascii="Times New Roman" w:hAnsi="Times New Roman" w:cs="Times New Roman"/>
          <w:i/>
          <w:sz w:val="24"/>
          <w:szCs w:val="24"/>
        </w:rPr>
        <w:t>carte Vitale</w:t>
      </w:r>
      <w:r w:rsidRPr="00D147A7">
        <w:rPr>
          <w:rFonts w:ascii="Times New Roman" w:hAnsi="Times New Roman" w:cs="Times New Roman"/>
          <w:sz w:val="24"/>
          <w:szCs w:val="24"/>
        </w:rPr>
        <w:t xml:space="preserve"> van de patiënt worden de 22 cijfers (waaronder twee cijfers die met de foutdetectie-code overeenkomen) van de INS-C berekend door de software van de zorgverlener.</w:t>
      </w:r>
      <w:r w:rsidRPr="00D147A7">
        <w:rPr>
          <w:rStyle w:val="Voetnootmarkering"/>
          <w:rFonts w:ascii="Times New Roman" w:hAnsi="Times New Roman" w:cs="Times New Roman"/>
          <w:sz w:val="24"/>
          <w:szCs w:val="24"/>
        </w:rPr>
        <w:footnoteReference w:id="658"/>
      </w:r>
      <w:r w:rsidRPr="00D147A7">
        <w:rPr>
          <w:rFonts w:ascii="Times New Roman" w:hAnsi="Times New Roman" w:cs="Times New Roman"/>
          <w:sz w:val="24"/>
          <w:szCs w:val="24"/>
        </w:rPr>
        <w:t xml:space="preserve"> Op 9 juni 2010 werd er een ondersteunende overheidsdienst opgericht voor de software die de INS-C berekent. </w:t>
      </w:r>
      <w:r w:rsidRPr="00D147A7">
        <w:rPr>
          <w:rFonts w:ascii="Times New Roman" w:hAnsi="Times New Roman" w:cs="Times New Roman"/>
          <w:sz w:val="24"/>
          <w:szCs w:val="24"/>
          <w:lang w:val="fr-BE"/>
        </w:rPr>
        <w:t xml:space="preserve">Deze dienst wordt door het </w:t>
      </w:r>
      <w:r w:rsidRPr="00D147A7">
        <w:rPr>
          <w:rFonts w:ascii="Times New Roman" w:hAnsi="Times New Roman" w:cs="Times New Roman"/>
          <w:i/>
          <w:sz w:val="24"/>
          <w:szCs w:val="24"/>
          <w:lang w:val="fr-BE"/>
        </w:rPr>
        <w:t xml:space="preserve">Centre National de Dépôt et d’Agrément </w:t>
      </w:r>
      <w:r w:rsidRPr="00D147A7">
        <w:rPr>
          <w:rFonts w:ascii="Times New Roman" w:hAnsi="Times New Roman" w:cs="Times New Roman"/>
          <w:sz w:val="24"/>
          <w:szCs w:val="24"/>
          <w:lang w:val="fr-BE"/>
        </w:rPr>
        <w:t>(CNDA) beheerd, een onder</w:t>
      </w:r>
      <w:r w:rsidR="00B0088F">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deel van de </w:t>
      </w:r>
      <w:r w:rsidRPr="00D147A7">
        <w:rPr>
          <w:rFonts w:ascii="Times New Roman" w:hAnsi="Times New Roman" w:cs="Times New Roman"/>
          <w:i/>
          <w:sz w:val="24"/>
          <w:szCs w:val="24"/>
          <w:lang w:val="fr-BE"/>
        </w:rPr>
        <w:t>Caisse Nationale de l'Assurance Maladie des Travailleurs Salariés</w:t>
      </w:r>
      <w:r w:rsidRPr="00D147A7">
        <w:rPr>
          <w:rFonts w:ascii="Times New Roman" w:hAnsi="Times New Roman" w:cs="Times New Roman"/>
          <w:sz w:val="24"/>
          <w:szCs w:val="24"/>
          <w:lang w:val="fr-BE"/>
        </w:rPr>
        <w:t xml:space="preserve"> (CNAM-TS).</w:t>
      </w:r>
      <w:r w:rsidRPr="00D147A7">
        <w:rPr>
          <w:rStyle w:val="Voetnootmarkering"/>
          <w:rFonts w:ascii="Times New Roman" w:hAnsi="Times New Roman" w:cs="Times New Roman"/>
          <w:sz w:val="24"/>
          <w:szCs w:val="24"/>
        </w:rPr>
        <w:footnoteReference w:id="659"/>
      </w:r>
    </w:p>
    <w:p w:rsidR="009931C7" w:rsidRPr="00D147A7" w:rsidRDefault="009931C7" w:rsidP="009931C7">
      <w:pPr>
        <w:pStyle w:val="Geenafstand"/>
        <w:jc w:val="both"/>
        <w:rPr>
          <w:rFonts w:ascii="Times New Roman" w:hAnsi="Times New Roman" w:cs="Times New Roman"/>
          <w:sz w:val="24"/>
          <w:szCs w:val="24"/>
          <w:lang w:val="fr-BE"/>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7C8B6EE7" wp14:editId="0C2A9506">
            <wp:extent cx="4311150" cy="28098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313288" cy="2811269"/>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Figuur 15: Samenstelling van de </w:t>
      </w:r>
      <w:r w:rsidRPr="00D147A7">
        <w:rPr>
          <w:rFonts w:ascii="Times New Roman" w:hAnsi="Times New Roman" w:cs="Times New Roman"/>
          <w:i/>
          <w:sz w:val="24"/>
          <w:szCs w:val="24"/>
        </w:rPr>
        <w:t xml:space="preserve">Identifiant National de Santé – Calculé </w:t>
      </w:r>
      <w:r w:rsidRPr="00D147A7">
        <w:rPr>
          <w:rFonts w:ascii="Times New Roman" w:hAnsi="Times New Roman" w:cs="Times New Roman"/>
          <w:sz w:val="24"/>
          <w:szCs w:val="24"/>
        </w:rPr>
        <w:t>(INS-C)</w:t>
      </w:r>
      <w:r w:rsidRPr="00D147A7">
        <w:rPr>
          <w:rStyle w:val="Voetnootmarkering"/>
          <w:rFonts w:ascii="Times New Roman" w:hAnsi="Times New Roman" w:cs="Times New Roman"/>
          <w:sz w:val="24"/>
          <w:szCs w:val="24"/>
        </w:rPr>
        <w:footnoteReference w:id="660"/>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INS-C is slechts een voorlopig identificatienummer, dat gebruikt wordt in afwachting van de </w:t>
      </w:r>
      <w:r w:rsidRPr="00D147A7">
        <w:rPr>
          <w:rFonts w:ascii="Times New Roman" w:hAnsi="Times New Roman" w:cs="Times New Roman"/>
          <w:i/>
          <w:sz w:val="24"/>
          <w:szCs w:val="24"/>
        </w:rPr>
        <w:t xml:space="preserve">Identifiant National de Santé généré aléatoirement </w:t>
      </w:r>
      <w:r w:rsidRPr="00D147A7">
        <w:rPr>
          <w:rFonts w:ascii="Times New Roman" w:hAnsi="Times New Roman" w:cs="Times New Roman"/>
          <w:sz w:val="24"/>
          <w:szCs w:val="24"/>
        </w:rPr>
        <w:t xml:space="preserve">(INS-A). Bij de oprichting van een NIR zal een centraal systeem van het </w:t>
      </w:r>
      <w:r w:rsidRPr="00D147A7">
        <w:rPr>
          <w:rFonts w:ascii="Times New Roman" w:hAnsi="Times New Roman" w:cs="Times New Roman"/>
          <w:i/>
          <w:sz w:val="24"/>
          <w:szCs w:val="24"/>
        </w:rPr>
        <w:t xml:space="preserve">Répértoire National Interrégimes de l’Assurance Maladie </w:t>
      </w:r>
      <w:r w:rsidRPr="00D147A7">
        <w:rPr>
          <w:rFonts w:ascii="Times New Roman" w:hAnsi="Times New Roman" w:cs="Times New Roman"/>
          <w:sz w:val="24"/>
          <w:szCs w:val="24"/>
        </w:rPr>
        <w:t>(RNIAM) ook tien cijfers willekeurig genereren en toe</w:t>
      </w:r>
      <w:r w:rsidR="00B0088F">
        <w:rPr>
          <w:rFonts w:ascii="Times New Roman" w:hAnsi="Times New Roman" w:cs="Times New Roman"/>
          <w:sz w:val="24"/>
          <w:szCs w:val="24"/>
        </w:rPr>
        <w:t>kenn</w:t>
      </w:r>
      <w:r w:rsidRPr="00D147A7">
        <w:rPr>
          <w:rFonts w:ascii="Times New Roman" w:hAnsi="Times New Roman" w:cs="Times New Roman"/>
          <w:sz w:val="24"/>
          <w:szCs w:val="24"/>
        </w:rPr>
        <w:t xml:space="preserve">en. Samen met de twee cijfers die met de foutdetectie-code corresponderen, vormen ze het INS-A. Door de </w:t>
      </w:r>
      <w:r w:rsidRPr="00D147A7">
        <w:rPr>
          <w:rFonts w:ascii="Times New Roman" w:hAnsi="Times New Roman" w:cs="Times New Roman"/>
          <w:i/>
          <w:sz w:val="24"/>
          <w:szCs w:val="24"/>
        </w:rPr>
        <w:t>carte Vitale</w:t>
      </w:r>
      <w:r w:rsidRPr="00D147A7">
        <w:rPr>
          <w:rFonts w:ascii="Times New Roman" w:hAnsi="Times New Roman" w:cs="Times New Roman"/>
          <w:sz w:val="24"/>
          <w:szCs w:val="24"/>
        </w:rPr>
        <w:t xml:space="preserve"> van de patiënt te lezen, zal het INS-A via een </w:t>
      </w:r>
      <w:r w:rsidRPr="00D147A7">
        <w:rPr>
          <w:rFonts w:ascii="Times New Roman" w:hAnsi="Times New Roman" w:cs="Times New Roman"/>
          <w:i/>
          <w:sz w:val="24"/>
          <w:szCs w:val="24"/>
        </w:rPr>
        <w:t xml:space="preserve">téléservice national aux professionnels de santé et aux établissements </w:t>
      </w:r>
      <w:r w:rsidRPr="00D147A7">
        <w:rPr>
          <w:rFonts w:ascii="Times New Roman" w:hAnsi="Times New Roman" w:cs="Times New Roman"/>
          <w:sz w:val="24"/>
          <w:szCs w:val="24"/>
        </w:rPr>
        <w:t xml:space="preserve">geraadpleegd kunnen worden.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In 2007 was de Minister van Volksgezondheid zich er reeds van bewust dat er eerst diepgaan</w:t>
      </w:r>
      <w:r w:rsidR="00B0088F">
        <w:rPr>
          <w:rFonts w:ascii="Times New Roman" w:hAnsi="Times New Roman" w:cs="Times New Roman"/>
          <w:sz w:val="24"/>
          <w:szCs w:val="24"/>
        </w:rPr>
        <w:t>-</w:t>
      </w:r>
      <w:r w:rsidRPr="00D147A7">
        <w:rPr>
          <w:rFonts w:ascii="Times New Roman" w:hAnsi="Times New Roman" w:cs="Times New Roman"/>
          <w:sz w:val="24"/>
          <w:szCs w:val="24"/>
        </w:rPr>
        <w:t>de maatregelen getroffen moesten worden alvorens het DMP in de praktijk kon worden inge</w:t>
      </w:r>
      <w:r w:rsidR="00B0088F">
        <w:rPr>
          <w:rFonts w:ascii="Times New Roman" w:hAnsi="Times New Roman" w:cs="Times New Roman"/>
          <w:sz w:val="24"/>
          <w:szCs w:val="24"/>
        </w:rPr>
        <w:t>-</w:t>
      </w:r>
      <w:r w:rsidRPr="00D147A7">
        <w:rPr>
          <w:rFonts w:ascii="Times New Roman" w:hAnsi="Times New Roman" w:cs="Times New Roman"/>
          <w:sz w:val="24"/>
          <w:szCs w:val="24"/>
        </w:rPr>
        <w:lastRenderedPageBreak/>
        <w:t>voerd.</w:t>
      </w:r>
      <w:r w:rsidRPr="00D147A7">
        <w:rPr>
          <w:rStyle w:val="Voetnootmarkering"/>
          <w:rFonts w:ascii="Times New Roman" w:hAnsi="Times New Roman" w:cs="Times New Roman"/>
          <w:sz w:val="24"/>
          <w:szCs w:val="24"/>
        </w:rPr>
        <w:footnoteReference w:id="661"/>
      </w:r>
      <w:r w:rsidRPr="00D147A7">
        <w:rPr>
          <w:rFonts w:ascii="Times New Roman" w:hAnsi="Times New Roman" w:cs="Times New Roman"/>
          <w:sz w:val="24"/>
          <w:szCs w:val="24"/>
        </w:rPr>
        <w:t xml:space="preserve"> In het kader van dit inzicht liet Bachelot-Narquin verschillende onderzoeken uit</w:t>
      </w:r>
      <w:r w:rsidR="00B0088F">
        <w:rPr>
          <w:rFonts w:ascii="Times New Roman" w:hAnsi="Times New Roman" w:cs="Times New Roman"/>
          <w:sz w:val="24"/>
          <w:szCs w:val="24"/>
        </w:rPr>
        <w:t>-</w:t>
      </w:r>
      <w:r w:rsidRPr="00D147A7">
        <w:rPr>
          <w:rFonts w:ascii="Times New Roman" w:hAnsi="Times New Roman" w:cs="Times New Roman"/>
          <w:sz w:val="24"/>
          <w:szCs w:val="24"/>
        </w:rPr>
        <w:t xml:space="preserve">voeren, </w:t>
      </w:r>
      <w:r w:rsidR="00B0088F">
        <w:rPr>
          <w:rFonts w:ascii="Times New Roman" w:hAnsi="Times New Roman" w:cs="Times New Roman"/>
          <w:sz w:val="24"/>
          <w:szCs w:val="24"/>
        </w:rPr>
        <w:t>die tot</w:t>
      </w:r>
      <w:r w:rsidRPr="00D147A7">
        <w:rPr>
          <w:rFonts w:ascii="Times New Roman" w:hAnsi="Times New Roman" w:cs="Times New Roman"/>
          <w:sz w:val="24"/>
          <w:szCs w:val="24"/>
        </w:rPr>
        <w:t xml:space="preserve"> verschillende gedetailleerde rapporten </w:t>
      </w:r>
      <w:r w:rsidR="00B0088F">
        <w:rPr>
          <w:rFonts w:ascii="Times New Roman" w:hAnsi="Times New Roman" w:cs="Times New Roman"/>
          <w:sz w:val="24"/>
          <w:szCs w:val="24"/>
        </w:rPr>
        <w:t>leidden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62"/>
      </w:r>
      <w:r w:rsidRPr="00D147A7">
        <w:rPr>
          <w:rFonts w:ascii="Times New Roman" w:hAnsi="Times New Roman" w:cs="Times New Roman"/>
          <w:sz w:val="24"/>
          <w:szCs w:val="24"/>
        </w:rPr>
        <w:t xml:space="preserve"> Ook verleende het </w:t>
      </w:r>
      <w:r w:rsidRPr="00D147A7">
        <w:rPr>
          <w:rFonts w:ascii="Times New Roman" w:hAnsi="Times New Roman" w:cs="Times New Roman"/>
          <w:i/>
          <w:sz w:val="24"/>
          <w:szCs w:val="24"/>
        </w:rPr>
        <w:t>Comité consultatif national d’éthique</w:t>
      </w:r>
      <w:r w:rsidRPr="00D147A7">
        <w:rPr>
          <w:rFonts w:ascii="Times New Roman" w:hAnsi="Times New Roman" w:cs="Times New Roman"/>
          <w:sz w:val="24"/>
          <w:szCs w:val="24"/>
        </w:rPr>
        <w:t xml:space="preserve"> op 12 juni 2008 de Minister advies over de gewijzigde context van het DMP.</w:t>
      </w:r>
      <w:r w:rsidRPr="00D147A7">
        <w:rPr>
          <w:rStyle w:val="Voetnootmarkering"/>
          <w:rFonts w:ascii="Times New Roman" w:hAnsi="Times New Roman" w:cs="Times New Roman"/>
          <w:sz w:val="24"/>
          <w:szCs w:val="24"/>
        </w:rPr>
        <w:footnoteReference w:id="663"/>
      </w:r>
      <w:r w:rsidRPr="00D147A7">
        <w:rPr>
          <w:rFonts w:ascii="Times New Roman" w:hAnsi="Times New Roman" w:cs="Times New Roman"/>
          <w:sz w:val="24"/>
          <w:szCs w:val="24"/>
        </w:rPr>
        <w:t xml:space="preserve"> Op de officiële aankondiging op 23 juni 2008 van de nieuwe invoering van het DMP</w:t>
      </w:r>
      <w:r w:rsidRPr="00D147A7">
        <w:rPr>
          <w:rStyle w:val="Voetnootmarkering"/>
          <w:rFonts w:ascii="Times New Roman" w:hAnsi="Times New Roman" w:cs="Times New Roman"/>
          <w:sz w:val="24"/>
          <w:szCs w:val="24"/>
        </w:rPr>
        <w:footnoteReference w:id="664"/>
      </w:r>
      <w:r w:rsidRPr="00D147A7">
        <w:rPr>
          <w:rFonts w:ascii="Times New Roman" w:hAnsi="Times New Roman" w:cs="Times New Roman"/>
          <w:sz w:val="24"/>
          <w:szCs w:val="24"/>
        </w:rPr>
        <w:t xml:space="preserve"> volgde een nationale promotiecampagne.</w:t>
      </w:r>
      <w:r w:rsidRPr="00D147A7">
        <w:rPr>
          <w:rStyle w:val="Voetnootmarkering"/>
          <w:rFonts w:ascii="Times New Roman" w:hAnsi="Times New Roman" w:cs="Times New Roman"/>
          <w:sz w:val="24"/>
          <w:szCs w:val="24"/>
        </w:rPr>
        <w:footnoteReference w:id="665"/>
      </w:r>
      <w:r w:rsidRPr="00D147A7">
        <w:rPr>
          <w:rFonts w:ascii="Times New Roman" w:hAnsi="Times New Roman" w:cs="Times New Roman"/>
          <w:sz w:val="24"/>
          <w:szCs w:val="24"/>
        </w:rPr>
        <w:t xml:space="preserve"> Op 5 maart 2009 deelde Jean-Yves Robin, algemeen directeur van de GIP DMP, aan </w:t>
      </w:r>
      <w:r w:rsidRPr="00D147A7">
        <w:rPr>
          <w:rFonts w:ascii="Times New Roman" w:hAnsi="Times New Roman" w:cs="Times New Roman"/>
          <w:i/>
          <w:sz w:val="24"/>
          <w:szCs w:val="24"/>
        </w:rPr>
        <w:t xml:space="preserve">La Tribune </w:t>
      </w:r>
      <w:r w:rsidRPr="00D147A7">
        <w:rPr>
          <w:rFonts w:ascii="Times New Roman" w:hAnsi="Times New Roman" w:cs="Times New Roman"/>
          <w:sz w:val="24"/>
          <w:szCs w:val="24"/>
        </w:rPr>
        <w:t>mee dat de lancering van de eer</w:t>
      </w:r>
      <w:r w:rsidR="00B0088F">
        <w:rPr>
          <w:rFonts w:ascii="Times New Roman" w:hAnsi="Times New Roman" w:cs="Times New Roman"/>
          <w:sz w:val="24"/>
          <w:szCs w:val="24"/>
        </w:rPr>
        <w:t>-</w:t>
      </w:r>
      <w:r w:rsidRPr="00D147A7">
        <w:rPr>
          <w:rFonts w:ascii="Times New Roman" w:hAnsi="Times New Roman" w:cs="Times New Roman"/>
          <w:sz w:val="24"/>
          <w:szCs w:val="24"/>
        </w:rPr>
        <w:t xml:space="preserve">ste versie van het DMP voor 2010 voorzien was en dat de gedeelde patiëntendossiers bij één </w:t>
      </w:r>
      <w:r w:rsidRPr="00D147A7">
        <w:rPr>
          <w:rFonts w:ascii="Times New Roman" w:hAnsi="Times New Roman" w:cs="Times New Roman"/>
          <w:i/>
          <w:sz w:val="24"/>
          <w:szCs w:val="24"/>
        </w:rPr>
        <w:t>host provider</w:t>
      </w:r>
      <w:r w:rsidRPr="00D147A7">
        <w:rPr>
          <w:rFonts w:ascii="Times New Roman" w:hAnsi="Times New Roman" w:cs="Times New Roman"/>
          <w:sz w:val="24"/>
          <w:szCs w:val="24"/>
        </w:rPr>
        <w:t xml:space="preserve"> zouden worden opgeslagen.</w:t>
      </w:r>
      <w:r w:rsidRPr="00D147A7">
        <w:rPr>
          <w:rStyle w:val="Voetnootmarkering"/>
          <w:rFonts w:ascii="Times New Roman" w:hAnsi="Times New Roman" w:cs="Times New Roman"/>
          <w:sz w:val="24"/>
          <w:szCs w:val="24"/>
        </w:rPr>
        <w:footnoteReference w:id="666"/>
      </w:r>
      <w:r w:rsidRPr="00D147A7">
        <w:rPr>
          <w:rFonts w:ascii="Times New Roman" w:hAnsi="Times New Roman" w:cs="Times New Roman"/>
          <w:sz w:val="24"/>
          <w:szCs w:val="24"/>
        </w:rPr>
        <w:t xml:space="preserve"> Enkele dagen later, op 10 maart, bekrachtigde de </w:t>
      </w:r>
      <w:r w:rsidRPr="00D147A7">
        <w:rPr>
          <w:rFonts w:ascii="Times New Roman" w:hAnsi="Times New Roman" w:cs="Times New Roman"/>
          <w:i/>
          <w:sz w:val="24"/>
          <w:szCs w:val="24"/>
        </w:rPr>
        <w:t>commission des marchés</w:t>
      </w:r>
      <w:r w:rsidRPr="00D147A7">
        <w:rPr>
          <w:rFonts w:ascii="Times New Roman" w:hAnsi="Times New Roman" w:cs="Times New Roman"/>
          <w:sz w:val="24"/>
          <w:szCs w:val="24"/>
        </w:rPr>
        <w:t xml:space="preserve"> van het </w:t>
      </w:r>
      <w:r w:rsidRPr="00D147A7">
        <w:rPr>
          <w:rFonts w:ascii="Times New Roman" w:hAnsi="Times New Roman" w:cs="Times New Roman"/>
          <w:i/>
          <w:sz w:val="24"/>
          <w:szCs w:val="24"/>
        </w:rPr>
        <w:t>Agence des Systèmes d’Information Partagé de Santé</w:t>
      </w:r>
      <w:r w:rsidRPr="00D147A7">
        <w:rPr>
          <w:rFonts w:ascii="Times New Roman" w:hAnsi="Times New Roman" w:cs="Times New Roman"/>
          <w:sz w:val="24"/>
          <w:szCs w:val="24"/>
        </w:rPr>
        <w:t xml:space="preserve"> de beslissing van 11 februari, waarbij de </w:t>
      </w:r>
      <w:r w:rsidRPr="00D147A7">
        <w:rPr>
          <w:rFonts w:ascii="Times New Roman" w:hAnsi="Times New Roman" w:cs="Times New Roman"/>
          <w:i/>
          <w:sz w:val="24"/>
          <w:szCs w:val="24"/>
        </w:rPr>
        <w:t>hosting</w:t>
      </w:r>
      <w:r w:rsidRPr="00D147A7">
        <w:rPr>
          <w:rFonts w:ascii="Times New Roman" w:hAnsi="Times New Roman" w:cs="Times New Roman"/>
          <w:sz w:val="24"/>
          <w:szCs w:val="24"/>
        </w:rPr>
        <w:t xml:space="preserve"> aan het samenwerkingsverband tussen Santeos S.A.</w:t>
      </w:r>
      <w:r w:rsidR="00B0088F">
        <w:rPr>
          <w:rFonts w:ascii="Times New Roman" w:hAnsi="Times New Roman" w:cs="Times New Roman"/>
          <w:sz w:val="24"/>
          <w:szCs w:val="24"/>
        </w:rPr>
        <w:t xml:space="preserve"> –</w:t>
      </w:r>
      <w:r w:rsidRPr="00D147A7">
        <w:rPr>
          <w:rFonts w:ascii="Times New Roman" w:hAnsi="Times New Roman" w:cs="Times New Roman"/>
          <w:sz w:val="24"/>
          <w:szCs w:val="24"/>
        </w:rPr>
        <w:t xml:space="preserve"> een filiaal van ATOS Origin</w:t>
      </w:r>
      <w:r w:rsidR="00B0088F">
        <w:rPr>
          <w:rFonts w:ascii="Times New Roman" w:hAnsi="Times New Roman" w:cs="Times New Roman"/>
          <w:sz w:val="24"/>
          <w:szCs w:val="24"/>
        </w:rPr>
        <w:t xml:space="preserve"> –</w:t>
      </w:r>
      <w:r w:rsidRPr="00D147A7">
        <w:rPr>
          <w:rFonts w:ascii="Times New Roman" w:hAnsi="Times New Roman" w:cs="Times New Roman"/>
          <w:sz w:val="24"/>
          <w:szCs w:val="24"/>
        </w:rPr>
        <w:t xml:space="preserve"> en Extelia S.A.S.</w:t>
      </w:r>
      <w:r w:rsidR="00B0088F">
        <w:rPr>
          <w:rFonts w:ascii="Times New Roman" w:hAnsi="Times New Roman" w:cs="Times New Roman"/>
          <w:sz w:val="24"/>
          <w:szCs w:val="24"/>
        </w:rPr>
        <w:t xml:space="preserve"> –</w:t>
      </w:r>
      <w:r w:rsidRPr="00D147A7">
        <w:rPr>
          <w:rFonts w:ascii="Times New Roman" w:hAnsi="Times New Roman" w:cs="Times New Roman"/>
          <w:sz w:val="24"/>
          <w:szCs w:val="24"/>
        </w:rPr>
        <w:t xml:space="preserve"> een dochterondernemingen van La Poste</w:t>
      </w:r>
      <w:r w:rsidR="00B0088F">
        <w:rPr>
          <w:rFonts w:ascii="Times New Roman" w:hAnsi="Times New Roman" w:cs="Times New Roman"/>
          <w:sz w:val="24"/>
          <w:szCs w:val="24"/>
        </w:rPr>
        <w:t xml:space="preserve"> –</w:t>
      </w:r>
      <w:r w:rsidRPr="00D147A7">
        <w:rPr>
          <w:rFonts w:ascii="Times New Roman" w:hAnsi="Times New Roman" w:cs="Times New Roman"/>
          <w:sz w:val="24"/>
          <w:szCs w:val="24"/>
        </w:rPr>
        <w:t xml:space="preserve"> toegekend werd.</w:t>
      </w:r>
      <w:r w:rsidRPr="00D147A7">
        <w:rPr>
          <w:rStyle w:val="Voetnootmarkering"/>
          <w:rFonts w:ascii="Times New Roman" w:hAnsi="Times New Roman" w:cs="Times New Roman"/>
          <w:sz w:val="24"/>
          <w:szCs w:val="24"/>
        </w:rPr>
        <w:footnoteReference w:id="667"/>
      </w:r>
      <w:r w:rsidRPr="00D147A7">
        <w:rPr>
          <w:rFonts w:ascii="Times New Roman" w:hAnsi="Times New Roman" w:cs="Times New Roman"/>
          <w:sz w:val="24"/>
          <w:szCs w:val="24"/>
        </w:rPr>
        <w:t xml:space="preserve">  Tijdens de eerste fase (2010-2013) worden de DMP’s bij Atos Worldline S.A.S., Santeos S.A., Extelia S.A.S., HSC, Softway Medical Services en Evalab</w:t>
      </w:r>
      <w:r w:rsidR="00B0088F">
        <w:rPr>
          <w:rFonts w:ascii="Times New Roman" w:hAnsi="Times New Roman" w:cs="Times New Roman"/>
          <w:sz w:val="24"/>
          <w:szCs w:val="24"/>
        </w:rPr>
        <w:t xml:space="preserve"> </w:t>
      </w:r>
      <w:r w:rsidR="00B0088F" w:rsidRPr="00D147A7">
        <w:rPr>
          <w:rFonts w:ascii="Times New Roman" w:hAnsi="Times New Roman" w:cs="Times New Roman"/>
          <w:sz w:val="24"/>
          <w:szCs w:val="24"/>
        </w:rPr>
        <w:t>opgeslagen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68"/>
      </w:r>
      <w:r w:rsidRPr="00D147A7">
        <w:rPr>
          <w:rFonts w:ascii="Times New Roman" w:hAnsi="Times New Roman" w:cs="Times New Roman"/>
          <w:sz w:val="24"/>
          <w:szCs w:val="24"/>
        </w:rPr>
        <w:t xml:space="preserve"> Een goede maand later, op 9 april 2009, bevestigde de Minister van Volks</w:t>
      </w:r>
      <w:r w:rsidR="00B0088F">
        <w:rPr>
          <w:rFonts w:ascii="Times New Roman" w:hAnsi="Times New Roman" w:cs="Times New Roman"/>
          <w:sz w:val="24"/>
          <w:szCs w:val="24"/>
        </w:rPr>
        <w:t>-</w:t>
      </w:r>
      <w:r w:rsidRPr="00D147A7">
        <w:rPr>
          <w:rFonts w:ascii="Times New Roman" w:hAnsi="Times New Roman" w:cs="Times New Roman"/>
          <w:sz w:val="24"/>
          <w:szCs w:val="24"/>
        </w:rPr>
        <w:t xml:space="preserve">gezondheid de uitspraak van Robin en voegde eraan toe dat het DMP zeker niet voor </w:t>
      </w:r>
      <w:r w:rsidRPr="00B0088F">
        <w:rPr>
          <w:rFonts w:ascii="Times New Roman" w:hAnsi="Times New Roman" w:cs="Times New Roman"/>
          <w:i/>
          <w:sz w:val="24"/>
          <w:szCs w:val="24"/>
        </w:rPr>
        <w:t>medio</w:t>
      </w:r>
      <w:r w:rsidRPr="00D147A7">
        <w:rPr>
          <w:rFonts w:ascii="Times New Roman" w:hAnsi="Times New Roman" w:cs="Times New Roman"/>
          <w:sz w:val="24"/>
          <w:szCs w:val="24"/>
        </w:rPr>
        <w:t xml:space="preserve"> 2010 operationeel zou zijn.</w:t>
      </w:r>
      <w:r w:rsidRPr="00D147A7">
        <w:rPr>
          <w:rStyle w:val="Voetnootmarkering"/>
          <w:rFonts w:ascii="Times New Roman" w:hAnsi="Times New Roman" w:cs="Times New Roman"/>
          <w:sz w:val="24"/>
          <w:szCs w:val="24"/>
        </w:rPr>
        <w:footnoteReference w:id="669"/>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lastRenderedPageBreak/>
        <w:drawing>
          <wp:inline distT="0" distB="0" distL="0" distR="0" wp14:anchorId="58A3B975" wp14:editId="1C0E92C6">
            <wp:extent cx="4330460" cy="173634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35803" cy="1738486"/>
                    </a:xfrm>
                    <a:prstGeom prst="rect">
                      <a:avLst/>
                    </a:prstGeom>
                  </pic:spPr>
                </pic:pic>
              </a:graphicData>
            </a:graphic>
          </wp:inline>
        </w:drawing>
      </w:r>
    </w:p>
    <w:p w:rsidR="009931C7" w:rsidRDefault="009931C7" w:rsidP="009931C7">
      <w:pPr>
        <w:pStyle w:val="Geenafstand"/>
        <w:jc w:val="center"/>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Figuur 16: Enkele affiches die Franse burgers willen overtuigen van het nut en de veiligheid van het DMP (de zgn. </w:t>
      </w:r>
      <w:r w:rsidRPr="00D147A7">
        <w:rPr>
          <w:rFonts w:ascii="Times New Roman" w:hAnsi="Times New Roman" w:cs="Times New Roman"/>
          <w:i/>
          <w:sz w:val="24"/>
          <w:szCs w:val="24"/>
          <w:lang w:val="fr-BE"/>
        </w:rPr>
        <w:t>affiches «bénéfices»</w:t>
      </w:r>
      <w:r w:rsidRPr="00D147A7">
        <w:rPr>
          <w:rFonts w:ascii="Times New Roman" w:hAnsi="Times New Roman" w:cs="Times New Roman"/>
          <w:sz w:val="24"/>
          <w:szCs w:val="24"/>
          <w:lang w:val="fr-BE"/>
        </w:rPr>
        <w:t>, met de slogans ‘</w:t>
      </w:r>
      <w:r w:rsidRPr="00D147A7">
        <w:rPr>
          <w:rFonts w:ascii="Times New Roman" w:hAnsi="Times New Roman" w:cs="Times New Roman"/>
          <w:i/>
          <w:sz w:val="24"/>
          <w:szCs w:val="24"/>
          <w:lang w:val="fr-BE"/>
        </w:rPr>
        <w:t>Le Dossier Médical Personnel, un atout pour votre santé</w:t>
      </w:r>
      <w:r w:rsidRPr="00D147A7">
        <w:rPr>
          <w:rFonts w:ascii="Times New Roman" w:hAnsi="Times New Roman" w:cs="Times New Roman"/>
          <w:sz w:val="24"/>
          <w:szCs w:val="24"/>
          <w:lang w:val="fr-BE"/>
        </w:rPr>
        <w:t>’ en ‘</w:t>
      </w:r>
      <w:r w:rsidRPr="00D147A7">
        <w:rPr>
          <w:rFonts w:ascii="Times New Roman" w:hAnsi="Times New Roman" w:cs="Times New Roman"/>
          <w:i/>
          <w:sz w:val="24"/>
          <w:szCs w:val="24"/>
          <w:lang w:val="fr-BE"/>
        </w:rPr>
        <w:t>Le Dossier Médical Personnel, simple et sécurisé</w:t>
      </w:r>
      <w:r w:rsidRPr="00D147A7">
        <w:rPr>
          <w:rFonts w:ascii="Times New Roman" w:hAnsi="Times New Roman" w:cs="Times New Roman"/>
          <w:sz w:val="24"/>
          <w:szCs w:val="24"/>
          <w:lang w:val="fr-BE"/>
        </w:rPr>
        <w:t>’)</w:t>
      </w:r>
      <w:r w:rsidRPr="00D147A7">
        <w:rPr>
          <w:rStyle w:val="Voetnootmarkering"/>
          <w:rFonts w:ascii="Times New Roman" w:hAnsi="Times New Roman" w:cs="Times New Roman"/>
          <w:sz w:val="24"/>
          <w:szCs w:val="24"/>
        </w:rPr>
        <w:footnoteReference w:id="670"/>
      </w:r>
    </w:p>
    <w:p w:rsidR="0013513B" w:rsidRPr="00D147A7" w:rsidRDefault="0013513B" w:rsidP="009931C7">
      <w:pPr>
        <w:pStyle w:val="Geenafstand"/>
        <w:jc w:val="center"/>
        <w:rPr>
          <w:rFonts w:ascii="Times New Roman" w:hAnsi="Times New Roman" w:cs="Times New Roman"/>
          <w:sz w:val="24"/>
          <w:szCs w:val="24"/>
          <w:lang w:val="fr-BE"/>
        </w:rPr>
      </w:pP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noProof/>
          <w:lang w:eastAsia="nl-BE"/>
        </w:rPr>
        <w:drawing>
          <wp:inline distT="0" distB="0" distL="0" distR="0" wp14:anchorId="76218487" wp14:editId="7EE61DA2">
            <wp:extent cx="4408098" cy="1790699"/>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10309" cy="1791597"/>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Figuur 17: Enkele affiches die Franse burgers willen aansporen om een DMP te laten aanmaken (de zgn. </w:t>
      </w:r>
      <w:r w:rsidRPr="00D147A7">
        <w:rPr>
          <w:rFonts w:ascii="Times New Roman" w:hAnsi="Times New Roman" w:cs="Times New Roman"/>
          <w:i/>
          <w:sz w:val="24"/>
          <w:szCs w:val="24"/>
        </w:rPr>
        <w:t>affiches «recrutement»</w:t>
      </w:r>
      <w:r w:rsidRPr="00D147A7">
        <w:rPr>
          <w:rFonts w:ascii="Times New Roman" w:hAnsi="Times New Roman" w:cs="Times New Roman"/>
          <w:sz w:val="24"/>
          <w:szCs w:val="24"/>
        </w:rPr>
        <w:t xml:space="preserve"> met de slogan ‘</w:t>
      </w:r>
      <w:r w:rsidRPr="00D147A7">
        <w:rPr>
          <w:rFonts w:ascii="Times New Roman" w:hAnsi="Times New Roman" w:cs="Times New Roman"/>
          <w:i/>
          <w:sz w:val="24"/>
          <w:szCs w:val="24"/>
        </w:rPr>
        <w:t>C’est le moment de créer votre [DMP] Dossier Médical Personnel</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71"/>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In 2009 werd ook een belangrijke wet uitgevaardigd, waarin de belangrijkste voorwaarden voor de Franse eHealth-infrastructuur – en met name voor de verdere uitbouw van het </w:t>
      </w:r>
      <w:r w:rsidRPr="00D147A7">
        <w:rPr>
          <w:rFonts w:ascii="Times New Roman" w:hAnsi="Times New Roman" w:cs="Times New Roman"/>
          <w:i/>
          <w:sz w:val="24"/>
          <w:szCs w:val="24"/>
        </w:rPr>
        <w:t>dossier médical personnel</w:t>
      </w:r>
      <w:r w:rsidRPr="00D147A7">
        <w:rPr>
          <w:rStyle w:val="Voetnootmarkering"/>
          <w:rFonts w:ascii="Times New Roman" w:hAnsi="Times New Roman" w:cs="Times New Roman"/>
          <w:i/>
          <w:sz w:val="24"/>
          <w:szCs w:val="24"/>
        </w:rPr>
        <w:footnoteReference w:id="672"/>
      </w:r>
      <w:r w:rsidRPr="00D147A7">
        <w:rPr>
          <w:rFonts w:ascii="Times New Roman" w:hAnsi="Times New Roman" w:cs="Times New Roman"/>
          <w:i/>
          <w:sz w:val="24"/>
          <w:szCs w:val="24"/>
        </w:rPr>
        <w:t xml:space="preserve"> </w:t>
      </w:r>
      <w:r w:rsidRPr="00D147A7">
        <w:rPr>
          <w:rFonts w:ascii="Times New Roman" w:hAnsi="Times New Roman" w:cs="Times New Roman"/>
          <w:sz w:val="24"/>
          <w:szCs w:val="24"/>
        </w:rPr>
        <w:t>en het bijhorende farmaceutisch dossier</w:t>
      </w:r>
      <w:r w:rsidRPr="00D147A7">
        <w:rPr>
          <w:rStyle w:val="Voetnootmarkering"/>
          <w:rFonts w:ascii="Times New Roman" w:hAnsi="Times New Roman" w:cs="Times New Roman"/>
          <w:sz w:val="24"/>
          <w:szCs w:val="24"/>
        </w:rPr>
        <w:footnoteReference w:id="673"/>
      </w:r>
      <w:r w:rsidRPr="00D147A7">
        <w:rPr>
          <w:rFonts w:ascii="Times New Roman" w:hAnsi="Times New Roman" w:cs="Times New Roman"/>
          <w:sz w:val="24"/>
          <w:szCs w:val="24"/>
        </w:rPr>
        <w:t xml:space="preserve"> –</w:t>
      </w:r>
      <w:r w:rsidR="0013513B">
        <w:rPr>
          <w:rFonts w:ascii="Times New Roman" w:hAnsi="Times New Roman" w:cs="Times New Roman"/>
          <w:sz w:val="24"/>
          <w:szCs w:val="24"/>
        </w:rPr>
        <w:t xml:space="preserve"> </w:t>
      </w:r>
      <w:r w:rsidRPr="00D147A7">
        <w:rPr>
          <w:rFonts w:ascii="Times New Roman" w:hAnsi="Times New Roman" w:cs="Times New Roman"/>
          <w:sz w:val="24"/>
          <w:szCs w:val="24"/>
        </w:rPr>
        <w:t>v</w:t>
      </w:r>
      <w:r w:rsidR="0013513B">
        <w:rPr>
          <w:rFonts w:ascii="Times New Roman" w:hAnsi="Times New Roman" w:cs="Times New Roman"/>
          <w:sz w:val="24"/>
          <w:szCs w:val="24"/>
        </w:rPr>
        <w:t>a</w:t>
      </w:r>
      <w:r w:rsidRPr="00D147A7">
        <w:rPr>
          <w:rFonts w:ascii="Times New Roman" w:hAnsi="Times New Roman" w:cs="Times New Roman"/>
          <w:sz w:val="24"/>
          <w:szCs w:val="24"/>
        </w:rPr>
        <w:t>stgelegd</w:t>
      </w:r>
      <w:r w:rsidR="0013513B" w:rsidRPr="0013513B">
        <w:rPr>
          <w:rFonts w:ascii="Times New Roman" w:hAnsi="Times New Roman" w:cs="Times New Roman"/>
          <w:sz w:val="24"/>
          <w:szCs w:val="24"/>
        </w:rPr>
        <w:t xml:space="preserve"> </w:t>
      </w:r>
      <w:r w:rsidR="0013513B" w:rsidRPr="00D147A7">
        <w:rPr>
          <w:rFonts w:ascii="Times New Roman" w:hAnsi="Times New Roman" w:cs="Times New Roman"/>
          <w:sz w:val="24"/>
          <w:szCs w:val="24"/>
        </w:rPr>
        <w:t>werden</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74"/>
      </w:r>
      <w:r w:rsidRPr="00D147A7">
        <w:rPr>
          <w:rFonts w:ascii="Times New Roman" w:hAnsi="Times New Roman" w:cs="Times New Roman"/>
          <w:sz w:val="24"/>
          <w:szCs w:val="24"/>
        </w:rPr>
        <w:t xml:space="preserve"> In deze wet werden ook de rechten en verantwoordelijkheden van patiënten en zorgverleners m.b.t. het DMP en het farmaceutisch dossier verankerd. Opnieuw werd het belang van beide dossiers voor de coördinatie en kwaliteit van de zorgverlening herhaald. Nieuw is echter dat er voortaan een speciaal onderdeel in het DMP voor preventie voorzien is en er een wettelijke basis is voor de oprichting van een openbare portaalsite waarlangs patiënten hun DMP kunnen raadplegen en de toegangsrechten van zorgverleners tot hun DMP kunnen beheren.</w:t>
      </w:r>
      <w:r w:rsidRPr="00D147A7">
        <w:rPr>
          <w:rStyle w:val="Voetnootmarkering"/>
          <w:rFonts w:ascii="Times New Roman" w:hAnsi="Times New Roman" w:cs="Times New Roman"/>
          <w:sz w:val="24"/>
          <w:szCs w:val="24"/>
        </w:rPr>
        <w:footnoteReference w:id="675"/>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Andere (niet-wetgevende) </w:t>
      </w:r>
      <w:r w:rsidRPr="00D147A7">
        <w:rPr>
          <w:rFonts w:ascii="Times New Roman" w:hAnsi="Times New Roman" w:cs="Times New Roman"/>
          <w:i/>
          <w:sz w:val="24"/>
          <w:szCs w:val="24"/>
        </w:rPr>
        <w:t xml:space="preserve">enablers </w:t>
      </w:r>
      <w:r w:rsidRPr="00D147A7">
        <w:rPr>
          <w:rFonts w:ascii="Times New Roman" w:hAnsi="Times New Roman" w:cs="Times New Roman"/>
          <w:sz w:val="24"/>
          <w:szCs w:val="24"/>
        </w:rPr>
        <w:t>voor de modernisering van de Franse gezondheidszorg zijn voornamelijk ‘</w:t>
      </w:r>
      <w:r w:rsidRPr="0013513B">
        <w:rPr>
          <w:rFonts w:ascii="Times New Roman" w:hAnsi="Times New Roman" w:cs="Times New Roman"/>
          <w:i/>
          <w:sz w:val="24"/>
          <w:szCs w:val="24"/>
        </w:rPr>
        <w:t>Plan Hôpital 2007</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76"/>
      </w:r>
      <w:r w:rsidRPr="00D147A7">
        <w:rPr>
          <w:rFonts w:ascii="Times New Roman" w:hAnsi="Times New Roman" w:cs="Times New Roman"/>
          <w:sz w:val="24"/>
          <w:szCs w:val="24"/>
        </w:rPr>
        <w:t>, ‘</w:t>
      </w:r>
      <w:r w:rsidRPr="0013513B">
        <w:rPr>
          <w:rFonts w:ascii="Times New Roman" w:hAnsi="Times New Roman" w:cs="Times New Roman"/>
          <w:i/>
          <w:sz w:val="24"/>
          <w:szCs w:val="24"/>
        </w:rPr>
        <w:t>Plan Hôpital 2012</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77"/>
      </w:r>
      <w:r w:rsidRPr="00D147A7">
        <w:rPr>
          <w:rFonts w:ascii="Times New Roman" w:hAnsi="Times New Roman" w:cs="Times New Roman"/>
          <w:sz w:val="24"/>
          <w:szCs w:val="24"/>
        </w:rPr>
        <w:t xml:space="preserve"> en ‘</w:t>
      </w:r>
      <w:r w:rsidRPr="0013513B">
        <w:rPr>
          <w:rFonts w:ascii="Times New Roman" w:hAnsi="Times New Roman" w:cs="Times New Roman"/>
          <w:i/>
          <w:sz w:val="24"/>
          <w:szCs w:val="24"/>
        </w:rPr>
        <w:t>France numérique 2012</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678"/>
      </w:r>
      <w:r w:rsidRPr="00D147A7">
        <w:rPr>
          <w:rFonts w:ascii="Times New Roman" w:hAnsi="Times New Roman" w:cs="Times New Roman"/>
          <w:sz w:val="24"/>
          <w:szCs w:val="24"/>
        </w:rPr>
        <w:t xml:space="preserve"> In deze laatste beleidsnota van oktober 2008 wordt wederom het belang van het DMP-project benadrukt. Daarnaast is er een speciaal onderdeel aan de telegeneeskunde ge</w:t>
      </w:r>
      <w:r w:rsidR="0013513B">
        <w:rPr>
          <w:rFonts w:ascii="Times New Roman" w:hAnsi="Times New Roman" w:cs="Times New Roman"/>
          <w:sz w:val="24"/>
          <w:szCs w:val="24"/>
        </w:rPr>
        <w:t>-</w:t>
      </w:r>
      <w:r w:rsidRPr="00D147A7">
        <w:rPr>
          <w:rFonts w:ascii="Times New Roman" w:hAnsi="Times New Roman" w:cs="Times New Roman"/>
          <w:sz w:val="24"/>
          <w:szCs w:val="24"/>
        </w:rPr>
        <w:t xml:space="preserve">wijd. De beleidsnota stelt meer dan 150 acties voor om Frankrijk weer </w:t>
      </w:r>
      <w:r w:rsidR="0013513B">
        <w:rPr>
          <w:rFonts w:ascii="Times New Roman" w:hAnsi="Times New Roman" w:cs="Times New Roman"/>
          <w:sz w:val="24"/>
          <w:szCs w:val="24"/>
        </w:rPr>
        <w:t>als grote digitale natie</w:t>
      </w:r>
      <w:r w:rsidRPr="00D147A7">
        <w:rPr>
          <w:rFonts w:ascii="Times New Roman" w:hAnsi="Times New Roman" w:cs="Times New Roman"/>
          <w:sz w:val="24"/>
          <w:szCs w:val="24"/>
        </w:rPr>
        <w:t xml:space="preserve"> </w:t>
      </w:r>
      <w:r w:rsidR="0013513B" w:rsidRPr="00D147A7">
        <w:rPr>
          <w:rFonts w:ascii="Times New Roman" w:hAnsi="Times New Roman" w:cs="Times New Roman"/>
          <w:sz w:val="24"/>
          <w:szCs w:val="24"/>
        </w:rPr>
        <w:t xml:space="preserve">op de kaart </w:t>
      </w:r>
      <w:r w:rsidRPr="00D147A7">
        <w:rPr>
          <w:rFonts w:ascii="Times New Roman" w:hAnsi="Times New Roman" w:cs="Times New Roman"/>
          <w:sz w:val="24"/>
          <w:szCs w:val="24"/>
        </w:rPr>
        <w:t>te zetten. Al deze handelingen kunnen in vier kernprioriteiten gebundeld worden: aan alle burgers toegang tot digitale netwerken en diensten</w:t>
      </w:r>
      <w:r w:rsidR="0013513B" w:rsidRPr="0013513B">
        <w:rPr>
          <w:rFonts w:ascii="Times New Roman" w:hAnsi="Times New Roman" w:cs="Times New Roman"/>
          <w:sz w:val="24"/>
          <w:szCs w:val="24"/>
        </w:rPr>
        <w:t xml:space="preserve"> </w:t>
      </w:r>
      <w:r w:rsidR="0013513B" w:rsidRPr="00D147A7">
        <w:rPr>
          <w:rFonts w:ascii="Times New Roman" w:hAnsi="Times New Roman" w:cs="Times New Roman"/>
          <w:sz w:val="24"/>
          <w:szCs w:val="24"/>
        </w:rPr>
        <w:t>verlenen</w:t>
      </w:r>
      <w:r w:rsidRPr="00D147A7">
        <w:rPr>
          <w:rFonts w:ascii="Times New Roman" w:hAnsi="Times New Roman" w:cs="Times New Roman"/>
          <w:sz w:val="24"/>
          <w:szCs w:val="24"/>
        </w:rPr>
        <w:t>; nieuwe digitale concept</w:t>
      </w:r>
      <w:r w:rsidR="0013513B">
        <w:rPr>
          <w:rFonts w:ascii="Times New Roman" w:hAnsi="Times New Roman" w:cs="Times New Roman"/>
          <w:sz w:val="24"/>
          <w:szCs w:val="24"/>
        </w:rPr>
        <w:t>-</w:t>
      </w:r>
      <w:r w:rsidRPr="00D147A7">
        <w:rPr>
          <w:rFonts w:ascii="Times New Roman" w:hAnsi="Times New Roman" w:cs="Times New Roman"/>
          <w:sz w:val="24"/>
          <w:szCs w:val="24"/>
        </w:rPr>
        <w:t>en ontwikkelen, produceren en ter beschikking stellen; het gebruik van digitale diensten door bedrijven, overheden en burgers bevorderen en diversifiëren; en het beleid van de digitale economie moderniseren.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invoering van het DMP is een kwestie van fasen, overleg</w:t>
      </w:r>
      <w:r w:rsidR="0013513B">
        <w:rPr>
          <w:rFonts w:ascii="Times New Roman" w:hAnsi="Times New Roman" w:cs="Times New Roman"/>
          <w:sz w:val="24"/>
          <w:szCs w:val="24"/>
        </w:rPr>
        <w:t xml:space="preserve"> en</w:t>
      </w:r>
      <w:r w:rsidRPr="00D147A7">
        <w:rPr>
          <w:rFonts w:ascii="Times New Roman" w:hAnsi="Times New Roman" w:cs="Times New Roman"/>
          <w:sz w:val="24"/>
          <w:szCs w:val="24"/>
        </w:rPr>
        <w:t xml:space="preserve"> feedback. Het fungeert als natuurlijke katalysator voor de modernisering en zoektocht naar meer efficiëntie van de zorg</w:t>
      </w:r>
      <w:r w:rsidR="0013513B">
        <w:rPr>
          <w:rFonts w:ascii="Times New Roman" w:hAnsi="Times New Roman" w:cs="Times New Roman"/>
          <w:sz w:val="24"/>
          <w:szCs w:val="24"/>
        </w:rPr>
        <w:t>-</w:t>
      </w:r>
      <w:r w:rsidRPr="00D147A7">
        <w:rPr>
          <w:rFonts w:ascii="Times New Roman" w:hAnsi="Times New Roman" w:cs="Times New Roman"/>
          <w:sz w:val="24"/>
          <w:szCs w:val="24"/>
        </w:rPr>
        <w:t>informatiesystemen. Tijdens de eerste fase van de invoering (tussen december 2010 en maart 2011) werd het DMP gradueel ingevoerd.</w:t>
      </w:r>
      <w:r w:rsidRPr="00D147A7">
        <w:rPr>
          <w:rStyle w:val="Voetnootmarkering"/>
          <w:rFonts w:ascii="Times New Roman" w:hAnsi="Times New Roman" w:cs="Times New Roman"/>
          <w:sz w:val="24"/>
          <w:szCs w:val="24"/>
        </w:rPr>
        <w:footnoteReference w:id="679"/>
      </w:r>
      <w:r w:rsidRPr="00D147A7">
        <w:rPr>
          <w:rFonts w:ascii="Times New Roman" w:hAnsi="Times New Roman" w:cs="Times New Roman"/>
          <w:sz w:val="24"/>
          <w:szCs w:val="24"/>
        </w:rPr>
        <w:t xml:space="preserve"> Op 16 december 2010 werd de eerste versie van het DMP op nationaal niveau ingevoerd en sinds 5 januari 2011 kunnen alle Franse burgers een eigen DMP laten aanmaken. Sinds april 2011 is de portaalsite van het DMP operatio</w:t>
      </w:r>
      <w:r w:rsidR="0013513B">
        <w:rPr>
          <w:rFonts w:ascii="Times New Roman" w:hAnsi="Times New Roman" w:cs="Times New Roman"/>
          <w:sz w:val="24"/>
          <w:szCs w:val="24"/>
        </w:rPr>
        <w:t>-</w:t>
      </w:r>
      <w:r w:rsidRPr="00D147A7">
        <w:rPr>
          <w:rFonts w:ascii="Times New Roman" w:hAnsi="Times New Roman" w:cs="Times New Roman"/>
          <w:sz w:val="24"/>
          <w:szCs w:val="24"/>
        </w:rPr>
        <w:t>n</w:t>
      </w:r>
      <w:r w:rsidR="0013513B">
        <w:rPr>
          <w:rFonts w:ascii="Times New Roman" w:hAnsi="Times New Roman" w:cs="Times New Roman"/>
          <w:sz w:val="24"/>
          <w:szCs w:val="24"/>
        </w:rPr>
        <w:t>ee</w:t>
      </w:r>
      <w:r w:rsidRPr="00D147A7">
        <w:rPr>
          <w:rFonts w:ascii="Times New Roman" w:hAnsi="Times New Roman" w:cs="Times New Roman"/>
          <w:sz w:val="24"/>
          <w:szCs w:val="24"/>
        </w:rPr>
        <w:t>l</w:t>
      </w:r>
      <w:r w:rsidRPr="00D147A7">
        <w:rPr>
          <w:rStyle w:val="Voetnootmarkering"/>
          <w:rFonts w:ascii="Times New Roman" w:hAnsi="Times New Roman" w:cs="Times New Roman"/>
          <w:sz w:val="24"/>
          <w:szCs w:val="24"/>
        </w:rPr>
        <w:footnoteReference w:id="680"/>
      </w:r>
      <w:r w:rsidRPr="00D147A7">
        <w:rPr>
          <w:rFonts w:ascii="Times New Roman" w:hAnsi="Times New Roman" w:cs="Times New Roman"/>
          <w:sz w:val="24"/>
          <w:szCs w:val="24"/>
        </w:rPr>
        <w:t>, zodat patiënten voortaan de mogelijkheid hebben om zelf via hun webbrowser het eigen DMP te raadplegen.</w:t>
      </w:r>
      <w:r w:rsidRPr="00D147A7">
        <w:rPr>
          <w:rStyle w:val="Voetnootmarkering"/>
          <w:rFonts w:ascii="Times New Roman" w:hAnsi="Times New Roman" w:cs="Times New Roman"/>
          <w:sz w:val="24"/>
          <w:szCs w:val="24"/>
        </w:rPr>
        <w:footnoteReference w:id="681"/>
      </w:r>
      <w:r w:rsidRPr="00D147A7">
        <w:rPr>
          <w:rFonts w:ascii="Times New Roman" w:hAnsi="Times New Roman" w:cs="Times New Roman"/>
          <w:sz w:val="24"/>
          <w:szCs w:val="24"/>
        </w:rPr>
        <w:t xml:space="preserve"> Bovendien vond in diezelfde maand de eerste DMP-compatibele softwarepakketten voor zorgverleners doorgang, zodat de ontwikkeling van </w:t>
      </w:r>
      <w:r w:rsidR="0013513B">
        <w:rPr>
          <w:rFonts w:ascii="Times New Roman" w:hAnsi="Times New Roman" w:cs="Times New Roman"/>
          <w:sz w:val="24"/>
          <w:szCs w:val="24"/>
        </w:rPr>
        <w:t>het DMP</w:t>
      </w:r>
      <w:r w:rsidRPr="00D147A7">
        <w:rPr>
          <w:rFonts w:ascii="Times New Roman" w:hAnsi="Times New Roman" w:cs="Times New Roman"/>
          <w:sz w:val="24"/>
          <w:szCs w:val="24"/>
        </w:rPr>
        <w:t xml:space="preserve"> in een ware stroomversnelling terecht kwam (de gemiddelde creatie van DMP’s per week steeg van 400 naar 1000</w:t>
      </w:r>
      <w:r w:rsidRPr="00D147A7">
        <w:rPr>
          <w:rStyle w:val="Voetnootmarkering"/>
          <w:rFonts w:ascii="Times New Roman" w:hAnsi="Times New Roman" w:cs="Times New Roman"/>
          <w:sz w:val="24"/>
          <w:szCs w:val="24"/>
        </w:rPr>
        <w:footnoteReference w:id="682"/>
      </w:r>
      <w:r w:rsidRPr="00D147A7">
        <w:rPr>
          <w:rFonts w:ascii="Times New Roman" w:hAnsi="Times New Roman" w:cs="Times New Roman"/>
          <w:sz w:val="24"/>
          <w:szCs w:val="24"/>
        </w:rPr>
        <w:t>). De verst gevorderde projecten hebben – net als in België en Nederland – betrekking op de uitwisseling van medicatiegegevens (uit het farmaceutisch dossier) en op samenvattingen van de meest recente consultaties.</w:t>
      </w:r>
      <w:r w:rsidRPr="00D147A7">
        <w:rPr>
          <w:rStyle w:val="Voetnootmarkering"/>
          <w:rFonts w:ascii="Times New Roman" w:hAnsi="Times New Roman" w:cs="Times New Roman"/>
          <w:sz w:val="24"/>
          <w:szCs w:val="24"/>
        </w:rPr>
        <w:footnoteReference w:id="683"/>
      </w:r>
      <w:r w:rsidRPr="00D147A7">
        <w:rPr>
          <w:rFonts w:ascii="Times New Roman" w:hAnsi="Times New Roman" w:cs="Times New Roman"/>
          <w:sz w:val="24"/>
          <w:szCs w:val="24"/>
        </w:rPr>
        <w:t xml:space="preserve"> In Frankrijk worden deze gegevens echter in een natio</w:t>
      </w:r>
      <w:r w:rsidR="0013513B">
        <w:rPr>
          <w:rFonts w:ascii="Times New Roman" w:hAnsi="Times New Roman" w:cs="Times New Roman"/>
          <w:sz w:val="24"/>
          <w:szCs w:val="24"/>
        </w:rPr>
        <w:t>nale database opgeslagen, waar</w:t>
      </w:r>
      <w:r w:rsidRPr="00D147A7">
        <w:rPr>
          <w:rFonts w:ascii="Times New Roman" w:hAnsi="Times New Roman" w:cs="Times New Roman"/>
          <w:sz w:val="24"/>
          <w:szCs w:val="24"/>
        </w:rPr>
        <w:t xml:space="preserve"> in de toekomst alle gezondheidsgegevens van alle verzekerde patiënten </w:t>
      </w:r>
      <w:r w:rsidR="0013513B">
        <w:rPr>
          <w:rFonts w:ascii="Times New Roman" w:hAnsi="Times New Roman" w:cs="Times New Roman"/>
          <w:sz w:val="24"/>
          <w:szCs w:val="24"/>
        </w:rPr>
        <w:t xml:space="preserve">in </w:t>
      </w:r>
      <w:r w:rsidR="0013513B" w:rsidRPr="00D147A7">
        <w:rPr>
          <w:rFonts w:ascii="Times New Roman" w:hAnsi="Times New Roman" w:cs="Times New Roman"/>
          <w:sz w:val="24"/>
          <w:szCs w:val="24"/>
        </w:rPr>
        <w:t xml:space="preserve">opgenomen zullen worden </w:t>
      </w:r>
      <w:r w:rsidR="0013513B">
        <w:rPr>
          <w:rFonts w:ascii="Times New Roman" w:hAnsi="Times New Roman" w:cs="Times New Roman"/>
          <w:sz w:val="24"/>
          <w:szCs w:val="24"/>
        </w:rPr>
        <w:t>(</w:t>
      </w:r>
      <w:r w:rsidRPr="00D147A7">
        <w:rPr>
          <w:rFonts w:ascii="Times New Roman" w:hAnsi="Times New Roman" w:cs="Times New Roman"/>
          <w:sz w:val="24"/>
          <w:szCs w:val="24"/>
        </w:rPr>
        <w:t>en dus voor uitwisseling vatbaar zullen zijn</w:t>
      </w:r>
      <w:r w:rsidR="0013513B">
        <w:rPr>
          <w:rFonts w:ascii="Times New Roman" w:hAnsi="Times New Roman" w:cs="Times New Roman"/>
          <w:sz w:val="24"/>
          <w:szCs w:val="24"/>
        </w:rPr>
        <w:t>)</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vier regio’s waar het DMP reeds in 2006 uitgetest werd, hebben lange tijd een apostel-rol vervuld. Zij verspreidden de boodschap van het DMP-project over heel Frankrijk. In onder</w:t>
      </w:r>
      <w:r w:rsidR="008B2418">
        <w:rPr>
          <w:rFonts w:ascii="Times New Roman" w:hAnsi="Times New Roman" w:cs="Times New Roman"/>
          <w:sz w:val="24"/>
          <w:szCs w:val="24"/>
        </w:rPr>
        <w:t>-</w:t>
      </w:r>
      <w:r w:rsidRPr="00D147A7">
        <w:rPr>
          <w:rFonts w:ascii="Times New Roman" w:hAnsi="Times New Roman" w:cs="Times New Roman"/>
          <w:sz w:val="24"/>
          <w:szCs w:val="24"/>
        </w:rPr>
        <w:t xml:space="preserve">staande tabellen en grafieken wordt het aandeel van de vier koploperregio’s ten opzichte van de andere Franse regio’s gedetailleerd weergegeven.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noProof/>
          <w:sz w:val="24"/>
          <w:szCs w:val="24"/>
          <w:lang w:eastAsia="nl-BE"/>
        </w:rPr>
        <w:drawing>
          <wp:inline distT="0" distB="0" distL="0" distR="0" wp14:anchorId="5D0BD3F3" wp14:editId="29CEF41C">
            <wp:extent cx="2769079" cy="1984076"/>
            <wp:effectExtent l="0" t="0" r="12700" b="1651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D147A7">
        <w:rPr>
          <w:rFonts w:ascii="Times New Roman" w:hAnsi="Times New Roman" w:cs="Times New Roman"/>
          <w:noProof/>
          <w:sz w:val="24"/>
          <w:szCs w:val="24"/>
          <w:lang w:eastAsia="nl-BE"/>
        </w:rPr>
        <w:drawing>
          <wp:inline distT="0" distB="0" distL="0" distR="0" wp14:anchorId="0377A00E" wp14:editId="1F43F04F">
            <wp:extent cx="2769079" cy="1984075"/>
            <wp:effectExtent l="0" t="0" r="12700" b="1651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D147A7">
        <w:rPr>
          <w:rFonts w:ascii="Times New Roman" w:hAnsi="Times New Roman" w:cs="Times New Roman"/>
          <w:noProof/>
          <w:sz w:val="24"/>
          <w:szCs w:val="24"/>
          <w:lang w:eastAsia="nl-BE"/>
        </w:rPr>
        <w:drawing>
          <wp:inline distT="0" distB="0" distL="0" distR="0" wp14:anchorId="0C66DB86" wp14:editId="61004878">
            <wp:extent cx="2769079" cy="1984075"/>
            <wp:effectExtent l="0" t="0" r="12700" b="1651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Grafiek 7: Grafisch overzicht van de evolutie van het procentuele aandeel van de vier Franse ‘koploperregio’s’ in de creatie van </w:t>
      </w:r>
      <w:r w:rsidRPr="00D147A7">
        <w:rPr>
          <w:rFonts w:ascii="Times New Roman" w:hAnsi="Times New Roman" w:cs="Times New Roman"/>
          <w:i/>
          <w:sz w:val="24"/>
          <w:szCs w:val="24"/>
        </w:rPr>
        <w:t>dossiers médicaux personnelles</w:t>
      </w:r>
      <w:r w:rsidRPr="00D147A7">
        <w:rPr>
          <w:rFonts w:ascii="Times New Roman" w:hAnsi="Times New Roman" w:cs="Times New Roman"/>
          <w:sz w:val="24"/>
          <w:szCs w:val="24"/>
        </w:rPr>
        <w:t xml:space="preserve"> sinds de landelijke uitrol op 16 december 2010</w:t>
      </w:r>
      <w:r w:rsidRPr="00D147A7">
        <w:rPr>
          <w:rStyle w:val="Voetnootmarkering"/>
          <w:rFonts w:ascii="Times New Roman" w:hAnsi="Times New Roman" w:cs="Times New Roman"/>
          <w:sz w:val="24"/>
          <w:szCs w:val="24"/>
        </w:rPr>
        <w:footnoteReference w:id="684"/>
      </w:r>
    </w:p>
    <w:p w:rsidR="009931C7" w:rsidRPr="00D147A7" w:rsidRDefault="009931C7" w:rsidP="009931C7">
      <w:pPr>
        <w:pStyle w:val="Geenafstand"/>
        <w:jc w:val="center"/>
        <w:rPr>
          <w:rFonts w:ascii="Times New Roman" w:hAnsi="Times New Roman" w:cs="Times New Roman"/>
          <w:sz w:val="24"/>
          <w:szCs w:val="24"/>
        </w:rPr>
      </w:pPr>
    </w:p>
    <w:tbl>
      <w:tblPr>
        <w:tblpPr w:leftFromText="141" w:rightFromText="141" w:vertAnchor="text" w:horzAnchor="margin" w:tblpY="222"/>
        <w:tblW w:w="8992" w:type="dxa"/>
        <w:tblCellMar>
          <w:left w:w="70" w:type="dxa"/>
          <w:right w:w="70" w:type="dxa"/>
        </w:tblCellMar>
        <w:tblLook w:val="04A0" w:firstRow="1" w:lastRow="0" w:firstColumn="1" w:lastColumn="0" w:noHBand="0" w:noVBand="1"/>
      </w:tblPr>
      <w:tblGrid>
        <w:gridCol w:w="1503"/>
        <w:gridCol w:w="1372"/>
        <w:gridCol w:w="856"/>
        <w:gridCol w:w="1082"/>
        <w:gridCol w:w="856"/>
        <w:gridCol w:w="1197"/>
        <w:gridCol w:w="992"/>
        <w:gridCol w:w="1134"/>
      </w:tblGrid>
      <w:tr w:rsidR="009931C7" w:rsidRPr="00D147A7" w:rsidTr="004721B1">
        <w:trPr>
          <w:trHeight w:val="300"/>
        </w:trPr>
        <w:tc>
          <w:tcPr>
            <w:tcW w:w="1503"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1372" w:type="dxa"/>
            <w:tcBorders>
              <w:top w:val="single" w:sz="4" w:space="0" w:color="auto"/>
              <w:left w:val="nil"/>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1938" w:type="dxa"/>
            <w:gridSpan w:val="2"/>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center"/>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1 juli 2011</w:t>
            </w:r>
          </w:p>
        </w:tc>
        <w:tc>
          <w:tcPr>
            <w:tcW w:w="2053" w:type="dxa"/>
            <w:gridSpan w:val="2"/>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center"/>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25 september 2011</w:t>
            </w:r>
          </w:p>
        </w:tc>
        <w:tc>
          <w:tcPr>
            <w:tcW w:w="2126" w:type="dxa"/>
            <w:gridSpan w:val="2"/>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center"/>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30 aprril 2012</w:t>
            </w:r>
          </w:p>
        </w:tc>
      </w:tr>
      <w:tr w:rsidR="009931C7" w:rsidRPr="00D147A7" w:rsidTr="004721B1">
        <w:trPr>
          <w:trHeight w:val="300"/>
        </w:trPr>
        <w:tc>
          <w:tcPr>
            <w:tcW w:w="1503" w:type="dxa"/>
            <w:tcBorders>
              <w:top w:val="nil"/>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1372"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856"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Absoluut aandeel</w:t>
            </w:r>
          </w:p>
        </w:tc>
        <w:tc>
          <w:tcPr>
            <w:tcW w:w="108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Procentueel aandeel</w:t>
            </w:r>
          </w:p>
        </w:tc>
        <w:tc>
          <w:tcPr>
            <w:tcW w:w="856"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Absoluut aandeel</w:t>
            </w:r>
          </w:p>
        </w:tc>
        <w:tc>
          <w:tcPr>
            <w:tcW w:w="1197"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Procentueel aandeel</w:t>
            </w:r>
          </w:p>
        </w:tc>
        <w:tc>
          <w:tcPr>
            <w:tcW w:w="99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Absoluut aandeel</w:t>
            </w:r>
          </w:p>
        </w:tc>
        <w:tc>
          <w:tcPr>
            <w:tcW w:w="1134"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Procentueel aandeel</w:t>
            </w:r>
          </w:p>
        </w:tc>
      </w:tr>
      <w:tr w:rsidR="009931C7" w:rsidRPr="00D147A7" w:rsidTr="004721B1">
        <w:trPr>
          <w:trHeight w:val="300"/>
        </w:trPr>
        <w:tc>
          <w:tcPr>
            <w:tcW w:w="1503" w:type="dxa"/>
            <w:vMerge w:val="restart"/>
            <w:tcBorders>
              <w:top w:val="nil"/>
              <w:left w:val="single" w:sz="4" w:space="0" w:color="auto"/>
              <w:bottom w:val="single" w:sz="4" w:space="0" w:color="000000"/>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4 koploperregio's</w:t>
            </w:r>
          </w:p>
        </w:tc>
        <w:tc>
          <w:tcPr>
            <w:tcW w:w="137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Aquitanië</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2306</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14,7</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7312</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18,6</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18885</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15,4</w:t>
            </w:r>
          </w:p>
        </w:tc>
      </w:tr>
      <w:tr w:rsidR="009931C7" w:rsidRPr="00D147A7" w:rsidTr="004721B1">
        <w:trPr>
          <w:trHeight w:val="300"/>
        </w:trPr>
        <w:tc>
          <w:tcPr>
            <w:tcW w:w="150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p>
        </w:tc>
        <w:tc>
          <w:tcPr>
            <w:tcW w:w="137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Elzas</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6829</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43,5</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13169</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33,5</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21730</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17,7</w:t>
            </w:r>
          </w:p>
        </w:tc>
      </w:tr>
      <w:tr w:rsidR="009931C7" w:rsidRPr="00D147A7" w:rsidTr="004721B1">
        <w:trPr>
          <w:trHeight w:val="300"/>
        </w:trPr>
        <w:tc>
          <w:tcPr>
            <w:tcW w:w="150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p>
        </w:tc>
        <w:tc>
          <w:tcPr>
            <w:tcW w:w="137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Franche-Comté</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1555</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9,9</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3184</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8,1</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11621</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9,5</w:t>
            </w:r>
          </w:p>
        </w:tc>
      </w:tr>
      <w:tr w:rsidR="009931C7" w:rsidRPr="00D147A7" w:rsidTr="004721B1">
        <w:trPr>
          <w:trHeight w:val="300"/>
        </w:trPr>
        <w:tc>
          <w:tcPr>
            <w:tcW w:w="1503"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p>
        </w:tc>
        <w:tc>
          <w:tcPr>
            <w:tcW w:w="137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Picardië</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3867</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24,6</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10653</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27,1</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24933</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20,4</w:t>
            </w:r>
          </w:p>
        </w:tc>
      </w:tr>
      <w:tr w:rsidR="009931C7" w:rsidRPr="00D147A7" w:rsidTr="004721B1">
        <w:trPr>
          <w:trHeight w:val="300"/>
        </w:trPr>
        <w:tc>
          <w:tcPr>
            <w:tcW w:w="2875"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center"/>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Andere regio's</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1149</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7,3</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4992</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12,7</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45290</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37</w:t>
            </w:r>
          </w:p>
        </w:tc>
      </w:tr>
      <w:tr w:rsidR="009931C7" w:rsidRPr="00D147A7" w:rsidTr="004721B1">
        <w:trPr>
          <w:trHeight w:val="300"/>
        </w:trPr>
        <w:tc>
          <w:tcPr>
            <w:tcW w:w="1503" w:type="dxa"/>
            <w:tcBorders>
              <w:top w:val="nil"/>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1372"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pStyle w:val="Geenafstand"/>
              <w:jc w:val="both"/>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w:t>
            </w:r>
          </w:p>
        </w:tc>
        <w:tc>
          <w:tcPr>
            <w:tcW w:w="856"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c>
          <w:tcPr>
            <w:tcW w:w="108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c>
          <w:tcPr>
            <w:tcW w:w="856"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c>
          <w:tcPr>
            <w:tcW w:w="1197"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c>
          <w:tcPr>
            <w:tcW w:w="992"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c>
          <w:tcPr>
            <w:tcW w:w="1134" w:type="dxa"/>
            <w:tcBorders>
              <w:top w:val="nil"/>
              <w:left w:val="nil"/>
              <w:bottom w:val="single" w:sz="4" w:space="0" w:color="auto"/>
              <w:right w:val="single" w:sz="4" w:space="0" w:color="auto"/>
            </w:tcBorders>
            <w:shd w:val="clear" w:color="000000" w:fill="000000"/>
            <w:noWrap/>
            <w:vAlign w:val="center"/>
            <w:hideMark/>
          </w:tcPr>
          <w:p w:rsidR="009931C7" w:rsidRPr="00D147A7" w:rsidRDefault="009931C7" w:rsidP="004721B1">
            <w:pPr>
              <w:pStyle w:val="Geenafstand"/>
              <w:jc w:val="both"/>
              <w:rPr>
                <w:rFonts w:ascii="Times New Roman" w:eastAsia="Times New Roman" w:hAnsi="Times New Roman" w:cs="Times New Roman"/>
                <w:color w:val="FFFFFF"/>
                <w:sz w:val="16"/>
                <w:szCs w:val="16"/>
                <w:lang w:eastAsia="nl-BE"/>
              </w:rPr>
            </w:pPr>
            <w:r w:rsidRPr="00D147A7">
              <w:rPr>
                <w:rFonts w:ascii="Times New Roman" w:eastAsia="Times New Roman" w:hAnsi="Times New Roman" w:cs="Times New Roman"/>
                <w:color w:val="FFFFFF"/>
                <w:sz w:val="16"/>
                <w:szCs w:val="16"/>
                <w:lang w:eastAsia="nl-BE"/>
              </w:rPr>
              <w:t> </w:t>
            </w:r>
          </w:p>
        </w:tc>
      </w:tr>
      <w:tr w:rsidR="009931C7" w:rsidRPr="00D147A7" w:rsidTr="004721B1">
        <w:trPr>
          <w:trHeight w:val="300"/>
        </w:trPr>
        <w:tc>
          <w:tcPr>
            <w:tcW w:w="2875" w:type="dxa"/>
            <w:gridSpan w:val="2"/>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931C7" w:rsidRPr="00D147A7" w:rsidRDefault="009931C7" w:rsidP="004721B1">
            <w:pPr>
              <w:pStyle w:val="Geenafstand"/>
              <w:jc w:val="center"/>
              <w:rPr>
                <w:rFonts w:ascii="Times New Roman" w:eastAsia="Times New Roman" w:hAnsi="Times New Roman" w:cs="Times New Roman"/>
                <w:smallCaps/>
                <w:color w:val="FFFFFF"/>
                <w:sz w:val="16"/>
                <w:szCs w:val="16"/>
                <w:lang w:eastAsia="nl-BE"/>
              </w:rPr>
            </w:pPr>
            <w:r w:rsidRPr="00D147A7">
              <w:rPr>
                <w:rFonts w:ascii="Times New Roman" w:eastAsia="Times New Roman" w:hAnsi="Times New Roman" w:cs="Times New Roman"/>
                <w:smallCaps/>
                <w:color w:val="FFFFFF"/>
                <w:sz w:val="16"/>
                <w:szCs w:val="16"/>
                <w:lang w:eastAsia="nl-BE"/>
              </w:rPr>
              <w:t xml:space="preserve">                       Totaal</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15706</w:t>
            </w:r>
          </w:p>
        </w:tc>
        <w:tc>
          <w:tcPr>
            <w:tcW w:w="108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100</w:t>
            </w:r>
          </w:p>
        </w:tc>
        <w:tc>
          <w:tcPr>
            <w:tcW w:w="856"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39310</w:t>
            </w:r>
          </w:p>
        </w:tc>
        <w:tc>
          <w:tcPr>
            <w:tcW w:w="1197"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100</w:t>
            </w:r>
          </w:p>
        </w:tc>
        <w:tc>
          <w:tcPr>
            <w:tcW w:w="992"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122459</w:t>
            </w:r>
          </w:p>
        </w:tc>
        <w:tc>
          <w:tcPr>
            <w:tcW w:w="1134"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100</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Tabel 8: Gedetailleerd overzicht van de evolutie van het aandeel van de vier Franse ‘koploperregio’s’ in de creatie van </w:t>
      </w:r>
      <w:r w:rsidRPr="00D147A7">
        <w:rPr>
          <w:rFonts w:ascii="Times New Roman" w:hAnsi="Times New Roman" w:cs="Times New Roman"/>
          <w:i/>
          <w:sz w:val="24"/>
          <w:szCs w:val="24"/>
        </w:rPr>
        <w:t>dossiers médicaux personnelles</w:t>
      </w:r>
      <w:r w:rsidRPr="00D147A7">
        <w:rPr>
          <w:rFonts w:ascii="Times New Roman" w:hAnsi="Times New Roman" w:cs="Times New Roman"/>
          <w:sz w:val="24"/>
          <w:szCs w:val="24"/>
        </w:rPr>
        <w:t xml:space="preserve"> sinds de landelijke uitrol op 16 december 2010</w:t>
      </w:r>
      <w:r w:rsidRPr="00D147A7">
        <w:rPr>
          <w:rStyle w:val="Voetnootmarkering"/>
          <w:rFonts w:ascii="Times New Roman" w:hAnsi="Times New Roman" w:cs="Times New Roman"/>
          <w:sz w:val="24"/>
          <w:szCs w:val="24"/>
        </w:rPr>
        <w:footnoteReference w:id="685"/>
      </w:r>
      <w:r w:rsidRPr="00D147A7">
        <w:rPr>
          <w:rFonts w:ascii="Times New Roman" w:hAnsi="Times New Roman" w:cs="Times New Roman"/>
          <w:sz w:val="24"/>
          <w:szCs w:val="24"/>
        </w:rPr>
        <w:fldChar w:fldCharType="begin"/>
      </w:r>
      <w:r w:rsidRPr="00D147A7">
        <w:rPr>
          <w:rFonts w:ascii="Times New Roman" w:hAnsi="Times New Roman" w:cs="Times New Roman"/>
          <w:sz w:val="24"/>
          <w:szCs w:val="24"/>
        </w:rPr>
        <w:instrText xml:space="preserve"> LINK Excel.Sheet.12 "G:\\2. Registratie en classificatie\\3. aandeel DMP 4 koploperregio's.xlsx" Blad1!R5K4:R13K11 \a \f 4 \h  \* MERGEFORMAT </w:instrText>
      </w:r>
      <w:r w:rsidRPr="00D147A7">
        <w:rPr>
          <w:rFonts w:ascii="Times New Roman" w:hAnsi="Times New Roman" w:cs="Times New Roman"/>
          <w:sz w:val="24"/>
          <w:szCs w:val="24"/>
        </w:rPr>
        <w:fldChar w:fldCharType="separate"/>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noProof/>
          <w:sz w:val="24"/>
          <w:szCs w:val="24"/>
          <w:lang w:eastAsia="nl-BE"/>
        </w:rPr>
        <w:lastRenderedPageBreak/>
        <w:drawing>
          <wp:inline distT="0" distB="0" distL="0" distR="0" wp14:anchorId="62E9048D" wp14:editId="206070B6">
            <wp:extent cx="5641975" cy="4373880"/>
            <wp:effectExtent l="0" t="0" r="0" b="7620"/>
            <wp:docPr id="26" name="Afbeelding 26" descr="C:\Users\Merijn\AppData\Roaming\PixelMetrics\CaptureWiz\Tem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ijn\AppData\Roaming\PixelMetrics\CaptureWiz\Temp\1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41975" cy="4373880"/>
                    </a:xfrm>
                    <a:prstGeom prst="rect">
                      <a:avLst/>
                    </a:prstGeom>
                    <a:noFill/>
                    <a:ln>
                      <a:noFill/>
                    </a:ln>
                  </pic:spPr>
                </pic:pic>
              </a:graphicData>
            </a:graphic>
          </wp:inline>
        </w:drawing>
      </w:r>
      <w:r w:rsidRPr="00D147A7">
        <w:rPr>
          <w:rFonts w:ascii="Times New Roman" w:hAnsi="Times New Roman" w:cs="Times New Roman"/>
          <w:sz w:val="24"/>
          <w:szCs w:val="24"/>
        </w:rPr>
        <w:t xml:space="preserve"> </w:t>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Kaart 3: grafische voorstelling van de geografische verspreiding van het totaal aantal </w:t>
      </w:r>
      <w:r w:rsidRPr="00D147A7">
        <w:rPr>
          <w:rFonts w:ascii="Times New Roman" w:hAnsi="Times New Roman" w:cs="Times New Roman"/>
          <w:i/>
          <w:sz w:val="24"/>
          <w:szCs w:val="24"/>
        </w:rPr>
        <w:t>dossiers médicaux personnelles</w:t>
      </w:r>
      <w:r w:rsidRPr="00D147A7">
        <w:rPr>
          <w:rFonts w:ascii="Times New Roman" w:hAnsi="Times New Roman" w:cs="Times New Roman"/>
          <w:sz w:val="24"/>
          <w:szCs w:val="24"/>
        </w:rPr>
        <w:t xml:space="preserve"> in de Franse regio’s op 30 april 2012</w:t>
      </w:r>
      <w:r w:rsidRPr="00D147A7">
        <w:rPr>
          <w:rStyle w:val="Voetnootmarkering"/>
          <w:rFonts w:ascii="Times New Roman" w:hAnsi="Times New Roman" w:cs="Times New Roman"/>
          <w:sz w:val="24"/>
          <w:szCs w:val="24"/>
        </w:rPr>
        <w:footnoteReference w:id="686"/>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br w:type="page"/>
      </w:r>
      <w:r w:rsidRPr="00D147A7">
        <w:rPr>
          <w:rFonts w:ascii="Times New Roman" w:hAnsi="Times New Roman" w:cs="Times New Roman"/>
        </w:rPr>
        <w:fldChar w:fldCharType="begin"/>
      </w:r>
      <w:r w:rsidRPr="00D147A7">
        <w:rPr>
          <w:rFonts w:ascii="Times New Roman" w:hAnsi="Times New Roman" w:cs="Times New Roman"/>
        </w:rPr>
        <w:instrText xml:space="preserve"> LINK Excel.Sheet.12 "G:\\2. Registratie en classificatie\\3. aandeel DMP 4 koploperregio's.xlsx" Blad1!R14K18:R43K19 \a \f 4 \h  \* MERGEFORMAT </w:instrText>
      </w:r>
      <w:r w:rsidRPr="00D147A7">
        <w:rPr>
          <w:rFonts w:ascii="Times New Roman" w:hAnsi="Times New Roman" w:cs="Times New Roman"/>
        </w:rPr>
        <w:fldChar w:fldCharType="separate"/>
      </w:r>
    </w:p>
    <w:tbl>
      <w:tblPr>
        <w:tblW w:w="4780" w:type="dxa"/>
        <w:jc w:val="center"/>
        <w:tblInd w:w="70" w:type="dxa"/>
        <w:tblCellMar>
          <w:left w:w="70" w:type="dxa"/>
          <w:right w:w="70" w:type="dxa"/>
        </w:tblCellMar>
        <w:tblLook w:val="04A0" w:firstRow="1" w:lastRow="0" w:firstColumn="1" w:lastColumn="0" w:noHBand="0" w:noVBand="1"/>
      </w:tblPr>
      <w:tblGrid>
        <w:gridCol w:w="2548"/>
        <w:gridCol w:w="2232"/>
      </w:tblGrid>
      <w:tr w:rsidR="009931C7" w:rsidRPr="00D147A7" w:rsidTr="004721B1">
        <w:trPr>
          <w:trHeight w:val="315"/>
          <w:jc w:val="center"/>
        </w:trPr>
        <w:tc>
          <w:tcPr>
            <w:tcW w:w="2548"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rsidR="009931C7" w:rsidRPr="00D147A7" w:rsidRDefault="009931C7" w:rsidP="004721B1">
            <w:pPr>
              <w:rPr>
                <w:rFonts w:eastAsia="Times New Roman"/>
                <w:smallCaps/>
                <w:color w:val="FFFFFF"/>
                <w:sz w:val="20"/>
                <w:szCs w:val="20"/>
                <w:lang w:eastAsia="nl-BE"/>
              </w:rPr>
            </w:pPr>
            <w:r w:rsidRPr="00D147A7">
              <w:rPr>
                <w:rFonts w:eastAsia="Times New Roman"/>
                <w:smallCaps/>
                <w:color w:val="FFFFFF"/>
                <w:sz w:val="20"/>
                <w:szCs w:val="20"/>
                <w:lang w:eastAsia="nl-BE"/>
              </w:rPr>
              <w:lastRenderedPageBreak/>
              <w:t>Regio</w:t>
            </w:r>
          </w:p>
        </w:tc>
        <w:tc>
          <w:tcPr>
            <w:tcW w:w="2232" w:type="dxa"/>
            <w:tcBorders>
              <w:top w:val="single" w:sz="8" w:space="0" w:color="auto"/>
              <w:left w:val="nil"/>
              <w:bottom w:val="single" w:sz="8" w:space="0" w:color="auto"/>
              <w:right w:val="single" w:sz="8" w:space="0" w:color="auto"/>
            </w:tcBorders>
            <w:shd w:val="clear" w:color="000000" w:fill="000000"/>
            <w:noWrap/>
            <w:vAlign w:val="center"/>
            <w:hideMark/>
          </w:tcPr>
          <w:p w:rsidR="009931C7" w:rsidRPr="00D147A7" w:rsidRDefault="009931C7" w:rsidP="004721B1">
            <w:pPr>
              <w:rPr>
                <w:rFonts w:eastAsia="Times New Roman"/>
                <w:smallCaps/>
                <w:color w:val="FFFFFF"/>
                <w:sz w:val="20"/>
                <w:szCs w:val="20"/>
                <w:lang w:eastAsia="nl-BE"/>
              </w:rPr>
            </w:pPr>
            <w:r w:rsidRPr="00D147A7">
              <w:rPr>
                <w:rFonts w:eastAsia="Times New Roman"/>
                <w:smallCaps/>
                <w:color w:val="FFFFFF"/>
                <w:sz w:val="20"/>
                <w:szCs w:val="20"/>
                <w:lang w:eastAsia="nl-BE"/>
              </w:rPr>
              <w:t>Totaal aantal DMP’s</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Aquitanië</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18885</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Auvergne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89</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Bourgondië</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3956</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Bretagne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960</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Centre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4080</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Champagne-Ardennen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4440</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Corsica</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Elzas</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21730</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Franche-Comté</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11621</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Guadeloupe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547</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Frans-Guyana</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Hoog-Normandië</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658</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Île-de-France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1157</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Laag-Normandië</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93</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Languedoc-Roussillon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2601</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Limousin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2395</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Lotharingen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451</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Martinique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176</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Mayotte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Midi-Pyreneeën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2603</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Noord-Nauw van Calais</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3542</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Pays-de-la-Loire</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6271</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Picardië</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24933</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Poitou-Charentes</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499</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Provence-Alpes-Côte d'Azur</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2346</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Réunion</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13</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Rhône-Alpes</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8408</w:t>
            </w: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000000" w:fill="000000"/>
            <w:noWrap/>
            <w:vAlign w:val="center"/>
            <w:hideMark/>
          </w:tcPr>
          <w:p w:rsidR="009931C7" w:rsidRPr="00D147A7" w:rsidRDefault="009931C7" w:rsidP="004721B1">
            <w:pPr>
              <w:rPr>
                <w:rFonts w:eastAsia="Times New Roman"/>
                <w:color w:val="000000"/>
                <w:sz w:val="20"/>
                <w:szCs w:val="20"/>
                <w:lang w:eastAsia="nl-BE"/>
              </w:rPr>
            </w:pPr>
          </w:p>
        </w:tc>
        <w:tc>
          <w:tcPr>
            <w:tcW w:w="2232" w:type="dxa"/>
            <w:tcBorders>
              <w:top w:val="nil"/>
              <w:left w:val="nil"/>
              <w:bottom w:val="single" w:sz="8" w:space="0" w:color="auto"/>
              <w:right w:val="single" w:sz="8" w:space="0" w:color="auto"/>
            </w:tcBorders>
            <w:shd w:val="clear" w:color="000000" w:fill="000000"/>
            <w:noWrap/>
            <w:vAlign w:val="center"/>
            <w:hideMark/>
          </w:tcPr>
          <w:p w:rsidR="009931C7" w:rsidRPr="00D147A7" w:rsidRDefault="009931C7" w:rsidP="004721B1">
            <w:pPr>
              <w:rPr>
                <w:rFonts w:eastAsia="Times New Roman"/>
                <w:color w:val="000000"/>
                <w:sz w:val="20"/>
                <w:szCs w:val="20"/>
                <w:lang w:eastAsia="nl-BE"/>
              </w:rPr>
            </w:pPr>
          </w:p>
        </w:tc>
      </w:tr>
      <w:tr w:rsidR="009931C7" w:rsidRPr="00D147A7" w:rsidTr="004721B1">
        <w:trPr>
          <w:trHeight w:val="315"/>
          <w:jc w:val="center"/>
        </w:trPr>
        <w:tc>
          <w:tcPr>
            <w:tcW w:w="2548" w:type="dxa"/>
            <w:tcBorders>
              <w:top w:val="nil"/>
              <w:left w:val="single" w:sz="8" w:space="0" w:color="auto"/>
              <w:bottom w:val="single" w:sz="8" w:space="0" w:color="auto"/>
              <w:right w:val="single" w:sz="8" w:space="0" w:color="auto"/>
            </w:tcBorders>
            <w:shd w:val="clear" w:color="000000" w:fill="000000"/>
            <w:noWrap/>
            <w:vAlign w:val="center"/>
            <w:hideMark/>
          </w:tcPr>
          <w:p w:rsidR="009931C7" w:rsidRPr="00D147A7" w:rsidRDefault="009931C7" w:rsidP="004721B1">
            <w:pPr>
              <w:rPr>
                <w:rFonts w:eastAsia="Times New Roman"/>
                <w:color w:val="FFFFFF"/>
                <w:sz w:val="20"/>
                <w:szCs w:val="20"/>
                <w:lang w:eastAsia="nl-BE"/>
              </w:rPr>
            </w:pPr>
            <w:r w:rsidRPr="00D147A7">
              <w:rPr>
                <w:rFonts w:eastAsia="Times New Roman"/>
                <w:color w:val="FFFFFF"/>
                <w:sz w:val="20"/>
                <w:szCs w:val="20"/>
                <w:lang w:eastAsia="nl-BE"/>
              </w:rPr>
              <w:t>Totaal</w:t>
            </w:r>
          </w:p>
        </w:tc>
        <w:tc>
          <w:tcPr>
            <w:tcW w:w="2232" w:type="dxa"/>
            <w:tcBorders>
              <w:top w:val="nil"/>
              <w:left w:val="nil"/>
              <w:bottom w:val="single" w:sz="8" w:space="0" w:color="auto"/>
              <w:right w:val="single" w:sz="8"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122459</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 xml:space="preserve">Tabel 9: </w:t>
      </w:r>
      <w:r w:rsidR="00483505" w:rsidRPr="00D147A7">
        <w:rPr>
          <w:rFonts w:ascii="Times New Roman" w:hAnsi="Times New Roman" w:cs="Times New Roman"/>
          <w:sz w:val="24"/>
          <w:szCs w:val="24"/>
        </w:rPr>
        <w:t>G</w:t>
      </w:r>
      <w:r w:rsidRPr="00D147A7">
        <w:rPr>
          <w:rFonts w:ascii="Times New Roman" w:hAnsi="Times New Roman" w:cs="Times New Roman"/>
          <w:sz w:val="24"/>
          <w:szCs w:val="24"/>
        </w:rPr>
        <w:t xml:space="preserve">edetailleerd overzicht van de geografische verspreiding van het totaal aantal </w:t>
      </w:r>
      <w:r w:rsidRPr="00D147A7">
        <w:rPr>
          <w:rFonts w:ascii="Times New Roman" w:hAnsi="Times New Roman" w:cs="Times New Roman"/>
          <w:i/>
          <w:sz w:val="24"/>
          <w:szCs w:val="24"/>
        </w:rPr>
        <w:t xml:space="preserve">dossiers médicaux personnelles </w:t>
      </w:r>
      <w:r w:rsidRPr="00D147A7">
        <w:rPr>
          <w:rFonts w:ascii="Times New Roman" w:hAnsi="Times New Roman" w:cs="Times New Roman"/>
          <w:sz w:val="24"/>
          <w:szCs w:val="24"/>
        </w:rPr>
        <w:t>in de Franse regio’s op 30 april 2012</w:t>
      </w:r>
      <w:r w:rsidRPr="00D147A7">
        <w:rPr>
          <w:rStyle w:val="Voetnootmarkering"/>
          <w:rFonts w:ascii="Times New Roman" w:hAnsi="Times New Roman" w:cs="Times New Roman"/>
          <w:sz w:val="24"/>
          <w:szCs w:val="24"/>
        </w:rPr>
        <w:footnoteReference w:id="687"/>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r w:rsidRPr="00D147A7">
        <w:br w:type="page"/>
      </w:r>
      <w:r w:rsidRPr="00D147A7">
        <w:rPr>
          <w:sz w:val="22"/>
          <w:szCs w:val="22"/>
        </w:rPr>
        <w:fldChar w:fldCharType="begin"/>
      </w:r>
      <w:r w:rsidRPr="00D147A7">
        <w:instrText xml:space="preserve"> LINK Excel.Sheet.12 "G:\\2. Registratie en classificatie\\3. aandeel DMP 4 koploperregio's.xlsx" Blad1!R16K3:R45K5 \a \f 4 \h  \* MERGEFORMAT </w:instrText>
      </w:r>
      <w:r w:rsidRPr="00D147A7">
        <w:rPr>
          <w:sz w:val="22"/>
          <w:szCs w:val="22"/>
        </w:rPr>
        <w:fldChar w:fldCharType="separate"/>
      </w:r>
    </w:p>
    <w:tbl>
      <w:tblPr>
        <w:tblW w:w="6426" w:type="dxa"/>
        <w:jc w:val="center"/>
        <w:tblInd w:w="70" w:type="dxa"/>
        <w:tblCellMar>
          <w:left w:w="70" w:type="dxa"/>
          <w:right w:w="70" w:type="dxa"/>
        </w:tblCellMar>
        <w:tblLook w:val="04A0" w:firstRow="1" w:lastRow="0" w:firstColumn="1" w:lastColumn="0" w:noHBand="0" w:noVBand="1"/>
      </w:tblPr>
      <w:tblGrid>
        <w:gridCol w:w="2548"/>
        <w:gridCol w:w="1908"/>
        <w:gridCol w:w="1970"/>
      </w:tblGrid>
      <w:tr w:rsidR="009931C7" w:rsidRPr="00D147A7" w:rsidTr="004721B1">
        <w:trPr>
          <w:trHeight w:val="300"/>
          <w:jc w:val="center"/>
        </w:trPr>
        <w:tc>
          <w:tcPr>
            <w:tcW w:w="254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jc w:val="center"/>
              <w:rPr>
                <w:rFonts w:eastAsia="Times New Roman"/>
                <w:smallCaps/>
                <w:color w:val="FFFFFF"/>
                <w:sz w:val="20"/>
                <w:szCs w:val="20"/>
                <w:lang w:eastAsia="nl-BE"/>
              </w:rPr>
            </w:pPr>
            <w:r w:rsidRPr="00D147A7">
              <w:rPr>
                <w:rFonts w:eastAsia="Times New Roman"/>
                <w:smallCaps/>
                <w:color w:val="FFFFFF"/>
                <w:sz w:val="20"/>
                <w:szCs w:val="20"/>
                <w:lang w:eastAsia="nl-BE"/>
              </w:rPr>
              <w:lastRenderedPageBreak/>
              <w:t>Regio</w:t>
            </w:r>
          </w:p>
        </w:tc>
        <w:tc>
          <w:tcPr>
            <w:tcW w:w="1908"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rFonts w:eastAsia="Times New Roman"/>
                <w:smallCaps/>
                <w:color w:val="FFFFFF"/>
                <w:sz w:val="20"/>
                <w:szCs w:val="20"/>
                <w:lang w:eastAsia="nl-BE"/>
              </w:rPr>
            </w:pPr>
            <w:r w:rsidRPr="00D147A7">
              <w:rPr>
                <w:rFonts w:eastAsia="Times New Roman"/>
                <w:smallCaps/>
                <w:color w:val="FFFFFF"/>
                <w:sz w:val="20"/>
                <w:szCs w:val="20"/>
                <w:lang w:eastAsia="nl-BE"/>
              </w:rPr>
              <w:t>Aantal gecreëerde DMP's</w:t>
            </w:r>
          </w:p>
        </w:tc>
        <w:tc>
          <w:tcPr>
            <w:tcW w:w="1970"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jc w:val="center"/>
              <w:rPr>
                <w:rFonts w:eastAsia="Times New Roman"/>
                <w:smallCaps/>
                <w:color w:val="FFFFFF"/>
                <w:sz w:val="20"/>
                <w:szCs w:val="20"/>
                <w:lang w:eastAsia="nl-BE"/>
              </w:rPr>
            </w:pPr>
            <w:r w:rsidRPr="00D147A7">
              <w:rPr>
                <w:rFonts w:eastAsia="Times New Roman"/>
                <w:smallCaps/>
                <w:color w:val="FFFFFF"/>
                <w:sz w:val="20"/>
                <w:szCs w:val="20"/>
                <w:lang w:eastAsia="nl-BE"/>
              </w:rPr>
              <w:t>Aantal aangevulde DMP's</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Aquitanië</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17449</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6231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Auvergne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85</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Bourgondië</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3256</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2418</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Bretagne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688</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274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Centre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3244</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2418</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Champagne-Ardennen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3019</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739</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Corsica</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Elzas</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19999</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8400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Franche-Comté</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10422</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2993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Guadeloupe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546</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372</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Frans-Guyana</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Hoog-Normandië</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493</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115</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Île-de-France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968</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555</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Laag-Normandië</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88</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Languedoc-Roussillon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1562</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527</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Limousin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1655</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410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Lotharingen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320</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181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Martinique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96</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28</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Mayotte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Midi-Pyreneeën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2065</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375</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Noord-Nauw van Calais</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2867</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401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Pays-de-la-Loire</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4717</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874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Picardië</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22578</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13681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Poitou-Charentes</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449</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155</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Provence-Alpes-Côte d'Azur</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1963</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964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Réunion</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12</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Rhône-Alpes</w:t>
            </w:r>
          </w:p>
        </w:tc>
        <w:tc>
          <w:tcPr>
            <w:tcW w:w="190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6996</w:t>
            </w:r>
          </w:p>
        </w:tc>
        <w:tc>
          <w:tcPr>
            <w:tcW w:w="1970"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5436</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FFFFFF"/>
                <w:lang w:eastAsia="nl-BE"/>
              </w:rPr>
            </w:pPr>
            <w:r w:rsidRPr="00D147A7">
              <w:rPr>
                <w:rFonts w:eastAsia="Times New Roman"/>
                <w:color w:val="FFFFFF"/>
                <w:lang w:eastAsia="nl-BE"/>
              </w:rPr>
              <w:t> </w:t>
            </w:r>
          </w:p>
        </w:tc>
        <w:tc>
          <w:tcPr>
            <w:tcW w:w="1908"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000000"/>
                <w:lang w:eastAsia="nl-BE"/>
              </w:rPr>
            </w:pPr>
            <w:r w:rsidRPr="00D147A7">
              <w:rPr>
                <w:rFonts w:eastAsia="Times New Roman"/>
                <w:color w:val="000000"/>
                <w:lang w:eastAsia="nl-BE"/>
              </w:rPr>
              <w:t> </w:t>
            </w:r>
          </w:p>
        </w:tc>
        <w:tc>
          <w:tcPr>
            <w:tcW w:w="1970"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000000"/>
                <w:lang w:eastAsia="nl-BE"/>
              </w:rPr>
            </w:pPr>
            <w:r w:rsidRPr="00D147A7">
              <w:rPr>
                <w:rFonts w:eastAsia="Times New Roman"/>
                <w:color w:val="000000"/>
                <w:lang w:eastAsia="nl-BE"/>
              </w:rPr>
              <w:t> </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FFFFFF"/>
                <w:sz w:val="20"/>
                <w:szCs w:val="20"/>
                <w:lang w:eastAsia="nl-BE"/>
              </w:rPr>
            </w:pPr>
            <w:r w:rsidRPr="00D147A7">
              <w:rPr>
                <w:rFonts w:eastAsia="Times New Roman"/>
                <w:color w:val="FFFFFF"/>
                <w:sz w:val="20"/>
                <w:szCs w:val="20"/>
                <w:lang w:eastAsia="nl-BE"/>
              </w:rPr>
              <w:t>Totaal</w:t>
            </w:r>
          </w:p>
        </w:tc>
        <w:tc>
          <w:tcPr>
            <w:tcW w:w="1908" w:type="dxa"/>
            <w:tcBorders>
              <w:top w:val="nil"/>
              <w:left w:val="nil"/>
              <w:bottom w:val="single" w:sz="4" w:space="0" w:color="auto"/>
              <w:right w:val="single" w:sz="4" w:space="0" w:color="auto"/>
            </w:tcBorders>
            <w:shd w:val="clear" w:color="auto" w:fill="auto"/>
            <w:noWrap/>
            <w:vAlign w:val="bottom"/>
            <w:hideMark/>
          </w:tcPr>
          <w:p w:rsidR="009931C7" w:rsidRPr="00D147A7" w:rsidRDefault="009931C7" w:rsidP="004721B1">
            <w:pPr>
              <w:jc w:val="right"/>
              <w:rPr>
                <w:rFonts w:eastAsia="Times New Roman"/>
                <w:color w:val="000000"/>
                <w:sz w:val="20"/>
                <w:szCs w:val="20"/>
                <w:lang w:eastAsia="nl-BE"/>
              </w:rPr>
            </w:pPr>
            <w:r w:rsidRPr="00D147A7">
              <w:rPr>
                <w:rFonts w:eastAsia="Times New Roman"/>
                <w:color w:val="000000"/>
                <w:sz w:val="20"/>
                <w:szCs w:val="20"/>
                <w:lang w:eastAsia="nl-BE"/>
              </w:rPr>
              <w:t>105542</w:t>
            </w:r>
          </w:p>
        </w:tc>
        <w:tc>
          <w:tcPr>
            <w:tcW w:w="1970" w:type="dxa"/>
            <w:tcBorders>
              <w:top w:val="nil"/>
              <w:left w:val="nil"/>
              <w:bottom w:val="single" w:sz="4" w:space="0" w:color="auto"/>
              <w:right w:val="single" w:sz="4" w:space="0" w:color="auto"/>
            </w:tcBorders>
            <w:shd w:val="clear" w:color="auto" w:fill="auto"/>
            <w:noWrap/>
            <w:vAlign w:val="bottom"/>
            <w:hideMark/>
          </w:tcPr>
          <w:p w:rsidR="009931C7" w:rsidRPr="00D147A7" w:rsidRDefault="009931C7" w:rsidP="004721B1">
            <w:pPr>
              <w:jc w:val="right"/>
              <w:rPr>
                <w:rFonts w:eastAsia="Times New Roman"/>
                <w:color w:val="000000"/>
                <w:sz w:val="20"/>
                <w:szCs w:val="20"/>
                <w:lang w:eastAsia="nl-BE"/>
              </w:rPr>
            </w:pPr>
            <w:r w:rsidRPr="00D147A7">
              <w:rPr>
                <w:rFonts w:eastAsia="Times New Roman"/>
                <w:color w:val="000000"/>
                <w:sz w:val="20"/>
                <w:szCs w:val="20"/>
                <w:lang w:eastAsia="nl-BE"/>
              </w:rPr>
              <w:t>47664</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Tabel 10: DMP-activiteit per regio, maart 2012</w:t>
      </w:r>
      <w:r w:rsidRPr="00D147A7">
        <w:rPr>
          <w:rStyle w:val="Voetnootmarkering"/>
          <w:rFonts w:ascii="Times New Roman" w:hAnsi="Times New Roman" w:cs="Times New Roman"/>
          <w:sz w:val="24"/>
          <w:szCs w:val="24"/>
        </w:rPr>
        <w:footnoteReference w:id="688"/>
      </w:r>
    </w:p>
    <w:p w:rsidR="009931C7" w:rsidRPr="00D147A7" w:rsidRDefault="009931C7" w:rsidP="009931C7">
      <w:r w:rsidRPr="00D147A7">
        <w:br w:type="page"/>
      </w:r>
    </w:p>
    <w:p w:rsidR="009931C7" w:rsidRPr="00D147A7" w:rsidRDefault="009931C7" w:rsidP="009931C7">
      <w:pPr>
        <w:pStyle w:val="Geenafstand"/>
        <w:rPr>
          <w:rFonts w:ascii="Times New Roman" w:hAnsi="Times New Roman" w:cs="Times New Roman"/>
        </w:rPr>
      </w:pPr>
      <w:r w:rsidRPr="00D147A7">
        <w:rPr>
          <w:rFonts w:ascii="Times New Roman" w:hAnsi="Times New Roman" w:cs="Times New Roman"/>
        </w:rPr>
        <w:lastRenderedPageBreak/>
        <w:fldChar w:fldCharType="begin"/>
      </w:r>
      <w:r w:rsidRPr="00D147A7">
        <w:rPr>
          <w:rFonts w:ascii="Times New Roman" w:hAnsi="Times New Roman" w:cs="Times New Roman"/>
        </w:rPr>
        <w:instrText xml:space="preserve"> LINK Excel.Sheet.12 "G:\\2. Registratie en classificatie\\3. aandeel DMP 4 koploperregio's.xlsx" Blad1!R5K13:R34K15 \a \f 4 \h  \* MERGEFORMAT </w:instrText>
      </w:r>
      <w:r w:rsidRPr="00D147A7">
        <w:rPr>
          <w:rFonts w:ascii="Times New Roman" w:hAnsi="Times New Roman" w:cs="Times New Roman"/>
        </w:rPr>
        <w:fldChar w:fldCharType="separate"/>
      </w:r>
    </w:p>
    <w:tbl>
      <w:tblPr>
        <w:tblW w:w="7577" w:type="dxa"/>
        <w:jc w:val="center"/>
        <w:tblInd w:w="70" w:type="dxa"/>
        <w:tblCellMar>
          <w:left w:w="70" w:type="dxa"/>
          <w:right w:w="70" w:type="dxa"/>
        </w:tblCellMar>
        <w:tblLook w:val="04A0" w:firstRow="1" w:lastRow="0" w:firstColumn="1" w:lastColumn="0" w:noHBand="0" w:noVBand="1"/>
      </w:tblPr>
      <w:tblGrid>
        <w:gridCol w:w="2548"/>
        <w:gridCol w:w="2328"/>
        <w:gridCol w:w="2701"/>
      </w:tblGrid>
      <w:tr w:rsidR="009931C7" w:rsidRPr="00D147A7" w:rsidTr="004721B1">
        <w:trPr>
          <w:trHeight w:val="300"/>
          <w:jc w:val="center"/>
        </w:trPr>
        <w:tc>
          <w:tcPr>
            <w:tcW w:w="254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rFonts w:eastAsia="Times New Roman"/>
                <w:smallCaps/>
                <w:color w:val="FFFFFF"/>
                <w:sz w:val="20"/>
                <w:szCs w:val="20"/>
                <w:lang w:eastAsia="nl-BE"/>
              </w:rPr>
            </w:pPr>
            <w:r w:rsidRPr="00D147A7">
              <w:rPr>
                <w:rFonts w:eastAsia="Times New Roman"/>
                <w:smallCaps/>
                <w:color w:val="FFFFFF"/>
                <w:sz w:val="20"/>
                <w:szCs w:val="20"/>
                <w:lang w:eastAsia="nl-BE"/>
              </w:rPr>
              <w:t>Regio</w:t>
            </w:r>
          </w:p>
        </w:tc>
        <w:tc>
          <w:tcPr>
            <w:tcW w:w="2328"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rPr>
                <w:rFonts w:eastAsia="Times New Roman"/>
                <w:smallCaps/>
                <w:color w:val="FFFFFF"/>
                <w:sz w:val="20"/>
                <w:szCs w:val="20"/>
                <w:lang w:eastAsia="nl-BE"/>
              </w:rPr>
            </w:pPr>
            <w:r w:rsidRPr="00D147A7">
              <w:rPr>
                <w:rFonts w:eastAsia="Times New Roman"/>
                <w:smallCaps/>
                <w:color w:val="FFFFFF"/>
                <w:sz w:val="20"/>
                <w:szCs w:val="20"/>
                <w:lang w:eastAsia="nl-BE"/>
              </w:rPr>
              <w:t>Aantal vrije zorgverleners</w:t>
            </w:r>
          </w:p>
        </w:tc>
        <w:tc>
          <w:tcPr>
            <w:tcW w:w="2701" w:type="dxa"/>
            <w:tcBorders>
              <w:top w:val="single" w:sz="4" w:space="0" w:color="auto"/>
              <w:left w:val="nil"/>
              <w:bottom w:val="single" w:sz="4" w:space="0" w:color="auto"/>
              <w:right w:val="single" w:sz="4" w:space="0" w:color="auto"/>
            </w:tcBorders>
            <w:shd w:val="clear" w:color="000000" w:fill="000000"/>
            <w:noWrap/>
            <w:vAlign w:val="center"/>
            <w:hideMark/>
          </w:tcPr>
          <w:p w:rsidR="009931C7" w:rsidRPr="00D147A7" w:rsidRDefault="009931C7" w:rsidP="004721B1">
            <w:pPr>
              <w:rPr>
                <w:rFonts w:eastAsia="Times New Roman"/>
                <w:smallCaps/>
                <w:color w:val="FFFFFF"/>
                <w:sz w:val="20"/>
                <w:szCs w:val="20"/>
                <w:lang w:eastAsia="nl-BE"/>
              </w:rPr>
            </w:pPr>
            <w:r w:rsidRPr="00D147A7">
              <w:rPr>
                <w:rFonts w:eastAsia="Times New Roman"/>
                <w:smallCaps/>
                <w:color w:val="FFFFFF"/>
                <w:sz w:val="20"/>
                <w:szCs w:val="20"/>
                <w:lang w:eastAsia="nl-BE"/>
              </w:rPr>
              <w:t>Aantal verzorgingsinstellingen</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Aquitanië</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1304</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Auvergne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18</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Bourgondië</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51</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Bretagne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41</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Centre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75</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Champagne-Ardennen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29</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Corsica</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Elzas</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384</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Franche-Comté</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332</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Guadeloupe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7</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Frans-Guyana</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Hoog-Normandië</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30</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Île-de-France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151</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Laag-Normandië</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17</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Languedoc-Roussillon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47</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Limousin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25</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Lotharingen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30</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Martinique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Mayotte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Midi-Pyreneeën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54</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7</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Noord-Nauw van Calais</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72</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Pays-de-la-Loire</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55</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Picardië</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352</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21</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Poitou-Charentes</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36</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Provence-Alpes-Côte d'Azur</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101</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4</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Réunion</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9</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0</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Rhône-Alpes</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158</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6</w:t>
            </w: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FFFFFF"/>
                <w:lang w:eastAsia="nl-BE"/>
              </w:rPr>
            </w:pPr>
          </w:p>
        </w:tc>
        <w:tc>
          <w:tcPr>
            <w:tcW w:w="2328"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000000"/>
                <w:lang w:eastAsia="nl-BE"/>
              </w:rPr>
            </w:pPr>
          </w:p>
        </w:tc>
        <w:tc>
          <w:tcPr>
            <w:tcW w:w="2701" w:type="dxa"/>
            <w:tcBorders>
              <w:top w:val="nil"/>
              <w:left w:val="nil"/>
              <w:bottom w:val="single" w:sz="4" w:space="0" w:color="auto"/>
              <w:right w:val="single" w:sz="4" w:space="0" w:color="auto"/>
            </w:tcBorders>
            <w:shd w:val="clear" w:color="000000" w:fill="000000"/>
            <w:noWrap/>
            <w:vAlign w:val="bottom"/>
            <w:hideMark/>
          </w:tcPr>
          <w:p w:rsidR="009931C7" w:rsidRPr="00D147A7" w:rsidRDefault="009931C7" w:rsidP="004721B1">
            <w:pPr>
              <w:rPr>
                <w:rFonts w:eastAsia="Times New Roman"/>
                <w:color w:val="000000"/>
                <w:lang w:eastAsia="nl-BE"/>
              </w:rPr>
            </w:pPr>
          </w:p>
        </w:tc>
      </w:tr>
      <w:tr w:rsidR="009931C7" w:rsidRPr="00D147A7" w:rsidTr="004721B1">
        <w:trPr>
          <w:trHeight w:val="300"/>
          <w:jc w:val="center"/>
        </w:trPr>
        <w:tc>
          <w:tcPr>
            <w:tcW w:w="2548" w:type="dxa"/>
            <w:tcBorders>
              <w:top w:val="nil"/>
              <w:left w:val="single" w:sz="4" w:space="0" w:color="auto"/>
              <w:bottom w:val="single" w:sz="4" w:space="0" w:color="auto"/>
              <w:right w:val="single" w:sz="4" w:space="0" w:color="auto"/>
            </w:tcBorders>
            <w:shd w:val="clear" w:color="000000" w:fill="000000"/>
            <w:noWrap/>
            <w:vAlign w:val="center"/>
            <w:hideMark/>
          </w:tcPr>
          <w:p w:rsidR="009931C7" w:rsidRPr="00D147A7" w:rsidRDefault="009931C7" w:rsidP="004721B1">
            <w:pPr>
              <w:rPr>
                <w:rFonts w:eastAsia="Times New Roman"/>
                <w:color w:val="FFFFFF"/>
                <w:sz w:val="20"/>
                <w:szCs w:val="20"/>
                <w:lang w:eastAsia="nl-BE"/>
              </w:rPr>
            </w:pPr>
            <w:r w:rsidRPr="00D147A7">
              <w:rPr>
                <w:rFonts w:eastAsia="Times New Roman"/>
                <w:color w:val="FFFFFF"/>
                <w:sz w:val="20"/>
                <w:szCs w:val="20"/>
                <w:lang w:eastAsia="nl-BE"/>
              </w:rPr>
              <w:t>Totaal</w:t>
            </w:r>
          </w:p>
        </w:tc>
        <w:tc>
          <w:tcPr>
            <w:tcW w:w="2328"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3384</w:t>
            </w:r>
          </w:p>
        </w:tc>
        <w:tc>
          <w:tcPr>
            <w:tcW w:w="2701" w:type="dxa"/>
            <w:tcBorders>
              <w:top w:val="nil"/>
              <w:left w:val="nil"/>
              <w:bottom w:val="single" w:sz="4" w:space="0" w:color="auto"/>
              <w:right w:val="single" w:sz="4" w:space="0" w:color="auto"/>
            </w:tcBorders>
            <w:shd w:val="clear" w:color="auto" w:fill="auto"/>
            <w:noWrap/>
            <w:vAlign w:val="center"/>
            <w:hideMark/>
          </w:tcPr>
          <w:p w:rsidR="009931C7" w:rsidRPr="00D147A7" w:rsidRDefault="009931C7" w:rsidP="004721B1">
            <w:pPr>
              <w:rPr>
                <w:rFonts w:eastAsia="Times New Roman"/>
                <w:color w:val="000000"/>
                <w:sz w:val="20"/>
                <w:szCs w:val="20"/>
                <w:lang w:eastAsia="nl-BE"/>
              </w:rPr>
            </w:pPr>
            <w:r w:rsidRPr="00D147A7">
              <w:rPr>
                <w:rFonts w:eastAsia="Times New Roman"/>
                <w:color w:val="000000"/>
                <w:sz w:val="20"/>
                <w:szCs w:val="20"/>
                <w:lang w:eastAsia="nl-BE"/>
              </w:rPr>
              <w:t>109</w:t>
            </w: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Tabel 11: actoren die met DMP werken in maart 2012</w:t>
      </w:r>
      <w:r w:rsidRPr="00D147A7">
        <w:rPr>
          <w:rStyle w:val="Voetnootmarkering"/>
          <w:rFonts w:ascii="Times New Roman" w:hAnsi="Times New Roman" w:cs="Times New Roman"/>
          <w:sz w:val="24"/>
          <w:szCs w:val="24"/>
        </w:rPr>
        <w:footnoteReference w:id="689"/>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br w:type="page"/>
      </w:r>
    </w:p>
    <w:p w:rsidR="009931C7" w:rsidRPr="00D147A7" w:rsidRDefault="009931C7" w:rsidP="009931C7">
      <w:pPr>
        <w:pStyle w:val="Geenafstand"/>
        <w:ind w:firstLine="708"/>
        <w:jc w:val="both"/>
        <w:rPr>
          <w:rFonts w:ascii="Times New Roman" w:hAnsi="Times New Roman" w:cs="Times New Roman"/>
          <w:b/>
          <w:sz w:val="24"/>
          <w:szCs w:val="24"/>
        </w:rPr>
      </w:pPr>
      <w:r w:rsidRPr="00D147A7">
        <w:rPr>
          <w:rFonts w:ascii="Times New Roman" w:hAnsi="Times New Roman" w:cs="Times New Roman"/>
          <w:b/>
          <w:sz w:val="24"/>
          <w:szCs w:val="24"/>
        </w:rPr>
        <w:lastRenderedPageBreak/>
        <w:t>Hoofdstuk 2: Werking en organisatie van eHealth</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 de nieuwe lancering werd het DMP binnen de bredere evolutie van gedeelde zorginfor</w:t>
      </w:r>
      <w:r w:rsidR="008B2418">
        <w:rPr>
          <w:rFonts w:ascii="Times New Roman" w:hAnsi="Times New Roman" w:cs="Times New Roman"/>
          <w:sz w:val="24"/>
          <w:szCs w:val="24"/>
        </w:rPr>
        <w:t>-</w:t>
      </w:r>
      <w:r w:rsidRPr="00D147A7">
        <w:rPr>
          <w:rFonts w:ascii="Times New Roman" w:hAnsi="Times New Roman" w:cs="Times New Roman"/>
          <w:sz w:val="24"/>
          <w:szCs w:val="24"/>
        </w:rPr>
        <w:t>matiesystemen geplaatst. In Frankrijk was er immers geen totaal gebrek aan informatienet</w:t>
      </w:r>
      <w:r w:rsidR="008B2418">
        <w:rPr>
          <w:rFonts w:ascii="Times New Roman" w:hAnsi="Times New Roman" w:cs="Times New Roman"/>
          <w:sz w:val="24"/>
          <w:szCs w:val="24"/>
        </w:rPr>
        <w:t>-</w:t>
      </w:r>
      <w:r w:rsidRPr="00D147A7">
        <w:rPr>
          <w:rFonts w:ascii="Times New Roman" w:hAnsi="Times New Roman" w:cs="Times New Roman"/>
          <w:sz w:val="24"/>
          <w:szCs w:val="24"/>
        </w:rPr>
        <w:t xml:space="preserve">werken in de gezondheidszorg, maar </w:t>
      </w:r>
      <w:r w:rsidR="008B2418">
        <w:rPr>
          <w:rFonts w:ascii="Times New Roman" w:hAnsi="Times New Roman" w:cs="Times New Roman"/>
          <w:sz w:val="24"/>
          <w:szCs w:val="24"/>
        </w:rPr>
        <w:t xml:space="preserve">deze </w:t>
      </w:r>
      <w:r w:rsidRPr="00D147A7">
        <w:rPr>
          <w:rFonts w:ascii="Times New Roman" w:hAnsi="Times New Roman" w:cs="Times New Roman"/>
          <w:sz w:val="24"/>
          <w:szCs w:val="24"/>
        </w:rPr>
        <w:t>waren vooralsnog tot op regionaal niveau</w:t>
      </w:r>
      <w:r w:rsidR="008B2418" w:rsidRPr="008B2418">
        <w:rPr>
          <w:rFonts w:ascii="Times New Roman" w:hAnsi="Times New Roman" w:cs="Times New Roman"/>
          <w:sz w:val="24"/>
          <w:szCs w:val="24"/>
        </w:rPr>
        <w:t xml:space="preserve"> </w:t>
      </w:r>
      <w:r w:rsidR="008B2418" w:rsidRPr="00D147A7">
        <w:rPr>
          <w:rFonts w:ascii="Times New Roman" w:hAnsi="Times New Roman" w:cs="Times New Roman"/>
          <w:sz w:val="24"/>
          <w:szCs w:val="24"/>
        </w:rPr>
        <w:t>beperkt gebleven</w:t>
      </w:r>
      <w:r w:rsidRPr="00D147A7">
        <w:rPr>
          <w:rFonts w:ascii="Times New Roman" w:hAnsi="Times New Roman" w:cs="Times New Roman"/>
          <w:sz w:val="24"/>
          <w:szCs w:val="24"/>
        </w:rPr>
        <w:t>. Bij de herinvoering van het DMP was het dus zaak om toenadering te zoeken tot de bestaande regionale netwerken.</w:t>
      </w:r>
      <w:r w:rsidRPr="00D147A7">
        <w:rPr>
          <w:rStyle w:val="Voetnootmarkering"/>
          <w:rFonts w:ascii="Times New Roman" w:hAnsi="Times New Roman" w:cs="Times New Roman"/>
          <w:sz w:val="24"/>
          <w:szCs w:val="24"/>
        </w:rPr>
        <w:footnoteReference w:id="690"/>
      </w:r>
      <w:r w:rsidRPr="00D147A7">
        <w:rPr>
          <w:rFonts w:ascii="Times New Roman" w:hAnsi="Times New Roman" w:cs="Times New Roman"/>
          <w:sz w:val="24"/>
          <w:szCs w:val="24"/>
        </w:rPr>
        <w:t xml:space="preserve"> Om dit te bewerkstelligen werden 26 openbare administra</w:t>
      </w:r>
      <w:r w:rsidR="008B2418">
        <w:rPr>
          <w:rFonts w:ascii="Times New Roman" w:hAnsi="Times New Roman" w:cs="Times New Roman"/>
          <w:sz w:val="24"/>
          <w:szCs w:val="24"/>
        </w:rPr>
        <w:t>-</w:t>
      </w:r>
      <w:r w:rsidRPr="00D147A7">
        <w:rPr>
          <w:rFonts w:ascii="Times New Roman" w:hAnsi="Times New Roman" w:cs="Times New Roman"/>
          <w:sz w:val="24"/>
          <w:szCs w:val="24"/>
        </w:rPr>
        <w:t xml:space="preserve">tieve overheidsinstellingen – de </w:t>
      </w:r>
      <w:r w:rsidRPr="00D147A7">
        <w:rPr>
          <w:rFonts w:ascii="Times New Roman" w:hAnsi="Times New Roman" w:cs="Times New Roman"/>
          <w:i/>
          <w:sz w:val="24"/>
          <w:szCs w:val="24"/>
        </w:rPr>
        <w:t>Agences Régionales de Santé</w:t>
      </w:r>
      <w:r w:rsidRPr="00D147A7">
        <w:rPr>
          <w:rFonts w:ascii="Times New Roman" w:hAnsi="Times New Roman" w:cs="Times New Roman"/>
          <w:sz w:val="24"/>
          <w:szCs w:val="24"/>
        </w:rPr>
        <w:t xml:space="preserve"> (ARS) – opgericht.</w:t>
      </w:r>
      <w:r w:rsidRPr="00D147A7">
        <w:rPr>
          <w:rStyle w:val="Voetnootmarkering"/>
          <w:rFonts w:ascii="Times New Roman" w:hAnsi="Times New Roman" w:cs="Times New Roman"/>
          <w:sz w:val="24"/>
          <w:szCs w:val="24"/>
        </w:rPr>
        <w:footnoteReference w:id="691"/>
      </w:r>
      <w:r w:rsidRPr="00D147A7">
        <w:rPr>
          <w:rFonts w:ascii="Times New Roman" w:hAnsi="Times New Roman" w:cs="Times New Roman"/>
          <w:sz w:val="24"/>
          <w:szCs w:val="24"/>
        </w:rPr>
        <w:t xml:space="preserve"> </w:t>
      </w:r>
      <w:r w:rsidRPr="00D147A7">
        <w:rPr>
          <w:rFonts w:ascii="Times New Roman" w:hAnsi="Times New Roman" w:cs="Times New Roman"/>
          <w:sz w:val="24"/>
          <w:szCs w:val="24"/>
          <w:lang w:val="fr-BE"/>
        </w:rPr>
        <w:t xml:space="preserve">Deze agentschappen overkoepelden vanaf 1 april 2010 de </w:t>
      </w:r>
      <w:r w:rsidRPr="00D147A7">
        <w:rPr>
          <w:rFonts w:ascii="Times New Roman" w:hAnsi="Times New Roman" w:cs="Times New Roman"/>
          <w:i/>
          <w:sz w:val="24"/>
          <w:szCs w:val="24"/>
          <w:lang w:val="fr-BE"/>
        </w:rPr>
        <w:t>directions régionales des affaires sani</w:t>
      </w:r>
      <w:r w:rsidR="008B2418">
        <w:rPr>
          <w:rFonts w:ascii="Times New Roman" w:hAnsi="Times New Roman" w:cs="Times New Roman"/>
          <w:i/>
          <w:sz w:val="24"/>
          <w:szCs w:val="24"/>
          <w:lang w:val="fr-BE"/>
        </w:rPr>
        <w:t>-</w:t>
      </w:r>
      <w:r w:rsidRPr="00D147A7">
        <w:rPr>
          <w:rFonts w:ascii="Times New Roman" w:hAnsi="Times New Roman" w:cs="Times New Roman"/>
          <w:i/>
          <w:sz w:val="24"/>
          <w:szCs w:val="24"/>
          <w:lang w:val="fr-BE"/>
        </w:rPr>
        <w:t xml:space="preserve">taires et sociales </w:t>
      </w:r>
      <w:r w:rsidRPr="00D147A7">
        <w:rPr>
          <w:rFonts w:ascii="Times New Roman" w:hAnsi="Times New Roman" w:cs="Times New Roman"/>
          <w:sz w:val="24"/>
          <w:szCs w:val="24"/>
          <w:lang w:val="fr-BE"/>
        </w:rPr>
        <w:t xml:space="preserve">(DRASS), de </w:t>
      </w:r>
      <w:r w:rsidRPr="00D147A7">
        <w:rPr>
          <w:rFonts w:ascii="Times New Roman" w:hAnsi="Times New Roman" w:cs="Times New Roman"/>
          <w:i/>
          <w:sz w:val="24"/>
          <w:szCs w:val="24"/>
          <w:lang w:val="fr-BE"/>
        </w:rPr>
        <w:t>directions départementales des affaires sanitaires et sociales</w:t>
      </w:r>
      <w:r w:rsidRPr="00D147A7">
        <w:rPr>
          <w:rFonts w:ascii="Times New Roman" w:hAnsi="Times New Roman" w:cs="Times New Roman"/>
          <w:sz w:val="24"/>
          <w:szCs w:val="24"/>
          <w:lang w:val="fr-BE"/>
        </w:rPr>
        <w:t xml:space="preserve"> (DDASS) en de </w:t>
      </w:r>
      <w:r w:rsidRPr="00D147A7">
        <w:rPr>
          <w:rFonts w:ascii="Times New Roman" w:hAnsi="Times New Roman" w:cs="Times New Roman"/>
          <w:i/>
          <w:sz w:val="24"/>
          <w:szCs w:val="24"/>
          <w:lang w:val="fr-BE"/>
        </w:rPr>
        <w:t>agences régionales de l’hospitalisation</w:t>
      </w:r>
      <w:r w:rsidRPr="00D147A7">
        <w:rPr>
          <w:rFonts w:ascii="Times New Roman" w:hAnsi="Times New Roman" w:cs="Times New Roman"/>
          <w:sz w:val="24"/>
          <w:szCs w:val="24"/>
          <w:lang w:val="fr-BE"/>
        </w:rPr>
        <w:t xml:space="preserve"> (ARH). </w:t>
      </w:r>
      <w:r w:rsidRPr="00D147A7">
        <w:rPr>
          <w:rFonts w:ascii="Times New Roman" w:hAnsi="Times New Roman" w:cs="Times New Roman"/>
          <w:sz w:val="24"/>
          <w:szCs w:val="24"/>
        </w:rPr>
        <w:t xml:space="preserve">Vanaf 2010 werken de ARS aan de constructie van </w:t>
      </w:r>
      <w:r w:rsidRPr="00D147A7">
        <w:rPr>
          <w:rFonts w:ascii="Times New Roman" w:hAnsi="Times New Roman" w:cs="Times New Roman"/>
          <w:i/>
          <w:sz w:val="24"/>
          <w:szCs w:val="24"/>
        </w:rPr>
        <w:t xml:space="preserve">Espaces Numériques Régional de Santé </w:t>
      </w:r>
      <w:r w:rsidRPr="00D147A7">
        <w:rPr>
          <w:rFonts w:ascii="Times New Roman" w:hAnsi="Times New Roman" w:cs="Times New Roman"/>
          <w:sz w:val="24"/>
          <w:szCs w:val="24"/>
        </w:rPr>
        <w:t>(ENRS), die vergel</w:t>
      </w:r>
      <w:r w:rsidR="008B2418">
        <w:rPr>
          <w:rFonts w:ascii="Times New Roman" w:hAnsi="Times New Roman" w:cs="Times New Roman"/>
          <w:sz w:val="24"/>
          <w:szCs w:val="24"/>
        </w:rPr>
        <w:t>eken kun-nen worden</w:t>
      </w:r>
      <w:r w:rsidRPr="00D147A7">
        <w:rPr>
          <w:rFonts w:ascii="Times New Roman" w:hAnsi="Times New Roman" w:cs="Times New Roman"/>
          <w:sz w:val="24"/>
          <w:szCs w:val="24"/>
        </w:rPr>
        <w:t xml:space="preserve"> met de regionale hubs in België. De ENRS zijn digitale omgevingen voor de regionaal beheerde eHealth-diensten, die het DMP-project, gespecialiseerde onderzoeken, diensten die aan de regionale behoeften van zorgverleners voldoen (zoals zorgnetwerken, tele</w:t>
      </w:r>
      <w:r w:rsidR="008B2418">
        <w:rPr>
          <w:rFonts w:ascii="Times New Roman" w:hAnsi="Times New Roman" w:cs="Times New Roman"/>
          <w:sz w:val="24"/>
          <w:szCs w:val="24"/>
        </w:rPr>
        <w:t>-</w:t>
      </w:r>
      <w:r w:rsidRPr="00D147A7">
        <w:rPr>
          <w:rFonts w:ascii="Times New Roman" w:hAnsi="Times New Roman" w:cs="Times New Roman"/>
          <w:sz w:val="24"/>
          <w:szCs w:val="24"/>
        </w:rPr>
        <w:t>geneeskunde, hulpmiddelen voor samenwerking, etc.),… mogelijk maken. Hierbij wordt reke</w:t>
      </w:r>
      <w:r w:rsidR="008B2418">
        <w:rPr>
          <w:rFonts w:ascii="Times New Roman" w:hAnsi="Times New Roman" w:cs="Times New Roman"/>
          <w:sz w:val="24"/>
          <w:szCs w:val="24"/>
        </w:rPr>
        <w:t>-</w:t>
      </w:r>
      <w:r w:rsidRPr="00D147A7">
        <w:rPr>
          <w:rFonts w:ascii="Times New Roman" w:hAnsi="Times New Roman" w:cs="Times New Roman"/>
          <w:sz w:val="24"/>
          <w:szCs w:val="24"/>
        </w:rPr>
        <w:t xml:space="preserve">ning gehouden met de landelijke interoperabiliteit en het </w:t>
      </w:r>
      <w:r w:rsidRPr="00D147A7">
        <w:rPr>
          <w:rFonts w:ascii="Times New Roman" w:hAnsi="Times New Roman" w:cs="Times New Roman"/>
          <w:i/>
          <w:sz w:val="24"/>
          <w:szCs w:val="24"/>
        </w:rPr>
        <w:t>Répertoire National des Référentiels</w:t>
      </w:r>
      <w:r w:rsidRPr="00D147A7">
        <w:rPr>
          <w:rFonts w:ascii="Times New Roman" w:hAnsi="Times New Roman" w:cs="Times New Roman"/>
          <w:sz w:val="24"/>
          <w:szCs w:val="24"/>
        </w:rPr>
        <w:t xml:space="preserve"> (RFR).</w:t>
      </w:r>
    </w:p>
    <w:p w:rsidR="009931C7" w:rsidRPr="00D147A7" w:rsidRDefault="009931C7" w:rsidP="009931C7">
      <w:pPr>
        <w:pStyle w:val="Geenafstand"/>
        <w:jc w:val="both"/>
        <w:rPr>
          <w:rFonts w:ascii="Times New Roman" w:hAnsi="Times New Roman" w:cs="Times New Roman"/>
          <w:color w:val="FF0000"/>
          <w:sz w:val="24"/>
          <w:szCs w:val="24"/>
        </w:rPr>
      </w:pPr>
    </w:p>
    <w:p w:rsidR="009931C7" w:rsidRPr="00D147A7" w:rsidRDefault="009931C7" w:rsidP="009931C7">
      <w:pPr>
        <w:pStyle w:val="Geenafstand"/>
        <w:jc w:val="center"/>
        <w:rPr>
          <w:rFonts w:ascii="Times New Roman" w:hAnsi="Times New Roman" w:cs="Times New Roman"/>
          <w:color w:val="FF0000"/>
          <w:sz w:val="24"/>
          <w:szCs w:val="24"/>
        </w:rPr>
      </w:pPr>
      <w:r w:rsidRPr="00D147A7">
        <w:rPr>
          <w:rFonts w:ascii="Times New Roman" w:hAnsi="Times New Roman" w:cs="Times New Roman"/>
          <w:noProof/>
          <w:lang w:eastAsia="nl-BE"/>
        </w:rPr>
        <w:drawing>
          <wp:inline distT="0" distB="0" distL="0" distR="0" wp14:anchorId="2ED0C7A4" wp14:editId="1A87AA09">
            <wp:extent cx="3562710" cy="2412544"/>
            <wp:effectExtent l="0" t="0" r="0" b="698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561736" cy="2411884"/>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Figuur 18: Organisatie van de </w:t>
      </w:r>
      <w:r w:rsidRPr="00D147A7">
        <w:rPr>
          <w:rFonts w:ascii="Times New Roman" w:hAnsi="Times New Roman" w:cs="Times New Roman"/>
          <w:i/>
          <w:sz w:val="24"/>
          <w:szCs w:val="24"/>
          <w:lang w:val="fr-BE"/>
        </w:rPr>
        <w:t>Agences Régionales de Santé</w:t>
      </w:r>
      <w:r w:rsidRPr="00D147A7">
        <w:rPr>
          <w:rFonts w:ascii="Times New Roman" w:hAnsi="Times New Roman" w:cs="Times New Roman"/>
          <w:sz w:val="24"/>
          <w:szCs w:val="24"/>
          <w:lang w:val="fr-BE"/>
        </w:rPr>
        <w:t xml:space="preserve"> (ASP)</w:t>
      </w:r>
      <w:r w:rsidRPr="00D147A7">
        <w:rPr>
          <w:rStyle w:val="Voetnootmarkering"/>
          <w:rFonts w:ascii="Times New Roman" w:hAnsi="Times New Roman" w:cs="Times New Roman"/>
          <w:sz w:val="24"/>
          <w:szCs w:val="24"/>
        </w:rPr>
        <w:footnoteReference w:id="692"/>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Opdat het DMP eenvoudiger beheerd en georganiseerd zou kunnen worden, werden ook be</w:t>
      </w:r>
      <w:r w:rsidR="00BE059D">
        <w:rPr>
          <w:rFonts w:ascii="Times New Roman" w:hAnsi="Times New Roman" w:cs="Times New Roman"/>
          <w:sz w:val="24"/>
          <w:szCs w:val="24"/>
        </w:rPr>
        <w:t>-</w:t>
      </w:r>
      <w:r w:rsidRPr="00D147A7">
        <w:rPr>
          <w:rFonts w:ascii="Times New Roman" w:hAnsi="Times New Roman" w:cs="Times New Roman"/>
          <w:sz w:val="24"/>
          <w:szCs w:val="24"/>
        </w:rPr>
        <w:t xml:space="preserve">stuurlijke vernieuwingen doorgevoerd. Zo werd binnen het Ministerie van Volksgezondheid de </w:t>
      </w:r>
      <w:r w:rsidRPr="00D147A7">
        <w:rPr>
          <w:rFonts w:ascii="Times New Roman" w:hAnsi="Times New Roman" w:cs="Times New Roman"/>
          <w:i/>
          <w:sz w:val="24"/>
          <w:szCs w:val="24"/>
        </w:rPr>
        <w:t>Délégation à la Stratégie des Systèmes d’Information de Santé</w:t>
      </w:r>
      <w:r w:rsidRPr="00D147A7">
        <w:rPr>
          <w:rFonts w:ascii="Times New Roman" w:hAnsi="Times New Roman" w:cs="Times New Roman"/>
          <w:sz w:val="24"/>
          <w:szCs w:val="24"/>
        </w:rPr>
        <w:t xml:space="preserve"> (DSSIS) opgericht.</w:t>
      </w:r>
      <w:r w:rsidRPr="00D147A7">
        <w:rPr>
          <w:rStyle w:val="Voetnootmarkering"/>
          <w:rFonts w:ascii="Times New Roman" w:hAnsi="Times New Roman" w:cs="Times New Roman"/>
          <w:sz w:val="24"/>
          <w:szCs w:val="24"/>
        </w:rPr>
        <w:footnoteReference w:id="693"/>
      </w:r>
      <w:r w:rsidRPr="00D147A7">
        <w:rPr>
          <w:rFonts w:ascii="Times New Roman" w:hAnsi="Times New Roman" w:cs="Times New Roman"/>
          <w:sz w:val="24"/>
          <w:szCs w:val="24"/>
        </w:rPr>
        <w:t xml:space="preserve"> Veel belangrijker was echter de zelfontbinding van de GIP DMP op 16 juli 2009. De drijvende kracht achter het DMP werd vervangen door het </w:t>
      </w:r>
      <w:r w:rsidRPr="00D147A7">
        <w:rPr>
          <w:rFonts w:ascii="Times New Roman" w:hAnsi="Times New Roman" w:cs="Times New Roman"/>
          <w:i/>
          <w:sz w:val="24"/>
          <w:szCs w:val="24"/>
        </w:rPr>
        <w:t xml:space="preserve">Agence des Systèmes d’Information Partagé de Santé </w:t>
      </w:r>
      <w:r w:rsidRPr="00D147A7">
        <w:rPr>
          <w:rFonts w:ascii="Times New Roman" w:hAnsi="Times New Roman" w:cs="Times New Roman"/>
          <w:sz w:val="24"/>
          <w:szCs w:val="24"/>
        </w:rPr>
        <w:t>(ASIP Santé).</w:t>
      </w:r>
      <w:r w:rsidRPr="00D147A7">
        <w:rPr>
          <w:rStyle w:val="Voetnootmarkering"/>
          <w:rFonts w:ascii="Times New Roman" w:hAnsi="Times New Roman" w:cs="Times New Roman"/>
          <w:sz w:val="24"/>
          <w:szCs w:val="24"/>
        </w:rPr>
        <w:footnoteReference w:id="694"/>
      </w:r>
      <w:r w:rsidRPr="00D147A7">
        <w:rPr>
          <w:rFonts w:ascii="Times New Roman" w:hAnsi="Times New Roman" w:cs="Times New Roman"/>
          <w:sz w:val="24"/>
          <w:szCs w:val="24"/>
        </w:rPr>
        <w:t xml:space="preserve"> Samen met de </w:t>
      </w:r>
      <w:r w:rsidRPr="00D147A7">
        <w:rPr>
          <w:rFonts w:ascii="Times New Roman" w:hAnsi="Times New Roman" w:cs="Times New Roman"/>
          <w:i/>
          <w:sz w:val="24"/>
          <w:szCs w:val="24"/>
        </w:rPr>
        <w:t>Société Française de Médecine Générale</w:t>
      </w:r>
      <w:r w:rsidRPr="00D147A7">
        <w:rPr>
          <w:rFonts w:ascii="Times New Roman" w:hAnsi="Times New Roman" w:cs="Times New Roman"/>
          <w:sz w:val="24"/>
          <w:szCs w:val="24"/>
        </w:rPr>
        <w:t xml:space="preserve"> (SFMG) nam ASIP Santé in januari 2010 de regie over het DMP-project over. Het takenpakket van ASIP Santé is zeer gevarieerd en uitgebreid. Eerst en vooral dient ASIP Santé het gebruik van ICT in de zorg- en medisch-sociale sector – door zowel zorgverleners als burgers – te facilite</w:t>
      </w:r>
      <w:r w:rsidR="00BE059D">
        <w:rPr>
          <w:rFonts w:ascii="Times New Roman" w:hAnsi="Times New Roman" w:cs="Times New Roman"/>
          <w:sz w:val="24"/>
          <w:szCs w:val="24"/>
        </w:rPr>
        <w:t>-</w:t>
      </w:r>
      <w:r w:rsidRPr="00D147A7">
        <w:rPr>
          <w:rFonts w:ascii="Times New Roman" w:hAnsi="Times New Roman" w:cs="Times New Roman"/>
          <w:sz w:val="24"/>
          <w:szCs w:val="24"/>
        </w:rPr>
        <w:t>ren en te bevorderen. Hieraan moeten alle actoren meewerken die bij eHealth betrokken zijn. ASIP Santé is onder meer verantwoordelijk voor het ontwerpen en implementeren van geza</w:t>
      </w:r>
      <w:r w:rsidR="00BE059D">
        <w:rPr>
          <w:rFonts w:ascii="Times New Roman" w:hAnsi="Times New Roman" w:cs="Times New Roman"/>
          <w:sz w:val="24"/>
          <w:szCs w:val="24"/>
        </w:rPr>
        <w:t>-</w:t>
      </w:r>
      <w:r w:rsidRPr="00D147A7">
        <w:rPr>
          <w:rFonts w:ascii="Times New Roman" w:hAnsi="Times New Roman" w:cs="Times New Roman"/>
          <w:sz w:val="24"/>
          <w:szCs w:val="24"/>
        </w:rPr>
        <w:t>menlijke ICT-projecten en neemt daarvoor een toonaangevende rol op zich bij standaard</w:t>
      </w:r>
      <w:r w:rsidR="00BE059D">
        <w:rPr>
          <w:rFonts w:ascii="Times New Roman" w:hAnsi="Times New Roman" w:cs="Times New Roman"/>
          <w:sz w:val="24"/>
          <w:szCs w:val="24"/>
        </w:rPr>
        <w:t>-</w:t>
      </w:r>
      <w:r w:rsidRPr="00D147A7">
        <w:rPr>
          <w:rFonts w:ascii="Times New Roman" w:hAnsi="Times New Roman" w:cs="Times New Roman"/>
          <w:sz w:val="24"/>
          <w:szCs w:val="24"/>
        </w:rPr>
        <w:t>iseringsprojecten rond bijvoorbeeld telegeneeskunde. ASIP Santé heeft niet alleen een coördi</w:t>
      </w:r>
      <w:r w:rsidR="00BE059D">
        <w:rPr>
          <w:rFonts w:ascii="Times New Roman" w:hAnsi="Times New Roman" w:cs="Times New Roman"/>
          <w:sz w:val="24"/>
          <w:szCs w:val="24"/>
        </w:rPr>
        <w:t>-</w:t>
      </w:r>
      <w:r w:rsidRPr="00D147A7">
        <w:rPr>
          <w:rFonts w:ascii="Times New Roman" w:hAnsi="Times New Roman" w:cs="Times New Roman"/>
          <w:sz w:val="24"/>
          <w:szCs w:val="24"/>
        </w:rPr>
        <w:t>nerende functie, maar neemt ook actief aan tal van projecten</w:t>
      </w:r>
      <w:r w:rsidR="00BE059D" w:rsidRPr="00BE059D">
        <w:rPr>
          <w:rFonts w:ascii="Times New Roman" w:hAnsi="Times New Roman" w:cs="Times New Roman"/>
          <w:sz w:val="24"/>
          <w:szCs w:val="24"/>
        </w:rPr>
        <w:t xml:space="preserve"> </w:t>
      </w:r>
      <w:r w:rsidR="00BE059D" w:rsidRPr="00D147A7">
        <w:rPr>
          <w:rFonts w:ascii="Times New Roman" w:hAnsi="Times New Roman" w:cs="Times New Roman"/>
          <w:sz w:val="24"/>
          <w:szCs w:val="24"/>
        </w:rPr>
        <w:t>deel</w:t>
      </w:r>
      <w:r w:rsidRPr="00D147A7">
        <w:rPr>
          <w:rFonts w:ascii="Times New Roman" w:hAnsi="Times New Roman" w:cs="Times New Roman"/>
          <w:sz w:val="24"/>
          <w:szCs w:val="24"/>
        </w:rPr>
        <w:t xml:space="preserve">. Samen met het </w:t>
      </w:r>
      <w:r w:rsidRPr="00D147A7">
        <w:rPr>
          <w:rFonts w:ascii="Times New Roman" w:hAnsi="Times New Roman" w:cs="Times New Roman"/>
          <w:i/>
          <w:sz w:val="24"/>
          <w:szCs w:val="24"/>
        </w:rPr>
        <w:t>Agence nationale d'appui à la performance des établissements de santé et médico-sociaux</w:t>
      </w:r>
      <w:r w:rsidRPr="00D147A7">
        <w:rPr>
          <w:rFonts w:ascii="Times New Roman" w:hAnsi="Times New Roman" w:cs="Times New Roman"/>
          <w:sz w:val="24"/>
          <w:szCs w:val="24"/>
        </w:rPr>
        <w:t xml:space="preserve"> (ANAP) bundelt ze de krachten om zorginformatiesystemen in Franse verzorgings- en medisch-s</w:t>
      </w:r>
      <w:r w:rsidR="00BE059D">
        <w:rPr>
          <w:rFonts w:ascii="Times New Roman" w:hAnsi="Times New Roman" w:cs="Times New Roman"/>
          <w:sz w:val="24"/>
          <w:szCs w:val="24"/>
        </w:rPr>
        <w:t>oc</w:t>
      </w:r>
      <w:r w:rsidRPr="00D147A7">
        <w:rPr>
          <w:rFonts w:ascii="Times New Roman" w:hAnsi="Times New Roman" w:cs="Times New Roman"/>
          <w:sz w:val="24"/>
          <w:szCs w:val="24"/>
        </w:rPr>
        <w:t>iale instellingen te moderniseren. Daarnaast werkt ASIP Santé ook samen met het</w:t>
      </w:r>
      <w:r w:rsidRPr="00D147A7">
        <w:rPr>
          <w:rFonts w:ascii="Times New Roman" w:hAnsi="Times New Roman" w:cs="Times New Roman"/>
          <w:i/>
          <w:sz w:val="24"/>
          <w:szCs w:val="24"/>
        </w:rPr>
        <w:t xml:space="preserve"> Institut Natio</w:t>
      </w:r>
      <w:r w:rsidR="00BE059D">
        <w:rPr>
          <w:rFonts w:ascii="Times New Roman" w:hAnsi="Times New Roman" w:cs="Times New Roman"/>
          <w:i/>
          <w:sz w:val="24"/>
          <w:szCs w:val="24"/>
        </w:rPr>
        <w:t>-</w:t>
      </w:r>
      <w:r w:rsidRPr="00D147A7">
        <w:rPr>
          <w:rFonts w:ascii="Times New Roman" w:hAnsi="Times New Roman" w:cs="Times New Roman"/>
          <w:i/>
          <w:sz w:val="24"/>
          <w:szCs w:val="24"/>
        </w:rPr>
        <w:t>nal du Cancer</w:t>
      </w:r>
      <w:r w:rsidRPr="00D147A7">
        <w:rPr>
          <w:rFonts w:ascii="Times New Roman" w:hAnsi="Times New Roman" w:cs="Times New Roman"/>
          <w:sz w:val="24"/>
          <w:szCs w:val="24"/>
        </w:rPr>
        <w:t xml:space="preserve"> (INCa), de </w:t>
      </w:r>
      <w:r w:rsidRPr="00D147A7">
        <w:rPr>
          <w:rFonts w:ascii="Times New Roman" w:hAnsi="Times New Roman" w:cs="Times New Roman"/>
          <w:i/>
          <w:sz w:val="24"/>
          <w:szCs w:val="24"/>
        </w:rPr>
        <w:t xml:space="preserve">Société Française de Médecine Générale </w:t>
      </w:r>
      <w:r w:rsidRPr="00D147A7">
        <w:rPr>
          <w:rFonts w:ascii="Times New Roman" w:hAnsi="Times New Roman" w:cs="Times New Roman"/>
          <w:sz w:val="24"/>
          <w:szCs w:val="24"/>
        </w:rPr>
        <w:t xml:space="preserve">(SFMG), de </w:t>
      </w:r>
      <w:r w:rsidRPr="00D147A7">
        <w:rPr>
          <w:rFonts w:ascii="Times New Roman" w:hAnsi="Times New Roman" w:cs="Times New Roman"/>
          <w:i/>
          <w:sz w:val="24"/>
          <w:szCs w:val="24"/>
        </w:rPr>
        <w:t>Fédération Nationale des Etablissements d’Hospitalisation à Domicile</w:t>
      </w:r>
      <w:r w:rsidRPr="00D147A7">
        <w:rPr>
          <w:rFonts w:ascii="Times New Roman" w:hAnsi="Times New Roman" w:cs="Times New Roman"/>
          <w:sz w:val="24"/>
          <w:szCs w:val="24"/>
        </w:rPr>
        <w:t xml:space="preserve"> (FNEHAD), het </w:t>
      </w:r>
      <w:r w:rsidRPr="00D147A7">
        <w:rPr>
          <w:rFonts w:ascii="Times New Roman" w:hAnsi="Times New Roman" w:cs="Times New Roman"/>
          <w:i/>
          <w:sz w:val="24"/>
          <w:szCs w:val="24"/>
        </w:rPr>
        <w:t xml:space="preserve">Institut de Veille Sanitaire </w:t>
      </w:r>
      <w:r w:rsidRPr="00D147A7">
        <w:rPr>
          <w:rFonts w:ascii="Times New Roman" w:hAnsi="Times New Roman" w:cs="Times New Roman"/>
          <w:sz w:val="24"/>
          <w:szCs w:val="24"/>
        </w:rPr>
        <w:t xml:space="preserve">(InVS) en de </w:t>
      </w:r>
      <w:r w:rsidRPr="00D147A7">
        <w:rPr>
          <w:rFonts w:ascii="Times New Roman" w:hAnsi="Times New Roman" w:cs="Times New Roman"/>
          <w:i/>
          <w:sz w:val="24"/>
          <w:szCs w:val="24"/>
        </w:rPr>
        <w:t xml:space="preserve">Union Nationale des Réseaux de Santé </w:t>
      </w:r>
      <w:r w:rsidRPr="00D147A7">
        <w:rPr>
          <w:rFonts w:ascii="Times New Roman" w:hAnsi="Times New Roman" w:cs="Times New Roman"/>
          <w:sz w:val="24"/>
          <w:szCs w:val="24"/>
        </w:rPr>
        <w:t>(UNR Santé) aan de ontwik</w:t>
      </w:r>
      <w:r w:rsidR="00BE059D">
        <w:rPr>
          <w:rFonts w:ascii="Times New Roman" w:hAnsi="Times New Roman" w:cs="Times New Roman"/>
          <w:sz w:val="24"/>
          <w:szCs w:val="24"/>
        </w:rPr>
        <w:t>-</w:t>
      </w:r>
      <w:r w:rsidRPr="00D147A7">
        <w:rPr>
          <w:rFonts w:ascii="Times New Roman" w:hAnsi="Times New Roman" w:cs="Times New Roman"/>
          <w:sz w:val="24"/>
          <w:szCs w:val="24"/>
        </w:rPr>
        <w:t xml:space="preserve">keling van aan nieuwe zorgverlingspraktijken aangepaste diensten.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Om de samenwerking tussen de verschillende actoren vlot te laten verlopen, ontwikkelt ASIP Santé nationale richtlijnen en standaarden voor (technische en semantische) interoperabiliteit en informatieveiligheid, die bij voorkeur compatibel zijn met de bestaande internationale stan</w:t>
      </w:r>
      <w:r w:rsidR="008B4B4E">
        <w:rPr>
          <w:rFonts w:ascii="Times New Roman" w:hAnsi="Times New Roman" w:cs="Times New Roman"/>
          <w:sz w:val="24"/>
          <w:szCs w:val="24"/>
        </w:rPr>
        <w:t>-</w:t>
      </w:r>
      <w:r w:rsidRPr="00D147A7">
        <w:rPr>
          <w:rFonts w:ascii="Times New Roman" w:hAnsi="Times New Roman" w:cs="Times New Roman"/>
          <w:sz w:val="24"/>
          <w:szCs w:val="24"/>
        </w:rPr>
        <w:t xml:space="preserve">daarden (zoals </w:t>
      </w:r>
      <w:r w:rsidRPr="00D147A7">
        <w:rPr>
          <w:rFonts w:ascii="Times New Roman" w:hAnsi="Times New Roman" w:cs="Times New Roman"/>
          <w:i/>
          <w:sz w:val="24"/>
          <w:szCs w:val="24"/>
        </w:rPr>
        <w:t>Integrating the Healthcare Enterprise</w:t>
      </w:r>
      <w:r w:rsidRPr="00D147A7">
        <w:rPr>
          <w:rFonts w:ascii="Times New Roman" w:hAnsi="Times New Roman" w:cs="Times New Roman"/>
          <w:sz w:val="24"/>
          <w:szCs w:val="24"/>
        </w:rPr>
        <w:t xml:space="preserve"> (IHE) en </w:t>
      </w:r>
      <w:r w:rsidRPr="00D147A7">
        <w:rPr>
          <w:rFonts w:ascii="Times New Roman" w:hAnsi="Times New Roman" w:cs="Times New Roman"/>
          <w:i/>
          <w:sz w:val="24"/>
          <w:szCs w:val="24"/>
        </w:rPr>
        <w:t>Health Level 7</w:t>
      </w:r>
      <w:r w:rsidRPr="00D147A7">
        <w:rPr>
          <w:rFonts w:ascii="Times New Roman" w:hAnsi="Times New Roman" w:cs="Times New Roman"/>
          <w:sz w:val="24"/>
          <w:szCs w:val="24"/>
        </w:rPr>
        <w:t xml:space="preserve"> (HL7)).</w:t>
      </w:r>
      <w:r w:rsidRPr="00D147A7">
        <w:rPr>
          <w:rStyle w:val="Voetnootmarkering"/>
          <w:rFonts w:ascii="Times New Roman" w:hAnsi="Times New Roman" w:cs="Times New Roman"/>
          <w:sz w:val="24"/>
          <w:szCs w:val="24"/>
        </w:rPr>
        <w:footnoteReference w:id="695"/>
      </w:r>
      <w:r w:rsidRPr="00D147A7">
        <w:rPr>
          <w:rFonts w:ascii="Times New Roman" w:hAnsi="Times New Roman" w:cs="Times New Roman"/>
          <w:sz w:val="24"/>
          <w:szCs w:val="24"/>
        </w:rPr>
        <w:t xml:space="preserve"> Om</w:t>
      </w:r>
      <w:r w:rsidR="008B4B4E">
        <w:rPr>
          <w:rFonts w:ascii="Times New Roman" w:hAnsi="Times New Roman" w:cs="Times New Roman"/>
          <w:sz w:val="24"/>
          <w:szCs w:val="24"/>
        </w:rPr>
        <w:t>-</w:t>
      </w:r>
      <w:r w:rsidRPr="00D147A7">
        <w:rPr>
          <w:rFonts w:ascii="Times New Roman" w:hAnsi="Times New Roman" w:cs="Times New Roman"/>
          <w:sz w:val="24"/>
          <w:szCs w:val="24"/>
        </w:rPr>
        <w:t>dat in databanken en informatiesystemen enkel gestructureerde informatie opgenomen</w:t>
      </w:r>
      <w:r w:rsidR="008B4B4E" w:rsidRPr="008B4B4E">
        <w:rPr>
          <w:rFonts w:ascii="Times New Roman" w:hAnsi="Times New Roman" w:cs="Times New Roman"/>
          <w:sz w:val="24"/>
          <w:szCs w:val="24"/>
        </w:rPr>
        <w:t xml:space="preserve"> </w:t>
      </w:r>
      <w:r w:rsidR="008B4B4E" w:rsidRPr="00D147A7">
        <w:rPr>
          <w:rFonts w:ascii="Times New Roman" w:hAnsi="Times New Roman" w:cs="Times New Roman"/>
          <w:sz w:val="24"/>
          <w:szCs w:val="24"/>
        </w:rPr>
        <w:t>kan worden</w:t>
      </w:r>
      <w:r w:rsidRPr="00D147A7">
        <w:rPr>
          <w:rFonts w:ascii="Times New Roman" w:hAnsi="Times New Roman" w:cs="Times New Roman"/>
          <w:sz w:val="24"/>
          <w:szCs w:val="24"/>
        </w:rPr>
        <w:t>, publiceerde ASIP Santé op 2 oktober 2009 het zogenaamde interoperabiliteitska</w:t>
      </w:r>
      <w:r w:rsidR="008B4B4E">
        <w:rPr>
          <w:rFonts w:ascii="Times New Roman" w:hAnsi="Times New Roman" w:cs="Times New Roman"/>
          <w:sz w:val="24"/>
          <w:szCs w:val="24"/>
        </w:rPr>
        <w:t>-</w:t>
      </w:r>
      <w:r w:rsidRPr="00D147A7">
        <w:rPr>
          <w:rFonts w:ascii="Times New Roman" w:hAnsi="Times New Roman" w:cs="Times New Roman"/>
          <w:sz w:val="24"/>
          <w:szCs w:val="24"/>
        </w:rPr>
        <w:lastRenderedPageBreak/>
        <w:t>der.</w:t>
      </w:r>
      <w:r w:rsidRPr="00D147A7">
        <w:rPr>
          <w:rStyle w:val="Voetnootmarkering"/>
          <w:rFonts w:ascii="Times New Roman" w:hAnsi="Times New Roman" w:cs="Times New Roman"/>
          <w:sz w:val="24"/>
          <w:szCs w:val="24"/>
        </w:rPr>
        <w:footnoteReference w:id="696"/>
      </w:r>
      <w:r w:rsidRPr="00D147A7">
        <w:rPr>
          <w:rFonts w:ascii="Times New Roman" w:hAnsi="Times New Roman" w:cs="Times New Roman"/>
          <w:sz w:val="24"/>
          <w:szCs w:val="24"/>
        </w:rPr>
        <w:t xml:space="preserve"> Het interoperabiliteitskader biedt de basis voor de uitwisseling van gegevens (model</w:t>
      </w:r>
      <w:r w:rsidR="008B3484">
        <w:rPr>
          <w:rFonts w:ascii="Times New Roman" w:hAnsi="Times New Roman" w:cs="Times New Roman"/>
          <w:sz w:val="24"/>
          <w:szCs w:val="24"/>
        </w:rPr>
        <w:t>-</w:t>
      </w:r>
      <w:r w:rsidR="00B75D72">
        <w:rPr>
          <w:rFonts w:ascii="Times New Roman" w:hAnsi="Times New Roman" w:cs="Times New Roman"/>
          <w:sz w:val="24"/>
          <w:szCs w:val="24"/>
        </w:rPr>
        <w:t>l</w:t>
      </w:r>
      <w:r w:rsidRPr="00D147A7">
        <w:rPr>
          <w:rFonts w:ascii="Times New Roman" w:hAnsi="Times New Roman" w:cs="Times New Roman"/>
          <w:sz w:val="24"/>
          <w:szCs w:val="24"/>
        </w:rPr>
        <w:t xml:space="preserve">ering van de inhoud, gecodeerde woordenlijsten, beveiligde diensten en kanalen), op basis waarvan het DMP een krachtig uitwisselingsinstrument wordt die de informatiecapaciteit en gebruiksmogelijkheden van software opschalen. In Frankrijk doet men een beroep op de </w:t>
      </w:r>
      <w:r w:rsidRPr="00D147A7">
        <w:rPr>
          <w:rFonts w:ascii="Times New Roman" w:hAnsi="Times New Roman" w:cs="Times New Roman"/>
          <w:i/>
          <w:sz w:val="24"/>
          <w:szCs w:val="24"/>
        </w:rPr>
        <w:t>Cli</w:t>
      </w:r>
      <w:r w:rsidR="008B3484">
        <w:rPr>
          <w:rFonts w:ascii="Times New Roman" w:hAnsi="Times New Roman" w:cs="Times New Roman"/>
          <w:i/>
          <w:sz w:val="24"/>
          <w:szCs w:val="24"/>
        </w:rPr>
        <w:t>-</w:t>
      </w:r>
      <w:r w:rsidRPr="00D147A7">
        <w:rPr>
          <w:rFonts w:ascii="Times New Roman" w:hAnsi="Times New Roman" w:cs="Times New Roman"/>
          <w:i/>
          <w:sz w:val="24"/>
          <w:szCs w:val="24"/>
        </w:rPr>
        <w:t>nical Document Architecture Release 2</w:t>
      </w:r>
      <w:r w:rsidRPr="00D147A7">
        <w:rPr>
          <w:rFonts w:ascii="Times New Roman" w:hAnsi="Times New Roman" w:cs="Times New Roman"/>
          <w:sz w:val="24"/>
          <w:szCs w:val="24"/>
        </w:rPr>
        <w:t xml:space="preserve"> (CDA R2)-standaard, waarbij voor ieder document een gestructureerde aanhef (die de context van het document bevat) van een ongestructureerde corpus </w:t>
      </w:r>
      <w:r w:rsidR="008B3484" w:rsidRPr="00D147A7">
        <w:rPr>
          <w:rFonts w:ascii="Times New Roman" w:hAnsi="Times New Roman" w:cs="Times New Roman"/>
          <w:sz w:val="24"/>
          <w:szCs w:val="24"/>
        </w:rPr>
        <w:t xml:space="preserve">onderscheiden </w:t>
      </w:r>
      <w:r w:rsidRPr="00D147A7">
        <w:rPr>
          <w:rFonts w:ascii="Times New Roman" w:hAnsi="Times New Roman" w:cs="Times New Roman"/>
          <w:sz w:val="24"/>
          <w:szCs w:val="24"/>
        </w:rPr>
        <w:t>wordt. Op het laagste niveau van de CDA R2-standaard staat de onge</w:t>
      </w:r>
      <w:r w:rsidR="008B3484">
        <w:rPr>
          <w:rFonts w:ascii="Times New Roman" w:hAnsi="Times New Roman" w:cs="Times New Roman"/>
          <w:sz w:val="24"/>
          <w:szCs w:val="24"/>
        </w:rPr>
        <w:t>-</w:t>
      </w:r>
      <w:r w:rsidRPr="00D147A7">
        <w:rPr>
          <w:rFonts w:ascii="Times New Roman" w:hAnsi="Times New Roman" w:cs="Times New Roman"/>
          <w:sz w:val="24"/>
          <w:szCs w:val="24"/>
        </w:rPr>
        <w:t>structureerde corpus van een document, d</w:t>
      </w:r>
      <w:r w:rsidR="008B3484">
        <w:rPr>
          <w:rFonts w:ascii="Times New Roman" w:hAnsi="Times New Roman" w:cs="Times New Roman"/>
          <w:sz w:val="24"/>
          <w:szCs w:val="24"/>
        </w:rPr>
        <w:t>ie</w:t>
      </w:r>
      <w:r w:rsidRPr="00D147A7">
        <w:rPr>
          <w:rFonts w:ascii="Times New Roman" w:hAnsi="Times New Roman" w:cs="Times New Roman"/>
          <w:sz w:val="24"/>
          <w:szCs w:val="24"/>
        </w:rPr>
        <w:t xml:space="preserve"> uit vrije tekst en/of afbeeldingen bestaat. Het tweede niveau </w:t>
      </w:r>
      <w:r w:rsidR="008B3484">
        <w:rPr>
          <w:rFonts w:ascii="Times New Roman" w:hAnsi="Times New Roman" w:cs="Times New Roman"/>
          <w:sz w:val="24"/>
          <w:szCs w:val="24"/>
        </w:rPr>
        <w:t>betreft de voor lezers</w:t>
      </w:r>
      <w:r w:rsidRPr="00D147A7">
        <w:rPr>
          <w:rFonts w:ascii="Times New Roman" w:hAnsi="Times New Roman" w:cs="Times New Roman"/>
          <w:sz w:val="24"/>
          <w:szCs w:val="24"/>
        </w:rPr>
        <w:t xml:space="preserve"> gestructureerde informatie</w:t>
      </w:r>
      <w:r w:rsidR="008B3484">
        <w:rPr>
          <w:rFonts w:ascii="Times New Roman" w:hAnsi="Times New Roman" w:cs="Times New Roman"/>
          <w:sz w:val="24"/>
          <w:szCs w:val="24"/>
        </w:rPr>
        <w:t>,</w:t>
      </w:r>
      <w:r w:rsidRPr="00D147A7">
        <w:rPr>
          <w:rFonts w:ascii="Times New Roman" w:hAnsi="Times New Roman" w:cs="Times New Roman"/>
          <w:sz w:val="24"/>
          <w:szCs w:val="24"/>
        </w:rPr>
        <w:t xml:space="preserve"> </w:t>
      </w:r>
      <w:r w:rsidR="008B3484">
        <w:rPr>
          <w:rFonts w:ascii="Times New Roman" w:hAnsi="Times New Roman" w:cs="Times New Roman"/>
          <w:sz w:val="24"/>
          <w:szCs w:val="24"/>
        </w:rPr>
        <w:t>waarbij</w:t>
      </w:r>
      <w:r w:rsidRPr="00D147A7">
        <w:rPr>
          <w:rFonts w:ascii="Times New Roman" w:hAnsi="Times New Roman" w:cs="Times New Roman"/>
          <w:sz w:val="24"/>
          <w:szCs w:val="24"/>
        </w:rPr>
        <w:t xml:space="preserve"> verschillende onder</w:t>
      </w:r>
      <w:r w:rsidR="008B3484">
        <w:rPr>
          <w:rFonts w:ascii="Times New Roman" w:hAnsi="Times New Roman" w:cs="Times New Roman"/>
          <w:sz w:val="24"/>
          <w:szCs w:val="24"/>
        </w:rPr>
        <w:t>-</w:t>
      </w:r>
      <w:r w:rsidRPr="00D147A7">
        <w:rPr>
          <w:rFonts w:ascii="Times New Roman" w:hAnsi="Times New Roman" w:cs="Times New Roman"/>
          <w:sz w:val="24"/>
          <w:szCs w:val="24"/>
        </w:rPr>
        <w:t>delen</w:t>
      </w:r>
      <w:r w:rsidR="008B3484">
        <w:rPr>
          <w:rFonts w:ascii="Times New Roman" w:hAnsi="Times New Roman" w:cs="Times New Roman"/>
          <w:sz w:val="24"/>
          <w:szCs w:val="24"/>
        </w:rPr>
        <w:t xml:space="preserve"> van elkaar onderscheiden kunnen worden</w:t>
      </w:r>
      <w:r w:rsidRPr="00D147A7">
        <w:rPr>
          <w:rFonts w:ascii="Times New Roman" w:hAnsi="Times New Roman" w:cs="Times New Roman"/>
          <w:sz w:val="24"/>
          <w:szCs w:val="24"/>
        </w:rPr>
        <w:t>. De inhoud van ieder onderdeel wordt ont</w:t>
      </w:r>
      <w:r w:rsidR="008B3484">
        <w:rPr>
          <w:rFonts w:ascii="Times New Roman" w:hAnsi="Times New Roman" w:cs="Times New Roman"/>
          <w:sz w:val="24"/>
          <w:szCs w:val="24"/>
        </w:rPr>
        <w:t>-</w:t>
      </w:r>
      <w:r w:rsidRPr="00D147A7">
        <w:rPr>
          <w:rFonts w:ascii="Times New Roman" w:hAnsi="Times New Roman" w:cs="Times New Roman"/>
          <w:sz w:val="24"/>
          <w:szCs w:val="24"/>
        </w:rPr>
        <w:t>maskerd door de logische observatie van identificatienamen en -codes (LOINC-nomencla</w:t>
      </w:r>
      <w:r w:rsidR="008B3484">
        <w:rPr>
          <w:rFonts w:ascii="Times New Roman" w:hAnsi="Times New Roman" w:cs="Times New Roman"/>
          <w:sz w:val="24"/>
          <w:szCs w:val="24"/>
        </w:rPr>
        <w:t>-</w:t>
      </w:r>
      <w:r w:rsidRPr="00D147A7">
        <w:rPr>
          <w:rFonts w:ascii="Times New Roman" w:hAnsi="Times New Roman" w:cs="Times New Roman"/>
          <w:sz w:val="24"/>
          <w:szCs w:val="24"/>
        </w:rPr>
        <w:t>tuur</w:t>
      </w:r>
      <w:r w:rsidRPr="00D147A7">
        <w:rPr>
          <w:rStyle w:val="Voetnootmarkering"/>
          <w:rFonts w:ascii="Times New Roman" w:hAnsi="Times New Roman" w:cs="Times New Roman"/>
          <w:sz w:val="24"/>
          <w:szCs w:val="24"/>
        </w:rPr>
        <w:footnoteReference w:id="697"/>
      </w:r>
      <w:r w:rsidRPr="00D147A7">
        <w:rPr>
          <w:rFonts w:ascii="Times New Roman" w:hAnsi="Times New Roman" w:cs="Times New Roman"/>
          <w:sz w:val="24"/>
          <w:szCs w:val="24"/>
        </w:rPr>
        <w:t xml:space="preserve">), code, titel en inhoud (in bewerkte vorm). De best geordende informatie (niveau 3) wordt zowel door </w:t>
      </w:r>
      <w:r w:rsidR="008B3484">
        <w:rPr>
          <w:rFonts w:ascii="Times New Roman" w:hAnsi="Times New Roman" w:cs="Times New Roman"/>
          <w:sz w:val="24"/>
          <w:szCs w:val="24"/>
        </w:rPr>
        <w:t xml:space="preserve">mensen </w:t>
      </w:r>
      <w:r w:rsidRPr="00D147A7">
        <w:rPr>
          <w:rFonts w:ascii="Times New Roman" w:hAnsi="Times New Roman" w:cs="Times New Roman"/>
          <w:sz w:val="24"/>
          <w:szCs w:val="24"/>
        </w:rPr>
        <w:t>als door het informatiesysteem als gestructureerd beschouwd. Op</w:t>
      </w:r>
      <w:r w:rsidR="008B3484">
        <w:rPr>
          <w:rFonts w:ascii="Times New Roman" w:hAnsi="Times New Roman" w:cs="Times New Roman"/>
          <w:sz w:val="24"/>
          <w:szCs w:val="24"/>
        </w:rPr>
        <w:t>-</w:t>
      </w:r>
      <w:r w:rsidRPr="00D147A7">
        <w:rPr>
          <w:rFonts w:ascii="Times New Roman" w:hAnsi="Times New Roman" w:cs="Times New Roman"/>
          <w:sz w:val="24"/>
          <w:szCs w:val="24"/>
        </w:rPr>
        <w:t xml:space="preserve">nieuw wordt het corpus van een document in twee onderdelen opgesplitst (cf. niveau 2), maar ieder onderdeel wordt door </w:t>
      </w:r>
      <w:r w:rsidR="008B3484">
        <w:rPr>
          <w:rFonts w:ascii="Times New Roman" w:hAnsi="Times New Roman" w:cs="Times New Roman"/>
          <w:sz w:val="24"/>
          <w:szCs w:val="24"/>
        </w:rPr>
        <w:t xml:space="preserve">nadere </w:t>
      </w:r>
      <w:r w:rsidRPr="00D147A7">
        <w:rPr>
          <w:rFonts w:ascii="Times New Roman" w:hAnsi="Times New Roman" w:cs="Times New Roman"/>
          <w:sz w:val="24"/>
          <w:szCs w:val="24"/>
        </w:rPr>
        <w:t xml:space="preserve">toegangen ontsloten. De structuur en gecodeerde medische gegevens van deze toegangen komen overeen met de inhoud van de onderdelen. Zo kunnen gegevens rechtstreeks in het informatiesysteem van de zorgverlener geïmporteerd worden. De productie van CDA R2-documenten niveau 3 is een belangrijke ontwikkeling, waarvoor de coderingssystemen (incl. de LOINC-nomenclatuur) in de softwarepakketten van zorgverleners geïncorporeerd moeten worden. In afwachting daarvan aanvaardt ASIP Santé vooralsnog documenten van alle niveaus, maar streeft het exclusieve gebruik </w:t>
      </w:r>
      <w:r w:rsidR="00642027" w:rsidRPr="00D147A7">
        <w:rPr>
          <w:rFonts w:ascii="Times New Roman" w:hAnsi="Times New Roman" w:cs="Times New Roman"/>
          <w:sz w:val="24"/>
          <w:szCs w:val="24"/>
        </w:rPr>
        <w:t xml:space="preserve">na </w:t>
      </w:r>
      <w:r w:rsidRPr="00D147A7">
        <w:rPr>
          <w:rFonts w:ascii="Times New Roman" w:hAnsi="Times New Roman" w:cs="Times New Roman"/>
          <w:sz w:val="24"/>
          <w:szCs w:val="24"/>
        </w:rPr>
        <w:t>van documenten die aan niveau 3 van de CDA R2-standaard voldoen.</w:t>
      </w:r>
      <w:r w:rsidRPr="00D147A7">
        <w:rPr>
          <w:rStyle w:val="Voetnootmarkering"/>
          <w:rFonts w:ascii="Times New Roman" w:hAnsi="Times New Roman" w:cs="Times New Roman"/>
          <w:sz w:val="24"/>
          <w:szCs w:val="24"/>
        </w:rPr>
        <w:footnoteReference w:id="698"/>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Elektronische documenten met gezondheidsgegevens worden ook begeleid door XDS.b-meta</w:t>
      </w:r>
      <w:r w:rsidR="00642027">
        <w:rPr>
          <w:rFonts w:ascii="Times New Roman" w:hAnsi="Times New Roman" w:cs="Times New Roman"/>
          <w:sz w:val="24"/>
          <w:szCs w:val="24"/>
        </w:rPr>
        <w:t>-</w:t>
      </w:r>
      <w:r w:rsidRPr="00D147A7">
        <w:rPr>
          <w:rFonts w:ascii="Times New Roman" w:hAnsi="Times New Roman" w:cs="Times New Roman"/>
          <w:sz w:val="24"/>
          <w:szCs w:val="24"/>
        </w:rPr>
        <w:t>data, waarvan de meerderheid uit de gestructureerde aanhef van het document</w:t>
      </w:r>
      <w:r w:rsidR="00642027" w:rsidRPr="00642027">
        <w:rPr>
          <w:rFonts w:ascii="Times New Roman" w:hAnsi="Times New Roman" w:cs="Times New Roman"/>
          <w:sz w:val="24"/>
          <w:szCs w:val="24"/>
        </w:rPr>
        <w:t xml:space="preserve"> </w:t>
      </w:r>
      <w:r w:rsidR="00642027" w:rsidRPr="00D147A7">
        <w:rPr>
          <w:rFonts w:ascii="Times New Roman" w:hAnsi="Times New Roman" w:cs="Times New Roman"/>
          <w:sz w:val="24"/>
          <w:szCs w:val="24"/>
        </w:rPr>
        <w:t>wordt afgeleid</w:t>
      </w:r>
      <w:r w:rsidRPr="00D147A7">
        <w:rPr>
          <w:rFonts w:ascii="Times New Roman" w:hAnsi="Times New Roman" w:cs="Times New Roman"/>
          <w:sz w:val="24"/>
          <w:szCs w:val="24"/>
        </w:rPr>
        <w:t xml:space="preserve">. De DMP </w:t>
      </w:r>
      <w:r w:rsidRPr="00D147A7">
        <w:rPr>
          <w:rFonts w:ascii="Times New Roman" w:hAnsi="Times New Roman" w:cs="Times New Roman"/>
          <w:i/>
          <w:sz w:val="24"/>
          <w:szCs w:val="24"/>
        </w:rPr>
        <w:t>hosting service</w:t>
      </w:r>
      <w:r w:rsidRPr="00D147A7">
        <w:rPr>
          <w:rFonts w:ascii="Times New Roman" w:hAnsi="Times New Roman" w:cs="Times New Roman"/>
          <w:sz w:val="24"/>
          <w:szCs w:val="24"/>
        </w:rPr>
        <w:t xml:space="preserve"> aanvaard uitsluitend documenten die van de minimale XDS-meta</w:t>
      </w:r>
      <w:r w:rsidR="00642027">
        <w:rPr>
          <w:rFonts w:ascii="Times New Roman" w:hAnsi="Times New Roman" w:cs="Times New Roman"/>
          <w:sz w:val="24"/>
          <w:szCs w:val="24"/>
        </w:rPr>
        <w:t>-</w:t>
      </w:r>
      <w:r w:rsidRPr="00D147A7">
        <w:rPr>
          <w:rFonts w:ascii="Times New Roman" w:hAnsi="Times New Roman" w:cs="Times New Roman"/>
          <w:sz w:val="24"/>
          <w:szCs w:val="24"/>
        </w:rPr>
        <w:t>data (documenttype, auteur, inhoud en datum van creatie)</w:t>
      </w:r>
      <w:r w:rsidR="00642027" w:rsidRPr="00642027">
        <w:rPr>
          <w:rFonts w:ascii="Times New Roman" w:hAnsi="Times New Roman" w:cs="Times New Roman"/>
          <w:sz w:val="24"/>
          <w:szCs w:val="24"/>
        </w:rPr>
        <w:t xml:space="preserve"> </w:t>
      </w:r>
      <w:r w:rsidR="00642027" w:rsidRPr="00D147A7">
        <w:rPr>
          <w:rFonts w:ascii="Times New Roman" w:hAnsi="Times New Roman" w:cs="Times New Roman"/>
          <w:sz w:val="24"/>
          <w:szCs w:val="24"/>
        </w:rPr>
        <w:t>voorzien zijn</w:t>
      </w:r>
      <w:r w:rsidRPr="00D147A7">
        <w:rPr>
          <w:rFonts w:ascii="Times New Roman" w:hAnsi="Times New Roman" w:cs="Times New Roman"/>
          <w:sz w:val="24"/>
          <w:szCs w:val="24"/>
        </w:rPr>
        <w:t>. Metadata laten ge</w:t>
      </w:r>
      <w:r w:rsidR="00642027">
        <w:rPr>
          <w:rFonts w:ascii="Times New Roman" w:hAnsi="Times New Roman" w:cs="Times New Roman"/>
          <w:sz w:val="24"/>
          <w:szCs w:val="24"/>
        </w:rPr>
        <w:t>-</w:t>
      </w:r>
      <w:r w:rsidRPr="00D147A7">
        <w:rPr>
          <w:rFonts w:ascii="Times New Roman" w:hAnsi="Times New Roman" w:cs="Times New Roman"/>
          <w:sz w:val="24"/>
          <w:szCs w:val="24"/>
        </w:rPr>
        <w:t xml:space="preserve">bruikers toe om op eenvoudige en snelle wijze zoekopdrachten uit te voeren en documenten terug te vinden in de database van de </w:t>
      </w:r>
      <w:r w:rsidRPr="00D147A7">
        <w:rPr>
          <w:rFonts w:ascii="Times New Roman" w:hAnsi="Times New Roman" w:cs="Times New Roman"/>
          <w:i/>
          <w:sz w:val="24"/>
          <w:szCs w:val="24"/>
        </w:rPr>
        <w:t>host provider</w:t>
      </w:r>
      <w:r w:rsidRPr="00D147A7">
        <w:rPr>
          <w:rFonts w:ascii="Times New Roman" w:hAnsi="Times New Roman" w:cs="Times New Roman"/>
          <w:sz w:val="24"/>
          <w:szCs w:val="24"/>
        </w:rPr>
        <w:t>. Op basis van de metadata worden nieuwe softwarepakketten ontworpen die met nieuwe functies van toegevoegde waarde verrijkt wor</w:t>
      </w:r>
      <w:r w:rsidR="00642027">
        <w:rPr>
          <w:rFonts w:ascii="Times New Roman" w:hAnsi="Times New Roman" w:cs="Times New Roman"/>
          <w:sz w:val="24"/>
          <w:szCs w:val="24"/>
        </w:rPr>
        <w:t>-</w:t>
      </w:r>
      <w:r w:rsidRPr="00D147A7">
        <w:rPr>
          <w:rFonts w:ascii="Times New Roman" w:hAnsi="Times New Roman" w:cs="Times New Roman"/>
          <w:sz w:val="24"/>
          <w:szCs w:val="24"/>
        </w:rPr>
        <w:t xml:space="preserve">den. De implementatie van het DMP (met metadata) is dus een </w:t>
      </w:r>
      <w:r w:rsidRPr="00D147A7">
        <w:rPr>
          <w:rFonts w:ascii="Times New Roman" w:hAnsi="Times New Roman" w:cs="Times New Roman"/>
          <w:i/>
          <w:sz w:val="24"/>
          <w:szCs w:val="24"/>
        </w:rPr>
        <w:t>trigger</w:t>
      </w:r>
      <w:r w:rsidRPr="00D147A7">
        <w:rPr>
          <w:rFonts w:ascii="Times New Roman" w:hAnsi="Times New Roman" w:cs="Times New Roman"/>
          <w:sz w:val="24"/>
          <w:szCs w:val="24"/>
        </w:rPr>
        <w:t xml:space="preserve"> voor de ontwikkeling van nieuwe softwarepakketten voor zorgverleners, die op hun beurt nieuwe functies creëren waardoor de coördinatie en kwaliteit van de zorgverlening bevorderd wordt en het gebruik van het DMP in de hand gewerkt wordt.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ASIP Santé maakt dus de uitwisseling van gezondheidsgegevens tussen zorgverleners moge</w:t>
      </w:r>
      <w:r w:rsidR="00642027">
        <w:rPr>
          <w:rFonts w:ascii="Times New Roman" w:hAnsi="Times New Roman" w:cs="Times New Roman"/>
          <w:sz w:val="24"/>
          <w:szCs w:val="24"/>
        </w:rPr>
        <w:t>-</w:t>
      </w:r>
      <w:r w:rsidRPr="00D147A7">
        <w:rPr>
          <w:rFonts w:ascii="Times New Roman" w:hAnsi="Times New Roman" w:cs="Times New Roman"/>
          <w:sz w:val="24"/>
          <w:szCs w:val="24"/>
        </w:rPr>
        <w:t>lijk. Maar alvorens zorgverleners een DMP kunnen raadplegen en uitwisselen, moeten ze een therapeutische relatie met de desbetreffende patiënt hebben en mogen enkel gegevens uitge</w:t>
      </w:r>
      <w:r w:rsidR="00642027">
        <w:rPr>
          <w:rFonts w:ascii="Times New Roman" w:hAnsi="Times New Roman" w:cs="Times New Roman"/>
          <w:sz w:val="24"/>
          <w:szCs w:val="24"/>
        </w:rPr>
        <w:t>-</w:t>
      </w:r>
      <w:r w:rsidRPr="00D147A7">
        <w:rPr>
          <w:rFonts w:ascii="Times New Roman" w:hAnsi="Times New Roman" w:cs="Times New Roman"/>
          <w:sz w:val="24"/>
          <w:szCs w:val="24"/>
        </w:rPr>
        <w:t>wisseld worden die noodzakelijk zijn voor het verlenen van goede zorgen aan die patiënt.</w:t>
      </w:r>
      <w:r w:rsidRPr="00D147A7">
        <w:rPr>
          <w:rStyle w:val="Voetnootmarkering"/>
          <w:rFonts w:ascii="Times New Roman" w:hAnsi="Times New Roman" w:cs="Times New Roman"/>
          <w:sz w:val="24"/>
          <w:szCs w:val="24"/>
        </w:rPr>
        <w:footnoteReference w:id="699"/>
      </w:r>
      <w:r w:rsidRPr="00D147A7">
        <w:rPr>
          <w:rFonts w:ascii="Times New Roman" w:hAnsi="Times New Roman" w:cs="Times New Roman"/>
          <w:sz w:val="24"/>
          <w:szCs w:val="24"/>
        </w:rPr>
        <w:t xml:space="preserve"> In dit kader moeten zorgverleners zich eerst met behulp van hun </w:t>
      </w:r>
      <w:r w:rsidRPr="00D147A7">
        <w:rPr>
          <w:rFonts w:ascii="Times New Roman" w:hAnsi="Times New Roman" w:cs="Times New Roman"/>
          <w:i/>
          <w:sz w:val="24"/>
          <w:szCs w:val="24"/>
        </w:rPr>
        <w:t xml:space="preserve">carte professionnel de santé </w:t>
      </w:r>
      <w:r w:rsidRPr="00D147A7">
        <w:rPr>
          <w:rFonts w:ascii="Times New Roman" w:hAnsi="Times New Roman" w:cs="Times New Roman"/>
          <w:sz w:val="24"/>
          <w:szCs w:val="24"/>
        </w:rPr>
        <w:t>(CPS)</w:t>
      </w:r>
      <w:r w:rsidR="00642027" w:rsidRPr="00642027">
        <w:rPr>
          <w:rFonts w:ascii="Times New Roman" w:hAnsi="Times New Roman" w:cs="Times New Roman"/>
          <w:sz w:val="24"/>
          <w:szCs w:val="24"/>
        </w:rPr>
        <w:t xml:space="preserve"> </w:t>
      </w:r>
      <w:r w:rsidR="00642027" w:rsidRPr="00D147A7">
        <w:rPr>
          <w:rFonts w:ascii="Times New Roman" w:hAnsi="Times New Roman" w:cs="Times New Roman"/>
          <w:sz w:val="24"/>
          <w:szCs w:val="24"/>
        </w:rPr>
        <w:t>identificeren en authenticeren</w:t>
      </w:r>
      <w:r w:rsidRPr="00D147A7">
        <w:rPr>
          <w:rFonts w:ascii="Times New Roman" w:hAnsi="Times New Roman" w:cs="Times New Roman"/>
          <w:sz w:val="24"/>
          <w:szCs w:val="24"/>
        </w:rPr>
        <w:t xml:space="preserve">. Als een zorgverlener zijn CPS vergeet, mag dit evenwel </w:t>
      </w:r>
      <w:r w:rsidRPr="00D147A7">
        <w:rPr>
          <w:rFonts w:ascii="Times New Roman" w:hAnsi="Times New Roman" w:cs="Times New Roman"/>
          <w:sz w:val="24"/>
          <w:szCs w:val="24"/>
        </w:rPr>
        <w:lastRenderedPageBreak/>
        <w:t>niet tot een verlies</w:t>
      </w:r>
      <w:r w:rsidR="00642027">
        <w:rPr>
          <w:rFonts w:ascii="Times New Roman" w:hAnsi="Times New Roman" w:cs="Times New Roman"/>
          <w:sz w:val="24"/>
          <w:szCs w:val="24"/>
        </w:rPr>
        <w:t>-</w:t>
      </w:r>
      <w:r w:rsidRPr="00D147A7">
        <w:rPr>
          <w:rFonts w:ascii="Times New Roman" w:hAnsi="Times New Roman" w:cs="Times New Roman"/>
          <w:sz w:val="24"/>
          <w:szCs w:val="24"/>
        </w:rPr>
        <w:t>van</w:t>
      </w:r>
      <w:r w:rsidR="00642027">
        <w:rPr>
          <w:rFonts w:ascii="Times New Roman" w:hAnsi="Times New Roman" w:cs="Times New Roman"/>
          <w:sz w:val="24"/>
          <w:szCs w:val="24"/>
        </w:rPr>
        <w:t>-</w:t>
      </w:r>
      <w:r w:rsidRPr="00D147A7">
        <w:rPr>
          <w:rFonts w:ascii="Times New Roman" w:hAnsi="Times New Roman" w:cs="Times New Roman"/>
          <w:sz w:val="24"/>
          <w:szCs w:val="24"/>
        </w:rPr>
        <w:t>een</w:t>
      </w:r>
      <w:r w:rsidR="00642027">
        <w:rPr>
          <w:rFonts w:ascii="Times New Roman" w:hAnsi="Times New Roman" w:cs="Times New Roman"/>
          <w:sz w:val="24"/>
          <w:szCs w:val="24"/>
        </w:rPr>
        <w:t>-</w:t>
      </w:r>
      <w:r w:rsidRPr="00D147A7">
        <w:rPr>
          <w:rFonts w:ascii="Times New Roman" w:hAnsi="Times New Roman" w:cs="Times New Roman"/>
          <w:sz w:val="24"/>
          <w:szCs w:val="24"/>
        </w:rPr>
        <w:t>kans voor de patiënt leiden.</w:t>
      </w:r>
      <w:r w:rsidRPr="00D147A7">
        <w:rPr>
          <w:rStyle w:val="Voetnootmarkering"/>
          <w:rFonts w:ascii="Times New Roman" w:hAnsi="Times New Roman" w:cs="Times New Roman"/>
          <w:sz w:val="24"/>
          <w:szCs w:val="24"/>
        </w:rPr>
        <w:footnoteReference w:id="700"/>
      </w:r>
      <w:r w:rsidRPr="00D147A7">
        <w:rPr>
          <w:rFonts w:ascii="Times New Roman" w:hAnsi="Times New Roman" w:cs="Times New Roman"/>
          <w:sz w:val="24"/>
          <w:szCs w:val="24"/>
        </w:rPr>
        <w:t xml:space="preserve"> Daarom kunnen zorgverleners ook de DMP’s van hun patiënten</w:t>
      </w:r>
      <w:r w:rsidR="00642027" w:rsidRPr="00642027">
        <w:rPr>
          <w:rFonts w:ascii="Times New Roman" w:hAnsi="Times New Roman" w:cs="Times New Roman"/>
          <w:sz w:val="24"/>
          <w:szCs w:val="24"/>
        </w:rPr>
        <w:t xml:space="preserve"> </w:t>
      </w:r>
      <w:r w:rsidR="00642027">
        <w:rPr>
          <w:rFonts w:ascii="Times New Roman" w:hAnsi="Times New Roman" w:cs="Times New Roman"/>
          <w:sz w:val="24"/>
          <w:szCs w:val="24"/>
        </w:rPr>
        <w:t>raadplegen</w:t>
      </w:r>
      <w:r w:rsidR="00642027" w:rsidRPr="00642027">
        <w:rPr>
          <w:rFonts w:ascii="Times New Roman" w:hAnsi="Times New Roman" w:cs="Times New Roman"/>
          <w:sz w:val="24"/>
          <w:szCs w:val="24"/>
        </w:rPr>
        <w:t xml:space="preserve"> </w:t>
      </w:r>
      <w:r w:rsidR="00642027" w:rsidRPr="00D147A7">
        <w:rPr>
          <w:rFonts w:ascii="Times New Roman" w:hAnsi="Times New Roman" w:cs="Times New Roman"/>
          <w:sz w:val="24"/>
          <w:szCs w:val="24"/>
        </w:rPr>
        <w:t>d.m.v. een authenticatiecertificaat van een verzorg</w:t>
      </w:r>
      <w:r w:rsidR="00642027">
        <w:rPr>
          <w:rFonts w:ascii="Times New Roman" w:hAnsi="Times New Roman" w:cs="Times New Roman"/>
          <w:sz w:val="24"/>
          <w:szCs w:val="24"/>
        </w:rPr>
        <w:t>-</w:t>
      </w:r>
      <w:r w:rsidR="00642027" w:rsidRPr="00D147A7">
        <w:rPr>
          <w:rFonts w:ascii="Times New Roman" w:hAnsi="Times New Roman" w:cs="Times New Roman"/>
          <w:sz w:val="24"/>
          <w:szCs w:val="24"/>
        </w:rPr>
        <w:t>ingsinstelling</w:t>
      </w:r>
      <w:r w:rsidRPr="00D147A7">
        <w:rPr>
          <w:rFonts w:ascii="Times New Roman" w:hAnsi="Times New Roman" w:cs="Times New Roman"/>
          <w:sz w:val="24"/>
          <w:szCs w:val="24"/>
        </w:rPr>
        <w:t xml:space="preserve">. Omdat soms ook niet-zorgverleners DMP’s moeten kunnen raadplegen, zijn er verschillende soorten </w:t>
      </w:r>
      <w:r w:rsidRPr="00D147A7">
        <w:rPr>
          <w:rFonts w:ascii="Times New Roman" w:hAnsi="Times New Roman" w:cs="Times New Roman"/>
          <w:i/>
          <w:sz w:val="24"/>
          <w:szCs w:val="24"/>
        </w:rPr>
        <w:t xml:space="preserve">smart cards </w:t>
      </w:r>
      <w:r w:rsidRPr="00D147A7">
        <w:rPr>
          <w:rFonts w:ascii="Times New Roman" w:hAnsi="Times New Roman" w:cs="Times New Roman"/>
          <w:sz w:val="24"/>
          <w:szCs w:val="24"/>
        </w:rPr>
        <w:t xml:space="preserve">voorzien. De graad van toegang tot het DMP is afhankelijk van de functie die de houder van de kaart bekleedt. </w:t>
      </w:r>
      <w:r w:rsidRPr="00D147A7">
        <w:rPr>
          <w:rFonts w:ascii="Times New Roman" w:hAnsi="Times New Roman" w:cs="Times New Roman"/>
          <w:sz w:val="24"/>
          <w:szCs w:val="24"/>
          <w:lang w:val="fr-BE"/>
        </w:rPr>
        <w:t xml:space="preserve">Zo zijn er naast de CPS ook nog de </w:t>
      </w:r>
      <w:r w:rsidRPr="00D147A7">
        <w:rPr>
          <w:rFonts w:ascii="Times New Roman" w:hAnsi="Times New Roman" w:cs="Times New Roman"/>
          <w:i/>
          <w:sz w:val="24"/>
          <w:szCs w:val="24"/>
          <w:lang w:val="fr-BE"/>
        </w:rPr>
        <w:t>carte de professionnel de santé en formation</w:t>
      </w:r>
      <w:r w:rsidRPr="00D147A7">
        <w:rPr>
          <w:rFonts w:ascii="Times New Roman" w:hAnsi="Times New Roman" w:cs="Times New Roman"/>
          <w:sz w:val="24"/>
          <w:szCs w:val="24"/>
          <w:lang w:val="fr-BE"/>
        </w:rPr>
        <w:t xml:space="preserve"> (CPF), de </w:t>
      </w:r>
      <w:r w:rsidRPr="00D147A7">
        <w:rPr>
          <w:rFonts w:ascii="Times New Roman" w:hAnsi="Times New Roman" w:cs="Times New Roman"/>
          <w:i/>
          <w:sz w:val="24"/>
          <w:szCs w:val="24"/>
          <w:lang w:val="fr-BE"/>
        </w:rPr>
        <w:t xml:space="preserve">carte de directeur d’établissement </w:t>
      </w:r>
      <w:r w:rsidRPr="00D147A7">
        <w:rPr>
          <w:rFonts w:ascii="Times New Roman" w:hAnsi="Times New Roman" w:cs="Times New Roman"/>
          <w:sz w:val="24"/>
          <w:szCs w:val="24"/>
          <w:lang w:val="fr-BE"/>
        </w:rPr>
        <w:t xml:space="preserve">(CDE), de </w:t>
      </w:r>
      <w:r w:rsidRPr="00D147A7">
        <w:rPr>
          <w:rFonts w:ascii="Times New Roman" w:hAnsi="Times New Roman" w:cs="Times New Roman"/>
          <w:i/>
          <w:sz w:val="24"/>
          <w:szCs w:val="24"/>
          <w:lang w:val="fr-BE"/>
        </w:rPr>
        <w:t>carte de personnel d’établissement</w:t>
      </w:r>
      <w:r w:rsidRPr="00D147A7">
        <w:rPr>
          <w:rFonts w:ascii="Times New Roman" w:hAnsi="Times New Roman" w:cs="Times New Roman"/>
          <w:sz w:val="24"/>
          <w:szCs w:val="24"/>
          <w:lang w:val="fr-BE"/>
        </w:rPr>
        <w:t xml:space="preserve"> (CPE) en de</w:t>
      </w:r>
      <w:r w:rsidRPr="00D147A7">
        <w:rPr>
          <w:rFonts w:ascii="Times New Roman" w:hAnsi="Times New Roman" w:cs="Times New Roman"/>
          <w:i/>
          <w:sz w:val="24"/>
          <w:szCs w:val="24"/>
          <w:lang w:val="fr-BE"/>
        </w:rPr>
        <w:t xml:space="preserve"> carte de personnel autorisé</w:t>
      </w:r>
      <w:r w:rsidRPr="00D147A7">
        <w:rPr>
          <w:rFonts w:ascii="Times New Roman" w:hAnsi="Times New Roman" w:cs="Times New Roman"/>
          <w:sz w:val="24"/>
          <w:szCs w:val="24"/>
          <w:lang w:val="fr-BE"/>
        </w:rPr>
        <w:t xml:space="preserve"> (CPA).</w:t>
      </w:r>
      <w:r w:rsidRPr="00D147A7">
        <w:rPr>
          <w:rStyle w:val="Voetnootmarkering"/>
          <w:rFonts w:ascii="Times New Roman" w:hAnsi="Times New Roman" w:cs="Times New Roman"/>
          <w:sz w:val="24"/>
          <w:szCs w:val="24"/>
        </w:rPr>
        <w:footnoteReference w:id="701"/>
      </w:r>
      <w:r w:rsidRPr="00D147A7">
        <w:rPr>
          <w:rFonts w:ascii="Times New Roman" w:hAnsi="Times New Roman" w:cs="Times New Roman"/>
          <w:sz w:val="24"/>
          <w:szCs w:val="24"/>
          <w:lang w:val="fr-BE"/>
        </w:rPr>
        <w:t xml:space="preserve"> </w:t>
      </w:r>
      <w:r w:rsidR="00642027">
        <w:rPr>
          <w:rFonts w:ascii="Times New Roman" w:hAnsi="Times New Roman" w:cs="Times New Roman"/>
          <w:sz w:val="24"/>
          <w:szCs w:val="24"/>
        </w:rPr>
        <w:t>Deze</w:t>
      </w:r>
      <w:r w:rsidRPr="00D147A7">
        <w:rPr>
          <w:rFonts w:ascii="Times New Roman" w:hAnsi="Times New Roman" w:cs="Times New Roman"/>
          <w:sz w:val="24"/>
          <w:szCs w:val="24"/>
        </w:rPr>
        <w:t xml:space="preserve"> chipkaarten verlenen de verschillende actoren in het zorgverleningsproces niet alleen toegang tot DMP’s, maar bevatten ook certificaten </w:t>
      </w:r>
      <w:r w:rsidR="00642027">
        <w:rPr>
          <w:rFonts w:ascii="Times New Roman" w:hAnsi="Times New Roman" w:cs="Times New Roman"/>
          <w:sz w:val="24"/>
          <w:szCs w:val="24"/>
        </w:rPr>
        <w:t>om documenten elektronisch</w:t>
      </w:r>
      <w:r w:rsidRPr="00D147A7">
        <w:rPr>
          <w:rFonts w:ascii="Times New Roman" w:hAnsi="Times New Roman" w:cs="Times New Roman"/>
          <w:sz w:val="24"/>
          <w:szCs w:val="24"/>
        </w:rPr>
        <w:t xml:space="preserve"> te onderte</w:t>
      </w:r>
      <w:r w:rsidR="00642027">
        <w:rPr>
          <w:rFonts w:ascii="Times New Roman" w:hAnsi="Times New Roman" w:cs="Times New Roman"/>
          <w:sz w:val="24"/>
          <w:szCs w:val="24"/>
        </w:rPr>
        <w:t>-</w:t>
      </w:r>
      <w:r w:rsidRPr="00D147A7">
        <w:rPr>
          <w:rFonts w:ascii="Times New Roman" w:hAnsi="Times New Roman" w:cs="Times New Roman"/>
          <w:sz w:val="24"/>
          <w:szCs w:val="24"/>
        </w:rPr>
        <w:t xml:space="preserve">kenen en te vercijferen </w:t>
      </w:r>
      <w:r w:rsidR="00642027">
        <w:rPr>
          <w:rFonts w:ascii="Times New Roman" w:hAnsi="Times New Roman" w:cs="Times New Roman"/>
          <w:sz w:val="24"/>
          <w:szCs w:val="24"/>
        </w:rPr>
        <w:t>zodat de</w:t>
      </w:r>
      <w:r w:rsidRPr="00D147A7">
        <w:rPr>
          <w:rFonts w:ascii="Times New Roman" w:hAnsi="Times New Roman" w:cs="Times New Roman"/>
          <w:sz w:val="24"/>
          <w:szCs w:val="24"/>
        </w:rPr>
        <w:t xml:space="preserve"> authenticiteit en integriteit tijdens de </w:t>
      </w:r>
      <w:r w:rsidR="00642027">
        <w:rPr>
          <w:rFonts w:ascii="Times New Roman" w:hAnsi="Times New Roman" w:cs="Times New Roman"/>
          <w:sz w:val="24"/>
          <w:szCs w:val="24"/>
        </w:rPr>
        <w:t>gegevens</w:t>
      </w:r>
      <w:r w:rsidRPr="00D147A7">
        <w:rPr>
          <w:rFonts w:ascii="Times New Roman" w:hAnsi="Times New Roman" w:cs="Times New Roman"/>
          <w:sz w:val="24"/>
          <w:szCs w:val="24"/>
        </w:rPr>
        <w:t>uitwisseling gegarandeerd wordt.</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Het volstaat niet om over één van deze </w:t>
      </w:r>
      <w:r w:rsidRPr="00D147A7">
        <w:rPr>
          <w:rFonts w:ascii="Times New Roman" w:hAnsi="Times New Roman" w:cs="Times New Roman"/>
          <w:i/>
          <w:sz w:val="24"/>
          <w:szCs w:val="24"/>
        </w:rPr>
        <w:t>smart cards</w:t>
      </w:r>
      <w:r w:rsidRPr="00D147A7">
        <w:rPr>
          <w:rFonts w:ascii="Times New Roman" w:hAnsi="Times New Roman" w:cs="Times New Roman"/>
          <w:sz w:val="24"/>
          <w:szCs w:val="24"/>
        </w:rPr>
        <w:t xml:space="preserve"> te beschikken om een DMP te kunnen raadplegen. Men moet ook expliciet geautoriseerd worden door de desbetreffende patiënt.</w:t>
      </w:r>
      <w:r w:rsidRPr="00D147A7">
        <w:rPr>
          <w:rStyle w:val="Voetnootmarkering"/>
          <w:rFonts w:ascii="Times New Roman" w:hAnsi="Times New Roman" w:cs="Times New Roman"/>
          <w:sz w:val="24"/>
          <w:szCs w:val="24"/>
        </w:rPr>
        <w:footnoteReference w:id="702"/>
      </w:r>
      <w:r w:rsidRPr="00D147A7">
        <w:rPr>
          <w:rFonts w:ascii="Times New Roman" w:hAnsi="Times New Roman" w:cs="Times New Roman"/>
          <w:sz w:val="24"/>
          <w:szCs w:val="24"/>
        </w:rPr>
        <w:t xml:space="preserve"> Doorgaans wordt een zorgverlener voor een periode van één jaar geautoriseerd, wat evenwel een onbeperkt aantal keren hernieuwd kan worden. Dit verklaart waarom ook het INS van de patiënt in kwestie gekend moet zijn om toegang tot diens DMP te kunnen krijgen. Het INS staat immers op de zorgverzekeringskaart (</w:t>
      </w:r>
      <w:r w:rsidRPr="00D147A7">
        <w:rPr>
          <w:rFonts w:ascii="Times New Roman" w:hAnsi="Times New Roman" w:cs="Times New Roman"/>
          <w:i/>
          <w:sz w:val="24"/>
          <w:szCs w:val="24"/>
        </w:rPr>
        <w:t>carte Vitale</w:t>
      </w:r>
      <w:r w:rsidRPr="00D147A7">
        <w:rPr>
          <w:rFonts w:ascii="Times New Roman" w:hAnsi="Times New Roman" w:cs="Times New Roman"/>
          <w:sz w:val="24"/>
          <w:szCs w:val="24"/>
        </w:rPr>
        <w:t>), die door de patiënt zelf beheerd wordt. Ook voor de creatie van een DMP is de uitdrukkelijke toestemming van de patiënt ver</w:t>
      </w:r>
      <w:r w:rsidR="00642027">
        <w:rPr>
          <w:rFonts w:ascii="Times New Roman" w:hAnsi="Times New Roman" w:cs="Times New Roman"/>
          <w:sz w:val="24"/>
          <w:szCs w:val="24"/>
        </w:rPr>
        <w:t>-</w:t>
      </w:r>
      <w:r w:rsidRPr="00D147A7">
        <w:rPr>
          <w:rFonts w:ascii="Times New Roman" w:hAnsi="Times New Roman" w:cs="Times New Roman"/>
          <w:sz w:val="24"/>
          <w:szCs w:val="24"/>
        </w:rPr>
        <w:t>eist (</w:t>
      </w:r>
      <w:r w:rsidRPr="00642027">
        <w:rPr>
          <w:rFonts w:ascii="Times New Roman" w:hAnsi="Times New Roman" w:cs="Times New Roman"/>
          <w:i/>
          <w:sz w:val="24"/>
          <w:szCs w:val="24"/>
        </w:rPr>
        <w:t>opt-in</w:t>
      </w:r>
      <w:r w:rsidRPr="00D147A7">
        <w:rPr>
          <w:rFonts w:ascii="Times New Roman" w:hAnsi="Times New Roman" w:cs="Times New Roman"/>
          <w:sz w:val="24"/>
          <w:szCs w:val="24"/>
        </w:rPr>
        <w:t xml:space="preserve"> systeem).</w:t>
      </w:r>
      <w:r w:rsidRPr="00D147A7">
        <w:rPr>
          <w:rStyle w:val="Voetnootmarkering"/>
          <w:rFonts w:ascii="Times New Roman" w:hAnsi="Times New Roman" w:cs="Times New Roman"/>
          <w:sz w:val="24"/>
          <w:szCs w:val="24"/>
        </w:rPr>
        <w:footnoteReference w:id="703"/>
      </w:r>
      <w:r w:rsidRPr="00D147A7">
        <w:rPr>
          <w:rFonts w:ascii="Times New Roman" w:hAnsi="Times New Roman" w:cs="Times New Roman"/>
          <w:sz w:val="24"/>
          <w:szCs w:val="24"/>
        </w:rPr>
        <w:t xml:space="preserve"> Zodra deze volmacht bekomen is, wordt ervan uitgegaan dat de patiënt zich akkoord verklaard </w:t>
      </w:r>
      <w:r w:rsidR="00642027" w:rsidRPr="00D147A7">
        <w:rPr>
          <w:rFonts w:ascii="Times New Roman" w:hAnsi="Times New Roman" w:cs="Times New Roman"/>
          <w:sz w:val="24"/>
          <w:szCs w:val="24"/>
        </w:rPr>
        <w:t xml:space="preserve">heeft </w:t>
      </w:r>
      <w:r w:rsidRPr="00D147A7">
        <w:rPr>
          <w:rFonts w:ascii="Times New Roman" w:hAnsi="Times New Roman" w:cs="Times New Roman"/>
          <w:sz w:val="24"/>
          <w:szCs w:val="24"/>
        </w:rPr>
        <w:t>met de werking van het DMP-systeem in zijn totaliteit. Niettemin kan de patiënt zijn toestemming en/of autorisatie op ieder ogenblik weer intrekken (</w:t>
      </w:r>
      <w:r w:rsidRPr="00642027">
        <w:rPr>
          <w:rFonts w:ascii="Times New Roman" w:hAnsi="Times New Roman" w:cs="Times New Roman"/>
          <w:i/>
          <w:sz w:val="24"/>
          <w:szCs w:val="24"/>
        </w:rPr>
        <w:t>opt-out</w:t>
      </w:r>
      <w:r w:rsidRPr="00D147A7">
        <w:rPr>
          <w:rFonts w:ascii="Times New Roman" w:hAnsi="Times New Roman" w:cs="Times New Roman"/>
          <w:sz w:val="24"/>
          <w:szCs w:val="24"/>
        </w:rPr>
        <w:t xml:space="preserve"> systeem). De geautoriseerde zorgverlener kan het volledige DMP raadplegen via het internet of via DMP-compatibele softwarepakketten.</w:t>
      </w:r>
      <w:r w:rsidRPr="00D147A7">
        <w:rPr>
          <w:rFonts w:ascii="Times New Roman" w:hAnsi="Times New Roman" w:cs="Times New Roman"/>
          <w:smallCaps/>
          <w:sz w:val="24"/>
          <w:szCs w:val="24"/>
        </w:rPr>
        <w:t xml:space="preserve"> </w:t>
      </w:r>
      <w:r w:rsidRPr="00D147A7">
        <w:rPr>
          <w:rFonts w:ascii="Times New Roman" w:hAnsi="Times New Roman" w:cs="Times New Roman"/>
          <w:sz w:val="24"/>
          <w:szCs w:val="24"/>
        </w:rPr>
        <w:t>DMP’s kunnen uitsluitend via deze soft</w:t>
      </w:r>
      <w:r w:rsidR="0098306A">
        <w:rPr>
          <w:rFonts w:ascii="Times New Roman" w:hAnsi="Times New Roman" w:cs="Times New Roman"/>
          <w:sz w:val="24"/>
          <w:szCs w:val="24"/>
        </w:rPr>
        <w:t>-</w:t>
      </w:r>
      <w:r w:rsidRPr="00D147A7">
        <w:rPr>
          <w:rFonts w:ascii="Times New Roman" w:hAnsi="Times New Roman" w:cs="Times New Roman"/>
          <w:sz w:val="24"/>
          <w:szCs w:val="24"/>
        </w:rPr>
        <w:t>warepakketten gecreëerd, gewijzigd, aangevuld, uitgewisseld en afgesloten worden. Als een DMP afgesloten</w:t>
      </w:r>
      <w:r w:rsidR="0098306A" w:rsidRPr="0098306A">
        <w:rPr>
          <w:rFonts w:ascii="Times New Roman" w:hAnsi="Times New Roman" w:cs="Times New Roman"/>
          <w:sz w:val="24"/>
          <w:szCs w:val="24"/>
        </w:rPr>
        <w:t xml:space="preserve"> </w:t>
      </w:r>
      <w:r w:rsidR="0098306A" w:rsidRPr="00D147A7">
        <w:rPr>
          <w:rFonts w:ascii="Times New Roman" w:hAnsi="Times New Roman" w:cs="Times New Roman"/>
          <w:sz w:val="24"/>
          <w:szCs w:val="24"/>
        </w:rPr>
        <w:t>wordt</w:t>
      </w:r>
      <w:r w:rsidRPr="00D147A7">
        <w:rPr>
          <w:rFonts w:ascii="Times New Roman" w:hAnsi="Times New Roman" w:cs="Times New Roman"/>
          <w:sz w:val="24"/>
          <w:szCs w:val="24"/>
        </w:rPr>
        <w:t xml:space="preserve">, zal de </w:t>
      </w:r>
      <w:r w:rsidRPr="00D147A7">
        <w:rPr>
          <w:rFonts w:ascii="Times New Roman" w:hAnsi="Times New Roman" w:cs="Times New Roman"/>
          <w:i/>
          <w:sz w:val="24"/>
          <w:szCs w:val="24"/>
        </w:rPr>
        <w:t>host provider</w:t>
      </w:r>
      <w:r w:rsidRPr="00D147A7">
        <w:rPr>
          <w:rFonts w:ascii="Times New Roman" w:hAnsi="Times New Roman" w:cs="Times New Roman"/>
          <w:sz w:val="24"/>
          <w:szCs w:val="24"/>
        </w:rPr>
        <w:t xml:space="preserve"> het elektronisch dossier nog tien jaar bijhouden alvorens het onherroepelijk vernietigd wordt. Op uitdrukkelijk verzoek van de patiënt kan het DMP ook meteen vernietigd worden. Dezelfde regels gelden voor onderdelen van het DMP die niet langer relevant lijken voor de zorgverlening aan de patiënt.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noProof/>
          <w:lang w:eastAsia="nl-BE"/>
        </w:rPr>
        <w:lastRenderedPageBreak/>
        <w:drawing>
          <wp:inline distT="0" distB="0" distL="0" distR="0" wp14:anchorId="6192CB5F" wp14:editId="5790ECE1">
            <wp:extent cx="5552381" cy="3409524"/>
            <wp:effectExtent l="0" t="0" r="0" b="63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552381" cy="3409524"/>
                    </a:xfrm>
                    <a:prstGeom prst="rect">
                      <a:avLst/>
                    </a:prstGeom>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Figuur 19: Schematisch overzicht van toegang tot DMP</w:t>
      </w:r>
      <w:r w:rsidRPr="00D147A7">
        <w:rPr>
          <w:rStyle w:val="Voetnootmarkering"/>
          <w:rFonts w:ascii="Times New Roman" w:hAnsi="Times New Roman" w:cs="Times New Roman"/>
          <w:sz w:val="24"/>
          <w:szCs w:val="24"/>
        </w:rPr>
        <w:footnoteReference w:id="704"/>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begin"/>
      </w:r>
      <w:r w:rsidRPr="00D147A7">
        <w:rPr>
          <w:rFonts w:ascii="Times New Roman" w:hAnsi="Times New Roman" w:cs="Times New Roman"/>
          <w:sz w:val="24"/>
          <w:szCs w:val="24"/>
        </w:rPr>
        <w:instrText xml:space="preserve"> LINK Excel.Sheet.12 "G:\\2. Registratie en classificatie\\2. erkende software DMP.xlsx" Blad1!R3K3:R104K9 \a \f 4 \h  \* MERGEFORMAT </w:instrText>
      </w:r>
      <w:r w:rsidRPr="00D147A7">
        <w:rPr>
          <w:rFonts w:ascii="Times New Roman" w:hAnsi="Times New Roman" w:cs="Times New Roman"/>
          <w:sz w:val="24"/>
          <w:szCs w:val="24"/>
        </w:rPr>
        <w:fldChar w:fldCharType="separate"/>
      </w:r>
    </w:p>
    <w:tbl>
      <w:tblPr>
        <w:tblW w:w="9260" w:type="dxa"/>
        <w:tblInd w:w="70" w:type="dxa"/>
        <w:tblCellMar>
          <w:left w:w="70" w:type="dxa"/>
          <w:right w:w="70" w:type="dxa"/>
        </w:tblCellMar>
        <w:tblLook w:val="04A0" w:firstRow="1" w:lastRow="0" w:firstColumn="1" w:lastColumn="0" w:noHBand="0" w:noVBand="1"/>
      </w:tblPr>
      <w:tblGrid>
        <w:gridCol w:w="1702"/>
        <w:gridCol w:w="1770"/>
        <w:gridCol w:w="616"/>
        <w:gridCol w:w="807"/>
        <w:gridCol w:w="2302"/>
        <w:gridCol w:w="1163"/>
        <w:gridCol w:w="900"/>
      </w:tblGrid>
      <w:tr w:rsidR="009931C7" w:rsidRPr="00D147A7" w:rsidTr="004721B1">
        <w:trPr>
          <w:trHeight w:val="315"/>
        </w:trPr>
        <w:tc>
          <w:tcPr>
            <w:tcW w:w="1702" w:type="dxa"/>
            <w:tcBorders>
              <w:top w:val="single" w:sz="4" w:space="0" w:color="000000"/>
              <w:left w:val="single" w:sz="4" w:space="0" w:color="000000"/>
              <w:bottom w:val="nil"/>
              <w:right w:val="single" w:sz="8" w:space="0" w:color="000000"/>
            </w:tcBorders>
            <w:shd w:val="clear" w:color="000000" w:fill="000000"/>
            <w:hideMark/>
          </w:tcPr>
          <w:p w:rsidR="009931C7" w:rsidRPr="00D147A7" w:rsidRDefault="009931C7" w:rsidP="004721B1">
            <w:pPr>
              <w:pStyle w:val="Geenafstand"/>
              <w:jc w:val="center"/>
              <w:rPr>
                <w:rFonts w:ascii="Times New Roman" w:eastAsia="Times New Roman" w:hAnsi="Times New Roman" w:cs="Times New Roman"/>
                <w:b/>
                <w:bCs/>
                <w:smallCaps/>
                <w:color w:val="FFFFFF"/>
                <w:sz w:val="16"/>
                <w:szCs w:val="16"/>
                <w:lang w:eastAsia="nl-BE"/>
              </w:rPr>
            </w:pPr>
            <w:r w:rsidRPr="00D147A7">
              <w:rPr>
                <w:rFonts w:ascii="Times New Roman" w:eastAsia="Times New Roman" w:hAnsi="Times New Roman" w:cs="Times New Roman"/>
                <w:b/>
                <w:bCs/>
                <w:smallCaps/>
                <w:color w:val="FFFFFF"/>
                <w:sz w:val="16"/>
                <w:szCs w:val="16"/>
                <w:lang w:eastAsia="nl-BE"/>
              </w:rPr>
              <w:t>Uitgever/kandidaat</w:t>
            </w:r>
          </w:p>
        </w:tc>
        <w:tc>
          <w:tcPr>
            <w:tcW w:w="3193" w:type="dxa"/>
            <w:gridSpan w:val="3"/>
            <w:tcBorders>
              <w:top w:val="single" w:sz="4" w:space="0" w:color="000000"/>
              <w:left w:val="nil"/>
              <w:bottom w:val="single" w:sz="8" w:space="0" w:color="000000"/>
              <w:right w:val="single" w:sz="4" w:space="0" w:color="000000"/>
            </w:tcBorders>
            <w:shd w:val="clear" w:color="000000" w:fill="000000"/>
            <w:hideMark/>
          </w:tcPr>
          <w:p w:rsidR="009931C7" w:rsidRPr="00D147A7" w:rsidRDefault="009931C7" w:rsidP="004721B1">
            <w:pPr>
              <w:pStyle w:val="Geenafstand"/>
              <w:jc w:val="center"/>
              <w:rPr>
                <w:rFonts w:ascii="Times New Roman" w:eastAsia="Times New Roman" w:hAnsi="Times New Roman" w:cs="Times New Roman"/>
                <w:b/>
                <w:bCs/>
                <w:smallCaps/>
                <w:color w:val="FFFFFF"/>
                <w:sz w:val="16"/>
                <w:szCs w:val="16"/>
                <w:lang w:eastAsia="nl-BE"/>
              </w:rPr>
            </w:pPr>
            <w:r w:rsidRPr="00D147A7">
              <w:rPr>
                <w:rFonts w:ascii="Times New Roman" w:eastAsia="Times New Roman" w:hAnsi="Times New Roman" w:cs="Times New Roman"/>
                <w:b/>
                <w:bCs/>
                <w:smallCaps/>
                <w:color w:val="FFFFFF"/>
                <w:sz w:val="16"/>
                <w:szCs w:val="16"/>
                <w:lang w:eastAsia="nl-BE"/>
              </w:rPr>
              <w:t>Software</w:t>
            </w:r>
          </w:p>
        </w:tc>
        <w:tc>
          <w:tcPr>
            <w:tcW w:w="4365" w:type="dxa"/>
            <w:gridSpan w:val="3"/>
            <w:tcBorders>
              <w:top w:val="single" w:sz="4" w:space="0" w:color="000000"/>
              <w:left w:val="nil"/>
              <w:bottom w:val="single" w:sz="8" w:space="0" w:color="000000"/>
              <w:right w:val="single" w:sz="4" w:space="0" w:color="000000"/>
            </w:tcBorders>
            <w:shd w:val="clear" w:color="000000" w:fill="000000"/>
            <w:hideMark/>
          </w:tcPr>
          <w:p w:rsidR="009931C7" w:rsidRPr="00D147A7" w:rsidRDefault="009931C7" w:rsidP="004721B1">
            <w:pPr>
              <w:pStyle w:val="Geenafstand"/>
              <w:jc w:val="center"/>
              <w:rPr>
                <w:rFonts w:ascii="Times New Roman" w:eastAsia="Times New Roman" w:hAnsi="Times New Roman" w:cs="Times New Roman"/>
                <w:b/>
                <w:bCs/>
                <w:smallCaps/>
                <w:color w:val="FFFFFF"/>
                <w:sz w:val="16"/>
                <w:szCs w:val="16"/>
                <w:lang w:eastAsia="nl-BE"/>
              </w:rPr>
            </w:pPr>
            <w:r w:rsidRPr="00D147A7">
              <w:rPr>
                <w:rFonts w:ascii="Times New Roman" w:eastAsia="Times New Roman" w:hAnsi="Times New Roman" w:cs="Times New Roman"/>
                <w:b/>
                <w:bCs/>
                <w:smallCaps/>
                <w:color w:val="FFFFFF"/>
                <w:sz w:val="16"/>
                <w:szCs w:val="16"/>
                <w:lang w:eastAsia="nl-BE"/>
              </w:rPr>
              <w:t>Officiële erkenning</w:t>
            </w:r>
          </w:p>
        </w:tc>
      </w:tr>
      <w:tr w:rsidR="009931C7" w:rsidRPr="00D147A7" w:rsidTr="004721B1">
        <w:trPr>
          <w:trHeight w:val="315"/>
        </w:trPr>
        <w:tc>
          <w:tcPr>
            <w:tcW w:w="1702" w:type="dxa"/>
            <w:tcBorders>
              <w:top w:val="nil"/>
              <w:left w:val="single" w:sz="4" w:space="0" w:color="000000"/>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p>
        </w:tc>
        <w:tc>
          <w:tcPr>
            <w:tcW w:w="1770" w:type="dxa"/>
            <w:tcBorders>
              <w:top w:val="nil"/>
              <w:left w:val="nil"/>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Naam</w:t>
            </w:r>
          </w:p>
        </w:tc>
        <w:tc>
          <w:tcPr>
            <w:tcW w:w="616" w:type="dxa"/>
            <w:tcBorders>
              <w:top w:val="nil"/>
              <w:left w:val="nil"/>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Versie</w:t>
            </w:r>
          </w:p>
        </w:tc>
        <w:tc>
          <w:tcPr>
            <w:tcW w:w="807" w:type="dxa"/>
            <w:tcBorders>
              <w:top w:val="nil"/>
              <w:left w:val="nil"/>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Categorie</w:t>
            </w:r>
          </w:p>
        </w:tc>
        <w:tc>
          <w:tcPr>
            <w:tcW w:w="2302" w:type="dxa"/>
            <w:tcBorders>
              <w:top w:val="nil"/>
              <w:left w:val="nil"/>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Profiel</w:t>
            </w:r>
          </w:p>
        </w:tc>
        <w:tc>
          <w:tcPr>
            <w:tcW w:w="1163" w:type="dxa"/>
            <w:tcBorders>
              <w:top w:val="nil"/>
              <w:left w:val="nil"/>
              <w:bottom w:val="single" w:sz="8" w:space="0" w:color="000000"/>
              <w:right w:val="single" w:sz="8"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Authentificatie</w:t>
            </w:r>
          </w:p>
        </w:tc>
        <w:tc>
          <w:tcPr>
            <w:tcW w:w="900" w:type="dxa"/>
            <w:tcBorders>
              <w:top w:val="nil"/>
              <w:left w:val="nil"/>
              <w:bottom w:val="single" w:sz="8" w:space="0" w:color="000000"/>
              <w:right w:val="single" w:sz="4" w:space="0" w:color="000000"/>
            </w:tcBorders>
            <w:shd w:val="clear" w:color="000000" w:fill="000000"/>
            <w:vAlign w:val="center"/>
            <w:hideMark/>
          </w:tcPr>
          <w:p w:rsidR="009931C7" w:rsidRPr="00D147A7" w:rsidRDefault="009931C7" w:rsidP="004721B1">
            <w:pPr>
              <w:pStyle w:val="Geenafstand"/>
              <w:jc w:val="center"/>
              <w:rPr>
                <w:rFonts w:ascii="Times New Roman" w:eastAsia="Times New Roman" w:hAnsi="Times New Roman" w:cs="Times New Roman"/>
                <w:b/>
                <w:bCs/>
                <w:color w:val="FFFFFF"/>
                <w:sz w:val="16"/>
                <w:szCs w:val="16"/>
                <w:lang w:eastAsia="nl-BE"/>
              </w:rPr>
            </w:pPr>
            <w:r w:rsidRPr="00D147A7">
              <w:rPr>
                <w:rFonts w:ascii="Times New Roman" w:eastAsia="Times New Roman" w:hAnsi="Times New Roman" w:cs="Times New Roman"/>
                <w:b/>
                <w:bCs/>
                <w:color w:val="FFFFFF"/>
                <w:sz w:val="16"/>
                <w:szCs w:val="16"/>
                <w:lang w:eastAsia="nl-BE"/>
              </w:rPr>
              <w:t>Datum</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Actibase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Actibase Radiologie</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6.2.1</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SIR</w:t>
            </w:r>
            <w:r w:rsidRPr="00D147A7">
              <w:rPr>
                <w:rStyle w:val="Voetnootmarkering"/>
                <w:rFonts w:ascii="Times New Roman" w:hAnsi="Times New Roman" w:cs="Times New Roman"/>
                <w:color w:val="000000"/>
                <w:sz w:val="16"/>
                <w:szCs w:val="16"/>
                <w:lang w:eastAsia="nl-BE"/>
              </w:rPr>
              <w:footnoteReference w:id="705"/>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29/07/2011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Arcan Systems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Arcan Open</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r w:rsidRPr="00D147A7">
              <w:rPr>
                <w:rStyle w:val="Voetnootmarkering"/>
                <w:rFonts w:ascii="Times New Roman" w:hAnsi="Times New Roman" w:cs="Times New Roman"/>
                <w:color w:val="000000"/>
                <w:sz w:val="16"/>
                <w:szCs w:val="16"/>
                <w:lang w:eastAsia="nl-BE"/>
              </w:rPr>
              <w:footnoteReference w:id="706"/>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16/12/2011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16/12/2011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Axilog SAS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Axisanté</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r w:rsidRPr="00D147A7">
              <w:rPr>
                <w:rStyle w:val="Voetnootmarkering"/>
                <w:rFonts w:ascii="Times New Roman" w:hAnsi="Times New Roman" w:cs="Times New Roman"/>
                <w:color w:val="000000"/>
                <w:sz w:val="16"/>
                <w:szCs w:val="16"/>
                <w:lang w:eastAsia="nl-BE"/>
              </w:rPr>
              <w:footnoteReference w:id="707"/>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13/12/2010</w:t>
            </w:r>
          </w:p>
        </w:tc>
      </w:tr>
      <w:tr w:rsidR="009931C7" w:rsidRPr="00D147A7" w:rsidTr="004721B1">
        <w:trPr>
          <w:trHeight w:val="480"/>
        </w:trPr>
        <w:tc>
          <w:tcPr>
            <w:tcW w:w="170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Berger-Levrault</w:t>
            </w:r>
          </w:p>
        </w:tc>
        <w:tc>
          <w:tcPr>
            <w:tcW w:w="1770" w:type="dxa"/>
            <w:vMerge w:val="restart"/>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Berger-Levrault Santé MEDIS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r w:rsidRPr="00D147A7">
              <w:rPr>
                <w:rStyle w:val="Voetnootmarkering"/>
                <w:rFonts w:ascii="Times New Roman" w:hAnsi="Times New Roman" w:cs="Times New Roman"/>
                <w:color w:val="000000"/>
                <w:sz w:val="16"/>
                <w:szCs w:val="16"/>
                <w:lang w:eastAsia="nl-BE"/>
              </w:rPr>
              <w:footnoteReference w:id="708"/>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14/10/2011</w:t>
            </w:r>
          </w:p>
        </w:tc>
      </w:tr>
      <w:tr w:rsidR="009931C7" w:rsidRPr="00D147A7" w:rsidTr="004721B1">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nil"/>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16/05/2012</w:t>
            </w:r>
          </w:p>
        </w:tc>
      </w:tr>
      <w:tr w:rsidR="009931C7" w:rsidRPr="00D147A7" w:rsidTr="004721B1">
        <w:trPr>
          <w:trHeight w:val="480"/>
        </w:trPr>
        <w:tc>
          <w:tcPr>
            <w:tcW w:w="1702"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Berger-Levrault Santé FACDIS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8</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14/10/2011</w:t>
            </w:r>
          </w:p>
        </w:tc>
      </w:tr>
      <w:tr w:rsidR="009931C7" w:rsidRPr="00D147A7" w:rsidTr="004721B1">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nil"/>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16/05/2012</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CBA SAS</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In'Medic</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1.00</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25/11/2011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CEGEDIM Logiciels Médicaux France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GRS Cegedim</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 en 2</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2/12/2011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en-US" w:eastAsia="nl-BE"/>
              </w:rPr>
            </w:pPr>
            <w:r w:rsidRPr="00D147A7">
              <w:rPr>
                <w:rFonts w:ascii="Times New Roman" w:eastAsia="Times New Roman" w:hAnsi="Times New Roman" w:cs="Times New Roman"/>
                <w:color w:val="000000"/>
                <w:sz w:val="16"/>
                <w:szCs w:val="16"/>
                <w:lang w:val="en-US" w:eastAsia="nl-BE"/>
              </w:rPr>
              <w:t>LC 2010 (CrossWay-Ville, Eglantine, Docware, Cardiolite &amp; Medigest)</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19</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11/03/2011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13/12/2010</w:t>
            </w: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Mediclick Studio</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13/05/2011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960"/>
        </w:trPr>
        <w:tc>
          <w:tcPr>
            <w:tcW w:w="1702" w:type="dxa"/>
            <w:tcBorders>
              <w:top w:val="nil"/>
              <w:left w:val="single" w:sz="4" w:space="0" w:color="000000"/>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CEGI Santé</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en-US" w:eastAsia="nl-BE"/>
              </w:rPr>
            </w:pPr>
            <w:r w:rsidRPr="00D147A7">
              <w:rPr>
                <w:rFonts w:ascii="Times New Roman" w:eastAsia="Times New Roman" w:hAnsi="Times New Roman" w:cs="Times New Roman"/>
                <w:color w:val="000000"/>
                <w:sz w:val="16"/>
                <w:szCs w:val="16"/>
                <w:lang w:val="en-US" w:eastAsia="nl-BE"/>
              </w:rPr>
              <w:t>CEGI@DMP-Connector (Loghos First 7, Loghos III 4, Lisabloc 7.2)</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w:t>
            </w:r>
          </w:p>
        </w:tc>
        <w:tc>
          <w:tcPr>
            <w:tcW w:w="807"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GAM</w:t>
            </w:r>
            <w:r w:rsidRPr="00D147A7">
              <w:rPr>
                <w:rStyle w:val="Voetnootmarkering"/>
                <w:rFonts w:ascii="Times New Roman" w:hAnsi="Times New Roman" w:cs="Times New Roman"/>
                <w:color w:val="000000"/>
                <w:sz w:val="16"/>
                <w:szCs w:val="16"/>
                <w:lang w:eastAsia="nl-BE"/>
              </w:rPr>
              <w:footnoteReference w:id="709"/>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18/11/2011</w:t>
            </w:r>
          </w:p>
        </w:tc>
      </w:tr>
      <w:tr w:rsidR="009931C7" w:rsidRPr="00D147A7" w:rsidTr="004721B1">
        <w:trPr>
          <w:trHeight w:val="480"/>
        </w:trPr>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CERIG</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CEDIACTE</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2.6</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16/05/2012</w:t>
            </w:r>
          </w:p>
        </w:tc>
      </w:tr>
      <w:tr w:rsidR="009931C7" w:rsidRPr="00D147A7" w:rsidTr="004721B1">
        <w:trPr>
          <w:trHeight w:val="30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Covalia</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Covalia-API-DMP</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r w:rsidRPr="00D147A7">
              <w:rPr>
                <w:rStyle w:val="Voetnootmarkering"/>
                <w:rFonts w:ascii="Times New Roman" w:hAnsi="Times New Roman" w:cs="Times New Roman"/>
                <w:color w:val="000000"/>
                <w:sz w:val="16"/>
                <w:szCs w:val="16"/>
                <w:lang w:eastAsia="nl-BE"/>
              </w:rPr>
              <w:footnoteReference w:id="710"/>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27/01/2012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nil"/>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Covotem</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22/04/2011</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CS3i</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Emed</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4.20</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20/05/2011</w:t>
            </w:r>
          </w:p>
        </w:tc>
      </w:tr>
      <w:tr w:rsidR="009931C7" w:rsidRPr="00D147A7" w:rsidTr="004721B1">
        <w:trPr>
          <w:trHeight w:val="48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DICSIT Informatique</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en-US" w:eastAsia="nl-BE"/>
              </w:rPr>
            </w:pPr>
            <w:r w:rsidRPr="00D147A7">
              <w:rPr>
                <w:rFonts w:ascii="Times New Roman" w:eastAsia="Times New Roman" w:hAnsi="Times New Roman" w:cs="Times New Roman"/>
                <w:color w:val="000000"/>
                <w:sz w:val="16"/>
                <w:szCs w:val="16"/>
                <w:lang w:val="en-US" w:eastAsia="nl-BE"/>
              </w:rPr>
              <w:t>DIC SIT DMP Suite (AntHADine.net)</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23/12/2011</w:t>
            </w:r>
          </w:p>
        </w:tc>
      </w:tr>
      <w:tr w:rsidR="009931C7" w:rsidRPr="00D147A7" w:rsidTr="004721B1">
        <w:trPr>
          <w:trHeight w:val="30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E.Novation France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Cloverleaf</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5.7 en 5.8</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29/07/2011</w:t>
            </w: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16/12/2011</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EDL</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XPLORE</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SIR</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17/06/2011</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EMA</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Hemadialyse</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6/04/2012</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ENOVACOM</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Connecteur Antares-DMP Version</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27/05/2011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960"/>
        </w:trPr>
        <w:tc>
          <w:tcPr>
            <w:tcW w:w="1702" w:type="dxa"/>
            <w:tcBorders>
              <w:top w:val="nil"/>
              <w:left w:val="single" w:sz="4" w:space="0" w:color="000000"/>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val="en-US" w:eastAsia="nl-BE"/>
              </w:rPr>
            </w:pPr>
            <w:r w:rsidRPr="00D147A7">
              <w:rPr>
                <w:rFonts w:ascii="Times New Roman" w:eastAsia="Times New Roman" w:hAnsi="Times New Roman" w:cs="Times New Roman"/>
                <w:b/>
                <w:bCs/>
                <w:color w:val="000000"/>
                <w:sz w:val="16"/>
                <w:szCs w:val="16"/>
                <w:lang w:val="en-US" w:eastAsia="nl-BE"/>
              </w:rPr>
              <w:t>EvoluCare Technologies (Corwin, MCP, IT, CSIS)</w:t>
            </w:r>
          </w:p>
        </w:tc>
        <w:tc>
          <w:tcPr>
            <w:tcW w:w="177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fr-BE" w:eastAsia="nl-BE"/>
              </w:rPr>
            </w:pPr>
            <w:r w:rsidRPr="00D147A7">
              <w:rPr>
                <w:rFonts w:ascii="Times New Roman" w:eastAsia="Times New Roman" w:hAnsi="Times New Roman" w:cs="Times New Roman"/>
                <w:color w:val="000000"/>
                <w:sz w:val="16"/>
                <w:szCs w:val="16"/>
                <w:lang w:val="fr-BE" w:eastAsia="nl-BE"/>
              </w:rPr>
              <w:t>Middlec@re (Osiris, ECS, Middlec@re, Medsphère)</w:t>
            </w:r>
          </w:p>
        </w:tc>
        <w:tc>
          <w:tcPr>
            <w:tcW w:w="616"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w:t>
            </w:r>
          </w:p>
        </w:tc>
        <w:tc>
          <w:tcPr>
            <w:tcW w:w="807"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 en SIH</w:t>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30/09/2011</w:t>
            </w:r>
          </w:p>
        </w:tc>
      </w:tr>
      <w:tr w:rsidR="009931C7" w:rsidRPr="00D147A7" w:rsidTr="004721B1">
        <w:trPr>
          <w:trHeight w:val="1010"/>
        </w:trPr>
        <w:tc>
          <w:tcPr>
            <w:tcW w:w="1702" w:type="dxa"/>
            <w:tcBorders>
              <w:top w:val="single" w:sz="4" w:space="0" w:color="000000"/>
              <w:left w:val="single" w:sz="4" w:space="0" w:color="000000"/>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val="en-US" w:eastAsia="nl-BE"/>
              </w:rPr>
            </w:pPr>
            <w:r w:rsidRPr="00D147A7">
              <w:rPr>
                <w:rFonts w:ascii="Times New Roman" w:eastAsia="Times New Roman" w:hAnsi="Times New Roman" w:cs="Times New Roman"/>
                <w:b/>
                <w:bCs/>
                <w:color w:val="000000"/>
                <w:sz w:val="16"/>
                <w:szCs w:val="16"/>
                <w:lang w:val="en-US" w:eastAsia="nl-BE"/>
              </w:rPr>
              <w:t>EvoluCare Technologies (Corwin, MCP, IT, DotNext)</w:t>
            </w:r>
          </w:p>
        </w:tc>
        <w:tc>
          <w:tcPr>
            <w:tcW w:w="177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en-US" w:eastAsia="nl-BE"/>
              </w:rPr>
            </w:pPr>
            <w:r w:rsidRPr="00D147A7">
              <w:rPr>
                <w:rFonts w:ascii="Times New Roman" w:eastAsia="Times New Roman" w:hAnsi="Times New Roman" w:cs="Times New Roman"/>
                <w:color w:val="000000"/>
                <w:sz w:val="16"/>
                <w:szCs w:val="16"/>
                <w:lang w:val="en-US" w:eastAsia="nl-BE"/>
              </w:rPr>
              <w:t>Middlec@re (Osiris, ECS, Middlec@re, QBloc, ReAssist, Opesim)</w:t>
            </w:r>
          </w:p>
        </w:tc>
        <w:tc>
          <w:tcPr>
            <w:tcW w:w="616"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w:t>
            </w:r>
          </w:p>
        </w:tc>
        <w:tc>
          <w:tcPr>
            <w:tcW w:w="807"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 en SIH</w:t>
            </w: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26/08/2011</w:t>
            </w:r>
          </w:p>
        </w:tc>
      </w:tr>
      <w:tr w:rsidR="009931C7" w:rsidRPr="00D147A7" w:rsidTr="004721B1">
        <w:trPr>
          <w:trHeight w:val="300"/>
        </w:trPr>
        <w:tc>
          <w:tcPr>
            <w:tcW w:w="170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FAP Informatique</w:t>
            </w:r>
          </w:p>
        </w:tc>
        <w:tc>
          <w:tcPr>
            <w:tcW w:w="1770"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Cabrad</w:t>
            </w:r>
          </w:p>
        </w:tc>
        <w:tc>
          <w:tcPr>
            <w:tcW w:w="616"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9.0</w:t>
            </w:r>
          </w:p>
        </w:tc>
        <w:tc>
          <w:tcPr>
            <w:tcW w:w="807"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SIR</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13/01/2012</w:t>
            </w:r>
          </w:p>
        </w:tc>
      </w:tr>
      <w:tr w:rsidR="009931C7" w:rsidRPr="00D147A7" w:rsidTr="004721B1">
        <w:trPr>
          <w:trHeight w:val="48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GIP MIPIH</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Pastel</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10.1 en 11</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GAM</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26/01/2011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GIP SYM@RIS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Cariatides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6.8</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4/11/2011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18/11/2011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25/11/2011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Groupement Coopératif Sanitaire SISRA</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Passerelle SISRA</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3.5</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lastRenderedPageBreak/>
              <w:t>HôpitalWeb France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Polydis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27/01/2012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23/12/2011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Hôpitaux Universaires de Strasbourg</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SAGAH-Vitale (Gestion patients 3.2)</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31/03/2011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4/11/2011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Icanopée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Efficience Windows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27/04/2012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Efficience Linux</w:t>
            </w: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Efficience MacOS</w:t>
            </w: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Imagine Editions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HelloDoc</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5.60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11/03/2011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13/12/2010</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INOVELAN</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SantNetDMP</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 en EAI</w:t>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29/07/2011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27/01/2012</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International Cross Talk</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fr-BE" w:eastAsia="nl-BE"/>
              </w:rPr>
            </w:pPr>
            <w:r w:rsidRPr="00D147A7">
              <w:rPr>
                <w:rFonts w:ascii="Times New Roman" w:eastAsia="Times New Roman" w:hAnsi="Times New Roman" w:cs="Times New Roman"/>
                <w:color w:val="000000"/>
                <w:sz w:val="16"/>
                <w:szCs w:val="16"/>
                <w:lang w:val="fr-BE" w:eastAsia="nl-BE"/>
              </w:rPr>
              <w:t>Chorus (Chorus/LGC, Chrysalide/SIH, Chorus Avantage)</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3.x.x.x</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20/05/2011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28/06/2011</w:t>
            </w:r>
          </w:p>
        </w:tc>
      </w:tr>
      <w:tr w:rsidR="009931C7" w:rsidRPr="00D147A7" w:rsidTr="004721B1">
        <w:trPr>
          <w:trHeight w:val="48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InterSystems BV France</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InterSystems Ensemble</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2010.2</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18/11/2011</w:t>
            </w:r>
          </w:p>
        </w:tc>
      </w:tr>
      <w:tr w:rsidR="009931C7" w:rsidRPr="00D147A7" w:rsidTr="004721B1">
        <w:trPr>
          <w:trHeight w:val="144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McKesson IS France</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fr-BE" w:eastAsia="nl-BE"/>
              </w:rPr>
            </w:pPr>
            <w:r w:rsidRPr="00D147A7">
              <w:rPr>
                <w:rFonts w:ascii="Times New Roman" w:eastAsia="Times New Roman" w:hAnsi="Times New Roman" w:cs="Times New Roman"/>
                <w:color w:val="000000"/>
                <w:sz w:val="16"/>
                <w:szCs w:val="16"/>
                <w:lang w:val="fr-BE" w:eastAsia="nl-BE"/>
              </w:rPr>
              <w:t>DPI McKesson-Composant Entrepôt DMP-compatible (CrossWay Hôpital 3 &amp; 7, Urqual 7, Cora DPI 2)</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7</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13/05/2011</w:t>
            </w:r>
          </w:p>
        </w:tc>
      </w:tr>
      <w:tr w:rsidR="009931C7" w:rsidRPr="00D147A7" w:rsidTr="004721B1">
        <w:trPr>
          <w:trHeight w:val="72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MédaSys</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en-US" w:eastAsia="nl-BE"/>
              </w:rPr>
            </w:pPr>
            <w:r w:rsidRPr="00D147A7">
              <w:rPr>
                <w:rFonts w:ascii="Times New Roman" w:eastAsia="Times New Roman" w:hAnsi="Times New Roman" w:cs="Times New Roman"/>
                <w:color w:val="000000"/>
                <w:sz w:val="16"/>
                <w:szCs w:val="16"/>
                <w:lang w:val="en-US" w:eastAsia="nl-BE"/>
              </w:rPr>
              <w:t>Dx (Dx Care 7, Dx Image RIS 2, Dx Lab  4000)</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23/12/2011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MédiBase Systèmes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 xml:space="preserve">OSoft DMP </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 en LGC</w:t>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4/11/2011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23/03/2012</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MédiWare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Suite Médical Objects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27/04/2012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Ouvrez La Boîte</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Shaman</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2.5</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13/01/2012</w:t>
            </w:r>
          </w:p>
        </w:tc>
      </w:tr>
      <w:tr w:rsidR="009931C7" w:rsidRPr="00D147A7" w:rsidTr="004721B1">
        <w:trPr>
          <w:trHeight w:val="48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PACT Le Cabinet Richard</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Illico</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1.0</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30/09/2011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lastRenderedPageBreak/>
              <w:t>QSP Systems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 Dome Santé</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27/04/2012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RM Ingénièrie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MEDI+4000</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7.60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13/05/2011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SantéOs SA</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Santeos Office - MediSuite</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5</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11/03/2011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single" w:sz="4" w:space="0" w:color="000000"/>
              <w:left w:val="nil"/>
              <w:bottom w:val="nil"/>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26/01/2011</w:t>
            </w:r>
          </w:p>
        </w:tc>
      </w:tr>
      <w:tr w:rsidR="009931C7" w:rsidRPr="00D147A7" w:rsidTr="004721B1">
        <w:trPr>
          <w:trHeight w:val="48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SECODIF</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DOPATI</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2012.1</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23/03/2012</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SIGEMS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SIHSIGEMS</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6.2</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31/03/2011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29/07/2011</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SoftWay Médical</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Hôpital Manager</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1.5.2</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14/10/2011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SQLI</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Suite IdeoSanté - IdeoConnect</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20/05/2011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18/02/2011</w:t>
            </w:r>
          </w:p>
        </w:tc>
      </w:tr>
      <w:tr w:rsidR="009931C7" w:rsidRPr="00D147A7" w:rsidTr="004721B1">
        <w:trPr>
          <w:trHeight w:val="48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val="fr-BE" w:eastAsia="nl-BE"/>
              </w:rPr>
            </w:pPr>
            <w:r w:rsidRPr="00D147A7">
              <w:rPr>
                <w:rFonts w:ascii="Times New Roman" w:eastAsia="Times New Roman" w:hAnsi="Times New Roman" w:cs="Times New Roman"/>
                <w:color w:val="000000"/>
                <w:sz w:val="16"/>
                <w:szCs w:val="16"/>
                <w:lang w:val="fr-BE" w:eastAsia="nl-BE"/>
              </w:rPr>
              <w:t>IDEOSanté (Idéo DCR 4, Idéo Med 2, Idéo RCP 4)</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16/05/2012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77"/>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Syndicat Interhospitalier de Bretagne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Alfa Lima</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28/06/2011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Sillage v4.5</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4.5</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4/11/2011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TéléVitale</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TéléVitale</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LGC</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 en CPE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6/04/2012</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Raadpleging</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Direct, door CPS</w:t>
            </w: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24/02/2012</w:t>
            </w:r>
          </w:p>
        </w:tc>
      </w:tr>
      <w:tr w:rsidR="009931C7" w:rsidRPr="00D147A7" w:rsidTr="004721B1">
        <w:trPr>
          <w:trHeight w:val="3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Voluntis SA</w:t>
            </w:r>
          </w:p>
        </w:tc>
        <w:tc>
          <w:tcPr>
            <w:tcW w:w="177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Medpassport</w:t>
            </w:r>
          </w:p>
        </w:tc>
        <w:tc>
          <w:tcPr>
            <w:tcW w:w="616"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4.3</w:t>
            </w:r>
          </w:p>
        </w:tc>
        <w:tc>
          <w:tcPr>
            <w:tcW w:w="807"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FAH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31/03/2011</w:t>
            </w: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Web100T</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DOPatient</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SIH</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2/12/2011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r w:rsidR="009931C7" w:rsidRPr="00D147A7" w:rsidTr="004721B1">
        <w:trPr>
          <w:trHeight w:val="480"/>
        </w:trPr>
        <w:tc>
          <w:tcPr>
            <w:tcW w:w="1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Wraptor Laboratories</w:t>
            </w:r>
          </w:p>
        </w:tc>
        <w:tc>
          <w:tcPr>
            <w:tcW w:w="177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Jeebop Santé</w:t>
            </w:r>
          </w:p>
        </w:tc>
        <w:tc>
          <w:tcPr>
            <w:tcW w:w="61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4</w:t>
            </w:r>
          </w:p>
        </w:tc>
        <w:tc>
          <w:tcPr>
            <w:tcW w:w="8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EAI</w:t>
            </w: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Creatie en administratief beheer</w:t>
            </w:r>
          </w:p>
        </w:tc>
        <w:tc>
          <w:tcPr>
            <w:tcW w:w="116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Indirect</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r w:rsidRPr="00D147A7">
              <w:rPr>
                <w:rFonts w:ascii="Times New Roman" w:eastAsia="Times New Roman" w:hAnsi="Times New Roman" w:cs="Times New Roman"/>
                <w:color w:val="000000"/>
                <w:sz w:val="16"/>
                <w:szCs w:val="16"/>
                <w:lang w:eastAsia="nl-BE"/>
              </w:rPr>
              <w:t>2/12/2011</w:t>
            </w:r>
          </w:p>
        </w:tc>
      </w:tr>
      <w:tr w:rsidR="009931C7" w:rsidRPr="00D147A7" w:rsidTr="004721B1">
        <w:trPr>
          <w:trHeight w:val="300"/>
        </w:trPr>
        <w:tc>
          <w:tcPr>
            <w:tcW w:w="1702"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p>
        </w:tc>
        <w:tc>
          <w:tcPr>
            <w:tcW w:w="177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616"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807"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2302" w:type="dxa"/>
            <w:tcBorders>
              <w:top w:val="nil"/>
              <w:left w:val="nil"/>
              <w:bottom w:val="single" w:sz="4" w:space="0" w:color="000000"/>
              <w:right w:val="single" w:sz="4" w:space="0" w:color="000000"/>
            </w:tcBorders>
            <w:shd w:val="clear" w:color="000000" w:fill="FFFFFF"/>
            <w:vAlign w:val="center"/>
            <w:hideMark/>
          </w:tcPr>
          <w:p w:rsidR="009931C7" w:rsidRPr="00D147A7" w:rsidRDefault="009931C7" w:rsidP="004721B1">
            <w:pPr>
              <w:pStyle w:val="Geenafstand"/>
              <w:jc w:val="both"/>
              <w:rPr>
                <w:rFonts w:ascii="Times New Roman" w:eastAsia="Times New Roman" w:hAnsi="Times New Roman" w:cs="Times New Roman"/>
                <w:b/>
                <w:bCs/>
                <w:color w:val="000000"/>
                <w:sz w:val="16"/>
                <w:szCs w:val="16"/>
                <w:lang w:eastAsia="nl-BE"/>
              </w:rPr>
            </w:pPr>
            <w:r w:rsidRPr="00D147A7">
              <w:rPr>
                <w:rFonts w:ascii="Times New Roman" w:eastAsia="Times New Roman" w:hAnsi="Times New Roman" w:cs="Times New Roman"/>
                <w:b/>
                <w:bCs/>
                <w:color w:val="000000"/>
                <w:sz w:val="16"/>
                <w:szCs w:val="16"/>
                <w:lang w:eastAsia="nl-BE"/>
              </w:rPr>
              <w:t>Onderhoud</w:t>
            </w:r>
          </w:p>
        </w:tc>
        <w:tc>
          <w:tcPr>
            <w:tcW w:w="1163"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c>
          <w:tcPr>
            <w:tcW w:w="900" w:type="dxa"/>
            <w:vMerge/>
            <w:tcBorders>
              <w:top w:val="nil"/>
              <w:left w:val="single" w:sz="4" w:space="0" w:color="000000"/>
              <w:bottom w:val="single" w:sz="4" w:space="0" w:color="000000"/>
              <w:right w:val="single" w:sz="4" w:space="0" w:color="000000"/>
            </w:tcBorders>
            <w:vAlign w:val="center"/>
            <w:hideMark/>
          </w:tcPr>
          <w:p w:rsidR="009931C7" w:rsidRPr="00D147A7" w:rsidRDefault="009931C7" w:rsidP="004721B1">
            <w:pPr>
              <w:pStyle w:val="Geenafstand"/>
              <w:jc w:val="both"/>
              <w:rPr>
                <w:rFonts w:ascii="Times New Roman" w:eastAsia="Times New Roman" w:hAnsi="Times New Roman" w:cs="Times New Roman"/>
                <w:color w:val="000000"/>
                <w:sz w:val="16"/>
                <w:szCs w:val="16"/>
                <w:lang w:eastAsia="nl-BE"/>
              </w:rPr>
            </w:pPr>
          </w:p>
        </w:tc>
      </w:tr>
    </w:tbl>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fldChar w:fldCharType="end"/>
      </w:r>
      <w:r w:rsidRPr="00D147A7">
        <w:rPr>
          <w:rFonts w:ascii="Times New Roman" w:hAnsi="Times New Roman" w:cs="Times New Roman"/>
          <w:sz w:val="24"/>
          <w:szCs w:val="24"/>
        </w:rPr>
        <w:t xml:space="preserve">Tabel 12: Lijst van compatibele software met het </w:t>
      </w:r>
      <w:r w:rsidRPr="00D147A7">
        <w:rPr>
          <w:rFonts w:ascii="Times New Roman" w:hAnsi="Times New Roman" w:cs="Times New Roman"/>
          <w:i/>
          <w:sz w:val="24"/>
          <w:szCs w:val="24"/>
        </w:rPr>
        <w:t>dossier médical personnel</w:t>
      </w:r>
      <w:r w:rsidRPr="00D147A7">
        <w:rPr>
          <w:rFonts w:ascii="Times New Roman" w:hAnsi="Times New Roman" w:cs="Times New Roman"/>
          <w:sz w:val="24"/>
          <w:szCs w:val="24"/>
        </w:rPr>
        <w:t xml:space="preserve"> op 22 mei 2012</w:t>
      </w:r>
      <w:r w:rsidRPr="00D147A7">
        <w:rPr>
          <w:rStyle w:val="Voetnootmarkering"/>
          <w:rFonts w:ascii="Times New Roman" w:hAnsi="Times New Roman" w:cs="Times New Roman"/>
          <w:sz w:val="24"/>
          <w:szCs w:val="24"/>
        </w:rPr>
        <w:footnoteReference w:id="711"/>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Iedere (geautoriseerde) zorgverlener moet elke therapeutische en diagnostische handeling in het DMP rapporteren die noodzakelijk is voor de coördinatie en kwaliteit van de zorgver</w:t>
      </w:r>
      <w:r w:rsidR="0098306A">
        <w:rPr>
          <w:rFonts w:ascii="Times New Roman" w:hAnsi="Times New Roman" w:cs="Times New Roman"/>
          <w:sz w:val="24"/>
          <w:szCs w:val="24"/>
        </w:rPr>
        <w:t>-</w:t>
      </w:r>
      <w:r w:rsidRPr="00D147A7">
        <w:rPr>
          <w:rFonts w:ascii="Times New Roman" w:hAnsi="Times New Roman" w:cs="Times New Roman"/>
          <w:sz w:val="24"/>
          <w:szCs w:val="24"/>
        </w:rPr>
        <w:t>lening, op voorwaarde dat de patiënt zijn toestemming verleend</w:t>
      </w:r>
      <w:r w:rsidR="0098306A" w:rsidRPr="0098306A">
        <w:rPr>
          <w:rFonts w:ascii="Times New Roman" w:hAnsi="Times New Roman" w:cs="Times New Roman"/>
          <w:sz w:val="24"/>
          <w:szCs w:val="24"/>
        </w:rPr>
        <w:t xml:space="preserve"> </w:t>
      </w:r>
      <w:r w:rsidR="0098306A" w:rsidRPr="00D147A7">
        <w:rPr>
          <w:rFonts w:ascii="Times New Roman" w:hAnsi="Times New Roman" w:cs="Times New Roman"/>
          <w:sz w:val="24"/>
          <w:szCs w:val="24"/>
        </w:rPr>
        <w:t>heeft</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712"/>
      </w:r>
      <w:r w:rsidRPr="00D147A7">
        <w:rPr>
          <w:rFonts w:ascii="Times New Roman" w:hAnsi="Times New Roman" w:cs="Times New Roman"/>
          <w:sz w:val="24"/>
          <w:szCs w:val="24"/>
        </w:rPr>
        <w:t xml:space="preserve"> In het DMP moet </w:t>
      </w:r>
      <w:r w:rsidR="0098306A">
        <w:rPr>
          <w:rFonts w:ascii="Times New Roman" w:hAnsi="Times New Roman" w:cs="Times New Roman"/>
          <w:sz w:val="24"/>
          <w:szCs w:val="24"/>
        </w:rPr>
        <w:t xml:space="preserve">m.a.w. </w:t>
      </w:r>
      <w:r w:rsidRPr="00D147A7">
        <w:rPr>
          <w:rFonts w:ascii="Times New Roman" w:hAnsi="Times New Roman" w:cs="Times New Roman"/>
          <w:sz w:val="24"/>
          <w:szCs w:val="24"/>
        </w:rPr>
        <w:t xml:space="preserve">alle informatie opgenomen worden </w:t>
      </w:r>
      <w:r w:rsidR="0098306A">
        <w:rPr>
          <w:rFonts w:ascii="Times New Roman" w:hAnsi="Times New Roman" w:cs="Times New Roman"/>
          <w:sz w:val="24"/>
          <w:szCs w:val="24"/>
        </w:rPr>
        <w:t>die</w:t>
      </w:r>
      <w:r w:rsidRPr="00D147A7">
        <w:rPr>
          <w:rFonts w:ascii="Times New Roman" w:hAnsi="Times New Roman" w:cs="Times New Roman"/>
          <w:sz w:val="24"/>
          <w:szCs w:val="24"/>
        </w:rPr>
        <w:t xml:space="preserve"> de continuïteit van de zorgverlening waarborg</w:t>
      </w:r>
      <w:r w:rsidR="0098306A">
        <w:rPr>
          <w:rFonts w:ascii="Times New Roman" w:hAnsi="Times New Roman" w:cs="Times New Roman"/>
          <w:sz w:val="24"/>
          <w:szCs w:val="24"/>
        </w:rPr>
        <w:t>t</w:t>
      </w:r>
      <w:r w:rsidRPr="00D147A7">
        <w:rPr>
          <w:rFonts w:ascii="Times New Roman" w:hAnsi="Times New Roman" w:cs="Times New Roman"/>
          <w:sz w:val="24"/>
          <w:szCs w:val="24"/>
        </w:rPr>
        <w:t xml:space="preserve">. </w:t>
      </w:r>
      <w:r w:rsidR="0098306A" w:rsidRPr="0098306A">
        <w:rPr>
          <w:rFonts w:ascii="Times New Roman" w:hAnsi="Times New Roman" w:cs="Times New Roman"/>
          <w:i/>
          <w:sz w:val="24"/>
          <w:szCs w:val="24"/>
        </w:rPr>
        <w:t>In concreto</w:t>
      </w:r>
      <w:r w:rsidR="0098306A">
        <w:rPr>
          <w:rFonts w:ascii="Times New Roman" w:hAnsi="Times New Roman" w:cs="Times New Roman"/>
          <w:sz w:val="24"/>
          <w:szCs w:val="24"/>
        </w:rPr>
        <w:t xml:space="preserve"> bevat e</w:t>
      </w:r>
      <w:r w:rsidRPr="00D147A7">
        <w:rPr>
          <w:rFonts w:ascii="Times New Roman" w:hAnsi="Times New Roman" w:cs="Times New Roman"/>
          <w:sz w:val="24"/>
          <w:szCs w:val="24"/>
        </w:rPr>
        <w:t>en DMP: verslagen van consultaties (37%); onderzoeksverslagen en dia</w:t>
      </w:r>
      <w:r w:rsidR="0098306A">
        <w:rPr>
          <w:rFonts w:ascii="Times New Roman" w:hAnsi="Times New Roman" w:cs="Times New Roman"/>
          <w:sz w:val="24"/>
          <w:szCs w:val="24"/>
        </w:rPr>
        <w:t>-</w:t>
      </w:r>
      <w:r w:rsidRPr="00D147A7">
        <w:rPr>
          <w:rFonts w:ascii="Times New Roman" w:hAnsi="Times New Roman" w:cs="Times New Roman"/>
          <w:sz w:val="24"/>
          <w:szCs w:val="24"/>
        </w:rPr>
        <w:t>gnostische of therapeutische akten (16%); verslagen van ziekenhuisverblijven of ontslag</w:t>
      </w:r>
      <w:r w:rsidR="0098306A">
        <w:rPr>
          <w:rFonts w:ascii="Times New Roman" w:hAnsi="Times New Roman" w:cs="Times New Roman"/>
          <w:sz w:val="24"/>
          <w:szCs w:val="24"/>
        </w:rPr>
        <w:t>-</w:t>
      </w:r>
      <w:r w:rsidRPr="00D147A7">
        <w:rPr>
          <w:rFonts w:ascii="Times New Roman" w:hAnsi="Times New Roman" w:cs="Times New Roman"/>
          <w:sz w:val="24"/>
          <w:szCs w:val="24"/>
        </w:rPr>
        <w:t>brieven (14%); voorschriften; lijsten van overhandigde geneesmiddelen (</w:t>
      </w:r>
      <w:r w:rsidR="0098306A">
        <w:rPr>
          <w:rFonts w:ascii="Times New Roman" w:hAnsi="Times New Roman" w:cs="Times New Roman"/>
          <w:sz w:val="24"/>
          <w:szCs w:val="24"/>
        </w:rPr>
        <w:t>die</w:t>
      </w:r>
      <w:r w:rsidRPr="00D147A7">
        <w:rPr>
          <w:rFonts w:ascii="Times New Roman" w:hAnsi="Times New Roman" w:cs="Times New Roman"/>
          <w:sz w:val="24"/>
          <w:szCs w:val="24"/>
        </w:rPr>
        <w:t xml:space="preserve"> uit het farmaceu</w:t>
      </w:r>
      <w:r w:rsidR="00C2188C">
        <w:rPr>
          <w:rFonts w:ascii="Times New Roman" w:hAnsi="Times New Roman" w:cs="Times New Roman"/>
          <w:sz w:val="24"/>
          <w:szCs w:val="24"/>
        </w:rPr>
        <w:t>-</w:t>
      </w:r>
      <w:r w:rsidRPr="00D147A7">
        <w:rPr>
          <w:rFonts w:ascii="Times New Roman" w:hAnsi="Times New Roman" w:cs="Times New Roman"/>
          <w:sz w:val="24"/>
          <w:szCs w:val="24"/>
        </w:rPr>
        <w:lastRenderedPageBreak/>
        <w:t>tisch dossier overgenomen</w:t>
      </w:r>
      <w:r w:rsidR="0098306A" w:rsidRPr="0098306A">
        <w:rPr>
          <w:rFonts w:ascii="Times New Roman" w:hAnsi="Times New Roman" w:cs="Times New Roman"/>
          <w:sz w:val="24"/>
          <w:szCs w:val="24"/>
        </w:rPr>
        <w:t xml:space="preserve"> </w:t>
      </w:r>
      <w:r w:rsidR="0098306A">
        <w:rPr>
          <w:rFonts w:ascii="Times New Roman" w:hAnsi="Times New Roman" w:cs="Times New Roman"/>
          <w:sz w:val="24"/>
          <w:szCs w:val="24"/>
        </w:rPr>
        <w:t>worden</w:t>
      </w:r>
      <w:r w:rsidRPr="00D147A7">
        <w:rPr>
          <w:rFonts w:ascii="Times New Roman" w:hAnsi="Times New Roman" w:cs="Times New Roman"/>
          <w:sz w:val="24"/>
          <w:szCs w:val="24"/>
        </w:rPr>
        <w:t>); verslagen van radiologische onderzoeken, echogra</w:t>
      </w:r>
      <w:r w:rsidR="0098306A">
        <w:rPr>
          <w:rFonts w:ascii="Times New Roman" w:hAnsi="Times New Roman" w:cs="Times New Roman"/>
          <w:sz w:val="24"/>
          <w:szCs w:val="24"/>
        </w:rPr>
        <w:t>-</w:t>
      </w:r>
      <w:r w:rsidRPr="00D147A7">
        <w:rPr>
          <w:rFonts w:ascii="Times New Roman" w:hAnsi="Times New Roman" w:cs="Times New Roman"/>
          <w:sz w:val="24"/>
          <w:szCs w:val="24"/>
        </w:rPr>
        <w:t>fieën,…; verslagen van medische analyses; medische geschiedenis; vaccinaties; allergieën; gegevens over zorgverzekering; etc.</w:t>
      </w:r>
      <w:r w:rsidRPr="00D147A7">
        <w:rPr>
          <w:rStyle w:val="Voetnootmarkering"/>
          <w:rFonts w:ascii="Times New Roman" w:hAnsi="Times New Roman" w:cs="Times New Roman"/>
          <w:sz w:val="24"/>
          <w:szCs w:val="24"/>
        </w:rPr>
        <w:footnoteReference w:id="713"/>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Nadat patiënten zich met hun persoonlijke </w:t>
      </w:r>
      <w:r w:rsidRPr="00D147A7">
        <w:rPr>
          <w:rFonts w:ascii="Times New Roman" w:hAnsi="Times New Roman" w:cs="Times New Roman"/>
          <w:i/>
          <w:sz w:val="24"/>
          <w:szCs w:val="24"/>
        </w:rPr>
        <w:t>carte Vitale</w:t>
      </w:r>
      <w:r w:rsidRPr="00D147A7">
        <w:rPr>
          <w:rFonts w:ascii="Times New Roman" w:hAnsi="Times New Roman" w:cs="Times New Roman"/>
          <w:sz w:val="24"/>
          <w:szCs w:val="24"/>
        </w:rPr>
        <w:t xml:space="preserve"> op het consumentenportaal geïdentifi</w:t>
      </w:r>
      <w:r w:rsidR="00C2188C">
        <w:rPr>
          <w:rFonts w:ascii="Times New Roman" w:hAnsi="Times New Roman" w:cs="Times New Roman"/>
          <w:sz w:val="24"/>
          <w:szCs w:val="24"/>
        </w:rPr>
        <w:t>-</w:t>
      </w:r>
      <w:r w:rsidRPr="00D147A7">
        <w:rPr>
          <w:rFonts w:ascii="Times New Roman" w:hAnsi="Times New Roman" w:cs="Times New Roman"/>
          <w:sz w:val="24"/>
          <w:szCs w:val="24"/>
        </w:rPr>
        <w:t>ceerd hebben, kunnen ook zij hun DMP raadplegen.</w:t>
      </w:r>
      <w:r w:rsidRPr="00D147A7">
        <w:rPr>
          <w:rStyle w:val="Voetnootmarkering"/>
          <w:rFonts w:ascii="Times New Roman" w:hAnsi="Times New Roman" w:cs="Times New Roman"/>
          <w:sz w:val="24"/>
          <w:szCs w:val="24"/>
        </w:rPr>
        <w:footnoteReference w:id="714"/>
      </w:r>
      <w:r w:rsidRPr="00D147A7">
        <w:rPr>
          <w:rFonts w:ascii="Times New Roman" w:hAnsi="Times New Roman" w:cs="Times New Roman"/>
          <w:sz w:val="24"/>
          <w:szCs w:val="24"/>
        </w:rPr>
        <w:t xml:space="preserve"> Omdat patiënten het recht op correctie van </w:t>
      </w:r>
      <w:r w:rsidR="0098306A">
        <w:rPr>
          <w:rFonts w:ascii="Times New Roman" w:hAnsi="Times New Roman" w:cs="Times New Roman"/>
          <w:sz w:val="24"/>
          <w:szCs w:val="24"/>
        </w:rPr>
        <w:t xml:space="preserve">de </w:t>
      </w:r>
      <w:r w:rsidRPr="00D147A7">
        <w:rPr>
          <w:rFonts w:ascii="Times New Roman" w:hAnsi="Times New Roman" w:cs="Times New Roman"/>
          <w:sz w:val="24"/>
          <w:szCs w:val="24"/>
        </w:rPr>
        <w:t>h</w:t>
      </w:r>
      <w:r w:rsidR="0098306A">
        <w:rPr>
          <w:rFonts w:ascii="Times New Roman" w:hAnsi="Times New Roman" w:cs="Times New Roman"/>
          <w:sz w:val="24"/>
          <w:szCs w:val="24"/>
        </w:rPr>
        <w:t>e</w:t>
      </w:r>
      <w:r w:rsidRPr="00D147A7">
        <w:rPr>
          <w:rFonts w:ascii="Times New Roman" w:hAnsi="Times New Roman" w:cs="Times New Roman"/>
          <w:sz w:val="24"/>
          <w:szCs w:val="24"/>
        </w:rPr>
        <w:t xml:space="preserve">n </w:t>
      </w:r>
      <w:r w:rsidR="0098306A">
        <w:rPr>
          <w:rFonts w:ascii="Times New Roman" w:hAnsi="Times New Roman" w:cs="Times New Roman"/>
          <w:sz w:val="24"/>
          <w:szCs w:val="24"/>
        </w:rPr>
        <w:t xml:space="preserve">betreffende </w:t>
      </w:r>
      <w:r w:rsidRPr="00D147A7">
        <w:rPr>
          <w:rFonts w:ascii="Times New Roman" w:hAnsi="Times New Roman" w:cs="Times New Roman"/>
          <w:sz w:val="24"/>
          <w:szCs w:val="24"/>
        </w:rPr>
        <w:t xml:space="preserve">persoonsgegevens makkelijker </w:t>
      </w:r>
      <w:r w:rsidR="0098306A">
        <w:rPr>
          <w:rFonts w:ascii="Times New Roman" w:hAnsi="Times New Roman" w:cs="Times New Roman"/>
          <w:sz w:val="24"/>
          <w:szCs w:val="24"/>
        </w:rPr>
        <w:t>zouden kunnen</w:t>
      </w:r>
      <w:r w:rsidRPr="00D147A7">
        <w:rPr>
          <w:rFonts w:ascii="Times New Roman" w:hAnsi="Times New Roman" w:cs="Times New Roman"/>
          <w:sz w:val="24"/>
          <w:szCs w:val="24"/>
        </w:rPr>
        <w:t xml:space="preserve"> praktiseren, wordt via deze gebruiksvriendelijke toegang veel korter op de bal gespeeld worden. Om de raadpleging van het DMP zo eenvoudig mogelijk te maken, zijn er allerlei zoekfuncties voorzien. Patiën</w:t>
      </w:r>
      <w:r w:rsidR="00C2188C">
        <w:rPr>
          <w:rFonts w:ascii="Times New Roman" w:hAnsi="Times New Roman" w:cs="Times New Roman"/>
          <w:sz w:val="24"/>
          <w:szCs w:val="24"/>
        </w:rPr>
        <w:t>-</w:t>
      </w:r>
      <w:r w:rsidRPr="00D147A7">
        <w:rPr>
          <w:rFonts w:ascii="Times New Roman" w:hAnsi="Times New Roman" w:cs="Times New Roman"/>
          <w:sz w:val="24"/>
          <w:szCs w:val="24"/>
        </w:rPr>
        <w:t xml:space="preserve">ten kunnen via hun DMP ook de toegangsrechten van zorgverleners tot hun DMP beheren. Zij kunnen ook de lijst van de door hen geautoriseerde zorgverleners raadplegen en de sporen (of </w:t>
      </w:r>
      <w:r w:rsidRPr="00D147A7">
        <w:rPr>
          <w:rFonts w:ascii="Times New Roman" w:hAnsi="Times New Roman" w:cs="Times New Roman"/>
          <w:i/>
          <w:sz w:val="24"/>
          <w:szCs w:val="24"/>
        </w:rPr>
        <w:t>loggings</w:t>
      </w:r>
      <w:r w:rsidRPr="00D147A7">
        <w:rPr>
          <w:rFonts w:ascii="Times New Roman" w:hAnsi="Times New Roman" w:cs="Times New Roman"/>
          <w:sz w:val="24"/>
          <w:szCs w:val="24"/>
        </w:rPr>
        <w:t xml:space="preserve">) van </w:t>
      </w:r>
      <w:r w:rsidR="0098306A">
        <w:rPr>
          <w:rFonts w:ascii="Times New Roman" w:hAnsi="Times New Roman" w:cs="Times New Roman"/>
          <w:sz w:val="24"/>
          <w:szCs w:val="24"/>
        </w:rPr>
        <w:t>de</w:t>
      </w:r>
      <w:r w:rsidRPr="00D147A7">
        <w:rPr>
          <w:rFonts w:ascii="Times New Roman" w:hAnsi="Times New Roman" w:cs="Times New Roman"/>
          <w:sz w:val="24"/>
          <w:szCs w:val="24"/>
        </w:rPr>
        <w:t xml:space="preserve"> (schrijf-, lees- en verwijder)toegangen tot h</w:t>
      </w:r>
      <w:r w:rsidR="0098306A">
        <w:rPr>
          <w:rFonts w:ascii="Times New Roman" w:hAnsi="Times New Roman" w:cs="Times New Roman"/>
          <w:sz w:val="24"/>
          <w:szCs w:val="24"/>
        </w:rPr>
        <w:t>un</w:t>
      </w:r>
      <w:r w:rsidRPr="00D147A7">
        <w:rPr>
          <w:rFonts w:ascii="Times New Roman" w:hAnsi="Times New Roman" w:cs="Times New Roman"/>
          <w:sz w:val="24"/>
          <w:szCs w:val="24"/>
        </w:rPr>
        <w:t xml:space="preserve"> DMP opvolgen. Verder kun</w:t>
      </w:r>
      <w:r w:rsidR="00C2188C">
        <w:rPr>
          <w:rFonts w:ascii="Times New Roman" w:hAnsi="Times New Roman" w:cs="Times New Roman"/>
          <w:sz w:val="24"/>
          <w:szCs w:val="24"/>
        </w:rPr>
        <w:t>-</w:t>
      </w:r>
      <w:r w:rsidRPr="00D147A7">
        <w:rPr>
          <w:rFonts w:ascii="Times New Roman" w:hAnsi="Times New Roman" w:cs="Times New Roman"/>
          <w:sz w:val="24"/>
          <w:szCs w:val="24"/>
        </w:rPr>
        <w:t>nen patiënten zelf gegevens aan hun DMP toevoegen (</w:t>
      </w:r>
      <w:r w:rsidR="0098306A">
        <w:rPr>
          <w:rFonts w:ascii="Times New Roman" w:hAnsi="Times New Roman" w:cs="Times New Roman"/>
          <w:sz w:val="24"/>
          <w:szCs w:val="24"/>
        </w:rPr>
        <w:t xml:space="preserve">zoals </w:t>
      </w:r>
      <w:r w:rsidRPr="00D147A7">
        <w:rPr>
          <w:rFonts w:ascii="Times New Roman" w:hAnsi="Times New Roman" w:cs="Times New Roman"/>
          <w:sz w:val="24"/>
          <w:szCs w:val="24"/>
        </w:rPr>
        <w:t>eigen ervaringen en vorderingen van een revalidatie, wensen m.b.t. het levenseinde,…), maar kunnen de door geautoriseerde zorgverleners toegevoegde gegevens geenszins wijzigen of verwijderen. Wel kunnen bepaal</w:t>
      </w:r>
      <w:r w:rsidR="00C2188C">
        <w:rPr>
          <w:rFonts w:ascii="Times New Roman" w:hAnsi="Times New Roman" w:cs="Times New Roman"/>
          <w:sz w:val="24"/>
          <w:szCs w:val="24"/>
        </w:rPr>
        <w:t>-</w:t>
      </w:r>
      <w:r w:rsidRPr="00D147A7">
        <w:rPr>
          <w:rFonts w:ascii="Times New Roman" w:hAnsi="Times New Roman" w:cs="Times New Roman"/>
          <w:sz w:val="24"/>
          <w:szCs w:val="24"/>
        </w:rPr>
        <w:t>de gegevens niet voor raadpleging vatbaar gemaakt</w:t>
      </w:r>
      <w:r w:rsidR="0098306A" w:rsidRPr="0098306A">
        <w:rPr>
          <w:rFonts w:ascii="Times New Roman" w:hAnsi="Times New Roman" w:cs="Times New Roman"/>
          <w:sz w:val="24"/>
          <w:szCs w:val="24"/>
        </w:rPr>
        <w:t xml:space="preserve"> </w:t>
      </w:r>
      <w:r w:rsidR="0098306A" w:rsidRPr="00D147A7">
        <w:rPr>
          <w:rFonts w:ascii="Times New Roman" w:hAnsi="Times New Roman" w:cs="Times New Roman"/>
          <w:sz w:val="24"/>
          <w:szCs w:val="24"/>
        </w:rPr>
        <w:t>worden</w:t>
      </w:r>
      <w:r w:rsidRPr="00D147A7">
        <w:rPr>
          <w:rFonts w:ascii="Times New Roman" w:hAnsi="Times New Roman" w:cs="Times New Roman"/>
          <w:sz w:val="24"/>
          <w:szCs w:val="24"/>
        </w:rPr>
        <w:t>, al dient deze beslissing in samen</w:t>
      </w:r>
      <w:r w:rsidR="00C2188C">
        <w:rPr>
          <w:rFonts w:ascii="Times New Roman" w:hAnsi="Times New Roman" w:cs="Times New Roman"/>
          <w:sz w:val="24"/>
          <w:szCs w:val="24"/>
        </w:rPr>
        <w:t>-</w:t>
      </w:r>
      <w:r w:rsidRPr="00D147A7">
        <w:rPr>
          <w:rFonts w:ascii="Times New Roman" w:hAnsi="Times New Roman" w:cs="Times New Roman"/>
          <w:sz w:val="24"/>
          <w:szCs w:val="24"/>
        </w:rPr>
        <w:t xml:space="preserve">spraak met een huisarts te worden gemaakt. Als een patiënt – na goed </w:t>
      </w:r>
      <w:r w:rsidR="0098306A" w:rsidRPr="00D147A7">
        <w:rPr>
          <w:rFonts w:ascii="Times New Roman" w:hAnsi="Times New Roman" w:cs="Times New Roman"/>
          <w:sz w:val="24"/>
          <w:szCs w:val="24"/>
        </w:rPr>
        <w:t xml:space="preserve">geïnformeerd te zijn </w:t>
      </w:r>
      <w:r w:rsidRPr="00D147A7">
        <w:rPr>
          <w:rFonts w:ascii="Times New Roman" w:hAnsi="Times New Roman" w:cs="Times New Roman"/>
          <w:sz w:val="24"/>
          <w:szCs w:val="24"/>
        </w:rPr>
        <w:t xml:space="preserve">over </w:t>
      </w:r>
      <w:r w:rsidR="0098306A">
        <w:rPr>
          <w:rFonts w:ascii="Times New Roman" w:hAnsi="Times New Roman" w:cs="Times New Roman"/>
          <w:sz w:val="24"/>
          <w:szCs w:val="24"/>
        </w:rPr>
        <w:t>alle</w:t>
      </w:r>
      <w:r w:rsidRPr="00D147A7">
        <w:rPr>
          <w:rFonts w:ascii="Times New Roman" w:hAnsi="Times New Roman" w:cs="Times New Roman"/>
          <w:sz w:val="24"/>
          <w:szCs w:val="24"/>
        </w:rPr>
        <w:t xml:space="preserve"> mogelijke gevolgen en risico’s die </w:t>
      </w:r>
      <w:r w:rsidR="0098306A">
        <w:rPr>
          <w:rFonts w:ascii="Times New Roman" w:hAnsi="Times New Roman" w:cs="Times New Roman"/>
          <w:sz w:val="24"/>
          <w:szCs w:val="24"/>
        </w:rPr>
        <w:t>aan de afscherming</w:t>
      </w:r>
      <w:r w:rsidRPr="00D147A7">
        <w:rPr>
          <w:rFonts w:ascii="Times New Roman" w:hAnsi="Times New Roman" w:cs="Times New Roman"/>
          <w:sz w:val="24"/>
          <w:szCs w:val="24"/>
        </w:rPr>
        <w:t xml:space="preserve"> van gezondheidsgegevens </w:t>
      </w:r>
      <w:r w:rsidR="0098306A">
        <w:rPr>
          <w:rFonts w:ascii="Times New Roman" w:hAnsi="Times New Roman" w:cs="Times New Roman"/>
          <w:sz w:val="24"/>
          <w:szCs w:val="24"/>
        </w:rPr>
        <w:t>verbonden zijn</w:t>
      </w:r>
      <w:r w:rsidRPr="00D147A7">
        <w:rPr>
          <w:rFonts w:ascii="Times New Roman" w:hAnsi="Times New Roman" w:cs="Times New Roman"/>
          <w:sz w:val="24"/>
          <w:szCs w:val="24"/>
        </w:rPr>
        <w:t xml:space="preserve"> – bepaalde informatie wil verbergen, kan dit alleen via de DMP-compatibele software van </w:t>
      </w:r>
      <w:r w:rsidR="0098306A">
        <w:rPr>
          <w:rFonts w:ascii="Times New Roman" w:hAnsi="Times New Roman" w:cs="Times New Roman"/>
          <w:sz w:val="24"/>
          <w:szCs w:val="24"/>
        </w:rPr>
        <w:t>een</w:t>
      </w:r>
      <w:r w:rsidRPr="00D147A7">
        <w:rPr>
          <w:rFonts w:ascii="Times New Roman" w:hAnsi="Times New Roman" w:cs="Times New Roman"/>
          <w:sz w:val="24"/>
          <w:szCs w:val="24"/>
        </w:rPr>
        <w:t xml:space="preserve"> huisarts gebeuren.</w:t>
      </w:r>
      <w:r w:rsidRPr="00D147A7">
        <w:rPr>
          <w:rStyle w:val="Voetnootmarkering"/>
          <w:rFonts w:ascii="Times New Roman" w:hAnsi="Times New Roman" w:cs="Times New Roman"/>
          <w:sz w:val="24"/>
          <w:szCs w:val="24"/>
        </w:rPr>
        <w:footnoteReference w:id="715"/>
      </w:r>
      <w:r w:rsidRPr="00D147A7">
        <w:rPr>
          <w:rFonts w:ascii="Times New Roman" w:hAnsi="Times New Roman" w:cs="Times New Roman"/>
          <w:sz w:val="24"/>
          <w:szCs w:val="24"/>
        </w:rPr>
        <w:t xml:space="preserve"> Op deze beslissing kan evenwel te allen tijde worden teruggekomen. Enkel in spoedsituaties kunnen zorgverleners zonder volmacht van de patiënt de verborgen gegevens raadplegen via de zgn. ‘</w:t>
      </w:r>
      <w:r w:rsidRPr="00D147A7">
        <w:rPr>
          <w:rFonts w:ascii="Times New Roman" w:hAnsi="Times New Roman" w:cs="Times New Roman"/>
          <w:i/>
          <w:sz w:val="24"/>
          <w:szCs w:val="24"/>
        </w:rPr>
        <w:t>bris-de-glace</w:t>
      </w:r>
      <w:r w:rsidRPr="00D147A7">
        <w:rPr>
          <w:rFonts w:ascii="Times New Roman" w:hAnsi="Times New Roman" w:cs="Times New Roman"/>
          <w:sz w:val="24"/>
          <w:szCs w:val="24"/>
        </w:rPr>
        <w:t>’-procedure. Een laatste toepas</w:t>
      </w:r>
      <w:r w:rsidR="00C2188C">
        <w:rPr>
          <w:rFonts w:ascii="Times New Roman" w:hAnsi="Times New Roman" w:cs="Times New Roman"/>
          <w:sz w:val="24"/>
          <w:szCs w:val="24"/>
        </w:rPr>
        <w:t>-</w:t>
      </w:r>
      <w:r w:rsidRPr="00D147A7">
        <w:rPr>
          <w:rFonts w:ascii="Times New Roman" w:hAnsi="Times New Roman" w:cs="Times New Roman"/>
          <w:sz w:val="24"/>
          <w:szCs w:val="24"/>
        </w:rPr>
        <w:t>sing van het DMP voor patiënten is om op een veilige manier met hun zorgverlener(s) te cor</w:t>
      </w:r>
      <w:r w:rsidR="00C2188C">
        <w:rPr>
          <w:rFonts w:ascii="Times New Roman" w:hAnsi="Times New Roman" w:cs="Times New Roman"/>
          <w:sz w:val="24"/>
          <w:szCs w:val="24"/>
        </w:rPr>
        <w:t>-</w:t>
      </w:r>
      <w:r w:rsidRPr="00D147A7">
        <w:rPr>
          <w:rFonts w:ascii="Times New Roman" w:hAnsi="Times New Roman" w:cs="Times New Roman"/>
          <w:sz w:val="24"/>
          <w:szCs w:val="24"/>
        </w:rPr>
        <w:t>responderen, op voorwaarde dat de zorgverlener(s) hier</w:t>
      </w:r>
      <w:r w:rsidR="00953680" w:rsidRPr="00D147A7">
        <w:rPr>
          <w:rFonts w:ascii="Times New Roman" w:hAnsi="Times New Roman" w:cs="Times New Roman"/>
          <w:sz w:val="24"/>
          <w:szCs w:val="24"/>
        </w:rPr>
        <w:t>voor</w:t>
      </w:r>
      <w:r w:rsidRPr="00D147A7">
        <w:rPr>
          <w:rFonts w:ascii="Times New Roman" w:hAnsi="Times New Roman" w:cs="Times New Roman"/>
          <w:sz w:val="24"/>
          <w:szCs w:val="24"/>
        </w:rPr>
        <w:t xml:space="preserve"> hun fiat gegeven hebben. </w:t>
      </w:r>
    </w:p>
    <w:p w:rsidR="009931C7" w:rsidRPr="00D147A7" w:rsidRDefault="009931C7" w:rsidP="009931C7">
      <w:pPr>
        <w:pStyle w:val="Geenafstand"/>
        <w:jc w:val="both"/>
        <w:rPr>
          <w:rFonts w:ascii="Times New Roman" w:hAnsi="Times New Roman" w:cs="Times New Roman"/>
          <w:sz w:val="24"/>
          <w:szCs w:val="24"/>
          <w:highlight w:val="yellow"/>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noProof/>
          <w:sz w:val="24"/>
          <w:szCs w:val="24"/>
          <w:lang w:eastAsia="nl-BE"/>
        </w:rPr>
        <w:lastRenderedPageBreak/>
        <w:drawing>
          <wp:inline distT="0" distB="0" distL="0" distR="0" wp14:anchorId="6DDC46C2" wp14:editId="36936435">
            <wp:extent cx="5617713" cy="3286664"/>
            <wp:effectExtent l="0" t="0" r="2540" b="9525"/>
            <wp:docPr id="40" name="Afbeelding 40" descr="C:\Users\Merijn\AppData\Roaming\PixelMetrics\CaptureWiz\Te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ijn\AppData\Roaming\PixelMetrics\CaptureWiz\Temp\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6031" cy="3285680"/>
                    </a:xfrm>
                    <a:prstGeom prst="rect">
                      <a:avLst/>
                    </a:prstGeom>
                    <a:noFill/>
                    <a:ln>
                      <a:noFill/>
                    </a:ln>
                  </pic:spPr>
                </pic:pic>
              </a:graphicData>
            </a:graphic>
          </wp:inline>
        </w:drawing>
      </w:r>
    </w:p>
    <w:p w:rsidR="009931C7" w:rsidRPr="00D147A7" w:rsidRDefault="009931C7" w:rsidP="009931C7">
      <w:pPr>
        <w:pStyle w:val="Geenafstand"/>
        <w:jc w:val="center"/>
        <w:rPr>
          <w:rFonts w:ascii="Times New Roman" w:hAnsi="Times New Roman" w:cs="Times New Roman"/>
          <w:sz w:val="24"/>
          <w:szCs w:val="24"/>
        </w:rPr>
      </w:pPr>
      <w:r w:rsidRPr="00D147A7">
        <w:rPr>
          <w:rFonts w:ascii="Times New Roman" w:hAnsi="Times New Roman" w:cs="Times New Roman"/>
          <w:sz w:val="24"/>
          <w:szCs w:val="24"/>
        </w:rPr>
        <w:t xml:space="preserve">Figuur 20: Overzicht van het systeem van het </w:t>
      </w:r>
      <w:r w:rsidRPr="00D147A7">
        <w:rPr>
          <w:rFonts w:ascii="Times New Roman" w:hAnsi="Times New Roman" w:cs="Times New Roman"/>
          <w:i/>
          <w:sz w:val="24"/>
          <w:szCs w:val="24"/>
        </w:rPr>
        <w:t>dossier médical personnel</w:t>
      </w:r>
      <w:r w:rsidRPr="00D147A7">
        <w:rPr>
          <w:rStyle w:val="Voetnootmarkering"/>
          <w:rFonts w:ascii="Times New Roman" w:hAnsi="Times New Roman" w:cs="Times New Roman"/>
          <w:i/>
          <w:sz w:val="24"/>
          <w:szCs w:val="24"/>
        </w:rPr>
        <w:footnoteReference w:id="716"/>
      </w:r>
    </w:p>
    <w:p w:rsidR="009931C7" w:rsidRPr="00D147A7" w:rsidRDefault="009931C7" w:rsidP="009931C7">
      <w:pPr>
        <w:rPr>
          <w:smallCaps/>
        </w:rPr>
      </w:pPr>
    </w:p>
    <w:p w:rsidR="00FA6686" w:rsidRPr="00D147A7" w:rsidRDefault="00FA6686" w:rsidP="009931C7">
      <w:pPr>
        <w:rPr>
          <w:smallCaps/>
        </w:rPr>
      </w:pPr>
    </w:p>
    <w:p w:rsidR="009931C7" w:rsidRPr="00D147A7" w:rsidRDefault="009931C7" w:rsidP="009931C7">
      <w:pPr>
        <w:pStyle w:val="Geenafstand"/>
        <w:rPr>
          <w:rFonts w:ascii="Times New Roman" w:hAnsi="Times New Roman" w:cs="Times New Roman"/>
          <w:smallCaps/>
          <w:sz w:val="24"/>
          <w:szCs w:val="24"/>
        </w:rPr>
      </w:pPr>
      <w:r w:rsidRPr="00D147A7">
        <w:rPr>
          <w:rFonts w:ascii="Times New Roman" w:hAnsi="Times New Roman" w:cs="Times New Roman"/>
          <w:smallCaps/>
          <w:sz w:val="24"/>
          <w:szCs w:val="24"/>
        </w:rPr>
        <w:t xml:space="preserve">2.4 Conclusie en aanbevelingen </w:t>
      </w:r>
      <w:r w:rsidRPr="00D147A7">
        <w:rPr>
          <w:rFonts w:ascii="Times New Roman" w:hAnsi="Times New Roman" w:cs="Times New Roman"/>
          <w:i/>
          <w:smallCaps/>
          <w:sz w:val="24"/>
          <w:szCs w:val="24"/>
        </w:rPr>
        <w:t>de lege ferenda</w:t>
      </w:r>
    </w:p>
    <w:p w:rsidR="009931C7" w:rsidRPr="00D147A7" w:rsidRDefault="009931C7" w:rsidP="009931C7">
      <w:pPr>
        <w:pStyle w:val="Geenafstand"/>
        <w:rPr>
          <w:rFonts w:ascii="Times New Roman" w:hAnsi="Times New Roman" w:cs="Times New Roman"/>
          <w:smallCaps/>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eHealth-systemen in België, Nederland en Frankrijk verschillen grondig van elkaar. Dat is vreemd, aangezien eHealth net de grensoverschrijdende zorgverlening mogelijk moet maken. Hoewel de verschillende nationale eHealth-projecten beter op elkaar moeten worden afge</w:t>
      </w:r>
      <w:r w:rsidR="00953680">
        <w:rPr>
          <w:rFonts w:ascii="Times New Roman" w:hAnsi="Times New Roman" w:cs="Times New Roman"/>
          <w:sz w:val="24"/>
          <w:szCs w:val="24"/>
        </w:rPr>
        <w:t>-</w:t>
      </w:r>
      <w:r w:rsidRPr="00D147A7">
        <w:rPr>
          <w:rFonts w:ascii="Times New Roman" w:hAnsi="Times New Roman" w:cs="Times New Roman"/>
          <w:sz w:val="24"/>
          <w:szCs w:val="24"/>
        </w:rPr>
        <w:t>stemd, moet niet overal in Europa dezelfde eHealth-politiek en dezelfde softwareprogramma</w:t>
      </w:r>
      <w:r w:rsidR="00C2188C">
        <w:rPr>
          <w:rFonts w:ascii="Times New Roman" w:hAnsi="Times New Roman" w:cs="Times New Roman"/>
          <w:sz w:val="24"/>
          <w:szCs w:val="24"/>
        </w:rPr>
        <w:t>’</w:t>
      </w:r>
      <w:r w:rsidRPr="00D147A7">
        <w:rPr>
          <w:rFonts w:ascii="Times New Roman" w:hAnsi="Times New Roman" w:cs="Times New Roman"/>
          <w:sz w:val="24"/>
          <w:szCs w:val="24"/>
        </w:rPr>
        <w:t xml:space="preserve">s gebruikt worden. Het </w:t>
      </w:r>
      <w:r w:rsidR="00953680">
        <w:rPr>
          <w:rFonts w:ascii="Times New Roman" w:hAnsi="Times New Roman" w:cs="Times New Roman"/>
          <w:sz w:val="24"/>
          <w:szCs w:val="24"/>
        </w:rPr>
        <w:t>volstaat</w:t>
      </w:r>
      <w:r w:rsidRPr="00D147A7">
        <w:rPr>
          <w:rFonts w:ascii="Times New Roman" w:hAnsi="Times New Roman" w:cs="Times New Roman"/>
          <w:sz w:val="24"/>
          <w:szCs w:val="24"/>
        </w:rPr>
        <w:t xml:space="preserve"> dat zorgverleners en verzorgingsinstellingen in de verschillende l</w:t>
      </w:r>
      <w:r w:rsidR="00953680">
        <w:rPr>
          <w:rFonts w:ascii="Times New Roman" w:hAnsi="Times New Roman" w:cs="Times New Roman"/>
          <w:sz w:val="24"/>
          <w:szCs w:val="24"/>
        </w:rPr>
        <w:t>idstaten</w:t>
      </w:r>
      <w:r w:rsidRPr="00D147A7">
        <w:rPr>
          <w:rFonts w:ascii="Times New Roman" w:hAnsi="Times New Roman" w:cs="Times New Roman"/>
          <w:sz w:val="24"/>
          <w:szCs w:val="24"/>
        </w:rPr>
        <w:t xml:space="preserve"> van de Europese Unie – na degelijke identificatie en authentificatie –</w:t>
      </w:r>
      <w:r w:rsidRPr="00D147A7">
        <w:rPr>
          <w:rFonts w:ascii="Times New Roman" w:hAnsi="Times New Roman" w:cs="Times New Roman"/>
          <w:vanish/>
          <w:sz w:val="24"/>
          <w:szCs w:val="24"/>
        </w:rPr>
        <w:t>ea</w:t>
      </w:r>
      <w:r w:rsidRPr="00D147A7">
        <w:rPr>
          <w:rFonts w:ascii="Times New Roman" w:hAnsi="Times New Roman" w:cs="Times New Roman"/>
          <w:sz w:val="24"/>
          <w:szCs w:val="24"/>
        </w:rPr>
        <w:t xml:space="preserve"> (al dan niet centraal opgeslagen) elektronische gezondheidsgegevens uit de verschillende l</w:t>
      </w:r>
      <w:r w:rsidR="00953680">
        <w:rPr>
          <w:rFonts w:ascii="Times New Roman" w:hAnsi="Times New Roman" w:cs="Times New Roman"/>
          <w:sz w:val="24"/>
          <w:szCs w:val="24"/>
        </w:rPr>
        <w:t>anden</w:t>
      </w:r>
      <w:r w:rsidRPr="00D147A7">
        <w:rPr>
          <w:rFonts w:ascii="Times New Roman" w:hAnsi="Times New Roman" w:cs="Times New Roman"/>
          <w:sz w:val="24"/>
          <w:szCs w:val="24"/>
        </w:rPr>
        <w:t xml:space="preserve"> kunnen opzoeken, opvragen en raadplegen. Dit zal het geval zijn als gezondheidsgegevens overal op basis van XML worden</w:t>
      </w:r>
      <w:r w:rsidR="00953680">
        <w:rPr>
          <w:rFonts w:ascii="Times New Roman" w:hAnsi="Times New Roman" w:cs="Times New Roman"/>
          <w:sz w:val="24"/>
          <w:szCs w:val="24"/>
        </w:rPr>
        <w:t xml:space="preserve"> opgesteld</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Opdat zorgverleners en verzorgingsinstellingen over de grenzen heen beveiligde berichten zouden kunnen uitwisselen (o.m. om gezondheidsgegevens op te vragen), is het ook aangewe</w:t>
      </w:r>
      <w:r w:rsidR="00953680">
        <w:rPr>
          <w:rFonts w:ascii="Times New Roman" w:hAnsi="Times New Roman" w:cs="Times New Roman"/>
          <w:sz w:val="24"/>
          <w:szCs w:val="24"/>
        </w:rPr>
        <w:t>-</w:t>
      </w:r>
      <w:r w:rsidRPr="00D147A7">
        <w:rPr>
          <w:rFonts w:ascii="Times New Roman" w:hAnsi="Times New Roman" w:cs="Times New Roman"/>
          <w:sz w:val="24"/>
          <w:szCs w:val="24"/>
        </w:rPr>
        <w:t>zen dat een overkoepelende certificatieautoriteit wordt opgericht. Enkel als zorgverleners de publieke sleutel van de ontvanger k</w:t>
      </w:r>
      <w:r w:rsidR="00953680">
        <w:rPr>
          <w:rFonts w:ascii="Times New Roman" w:hAnsi="Times New Roman" w:cs="Times New Roman"/>
          <w:sz w:val="24"/>
          <w:szCs w:val="24"/>
        </w:rPr>
        <w:t>unnen</w:t>
      </w:r>
      <w:r w:rsidRPr="00D147A7">
        <w:rPr>
          <w:rFonts w:ascii="Times New Roman" w:hAnsi="Times New Roman" w:cs="Times New Roman"/>
          <w:sz w:val="24"/>
          <w:szCs w:val="24"/>
        </w:rPr>
        <w:t xml:space="preserve"> opzoeken (en de ontvanger die van de onderteke</w:t>
      </w:r>
      <w:r w:rsidR="00953680">
        <w:rPr>
          <w:rFonts w:ascii="Times New Roman" w:hAnsi="Times New Roman" w:cs="Times New Roman"/>
          <w:sz w:val="24"/>
          <w:szCs w:val="24"/>
        </w:rPr>
        <w:t>-</w:t>
      </w:r>
      <w:r w:rsidRPr="00D147A7">
        <w:rPr>
          <w:rFonts w:ascii="Times New Roman" w:hAnsi="Times New Roman" w:cs="Times New Roman"/>
          <w:sz w:val="24"/>
          <w:szCs w:val="24"/>
        </w:rPr>
        <w:t>naar), kan een digitale handtekening gegenereerd worden. De grensoverschrijdende communi</w:t>
      </w:r>
      <w:r w:rsidR="00953680">
        <w:rPr>
          <w:rFonts w:ascii="Times New Roman" w:hAnsi="Times New Roman" w:cs="Times New Roman"/>
          <w:sz w:val="24"/>
          <w:szCs w:val="24"/>
        </w:rPr>
        <w:t>-</w:t>
      </w:r>
      <w:r w:rsidRPr="00D147A7">
        <w:rPr>
          <w:rFonts w:ascii="Times New Roman" w:hAnsi="Times New Roman" w:cs="Times New Roman"/>
          <w:sz w:val="24"/>
          <w:szCs w:val="24"/>
        </w:rPr>
        <w:t>catie tussen zorgverleners zou ook via een Europese variant van de Belgische eHealthBox kunnen geschieden. Alle individuele zorgverleners moeten dan wel verplicht worden om hier</w:t>
      </w:r>
      <w:r w:rsidR="00953680">
        <w:rPr>
          <w:rFonts w:ascii="Times New Roman" w:hAnsi="Times New Roman" w:cs="Times New Roman"/>
          <w:sz w:val="24"/>
          <w:szCs w:val="24"/>
        </w:rPr>
        <w:t>-</w:t>
      </w:r>
      <w:r w:rsidRPr="00D147A7">
        <w:rPr>
          <w:rFonts w:ascii="Times New Roman" w:hAnsi="Times New Roman" w:cs="Times New Roman"/>
          <w:sz w:val="24"/>
          <w:szCs w:val="24"/>
        </w:rPr>
        <w:t>bij aan te sluiten.</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Of voor een goede informatie-uitwisseling van gezondheidsgegevens op Europees niveau nieuw</w:t>
      </w:r>
      <w:r w:rsidR="00953680">
        <w:rPr>
          <w:rFonts w:ascii="Times New Roman" w:hAnsi="Times New Roman" w:cs="Times New Roman"/>
          <w:sz w:val="24"/>
          <w:szCs w:val="24"/>
        </w:rPr>
        <w:t>e</w:t>
      </w:r>
      <w:r w:rsidRPr="00D147A7">
        <w:rPr>
          <w:rFonts w:ascii="Times New Roman" w:hAnsi="Times New Roman" w:cs="Times New Roman"/>
          <w:sz w:val="24"/>
          <w:szCs w:val="24"/>
        </w:rPr>
        <w:t xml:space="preserve"> unieke identificatienummers ontworpen moeten worden of een evenwicht tussen de bestaande nationale varianten</w:t>
      </w:r>
      <w:r w:rsidR="00953680" w:rsidRPr="00953680">
        <w:rPr>
          <w:rFonts w:ascii="Times New Roman" w:hAnsi="Times New Roman" w:cs="Times New Roman"/>
          <w:sz w:val="24"/>
          <w:szCs w:val="24"/>
        </w:rPr>
        <w:t xml:space="preserve"> </w:t>
      </w:r>
      <w:r w:rsidR="00953680" w:rsidRPr="00D147A7">
        <w:rPr>
          <w:rFonts w:ascii="Times New Roman" w:hAnsi="Times New Roman" w:cs="Times New Roman"/>
          <w:sz w:val="24"/>
          <w:szCs w:val="24"/>
        </w:rPr>
        <w:t>gevonden kan worden</w:t>
      </w:r>
      <w:r w:rsidRPr="00D147A7">
        <w:rPr>
          <w:rFonts w:ascii="Times New Roman" w:hAnsi="Times New Roman" w:cs="Times New Roman"/>
          <w:sz w:val="24"/>
          <w:szCs w:val="24"/>
        </w:rPr>
        <w:t>, zal bestudeerd moeten worden. Hetzelf</w:t>
      </w:r>
      <w:r w:rsidR="00953680">
        <w:rPr>
          <w:rFonts w:ascii="Times New Roman" w:hAnsi="Times New Roman" w:cs="Times New Roman"/>
          <w:sz w:val="24"/>
          <w:szCs w:val="24"/>
        </w:rPr>
        <w:t>-</w:t>
      </w:r>
      <w:r w:rsidRPr="00D147A7">
        <w:rPr>
          <w:rFonts w:ascii="Times New Roman" w:hAnsi="Times New Roman" w:cs="Times New Roman"/>
          <w:sz w:val="24"/>
          <w:szCs w:val="24"/>
        </w:rPr>
        <w:t xml:space="preserve">de geldt voor een Europese </w:t>
      </w:r>
      <w:r w:rsidRPr="00D147A7">
        <w:rPr>
          <w:rFonts w:ascii="Times New Roman" w:hAnsi="Times New Roman" w:cs="Times New Roman"/>
          <w:i/>
          <w:sz w:val="24"/>
          <w:szCs w:val="24"/>
        </w:rPr>
        <w:t>smart card</w:t>
      </w:r>
      <w:r w:rsidRPr="00D147A7">
        <w:rPr>
          <w:rFonts w:ascii="Times New Roman" w:hAnsi="Times New Roman" w:cs="Times New Roman"/>
          <w:sz w:val="24"/>
          <w:szCs w:val="24"/>
        </w:rPr>
        <w:t xml:space="preserve"> voor het gebruikers- en toegangsbeheer, zowel voor burgers als voor zorgverleners en medewerkers van verzorgingsinstellingen.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Als eHealth in heel Europa enigszins gelijkgeschakeld zou worden, moet ook een afzonderlijk </w:t>
      </w:r>
      <w:r w:rsidRPr="00953680">
        <w:rPr>
          <w:rFonts w:ascii="Times New Roman" w:hAnsi="Times New Roman" w:cs="Times New Roman"/>
          <w:sz w:val="24"/>
          <w:szCs w:val="24"/>
        </w:rPr>
        <w:t>toezichtsorgaan</w:t>
      </w:r>
      <w:r w:rsidRPr="00D147A7">
        <w:rPr>
          <w:rFonts w:ascii="Times New Roman" w:hAnsi="Times New Roman" w:cs="Times New Roman"/>
          <w:sz w:val="24"/>
          <w:szCs w:val="24"/>
        </w:rPr>
        <w:t xml:space="preserve"> ontwikkeld worden. De bestaande nationale ‘eHealth-platformen’ moeten evenwel behouden blijven en hun takenpakket zal niet ingrijpend veranderd moeten worden.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wijze waarop de toestemming van de betrokken patiënten bekomen moet worden om de hen betreffende gezondheidsgegevens in het eHealth-systeem op te nemen, moet overal uit</w:t>
      </w:r>
      <w:r w:rsidR="00953680">
        <w:rPr>
          <w:rFonts w:ascii="Times New Roman" w:hAnsi="Times New Roman" w:cs="Times New Roman"/>
          <w:sz w:val="24"/>
          <w:szCs w:val="24"/>
        </w:rPr>
        <w:t>-</w:t>
      </w:r>
      <w:r w:rsidRPr="00D147A7">
        <w:rPr>
          <w:rFonts w:ascii="Times New Roman" w:hAnsi="Times New Roman" w:cs="Times New Roman"/>
          <w:sz w:val="24"/>
          <w:szCs w:val="24"/>
        </w:rPr>
        <w:t>drukkelijk zijn. Dit lijkt de meest democratisch verantwoorde keuze. Bovendien moeten pa</w:t>
      </w:r>
      <w:r w:rsidR="00953680">
        <w:rPr>
          <w:rFonts w:ascii="Times New Roman" w:hAnsi="Times New Roman" w:cs="Times New Roman"/>
          <w:sz w:val="24"/>
          <w:szCs w:val="24"/>
        </w:rPr>
        <w:t>-</w:t>
      </w:r>
      <w:r w:rsidRPr="00D147A7">
        <w:rPr>
          <w:rFonts w:ascii="Times New Roman" w:hAnsi="Times New Roman" w:cs="Times New Roman"/>
          <w:sz w:val="24"/>
          <w:szCs w:val="24"/>
        </w:rPr>
        <w:t>tiënten – nog vóór zij zich hierover uitspreken – goed geïnformeerd worden over de mogelijk</w:t>
      </w:r>
      <w:r w:rsidR="00953680">
        <w:rPr>
          <w:rFonts w:ascii="Times New Roman" w:hAnsi="Times New Roman" w:cs="Times New Roman"/>
          <w:sz w:val="24"/>
          <w:szCs w:val="24"/>
        </w:rPr>
        <w:t>-</w:t>
      </w:r>
      <w:r w:rsidRPr="00D147A7">
        <w:rPr>
          <w:rFonts w:ascii="Times New Roman" w:hAnsi="Times New Roman" w:cs="Times New Roman"/>
          <w:sz w:val="24"/>
          <w:szCs w:val="24"/>
        </w:rPr>
        <w:t xml:space="preserve">heden en de risico’s die verbonden zijn aan de mogelijkheid om (delen van) hun elektronisch patiëntendossier voor uitwisseling vatbaar te </w:t>
      </w:r>
      <w:r w:rsidR="00953680">
        <w:rPr>
          <w:rFonts w:ascii="Times New Roman" w:hAnsi="Times New Roman" w:cs="Times New Roman"/>
          <w:sz w:val="24"/>
          <w:szCs w:val="24"/>
        </w:rPr>
        <w:t>(laten) verklaren</w:t>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goedkeuring van de nationale privacycommissies kan overgeheveld worden aan Europese toezichthouder voor gegevensbescherming (</w:t>
      </w:r>
      <w:r w:rsidRPr="00D147A7">
        <w:rPr>
          <w:rFonts w:ascii="Times New Roman" w:hAnsi="Times New Roman" w:cs="Times New Roman"/>
          <w:i/>
          <w:sz w:val="24"/>
          <w:szCs w:val="24"/>
        </w:rPr>
        <w:t>European Data Protection Supervisor</w:t>
      </w:r>
      <w:r w:rsidRPr="00D147A7">
        <w:rPr>
          <w:rFonts w:ascii="Times New Roman" w:hAnsi="Times New Roman" w:cs="Times New Roman"/>
          <w:sz w:val="24"/>
          <w:szCs w:val="24"/>
        </w:rPr>
        <w:t xml:space="preserve"> of EPDS) actief.</w:t>
      </w:r>
      <w:r w:rsidRPr="00D147A7">
        <w:rPr>
          <w:rStyle w:val="Voetnootmarkering"/>
          <w:rFonts w:ascii="Times New Roman" w:hAnsi="Times New Roman" w:cs="Times New Roman"/>
          <w:sz w:val="24"/>
          <w:szCs w:val="24"/>
        </w:rPr>
        <w:footnoteReference w:id="717"/>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Met deze Europese gelijkschakeling k</w:t>
      </w:r>
      <w:r w:rsidR="00953680">
        <w:rPr>
          <w:rFonts w:ascii="Times New Roman" w:hAnsi="Times New Roman" w:cs="Times New Roman"/>
          <w:sz w:val="24"/>
          <w:szCs w:val="24"/>
        </w:rPr>
        <w:t>an best nog even gewacht worden</w:t>
      </w:r>
      <w:r w:rsidRPr="00D147A7">
        <w:rPr>
          <w:rFonts w:ascii="Times New Roman" w:hAnsi="Times New Roman" w:cs="Times New Roman"/>
          <w:sz w:val="24"/>
          <w:szCs w:val="24"/>
        </w:rPr>
        <w:t xml:space="preserve"> totdat alle lidstaten over een zekere minimumstructuur beschikken. </w:t>
      </w:r>
      <w:r w:rsidR="00953680">
        <w:rPr>
          <w:rFonts w:ascii="Times New Roman" w:hAnsi="Times New Roman" w:cs="Times New Roman"/>
          <w:sz w:val="24"/>
          <w:szCs w:val="24"/>
        </w:rPr>
        <w:t>H</w:t>
      </w:r>
      <w:r w:rsidRPr="00D147A7">
        <w:rPr>
          <w:rFonts w:ascii="Times New Roman" w:hAnsi="Times New Roman" w:cs="Times New Roman"/>
          <w:sz w:val="24"/>
          <w:szCs w:val="24"/>
        </w:rPr>
        <w:t xml:space="preserve">et </w:t>
      </w:r>
      <w:r w:rsidR="00953680">
        <w:rPr>
          <w:rFonts w:ascii="Times New Roman" w:hAnsi="Times New Roman" w:cs="Times New Roman"/>
          <w:sz w:val="24"/>
          <w:szCs w:val="24"/>
        </w:rPr>
        <w:t xml:space="preserve">ziet </w:t>
      </w:r>
      <w:r w:rsidRPr="00D147A7">
        <w:rPr>
          <w:rFonts w:ascii="Times New Roman" w:hAnsi="Times New Roman" w:cs="Times New Roman"/>
          <w:sz w:val="24"/>
          <w:szCs w:val="24"/>
        </w:rPr>
        <w:t>er bijvoorbeeld niet naar uit dat Ne</w:t>
      </w:r>
      <w:r w:rsidR="00C2188C">
        <w:rPr>
          <w:rFonts w:ascii="Times New Roman" w:hAnsi="Times New Roman" w:cs="Times New Roman"/>
          <w:sz w:val="24"/>
          <w:szCs w:val="24"/>
        </w:rPr>
        <w:t>-</w:t>
      </w:r>
      <w:r w:rsidRPr="00D147A7">
        <w:rPr>
          <w:rFonts w:ascii="Times New Roman" w:hAnsi="Times New Roman" w:cs="Times New Roman"/>
          <w:sz w:val="24"/>
          <w:szCs w:val="24"/>
        </w:rPr>
        <w:t>derland in de nabije toekomst over een wettelijk kader zal beschikken waarin de eHealth-ma</w:t>
      </w:r>
      <w:r w:rsidR="00C2188C">
        <w:rPr>
          <w:rFonts w:ascii="Times New Roman" w:hAnsi="Times New Roman" w:cs="Times New Roman"/>
          <w:sz w:val="24"/>
          <w:szCs w:val="24"/>
        </w:rPr>
        <w:t>-</w:t>
      </w:r>
      <w:r w:rsidRPr="00D147A7">
        <w:rPr>
          <w:rFonts w:ascii="Times New Roman" w:hAnsi="Times New Roman" w:cs="Times New Roman"/>
          <w:sz w:val="24"/>
          <w:szCs w:val="24"/>
        </w:rPr>
        <w:t xml:space="preserve">terie geregeld wordt. Toch lijkt dit gebrek niet desastreus. Op het vlak van gezondheidszorg – met inbegrip van eHealth – behoort Nederland </w:t>
      </w:r>
      <w:r w:rsidR="00404B84">
        <w:rPr>
          <w:rFonts w:ascii="Times New Roman" w:hAnsi="Times New Roman" w:cs="Times New Roman"/>
          <w:sz w:val="24"/>
          <w:szCs w:val="24"/>
        </w:rPr>
        <w:t xml:space="preserve">immers </w:t>
      </w:r>
      <w:r w:rsidRPr="00D147A7">
        <w:rPr>
          <w:rFonts w:ascii="Times New Roman" w:hAnsi="Times New Roman" w:cs="Times New Roman"/>
          <w:sz w:val="24"/>
          <w:szCs w:val="24"/>
        </w:rPr>
        <w:t xml:space="preserve">tot de </w:t>
      </w:r>
      <w:r w:rsidR="00404B84">
        <w:rPr>
          <w:rFonts w:ascii="Times New Roman" w:hAnsi="Times New Roman" w:cs="Times New Roman"/>
          <w:sz w:val="24"/>
          <w:szCs w:val="24"/>
        </w:rPr>
        <w:t xml:space="preserve">absolute </w:t>
      </w:r>
      <w:r w:rsidRPr="00D147A7">
        <w:rPr>
          <w:rFonts w:ascii="Times New Roman" w:hAnsi="Times New Roman" w:cs="Times New Roman"/>
          <w:sz w:val="24"/>
          <w:szCs w:val="24"/>
        </w:rPr>
        <w:t>top</w:t>
      </w:r>
      <w:r w:rsidR="00C2188C">
        <w:rPr>
          <w:rFonts w:ascii="Times New Roman" w:hAnsi="Times New Roman" w:cs="Times New Roman"/>
          <w:sz w:val="24"/>
          <w:szCs w:val="24"/>
        </w:rPr>
        <w:t xml:space="preserve"> van Euro</w:t>
      </w:r>
      <w:r w:rsidR="00404B84">
        <w:rPr>
          <w:rFonts w:ascii="Times New Roman" w:hAnsi="Times New Roman" w:cs="Times New Roman"/>
          <w:sz w:val="24"/>
          <w:szCs w:val="24"/>
        </w:rPr>
        <w:t>pa</w:t>
      </w:r>
      <w:r w:rsidRPr="00D147A7">
        <w:rPr>
          <w:rFonts w:ascii="Times New Roman" w:hAnsi="Times New Roman" w:cs="Times New Roman"/>
          <w:sz w:val="24"/>
          <w:szCs w:val="24"/>
        </w:rPr>
        <w:t>.</w:t>
      </w:r>
      <w:r w:rsidRPr="00D147A7">
        <w:rPr>
          <w:rStyle w:val="Voetnootmarkering"/>
          <w:rFonts w:ascii="Times New Roman" w:hAnsi="Times New Roman" w:cs="Times New Roman"/>
          <w:sz w:val="24"/>
          <w:szCs w:val="24"/>
        </w:rPr>
        <w:footnoteReference w:id="718"/>
      </w:r>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rPr>
          <w:rFonts w:ascii="Times New Roman" w:hAnsi="Times New Roman" w:cs="Times New Roman"/>
          <w:smallCaps/>
          <w:sz w:val="24"/>
          <w:szCs w:val="24"/>
        </w:rPr>
      </w:pPr>
      <w:r w:rsidRPr="00D147A7">
        <w:rPr>
          <w:rFonts w:ascii="Times New Roman" w:hAnsi="Times New Roman" w:cs="Times New Roman"/>
          <w:noProof/>
          <w:lang w:eastAsia="nl-BE"/>
        </w:rPr>
        <w:drawing>
          <wp:inline distT="0" distB="0" distL="0" distR="0" wp14:anchorId="4F78161A" wp14:editId="4CF4BCE9">
            <wp:extent cx="6114553" cy="2130949"/>
            <wp:effectExtent l="0" t="0" r="19685" b="22225"/>
            <wp:docPr id="42" name="Grafie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931C7" w:rsidRPr="00D147A7" w:rsidRDefault="009931C7" w:rsidP="009931C7">
      <w:pPr>
        <w:pStyle w:val="Geenafstand"/>
        <w:jc w:val="center"/>
        <w:rPr>
          <w:rFonts w:ascii="Times New Roman" w:hAnsi="Times New Roman" w:cs="Times New Roman"/>
          <w:smallCaps/>
          <w:sz w:val="24"/>
          <w:szCs w:val="24"/>
        </w:rPr>
      </w:pPr>
      <w:r w:rsidRPr="00D147A7">
        <w:rPr>
          <w:rFonts w:ascii="Times New Roman" w:hAnsi="Times New Roman" w:cs="Times New Roman"/>
          <w:sz w:val="24"/>
          <w:szCs w:val="24"/>
        </w:rPr>
        <w:t>Grafiek 8: Rangschikking van Europese gezondheidzorgsystemen volgens de Euro Health Consumer Index (EHCI) in 2012</w:t>
      </w:r>
      <w:r w:rsidRPr="00D147A7">
        <w:rPr>
          <w:rStyle w:val="Voetnootmarkering"/>
          <w:rFonts w:ascii="Times New Roman" w:hAnsi="Times New Roman" w:cs="Times New Roman"/>
          <w:sz w:val="24"/>
          <w:szCs w:val="24"/>
        </w:rPr>
        <w:footnoteReference w:id="719"/>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Ook in het comparatief onderzoek van de Warwick Business School naar het gebruik van eHealth-toepassingen in twaalf lidstaten van de Europese Unie – dat evenwel van vóór de ver</w:t>
      </w:r>
      <w:r w:rsidR="00404B84">
        <w:rPr>
          <w:rFonts w:ascii="Times New Roman" w:hAnsi="Times New Roman" w:cs="Times New Roman"/>
          <w:sz w:val="24"/>
          <w:szCs w:val="24"/>
        </w:rPr>
        <w:t>-</w:t>
      </w:r>
      <w:r w:rsidRPr="00D147A7">
        <w:rPr>
          <w:rFonts w:ascii="Times New Roman" w:hAnsi="Times New Roman" w:cs="Times New Roman"/>
          <w:sz w:val="24"/>
          <w:szCs w:val="24"/>
        </w:rPr>
        <w:t>werping van het wetsvoorstel op het EPD door de Eerste Kamer dateert – behaalt Nederland op Denemarken na de beste score. Ondanks de wettelijke regeling van eHealth in Frankrijk en België staan deze ‘trage volgers’ slechts op plaatsen zes en zeven.</w:t>
      </w:r>
      <w:r w:rsidRPr="00D147A7">
        <w:rPr>
          <w:rStyle w:val="Voetnootmarkering"/>
          <w:rFonts w:ascii="Times New Roman" w:hAnsi="Times New Roman" w:cs="Times New Roman"/>
          <w:sz w:val="24"/>
          <w:szCs w:val="24"/>
        </w:rPr>
        <w:footnoteReference w:id="720"/>
      </w:r>
      <w:r w:rsidRPr="00D147A7">
        <w:rPr>
          <w:rFonts w:ascii="Times New Roman" w:hAnsi="Times New Roman" w:cs="Times New Roman"/>
          <w:sz w:val="24"/>
          <w:szCs w:val="24"/>
        </w:rPr>
        <w:t xml:space="preserve"> Hoewel België wel over de nodige technologie</w:t>
      </w:r>
      <w:r w:rsidR="00C1389C">
        <w:rPr>
          <w:rFonts w:ascii="Times New Roman" w:hAnsi="Times New Roman" w:cs="Times New Roman"/>
          <w:sz w:val="24"/>
          <w:szCs w:val="24"/>
        </w:rPr>
        <w:t xml:space="preserve"> en wetgeving</w:t>
      </w:r>
      <w:r w:rsidRPr="00D147A7">
        <w:rPr>
          <w:rFonts w:ascii="Times New Roman" w:hAnsi="Times New Roman" w:cs="Times New Roman"/>
          <w:sz w:val="24"/>
          <w:szCs w:val="24"/>
        </w:rPr>
        <w:t xml:space="preserve"> beschikt, ontbreekt het aan een verbinding tussen al die </w:t>
      </w:r>
      <w:r w:rsidRPr="00D147A7">
        <w:rPr>
          <w:rFonts w:ascii="Times New Roman" w:hAnsi="Times New Roman" w:cs="Times New Roman"/>
          <w:sz w:val="24"/>
          <w:szCs w:val="24"/>
        </w:rPr>
        <w:lastRenderedPageBreak/>
        <w:t xml:space="preserve">elementen en moeten de inspanningen van de verschillende overheden beter op elkaar </w:t>
      </w:r>
      <w:r w:rsidR="00404B84"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 xml:space="preserve">afgestemd. Dit kan enkel via een staatshervorming </w:t>
      </w:r>
      <w:r w:rsidR="00404B84">
        <w:rPr>
          <w:rFonts w:ascii="Times New Roman" w:hAnsi="Times New Roman" w:cs="Times New Roman"/>
          <w:sz w:val="24"/>
          <w:szCs w:val="24"/>
        </w:rPr>
        <w:t xml:space="preserve">bereikt </w:t>
      </w:r>
      <w:r w:rsidRPr="00D147A7">
        <w:rPr>
          <w:rFonts w:ascii="Times New Roman" w:hAnsi="Times New Roman" w:cs="Times New Roman"/>
          <w:sz w:val="24"/>
          <w:szCs w:val="24"/>
        </w:rPr>
        <w:t>worden. Hoewel dat geen sinecure is, moet die er toch zo snel mogelijk komen. A.d.h.v. een doorgedreven eHealth-beleid kun</w:t>
      </w:r>
      <w:r w:rsidR="00C1389C">
        <w:rPr>
          <w:rFonts w:ascii="Times New Roman" w:hAnsi="Times New Roman" w:cs="Times New Roman"/>
          <w:sz w:val="24"/>
          <w:szCs w:val="24"/>
        </w:rPr>
        <w:t>-</w:t>
      </w:r>
      <w:r w:rsidRPr="00D147A7">
        <w:rPr>
          <w:rFonts w:ascii="Times New Roman" w:hAnsi="Times New Roman" w:cs="Times New Roman"/>
          <w:sz w:val="24"/>
          <w:szCs w:val="24"/>
        </w:rPr>
        <w:t>nen immers veel kosten bespaard worden, wat m.n. voor de (dure) Belgische gezondheidszorg aantrekkelijk is.</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mallCaps/>
          <w:sz w:val="24"/>
          <w:szCs w:val="24"/>
        </w:rPr>
      </w:pPr>
      <w:r w:rsidRPr="00D147A7">
        <w:rPr>
          <w:rFonts w:ascii="Times New Roman" w:hAnsi="Times New Roman" w:cs="Times New Roman"/>
          <w:sz w:val="24"/>
          <w:szCs w:val="24"/>
        </w:rPr>
        <w:t xml:space="preserve">2.5 </w:t>
      </w:r>
      <w:r w:rsidRPr="00D147A7">
        <w:rPr>
          <w:rFonts w:ascii="Times New Roman" w:hAnsi="Times New Roman" w:cs="Times New Roman"/>
          <w:smallCaps/>
          <w:sz w:val="24"/>
          <w:szCs w:val="24"/>
        </w:rPr>
        <w:t>Bibliografie</w:t>
      </w:r>
    </w:p>
    <w:p w:rsidR="009931C7" w:rsidRPr="00D147A7" w:rsidRDefault="009931C7" w:rsidP="009931C7">
      <w:pPr>
        <w:pStyle w:val="Geenafstand"/>
        <w:jc w:val="both"/>
        <w:rPr>
          <w:rFonts w:ascii="Times New Roman" w:hAnsi="Times New Roman" w:cs="Times New Roman"/>
          <w:smallCaps/>
          <w:sz w:val="24"/>
          <w:szCs w:val="24"/>
        </w:rPr>
      </w:pPr>
    </w:p>
    <w:p w:rsidR="009931C7" w:rsidRPr="00D147A7" w:rsidRDefault="009931C7" w:rsidP="009931C7">
      <w:pPr>
        <w:pStyle w:val="Geenafstand"/>
        <w:ind w:firstLine="708"/>
        <w:jc w:val="both"/>
        <w:rPr>
          <w:rFonts w:ascii="Times New Roman" w:hAnsi="Times New Roman" w:cs="Times New Roman"/>
          <w:b/>
          <w:smallCaps/>
          <w:sz w:val="24"/>
          <w:szCs w:val="24"/>
        </w:rPr>
      </w:pPr>
      <w:r w:rsidRPr="00D147A7">
        <w:rPr>
          <w:rFonts w:ascii="Times New Roman" w:hAnsi="Times New Roman" w:cs="Times New Roman"/>
          <w:b/>
          <w:smallCaps/>
          <w:sz w:val="24"/>
          <w:szCs w:val="24"/>
        </w:rPr>
        <w:t>2.5.1 Internationaal</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404B84">
      <w:pPr>
        <w:pStyle w:val="Geenafstand"/>
        <w:ind w:left="708" w:firstLine="708"/>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00404B84">
        <w:rPr>
          <w:rFonts w:ascii="Times New Roman" w:hAnsi="Times New Roman" w:cs="Times New Roman"/>
          <w:b/>
          <w:sz w:val="24"/>
          <w:szCs w:val="24"/>
        </w:rPr>
        <w:t>1.1 Wetgeving</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European Commission, ‘What is eHealth’ (</w:t>
      </w:r>
      <w:hyperlink r:id="rId101" w:history="1">
        <w:r w:rsidR="005F6991" w:rsidRPr="00D147A7">
          <w:rPr>
            <w:rStyle w:val="Hyperlink"/>
            <w:rFonts w:ascii="Times New Roman" w:hAnsi="Times New Roman" w:cs="Times New Roman"/>
            <w:sz w:val="24"/>
            <w:szCs w:val="24"/>
          </w:rPr>
          <w:t>http://ec.europe.eu/information_society/activities/ health/whatis_ehealth/index_en.htm</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e-Health-making healthcare better for European citizens: An action plan for a European e-Health Area, COM(2004)356 def., (</w:t>
      </w:r>
      <w:hyperlink r:id="rId102" w:history="1">
        <w:r w:rsidR="005F6991" w:rsidRPr="00D147A7">
          <w:rPr>
            <w:rStyle w:val="Hyperlink"/>
            <w:rFonts w:ascii="Times New Roman" w:hAnsi="Times New Roman" w:cs="Times New Roman"/>
            <w:sz w:val="24"/>
            <w:szCs w:val="24"/>
            <w:lang w:val="en-US"/>
          </w:rPr>
          <w:t>http://eur-lex.europa.eu/LexUriServ/LexUriServ.do?Uri= COM:2004:0356:FIN:EN:PDF</w:t>
        </w:r>
      </w:hyperlink>
      <w:r w:rsidRPr="00D147A7">
        <w:rPr>
          <w:rFonts w:ascii="Times New Roman" w:hAnsi="Times New Roman" w:cs="Times New Roman"/>
          <w:sz w:val="24"/>
          <w:szCs w:val="24"/>
          <w:lang w:val="en-US"/>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Richtlijn 1999/93 betreffende een gemeenschappelijk kader vo</w:t>
      </w:r>
      <w:r w:rsidR="005F6991" w:rsidRPr="00D147A7">
        <w:rPr>
          <w:rFonts w:ascii="Times New Roman" w:hAnsi="Times New Roman" w:cs="Times New Roman"/>
          <w:sz w:val="24"/>
          <w:szCs w:val="24"/>
        </w:rPr>
        <w:t>or elektronische handtekening</w:t>
      </w:r>
      <w:r w:rsidR="00404B84">
        <w:rPr>
          <w:rFonts w:ascii="Times New Roman" w:hAnsi="Times New Roman" w:cs="Times New Roman"/>
          <w:sz w:val="24"/>
          <w:szCs w:val="24"/>
        </w:rPr>
        <w:t>-</w:t>
      </w:r>
      <w:r w:rsidR="005F6991" w:rsidRPr="00D147A7">
        <w:rPr>
          <w:rFonts w:ascii="Times New Roman" w:hAnsi="Times New Roman" w:cs="Times New Roman"/>
          <w:sz w:val="24"/>
          <w:szCs w:val="24"/>
        </w:rPr>
        <w:t xml:space="preserve">en </w:t>
      </w:r>
      <w:r w:rsidRPr="00D147A7">
        <w:rPr>
          <w:rFonts w:ascii="Times New Roman" w:hAnsi="Times New Roman" w:cs="Times New Roman"/>
          <w:sz w:val="24"/>
          <w:szCs w:val="24"/>
        </w:rPr>
        <w:t>(</w:t>
      </w:r>
      <w:hyperlink r:id="rId103" w:history="1">
        <w:r w:rsidR="00404B84" w:rsidRPr="002E3061">
          <w:rPr>
            <w:rStyle w:val="Hyperlink"/>
            <w:rFonts w:ascii="Times New Roman" w:hAnsi="Times New Roman" w:cs="Times New Roman"/>
            <w:sz w:val="24"/>
            <w:szCs w:val="24"/>
          </w:rPr>
          <w:t>http://europa.eu.int/infotmation_society/eeurope/i2010/a_single_infor_space/index_en .htm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Het tweede Europese actieplan voor de periode 2012-2020 (</w:t>
      </w:r>
      <w:hyperlink r:id="rId104" w:history="1">
        <w:r w:rsidR="005F6991" w:rsidRPr="00D147A7">
          <w:rPr>
            <w:rStyle w:val="Hyperlink"/>
            <w:rFonts w:ascii="Times New Roman" w:hAnsi="Times New Roman" w:cs="Times New Roman"/>
            <w:sz w:val="24"/>
            <w:szCs w:val="24"/>
          </w:rPr>
          <w:t>http://ec.europa.eu/information_ society/activities/health/docs/policy/ehap2012public-consult-report.pdf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Richtlijn 2011/24/EU van 9 maart 2011 betreffende de toepassing van de rechten van de patiënten bij grensoverschrijdende gezondheidszorg (</w:t>
      </w:r>
      <w:r w:rsidRPr="00D147A7">
        <w:rPr>
          <w:rFonts w:ascii="Times New Roman" w:hAnsi="Times New Roman" w:cs="Times New Roman"/>
          <w:i/>
          <w:sz w:val="24"/>
          <w:szCs w:val="24"/>
        </w:rPr>
        <w:t>Pb.EG L.</w:t>
      </w:r>
      <w:r w:rsidRPr="00D147A7">
        <w:rPr>
          <w:rFonts w:ascii="Times New Roman" w:hAnsi="Times New Roman" w:cs="Times New Roman"/>
          <w:sz w:val="24"/>
          <w:szCs w:val="24"/>
        </w:rPr>
        <w:t xml:space="preserve"> 88, 4 april 2001).</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1.2 Rechtsleer en literatuur</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rPr>
        <w:t xml:space="preserve">DELOITTE; IPSOS; eHealth Benchmarking III, Directoraat-generaal Informatiemaatschappij en Media van de Europese Commissie, 2011, 274p. </w:t>
      </w:r>
      <w:r w:rsidRPr="00D147A7">
        <w:rPr>
          <w:rFonts w:ascii="Times New Roman" w:hAnsi="Times New Roman" w:cs="Times New Roman"/>
          <w:sz w:val="24"/>
          <w:szCs w:val="24"/>
          <w:lang w:val="en-US"/>
        </w:rPr>
        <w:t>(</w:t>
      </w:r>
      <w:hyperlink r:id="rId105" w:history="1">
        <w:r w:rsidR="00B9762E" w:rsidRPr="00D147A7">
          <w:rPr>
            <w:rStyle w:val="Hyperlink"/>
            <w:rFonts w:ascii="Times New Roman" w:hAnsi="Times New Roman" w:cs="Times New Roman"/>
            <w:sz w:val="24"/>
            <w:szCs w:val="24"/>
            <w:lang w:val="en-US"/>
          </w:rPr>
          <w:t>http://ec.europa.eu/information_society/ eeurope/i2010/docs/benchmarking/ehealth_benchmarking_3_final_report.pdf</w:t>
        </w:r>
      </w:hyperlink>
      <w:r w:rsidRPr="00D147A7">
        <w:rPr>
          <w:rFonts w:ascii="Times New Roman" w:hAnsi="Times New Roman" w:cs="Times New Roman"/>
          <w:sz w:val="24"/>
          <w:szCs w:val="24"/>
          <w:lang w:val="en-US"/>
        </w:rPr>
        <w:t>, laatst geraad</w:t>
      </w:r>
      <w:r w:rsidR="00B9762E" w:rsidRPr="00D147A7">
        <w:rPr>
          <w:rFonts w:ascii="Times New Roman" w:hAnsi="Times New Roman" w:cs="Times New Roman"/>
          <w:sz w:val="24"/>
          <w:szCs w:val="24"/>
          <w:lang w:val="en-US"/>
        </w:rPr>
        <w:t>-</w:t>
      </w:r>
      <w:r w:rsidRPr="00D147A7">
        <w:rPr>
          <w:rFonts w:ascii="Times New Roman" w:hAnsi="Times New Roman" w:cs="Times New Roman"/>
          <w:sz w:val="24"/>
          <w:szCs w:val="24"/>
          <w:lang w:val="en-US"/>
        </w:rPr>
        <w:t>pleegd op 23 juli 2012).</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IACOVINO, L.; REED, B.; ‘Recordkeeping research tools in a multi-disciplinair context for cross-jurisidctional health records systems’, </w:t>
      </w:r>
      <w:r w:rsidRPr="00D147A7">
        <w:rPr>
          <w:rFonts w:ascii="Times New Roman" w:hAnsi="Times New Roman" w:cs="Times New Roman"/>
          <w:i/>
          <w:sz w:val="24"/>
          <w:szCs w:val="24"/>
          <w:lang w:val="en-US"/>
        </w:rPr>
        <w:t>Archival Science</w:t>
      </w:r>
      <w:r w:rsidRPr="00D147A7">
        <w:rPr>
          <w:rFonts w:ascii="Times New Roman" w:hAnsi="Times New Roman" w:cs="Times New Roman"/>
          <w:sz w:val="24"/>
          <w:szCs w:val="24"/>
          <w:lang w:val="en-US"/>
        </w:rPr>
        <w:t>, 8/1 (2008), p. 37-68.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KRANENBORG, H.R., ‘eHealth en privacy: welke rol voor de Europese Unie?’,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2011, 6, p. 292-299 (nr. 153).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MECHEAL, P.; KAONGA, N.; BATAVIA, H.; ESKANDAR, H.; DZENOWAGIS, J.; PE</w:t>
      </w:r>
      <w:r w:rsidR="003A670E">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REZ-CHAVOLLA, L.; </w:t>
      </w:r>
      <w:r w:rsidRPr="00D147A7">
        <w:rPr>
          <w:rFonts w:ascii="Times New Roman" w:hAnsi="Times New Roman" w:cs="Times New Roman"/>
          <w:i/>
          <w:sz w:val="24"/>
          <w:szCs w:val="24"/>
          <w:lang w:val="en-US"/>
        </w:rPr>
        <w:t>mHealth: New horizons for health through mobile technologies</w:t>
      </w:r>
      <w:r w:rsidRPr="00D147A7">
        <w:rPr>
          <w:rFonts w:ascii="Times New Roman" w:hAnsi="Times New Roman" w:cs="Times New Roman"/>
          <w:sz w:val="24"/>
          <w:szCs w:val="24"/>
          <w:lang w:val="en-US"/>
        </w:rPr>
        <w:t>, Glo</w:t>
      </w:r>
      <w:r w:rsidR="003A670E">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bal Observatory for eHealth series, 3, Genève, WHO Press, 2011, 102p. </w:t>
      </w:r>
      <w:r w:rsidRPr="00D147A7">
        <w:rPr>
          <w:rFonts w:ascii="Times New Roman" w:hAnsi="Times New Roman" w:cs="Times New Roman"/>
          <w:sz w:val="24"/>
          <w:szCs w:val="24"/>
        </w:rPr>
        <w:t>(</w:t>
      </w:r>
      <w:hyperlink r:id="rId106" w:history="1">
        <w:r w:rsidR="003A670E" w:rsidRPr="00ED5FE6">
          <w:rPr>
            <w:rStyle w:val="Hyperlink"/>
            <w:rFonts w:ascii="Times New Roman" w:hAnsi="Times New Roman" w:cs="Times New Roman"/>
            <w:sz w:val="24"/>
            <w:szCs w:val="24"/>
          </w:rPr>
          <w:t>http://www.who.int/ goe/publications/goe_mhealth_web.pdf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NYS, H., ‘De rechten van de europatiënt. De individuele rechten van de patiënt in Richtlijn 2011/24/EU’, </w:t>
      </w:r>
      <w:r w:rsidRPr="00D147A7">
        <w:rPr>
          <w:rFonts w:ascii="Times New Roman" w:hAnsi="Times New Roman" w:cs="Times New Roman"/>
          <w:i/>
          <w:sz w:val="24"/>
          <w:szCs w:val="24"/>
        </w:rPr>
        <w:t>Ars Aequi</w:t>
      </w:r>
      <w:r w:rsidRPr="00D147A7">
        <w:rPr>
          <w:rFonts w:ascii="Times New Roman" w:hAnsi="Times New Roman" w:cs="Times New Roman"/>
          <w:sz w:val="24"/>
          <w:szCs w:val="24"/>
        </w:rPr>
        <w:t xml:space="preserve">, 60 (2011), speciaal nummer, p. 558-564.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PEETERS, M., ‘Richtlijn 2011/24 betreffende de toepassing van de rechten van patiënten bij grens-overschrijdende gezondheidszorg: impact op de (Belgische) gezondheidszorg, </w:t>
      </w:r>
      <w:r w:rsidRPr="00D147A7">
        <w:rPr>
          <w:rFonts w:ascii="Times New Roman" w:hAnsi="Times New Roman" w:cs="Times New Roman"/>
          <w:i/>
          <w:sz w:val="24"/>
          <w:szCs w:val="24"/>
        </w:rPr>
        <w:t>T.Gez.</w:t>
      </w:r>
      <w:r w:rsidRPr="00D147A7">
        <w:rPr>
          <w:rFonts w:ascii="Times New Roman" w:hAnsi="Times New Roman" w:cs="Times New Roman"/>
          <w:sz w:val="24"/>
          <w:szCs w:val="24"/>
        </w:rPr>
        <w:t xml:space="preserve">, 2011-2012, 2, p. 94-112.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STAP, R.; VERHOOSEL, J.; </w:t>
      </w:r>
      <w:r w:rsidRPr="00D147A7">
        <w:rPr>
          <w:rFonts w:ascii="Times New Roman" w:hAnsi="Times New Roman" w:cs="Times New Roman"/>
          <w:i/>
          <w:sz w:val="24"/>
          <w:szCs w:val="24"/>
        </w:rPr>
        <w:t>De Europese Norm EN 13606. Overzicht en relaties EN 13606</w:t>
      </w:r>
      <w:r w:rsidRPr="00D147A7">
        <w:rPr>
          <w:rFonts w:ascii="Times New Roman" w:hAnsi="Times New Roman" w:cs="Times New Roman"/>
          <w:sz w:val="24"/>
          <w:szCs w:val="24"/>
        </w:rPr>
        <w:t>, Enschede, Nederlandse Organisatie voor toegepast-natuurwetenschappelijk onderzoek – In</w:t>
      </w:r>
      <w:r w:rsidR="003A670E">
        <w:rPr>
          <w:rFonts w:ascii="Times New Roman" w:hAnsi="Times New Roman" w:cs="Times New Roman"/>
          <w:sz w:val="24"/>
          <w:szCs w:val="24"/>
        </w:rPr>
        <w:t>-</w:t>
      </w:r>
      <w:r w:rsidRPr="00D147A7">
        <w:rPr>
          <w:rFonts w:ascii="Times New Roman" w:hAnsi="Times New Roman" w:cs="Times New Roman"/>
          <w:sz w:val="24"/>
          <w:szCs w:val="24"/>
        </w:rPr>
        <w:t>formatie en communicatietechnologie, 2007, 30p. (</w:t>
      </w:r>
      <w:hyperlink r:id="rId107" w:history="1">
        <w:r w:rsidR="00AF492F" w:rsidRPr="000805E8">
          <w:rPr>
            <w:rStyle w:val="Hyperlink"/>
            <w:rFonts w:ascii="Times New Roman" w:hAnsi="Times New Roman" w:cs="Times New Roman"/>
            <w:sz w:val="24"/>
            <w:szCs w:val="24"/>
          </w:rPr>
          <w:t>http://www.e-recordservices.eu/ attachments/007_TNO%20rapport%20NICTIZ%20over%20EN13606%20V1.0%20final.pdf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VAN DER MEI, A., ‘De nieuwe Richtlijn betreffende de toepassing van de rechten van pa</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tiënten bij grensoverschrijdende zorg’, </w:t>
      </w:r>
      <w:r w:rsidRPr="00D147A7">
        <w:rPr>
          <w:rFonts w:ascii="Times New Roman" w:hAnsi="Times New Roman" w:cs="Times New Roman"/>
          <w:i/>
          <w:sz w:val="24"/>
          <w:szCs w:val="24"/>
        </w:rPr>
        <w:t>N.J.B.</w:t>
      </w:r>
      <w:r w:rsidRPr="00D147A7">
        <w:rPr>
          <w:rFonts w:ascii="Times New Roman" w:hAnsi="Times New Roman" w:cs="Times New Roman"/>
          <w:sz w:val="24"/>
          <w:szCs w:val="24"/>
        </w:rPr>
        <w:t>, 2011, 40, p. 2712-2719.</w:t>
      </w:r>
    </w:p>
    <w:p w:rsidR="009931C7" w:rsidRPr="00D147A7" w:rsidRDefault="009931C7" w:rsidP="009931C7">
      <w:pPr>
        <w:pStyle w:val="Geenafstand"/>
        <w:jc w:val="both"/>
        <w:rPr>
          <w:rFonts w:ascii="Times New Roman" w:hAnsi="Times New Roman" w:cs="Times New Roman"/>
          <w:b/>
          <w:smallCaps/>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1.3 Websites</w:t>
      </w:r>
    </w:p>
    <w:p w:rsidR="009931C7" w:rsidRPr="00D147A7" w:rsidRDefault="002E7E12" w:rsidP="009931C7">
      <w:pPr>
        <w:pStyle w:val="Geenafstand"/>
        <w:jc w:val="both"/>
        <w:rPr>
          <w:rFonts w:ascii="Times New Roman" w:hAnsi="Times New Roman" w:cs="Times New Roman"/>
          <w:sz w:val="24"/>
          <w:szCs w:val="24"/>
        </w:rPr>
      </w:pPr>
      <w:hyperlink r:id="rId108" w:history="1">
        <w:r w:rsidR="009931C7" w:rsidRPr="00D147A7">
          <w:rPr>
            <w:rStyle w:val="Hyperlink"/>
            <w:rFonts w:ascii="Times New Roman" w:hAnsi="Times New Roman" w:cs="Times New Roman"/>
            <w:sz w:val="24"/>
            <w:szCs w:val="24"/>
          </w:rPr>
          <w:t>http://www.e-recordservices.eu/</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09" w:history="1">
        <w:r w:rsidR="009931C7" w:rsidRPr="00D147A7">
          <w:rPr>
            <w:rStyle w:val="Hyperlink"/>
            <w:rFonts w:ascii="Times New Roman" w:hAnsi="Times New Roman" w:cs="Times New Roman"/>
            <w:sz w:val="24"/>
            <w:szCs w:val="24"/>
          </w:rPr>
          <w:t>http://ec.europe.eu/</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10" w:history="1">
        <w:r w:rsidR="009931C7" w:rsidRPr="00D147A7">
          <w:rPr>
            <w:rStyle w:val="Hyperlink"/>
            <w:rFonts w:ascii="Times New Roman" w:hAnsi="Times New Roman" w:cs="Times New Roman"/>
            <w:sz w:val="24"/>
            <w:szCs w:val="24"/>
          </w:rPr>
          <w:t>http://eur-lex.europa.eu/</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11" w:history="1">
        <w:r w:rsidR="009931C7" w:rsidRPr="00D147A7">
          <w:rPr>
            <w:rStyle w:val="Hyperlink"/>
            <w:rFonts w:ascii="Times New Roman" w:hAnsi="Times New Roman" w:cs="Times New Roman"/>
            <w:sz w:val="24"/>
            <w:szCs w:val="24"/>
          </w:rPr>
          <w:t>http://europa.eu.int/</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12" w:history="1">
        <w:r w:rsidR="009931C7" w:rsidRPr="00D147A7">
          <w:rPr>
            <w:rStyle w:val="Hyperlink"/>
            <w:rFonts w:ascii="Times New Roman" w:hAnsi="Times New Roman" w:cs="Times New Roman"/>
            <w:sz w:val="24"/>
            <w:szCs w:val="24"/>
          </w:rPr>
          <w:t>http://www.who.int/</w:t>
        </w:r>
      </w:hyperlink>
      <w:r w:rsidR="009931C7"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b/>
          <w:smallCaps/>
          <w:sz w:val="24"/>
          <w:szCs w:val="24"/>
        </w:rPr>
      </w:pPr>
    </w:p>
    <w:p w:rsidR="009931C7" w:rsidRPr="00D147A7" w:rsidRDefault="009931C7" w:rsidP="009931C7">
      <w:pPr>
        <w:pStyle w:val="Geenafstand"/>
        <w:jc w:val="both"/>
        <w:rPr>
          <w:rFonts w:ascii="Times New Roman" w:hAnsi="Times New Roman" w:cs="Times New Roman"/>
          <w:b/>
          <w:smallCaps/>
          <w:sz w:val="24"/>
          <w:szCs w:val="24"/>
        </w:rPr>
      </w:pPr>
    </w:p>
    <w:p w:rsidR="009931C7" w:rsidRDefault="00404B84" w:rsidP="00404B84">
      <w:pPr>
        <w:pStyle w:val="Geenafstand"/>
        <w:ind w:firstLine="708"/>
        <w:jc w:val="both"/>
        <w:rPr>
          <w:rFonts w:ascii="Times New Roman" w:hAnsi="Times New Roman" w:cs="Times New Roman"/>
          <w:b/>
          <w:smallCaps/>
          <w:sz w:val="24"/>
          <w:szCs w:val="24"/>
        </w:rPr>
      </w:pPr>
      <w:r>
        <w:rPr>
          <w:rFonts w:ascii="Times New Roman" w:hAnsi="Times New Roman" w:cs="Times New Roman"/>
          <w:b/>
          <w:smallCaps/>
          <w:sz w:val="24"/>
          <w:szCs w:val="24"/>
        </w:rPr>
        <w:t>2.5.2 België</w:t>
      </w:r>
    </w:p>
    <w:p w:rsidR="00404B84" w:rsidRPr="00404B84" w:rsidRDefault="00404B84" w:rsidP="00404B84">
      <w:pPr>
        <w:pStyle w:val="Geenafstand"/>
        <w:ind w:firstLine="708"/>
        <w:jc w:val="both"/>
        <w:rPr>
          <w:rFonts w:ascii="Times New Roman" w:hAnsi="Times New Roman" w:cs="Times New Roman"/>
          <w:b/>
          <w:smallCaps/>
          <w:sz w:val="24"/>
          <w:szCs w:val="24"/>
        </w:rPr>
      </w:pPr>
    </w:p>
    <w:p w:rsidR="009931C7"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2.</w:t>
      </w:r>
      <w:r w:rsidR="00404B84">
        <w:rPr>
          <w:rFonts w:ascii="Times New Roman" w:hAnsi="Times New Roman" w:cs="Times New Roman"/>
          <w:b/>
          <w:sz w:val="24"/>
          <w:szCs w:val="24"/>
        </w:rPr>
        <w:t>1 Parlementaire voorbereidingen</w:t>
      </w:r>
    </w:p>
    <w:p w:rsidR="003A670E" w:rsidRPr="00404B84" w:rsidRDefault="003A670E" w:rsidP="009931C7">
      <w:pPr>
        <w:pStyle w:val="Geenafstand"/>
        <w:jc w:val="both"/>
        <w:rPr>
          <w:rFonts w:ascii="Times New Roman" w:hAnsi="Times New Roman" w:cs="Times New Roman"/>
          <w:b/>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Parl.St.</w:t>
      </w:r>
      <w:r w:rsidRPr="00D147A7">
        <w:rPr>
          <w:rFonts w:ascii="Times New Roman" w:hAnsi="Times New Roman" w:cs="Times New Roman"/>
          <w:sz w:val="24"/>
          <w:szCs w:val="24"/>
        </w:rPr>
        <w:t xml:space="preserve"> Kamer, 2007-2008, nr. 52-1257/003.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Parl.St.</w:t>
      </w:r>
      <w:r w:rsidRPr="00D147A7">
        <w:rPr>
          <w:rFonts w:ascii="Times New Roman" w:hAnsi="Times New Roman" w:cs="Times New Roman"/>
          <w:sz w:val="24"/>
          <w:szCs w:val="24"/>
        </w:rPr>
        <w:t xml:space="preserve"> Kamer, 2007-2008, nr. 52-1257/006.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Parl.St.</w:t>
      </w:r>
      <w:r w:rsidRPr="00D147A7">
        <w:rPr>
          <w:rFonts w:ascii="Times New Roman" w:hAnsi="Times New Roman" w:cs="Times New Roman"/>
          <w:sz w:val="24"/>
          <w:szCs w:val="24"/>
        </w:rPr>
        <w:t xml:space="preserve"> Senaat, 2007-2008, nr. 4-863/3.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Wetsontwerp betreffende de verwerking en de informatisering van de gezondheidsgegevens alsook de toepassingen voor telegeneeskunde (</w:t>
      </w:r>
      <w:hyperlink r:id="rId113" w:history="1">
        <w:r w:rsidRPr="00D147A7">
          <w:rPr>
            <w:rStyle w:val="Hyperlink"/>
            <w:rFonts w:ascii="Times New Roman" w:hAnsi="Times New Roman" w:cs="Times New Roman"/>
            <w:sz w:val="24"/>
            <w:szCs w:val="24"/>
          </w:rPr>
          <w:t>http://www.absym.be/behealth.html</w:t>
        </w:r>
      </w:hyperlink>
      <w:r w:rsidRPr="00D147A7">
        <w:rPr>
          <w:rFonts w:ascii="Times New Roman" w:hAnsi="Times New Roman" w:cs="Times New Roman"/>
          <w:sz w:val="24"/>
          <w:szCs w:val="24"/>
        </w:rPr>
        <w:t xml:space="preserve"> en </w:t>
      </w:r>
      <w:hyperlink w:history="1">
        <w:r w:rsidR="00404B84" w:rsidRPr="002E3061">
          <w:rPr>
            <w:rStyle w:val="Hyperlink"/>
            <w:rFonts w:ascii="Times New Roman" w:hAnsi="Times New Roman" w:cs="Times New Roman"/>
            <w:sz w:val="24"/>
            <w:szCs w:val="24"/>
          </w:rPr>
          <w:t>http:// www.svh.be/behealth.htm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Antwoord van Jo Vandeurzen op vraag nr. 74 van Vera van der Borght op 25 oktober 2010 (</w:t>
      </w:r>
      <w:hyperlink r:id="rId114" w:history="1">
        <w:r w:rsidRPr="00D147A7">
          <w:rPr>
            <w:rStyle w:val="Hyperlink"/>
            <w:rFonts w:ascii="Times New Roman" w:hAnsi="Times New Roman" w:cs="Times New Roman"/>
            <w:sz w:val="24"/>
            <w:szCs w:val="24"/>
          </w:rPr>
          <w:t>http://docs.vlaamsparlement.be/docs/schv/2010-2011/VANDEURZEN/74</w:t>
        </w:r>
      </w:hyperlink>
      <w:r w:rsidRPr="00D147A7">
        <w:rPr>
          <w:rFonts w:ascii="Times New Roman" w:hAnsi="Times New Roman" w:cs="Times New Roman"/>
          <w:sz w:val="24"/>
          <w:szCs w:val="24"/>
        </w:rPr>
        <w:t>, laatst geraad</w:t>
      </w:r>
      <w:r w:rsidR="00404B84">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Belgische Senaat, 2006-2007, </w:t>
      </w:r>
      <w:r w:rsidRPr="00D147A7">
        <w:rPr>
          <w:rFonts w:ascii="Times New Roman" w:hAnsi="Times New Roman" w:cs="Times New Roman"/>
          <w:i/>
          <w:sz w:val="24"/>
          <w:szCs w:val="24"/>
        </w:rPr>
        <w:t>De problematiek van de administratieve vereenvoudiging voor artsen</w:t>
      </w:r>
      <w:r w:rsidRPr="00D147A7">
        <w:rPr>
          <w:rFonts w:ascii="Times New Roman" w:hAnsi="Times New Roman" w:cs="Times New Roman"/>
          <w:sz w:val="24"/>
          <w:szCs w:val="24"/>
        </w:rPr>
        <w:t>, Verslag namens de Commissie voor de Sociale Aangelegenheden uitgebracht door mevrouw de Schamphelaere, 3-1991/1, 45p. (</w:t>
      </w:r>
      <w:hyperlink r:id="rId115" w:history="1">
        <w:r w:rsidR="003A670E" w:rsidRPr="00ED5FE6">
          <w:rPr>
            <w:rStyle w:val="Hyperlink"/>
            <w:rFonts w:ascii="Times New Roman" w:hAnsi="Times New Roman" w:cs="Times New Roman"/>
            <w:sz w:val="24"/>
            <w:szCs w:val="24"/>
          </w:rPr>
          <w:t>http://www.senate.be/www/webdriver?MItab Obj=pdf&amp;MIcolObj=pdf&amp;MInamObj=pdfid&amp;MItypeObj=application/pdf&amp;MIvalObj=50336739</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2.2 Wetgeving</w:t>
      </w:r>
    </w:p>
    <w:p w:rsidR="003A670E" w:rsidRDefault="003A670E"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Bijzondere wet van 8 augustus 1980 tot hervorming der instellingen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15 augustus 1980).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8 augustus 1983 tot regeling van een Rijksregister van de natuurlijke personen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21 april 1984).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15 januari 1990 houdende oprichting en organisatie van een Kruispuntbank van de sociale zekerheid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22 februari 1990).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25 februari 1996 houdende bepaling van de regels volgens welke bepaalde minimale psychiatrische statistische gegevens moeten worden medegedeeld aan de Minister die de Volksgezondheid onder zijn bevoegdheid heeft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29 juni 1996), gewijzigd door het KB van 16 december 1998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6 maart 1999).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3 april 1997 houdende maatregelen met het oog op de responsabilisering van de openbare instellingen van de sociale zekerheid, met toepassing van artikel 47 van de wet van 26 juli 1996 tot modernisering van de sociale zekerheid en tot vrijwaring van de leefbaarheid van de wettelijke pensioenstelsels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april 1997).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13 februari 1998 tot vaststelling van de specificaties en de registratieprocedure van de leesapparatuur voor de elektronische identiteitskaart en de sociale identiteitskaart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12 maart 1998), gewijzigd door het KB van 15 oktober 2000 (BS 1 november 2000) en het KB van 7 december 2006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12 januari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KB van 27 april 1998 houdende uitvoering van artikel 156, lid 5 van de wet van 29 april 1996 houdende sociale bepalingen, met betrekking tot de wijze waarop de ziekenhuizen aan de technische cel de noodzakelijke informatie meedelen voor de samenvoeging van de anonieme minimale klinische en financiële gegevens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14 augustus 1998). </w:t>
      </w:r>
    </w:p>
    <w:p w:rsidR="009931C7" w:rsidRPr="00D147A7" w:rsidRDefault="009931C7" w:rsidP="009931C7">
      <w:pPr>
        <w:pStyle w:val="Geenafstand"/>
        <w:jc w:val="both"/>
        <w:rPr>
          <w:rFonts w:ascii="Times New Roman" w:hAnsi="Times New Roman" w:cs="Times New Roman"/>
          <w:b/>
          <w:smallCaps/>
          <w:sz w:val="24"/>
          <w:szCs w:val="24"/>
        </w:rPr>
      </w:pPr>
      <w:r w:rsidRPr="00D147A7">
        <w:rPr>
          <w:rFonts w:ascii="Times New Roman" w:hAnsi="Times New Roman" w:cs="Times New Roman"/>
          <w:sz w:val="24"/>
          <w:szCs w:val="24"/>
        </w:rPr>
        <w:t>KB van 20 september 1998 houdende bepaling van de regels volgens welke bepaalde mini</w:t>
      </w:r>
      <w:r w:rsidR="003A670E">
        <w:rPr>
          <w:rFonts w:ascii="Times New Roman" w:hAnsi="Times New Roman" w:cs="Times New Roman"/>
          <w:sz w:val="24"/>
          <w:szCs w:val="24"/>
        </w:rPr>
        <w:t>-</w:t>
      </w:r>
      <w:r w:rsidRPr="00D147A7">
        <w:rPr>
          <w:rFonts w:ascii="Times New Roman" w:hAnsi="Times New Roman" w:cs="Times New Roman"/>
          <w:sz w:val="24"/>
          <w:szCs w:val="24"/>
        </w:rPr>
        <w:t>male psychiatrische statistische gegevens van de initiatieven van beschut wonen moeten wor</w:t>
      </w:r>
      <w:r w:rsidR="003A670E">
        <w:rPr>
          <w:rFonts w:ascii="Times New Roman" w:hAnsi="Times New Roman" w:cs="Times New Roman"/>
          <w:sz w:val="24"/>
          <w:szCs w:val="24"/>
        </w:rPr>
        <w:t>-</w:t>
      </w:r>
      <w:r w:rsidRPr="00D147A7">
        <w:rPr>
          <w:rFonts w:ascii="Times New Roman" w:hAnsi="Times New Roman" w:cs="Times New Roman"/>
          <w:sz w:val="24"/>
          <w:szCs w:val="24"/>
        </w:rPr>
        <w:t>den medegedeeld aan de Minister die de Volksgezondheid onder zijn bevoegdheid heeft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11 december 1998).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25 januari 1999 houdende sociale bepalingen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6 februari 1999).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22 maart 1999 houdende uitvoering van [artikel 156 § 2, vierde lid] van de wet van 29 april 1996 houdende sociale bepalingen, met betrekking tot de wijze waarop de ver</w:t>
      </w:r>
      <w:r w:rsidR="003A670E">
        <w:rPr>
          <w:rFonts w:ascii="Times New Roman" w:hAnsi="Times New Roman" w:cs="Times New Roman"/>
          <w:sz w:val="24"/>
          <w:szCs w:val="24"/>
        </w:rPr>
        <w:t>-</w:t>
      </w:r>
      <w:r w:rsidRPr="00D147A7">
        <w:rPr>
          <w:rFonts w:ascii="Times New Roman" w:hAnsi="Times New Roman" w:cs="Times New Roman"/>
          <w:sz w:val="24"/>
          <w:szCs w:val="24"/>
        </w:rPr>
        <w:t>zekeringsinstellingen aan de technische cel de noodzakelijke informatie meedelen voor de samenvoeging van de anonieme minimale klinische en financiële gegevens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7 april 1999), gewijzigd door het KB van 24 september 2001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9 oktober 2001) en het KB van 1 juli 2006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11 juli 2006).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3 mei 1999 houdende oprichting van een Commissie ‘Standaarden inzake Telematica ten behoeve van de sector van de gezondheidszorg’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juli 1999).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20 oktober 2000 tot invoering van het gebruik van telecommunicatiemiddelen en van de elektronische handtekening in de gerechtelijke en de buitengerechtelijke procedure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22 december 2000).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Protocolakkoord van 25 oktober 2000 tot samenwerking tussen de federale overheid en de gemeenschappen inzake de mammografische borstkankerscreening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22 december 2000).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9 juli 2001 houdende vaststelling van bepaalde regels in verband met het juridisch kader voor elektronische handtekeningen, de elektronische aangetekende zending en certifica</w:t>
      </w:r>
      <w:r w:rsidR="003A670E">
        <w:rPr>
          <w:rFonts w:ascii="Times New Roman" w:hAnsi="Times New Roman" w:cs="Times New Roman"/>
          <w:sz w:val="24"/>
          <w:szCs w:val="24"/>
        </w:rPr>
        <w:t>-</w:t>
      </w:r>
      <w:r w:rsidRPr="00D147A7">
        <w:rPr>
          <w:rFonts w:ascii="Times New Roman" w:hAnsi="Times New Roman" w:cs="Times New Roman"/>
          <w:sz w:val="24"/>
          <w:szCs w:val="24"/>
        </w:rPr>
        <w:t>tiediensten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19 september 2001).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21 december 2001 tot vaststelling van de procedures, termijnen en voorwaarden in</w:t>
      </w:r>
      <w:r w:rsidR="003A670E">
        <w:rPr>
          <w:rFonts w:ascii="Times New Roman" w:hAnsi="Times New Roman" w:cs="Times New Roman"/>
          <w:sz w:val="24"/>
          <w:szCs w:val="24"/>
        </w:rPr>
        <w:t>-</w:t>
      </w:r>
      <w:r w:rsidRPr="00D147A7">
        <w:rPr>
          <w:rFonts w:ascii="Times New Roman" w:hAnsi="Times New Roman" w:cs="Times New Roman"/>
          <w:sz w:val="24"/>
          <w:szCs w:val="24"/>
        </w:rPr>
        <w:t>zake de tegemoetkoming van de verplichte verzekering voor geneeskundige verzorging en uit</w:t>
      </w:r>
      <w:r w:rsidR="003A670E">
        <w:rPr>
          <w:rFonts w:ascii="Times New Roman" w:hAnsi="Times New Roman" w:cs="Times New Roman"/>
          <w:sz w:val="24"/>
          <w:szCs w:val="24"/>
        </w:rPr>
        <w:t>-</w:t>
      </w:r>
      <w:r w:rsidRPr="00D147A7">
        <w:rPr>
          <w:rFonts w:ascii="Times New Roman" w:hAnsi="Times New Roman" w:cs="Times New Roman"/>
          <w:sz w:val="24"/>
          <w:szCs w:val="24"/>
        </w:rPr>
        <w:t>keringen in de kosten van farmaceutische specialiteiten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29 december 2001), gewijzigd door het KB van 15 februari 2007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5 maart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25 april 2002 betreffende de vaststelling en de vereffening van het budget van finan</w:t>
      </w:r>
      <w:r w:rsidR="003A670E">
        <w:rPr>
          <w:rFonts w:ascii="Times New Roman" w:hAnsi="Times New Roman" w:cs="Times New Roman"/>
          <w:sz w:val="24"/>
          <w:szCs w:val="24"/>
        </w:rPr>
        <w:t>-</w:t>
      </w:r>
      <w:r w:rsidRPr="00D147A7">
        <w:rPr>
          <w:rFonts w:ascii="Times New Roman" w:hAnsi="Times New Roman" w:cs="Times New Roman"/>
          <w:sz w:val="24"/>
          <w:szCs w:val="24"/>
        </w:rPr>
        <w:t>ciële middelen van de ziekenhuizen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mei 2005), gewijzigd door het KB van 26 oktober 2011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29 november 2011).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 oktober 2002 houdende bepaling van de regels volgens welke bepaalde minimale psychiatrische statistische gegevens moeten worden medegedeeld aan de Minister die de Volksgezondheid onder zijn bevoegdheid heeft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10 december 2002).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16 januari 2003 tot oprichting van een Kruispuntbank van Ondernemingen, tot mo</w:t>
      </w:r>
      <w:r w:rsidR="003A670E">
        <w:rPr>
          <w:rFonts w:ascii="Times New Roman" w:hAnsi="Times New Roman" w:cs="Times New Roman"/>
          <w:sz w:val="24"/>
          <w:szCs w:val="24"/>
        </w:rPr>
        <w:t>-</w:t>
      </w:r>
      <w:r w:rsidRPr="00D147A7">
        <w:rPr>
          <w:rFonts w:ascii="Times New Roman" w:hAnsi="Times New Roman" w:cs="Times New Roman"/>
          <w:sz w:val="24"/>
          <w:szCs w:val="24"/>
        </w:rPr>
        <w:t>dernisering van het handelsregister, tot oprichting van erkende ondernemingsloketten en houdende diverse bepalingen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5 februari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29 januari 2003 houdende oprichting van de federale databank van de beoefenaars van de gezondheidszorgberoepen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26 februari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26 februari 2003 tot wijziging van de wet van 8 december 1992 tot bescherming van de persoonlijke levenssfeer ten opzichte van de verwerking van persoonsgegevens en van de wet van 15 januari 1990 houdende oprichting en organisatie van een Kruispuntbank van de Commissie voor de bescherming van de persoonlijke levenssfeer en tot uitbreiding van haar bevoegdheden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16 juni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25 maart 2003 tot wijziging van de wet van 8 augustus 1983 tot regeling van een Rijksregister van de natuurlijke personen en van de wet van 19 juli 1991 betreffende de bevol</w:t>
      </w:r>
      <w:r w:rsidR="003A670E">
        <w:rPr>
          <w:rFonts w:ascii="Times New Roman" w:hAnsi="Times New Roman" w:cs="Times New Roman"/>
          <w:sz w:val="24"/>
          <w:szCs w:val="24"/>
        </w:rPr>
        <w:t>-</w:t>
      </w:r>
      <w:r w:rsidRPr="00D147A7">
        <w:rPr>
          <w:rFonts w:ascii="Times New Roman" w:hAnsi="Times New Roman" w:cs="Times New Roman"/>
          <w:sz w:val="24"/>
          <w:szCs w:val="24"/>
        </w:rPr>
        <w:t>kingsregisters en de identiteitskaarten en tot wijziging van de wet van 8 augustus 1983 tot re</w:t>
      </w:r>
      <w:r w:rsidR="003A670E">
        <w:rPr>
          <w:rFonts w:ascii="Times New Roman" w:hAnsi="Times New Roman" w:cs="Times New Roman"/>
          <w:sz w:val="24"/>
          <w:szCs w:val="24"/>
        </w:rPr>
        <w:t>-</w:t>
      </w:r>
      <w:r w:rsidRPr="00D147A7">
        <w:rPr>
          <w:rFonts w:ascii="Times New Roman" w:hAnsi="Times New Roman" w:cs="Times New Roman"/>
          <w:sz w:val="24"/>
          <w:szCs w:val="24"/>
        </w:rPr>
        <w:t>geling van een Rijksregister van de natuurlijke personen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28 maart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Decreet van 21 november 2003 betreffende het preventieve gezondheidsbeleid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 februari 2004).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17 december 2003 tot vaststelling van de nadere regels met betrekking tot de samen</w:t>
      </w:r>
      <w:r w:rsidR="003A670E">
        <w:rPr>
          <w:rFonts w:ascii="Times New Roman" w:hAnsi="Times New Roman" w:cs="Times New Roman"/>
          <w:sz w:val="24"/>
          <w:szCs w:val="24"/>
        </w:rPr>
        <w:t>-</w:t>
      </w:r>
      <w:r w:rsidRPr="00D147A7">
        <w:rPr>
          <w:rFonts w:ascii="Times New Roman" w:hAnsi="Times New Roman" w:cs="Times New Roman"/>
          <w:sz w:val="24"/>
          <w:szCs w:val="24"/>
        </w:rPr>
        <w:t>stelling en de werking van bepaalde sectorale comités opgericht binnen de Commissie voor de bescherming van de persoonlijke levenssfeer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december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25 maart 2003 betreffende de identiteitskaarten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28 maart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25 maart 2003 houdende overgangsmaatregelen in verband met de elektronische identiteitskaart (BS 28 maart 2003), gewijzigd door het KB van 30 november 2003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12 de</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cember 2003).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Decreet van 21 november 2003 betreffende het preventieve gezondheidsbeleid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 februari 2004).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Decreet van 3 maart 2004 betreffende de eerstelijnsgezondheidszorg en de samenwerking tus</w:t>
      </w:r>
      <w:r w:rsidR="003A670E">
        <w:rPr>
          <w:rFonts w:ascii="Times New Roman" w:hAnsi="Times New Roman" w:cs="Times New Roman"/>
          <w:sz w:val="24"/>
          <w:szCs w:val="24"/>
        </w:rPr>
        <w:t>-</w:t>
      </w:r>
      <w:r w:rsidRPr="00D147A7">
        <w:rPr>
          <w:rFonts w:ascii="Times New Roman" w:hAnsi="Times New Roman" w:cs="Times New Roman"/>
          <w:sz w:val="24"/>
          <w:szCs w:val="24"/>
        </w:rPr>
        <w:t>sen de zorgaanbieders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20 april 2004).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 september 2004 houdende de beslissing om over te gaan tot een  veralgemeende in</w:t>
      </w:r>
      <w:r w:rsidR="003A670E">
        <w:rPr>
          <w:rFonts w:ascii="Times New Roman" w:hAnsi="Times New Roman" w:cs="Times New Roman"/>
          <w:sz w:val="24"/>
          <w:szCs w:val="24"/>
        </w:rPr>
        <w:t>-</w:t>
      </w:r>
      <w:r w:rsidRPr="00D147A7">
        <w:rPr>
          <w:rFonts w:ascii="Times New Roman" w:hAnsi="Times New Roman" w:cs="Times New Roman"/>
          <w:sz w:val="24"/>
          <w:szCs w:val="24"/>
        </w:rPr>
        <w:t>voering van de elektronische identiteitskaart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15 september 2004).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10 augustus 2005 tot oprichting van het informatiesysteem Phenix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 september 2005).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15 februari 2006 tot vaststelling van de nadere regels voor de werking van het comité van gebruikers opgericht bij artikel 27 van de wet van 10 augustus 2005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28 februari 2006).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22 maart 2006 tot wijziging van de wet van 4 juli 1962 betreffende de openbare sta</w:t>
      </w:r>
      <w:r w:rsidR="003A670E">
        <w:rPr>
          <w:rFonts w:ascii="Times New Roman" w:hAnsi="Times New Roman" w:cs="Times New Roman"/>
          <w:sz w:val="24"/>
          <w:szCs w:val="24"/>
        </w:rPr>
        <w:t>-</w:t>
      </w:r>
      <w:r w:rsidRPr="00D147A7">
        <w:rPr>
          <w:rFonts w:ascii="Times New Roman" w:hAnsi="Times New Roman" w:cs="Times New Roman"/>
          <w:sz w:val="24"/>
          <w:szCs w:val="24"/>
        </w:rPr>
        <w:t>tistiek en van de wet van 8 augustus 1983 tot regeling van een Rijksregister van de natuurlijke personen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21 april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Decreet van 16 juni 2006 betreffende het gezondheidsinformatiesysteem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7 september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13 december 2006 houdende diverse bepalingen betreffende gezondheid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22 de</w:t>
      </w:r>
      <w:r w:rsidR="003A670E">
        <w:rPr>
          <w:rFonts w:ascii="Times New Roman" w:hAnsi="Times New Roman" w:cs="Times New Roman"/>
          <w:sz w:val="24"/>
          <w:szCs w:val="24"/>
        </w:rPr>
        <w:t>-</w:t>
      </w:r>
      <w:r w:rsidRPr="00D147A7">
        <w:rPr>
          <w:rFonts w:ascii="Times New Roman" w:hAnsi="Times New Roman" w:cs="Times New Roman"/>
          <w:sz w:val="24"/>
          <w:szCs w:val="24"/>
        </w:rPr>
        <w:t>cember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27 december 2006 houdende diverse bepalingen I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28 december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 maart 2007 houdende diverse bepalingen III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14 maart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Huishoudelijk reglement van 20 juni 2007 van het Sectoraal Comité van het Rijksregister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20 juli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19 maart 2007 houdende vaststelling van de methodologie voor de controle van de minimale klinische gegevens en de regelen volgens dewelke hun juistheid en hun volledigheid worden gecontroleerd en vastgelegd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 mei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Huishoudelijk reglement van 14 februari 2008 van het Sectoraal Comité voor de Federale Overheid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15 april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Huishoudelijk reglement van 11 juni 2008 van het Sectoraal Comité van de Kruispuntbank van Ondernemingen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30 oktober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21 augustus 2008 houdende oprichting en organisatie van het eHealth-platform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13 oktober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27 april 2007 houdende bepaling van de regels volgens welke bepaalde ziekenhuis</w:t>
      </w:r>
      <w:r w:rsidR="003A670E">
        <w:rPr>
          <w:rFonts w:ascii="Times New Roman" w:hAnsi="Times New Roman" w:cs="Times New Roman"/>
          <w:sz w:val="24"/>
          <w:szCs w:val="24"/>
        </w:rPr>
        <w:t>-</w:t>
      </w:r>
      <w:r w:rsidRPr="00D147A7">
        <w:rPr>
          <w:rFonts w:ascii="Times New Roman" w:hAnsi="Times New Roman" w:cs="Times New Roman"/>
          <w:sz w:val="24"/>
          <w:szCs w:val="24"/>
        </w:rPr>
        <w:t>gegevens moeten worden medegedeeld aan de Minister die de Volksgezondheid onder zijn bevoegdheid heeft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10 juli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van het Verenigd College van de Gemeenschappelijke Gemeenschapscommissie van 23 april 2009 betreffende de gegevensverzameling en -uitwisseling in het kader van het pre</w:t>
      </w:r>
      <w:r w:rsidR="003A670E">
        <w:rPr>
          <w:rFonts w:ascii="Times New Roman" w:hAnsi="Times New Roman" w:cs="Times New Roman"/>
          <w:sz w:val="24"/>
          <w:szCs w:val="24"/>
        </w:rPr>
        <w:t>-</w:t>
      </w:r>
      <w:r w:rsidRPr="00D147A7">
        <w:rPr>
          <w:rFonts w:ascii="Times New Roman" w:hAnsi="Times New Roman" w:cs="Times New Roman"/>
          <w:sz w:val="24"/>
          <w:szCs w:val="24"/>
        </w:rPr>
        <w:t>ventieve gezondheidsbeleid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18 juni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7 juni 2009 tot regeling van het elektronisch document ter vervanging binnen zieken</w:t>
      </w:r>
      <w:r w:rsidR="003A670E">
        <w:rPr>
          <w:rFonts w:ascii="Times New Roman" w:hAnsi="Times New Roman" w:cs="Times New Roman"/>
          <w:sz w:val="24"/>
          <w:szCs w:val="24"/>
        </w:rPr>
        <w:t>-</w:t>
      </w:r>
      <w:r w:rsidRPr="00D147A7">
        <w:rPr>
          <w:rFonts w:ascii="Times New Roman" w:hAnsi="Times New Roman" w:cs="Times New Roman"/>
          <w:sz w:val="24"/>
          <w:szCs w:val="24"/>
        </w:rPr>
        <w:t>huizen, van de voorschriften van de bevoegde geneesheer en van de bevoegde beoefenaar van de tandheelkunde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 juli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KB van 7 juni 2009 tot regeling van het elektronisch document ter vervanging, binnen de ziekenhuizen, van de voorschriften van de bevoegde geneesheer en van de bevoegde beoefe</w:t>
      </w:r>
      <w:r w:rsidR="003A670E">
        <w:rPr>
          <w:rFonts w:ascii="Times New Roman" w:hAnsi="Times New Roman" w:cs="Times New Roman"/>
          <w:sz w:val="24"/>
          <w:szCs w:val="24"/>
        </w:rPr>
        <w:t>-</w:t>
      </w:r>
      <w:r w:rsidRPr="00D147A7">
        <w:rPr>
          <w:rFonts w:ascii="Times New Roman" w:hAnsi="Times New Roman" w:cs="Times New Roman"/>
          <w:sz w:val="24"/>
          <w:szCs w:val="24"/>
        </w:rPr>
        <w:t>naar van de tandheelkunde, in uitvoering van artikel 21, tweede lid, van het KB nr. 78 van 10 november 1967 betreffende de uitoefening van de gezondheidsberoepen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 juli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20 oktober 2009 tot vaststelling van de toelage en het presentiegeld toegekend aan de voorzitter en aan de leden van het beheerscomité van het eHealth-platform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20 november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17 november 2009 houdende samenstelling en organisatie van het Overlegcomité met de gebruikers van het eHealth-platform (BS 17 november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KB van 13 januari 2010 tot vaststelling van de datum van opheffing van het KB van 3 mei 1999 houdende oprichting van een Commissie ‘Standaarden inzake Telematica ten behoeve van de sector van de gezondheidszorg’ en tot vaststelling van de nadere regels van de over</w:t>
      </w:r>
      <w:r w:rsidR="003A670E">
        <w:rPr>
          <w:rFonts w:ascii="Times New Roman" w:hAnsi="Times New Roman" w:cs="Times New Roman"/>
          <w:sz w:val="24"/>
          <w:szCs w:val="24"/>
        </w:rPr>
        <w:t>-</w:t>
      </w:r>
      <w:r w:rsidRPr="00D147A7">
        <w:rPr>
          <w:rFonts w:ascii="Times New Roman" w:hAnsi="Times New Roman" w:cs="Times New Roman"/>
          <w:sz w:val="24"/>
          <w:szCs w:val="24"/>
        </w:rPr>
        <w:t>name van haar opdrachten door het eHealth-platform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27 januari 2010).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MB van 17 mei 2011 houdende oprichting van een Basisoverlegcomité voor het eHealth-plat</w:t>
      </w:r>
      <w:r w:rsidR="003A670E">
        <w:rPr>
          <w:rFonts w:ascii="Times New Roman" w:hAnsi="Times New Roman" w:cs="Times New Roman"/>
          <w:sz w:val="24"/>
          <w:szCs w:val="24"/>
        </w:rPr>
        <w:t>-</w:t>
      </w:r>
      <w:r w:rsidRPr="00D147A7">
        <w:rPr>
          <w:rFonts w:ascii="Times New Roman" w:hAnsi="Times New Roman" w:cs="Times New Roman"/>
          <w:sz w:val="24"/>
          <w:szCs w:val="24"/>
        </w:rPr>
        <w:t>form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17 mei 2011).</w:t>
      </w:r>
    </w:p>
    <w:p w:rsidR="009931C7" w:rsidRPr="00D147A7" w:rsidRDefault="009931C7" w:rsidP="009931C7">
      <w:pPr>
        <w:pStyle w:val="Geenafstand"/>
        <w:jc w:val="both"/>
        <w:rPr>
          <w:rFonts w:ascii="Times New Roman" w:hAnsi="Times New Roman" w:cs="Times New Roman"/>
          <w:color w:val="00B0F0"/>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2.3 Rechtspraak</w:t>
      </w:r>
    </w:p>
    <w:p w:rsidR="003A670E" w:rsidRDefault="003A670E"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Grondwettelijk Hof 14 februari 2008, Arrest 15/2008 (</w:t>
      </w:r>
      <w:r w:rsidRPr="00D147A7">
        <w:rPr>
          <w:rFonts w:ascii="Times New Roman" w:hAnsi="Times New Roman" w:cs="Times New Roman"/>
          <w:i/>
          <w:sz w:val="24"/>
          <w:szCs w:val="24"/>
        </w:rPr>
        <w:t>BS</w:t>
      </w:r>
      <w:r w:rsidRPr="00D147A7">
        <w:rPr>
          <w:rFonts w:ascii="Times New Roman" w:hAnsi="Times New Roman" w:cs="Times New Roman"/>
          <w:sz w:val="24"/>
          <w:szCs w:val="24"/>
        </w:rPr>
        <w:t xml:space="preserve"> 12 maart 2008), integraal raadpleegbaar op: </w:t>
      </w:r>
      <w:hyperlink r:id="rId116" w:history="1">
        <w:r w:rsidRPr="00D147A7">
          <w:rPr>
            <w:rStyle w:val="Hyperlink"/>
            <w:rFonts w:ascii="Times New Roman" w:hAnsi="Times New Roman" w:cs="Times New Roman"/>
            <w:sz w:val="24"/>
            <w:szCs w:val="24"/>
          </w:rPr>
          <w:t>http://www.const-court.be/public/n/2008/2008-015n.pdf</w:t>
        </w:r>
      </w:hyperlink>
      <w:r w:rsidRPr="00D147A7">
        <w:rPr>
          <w:rFonts w:ascii="Times New Roman" w:hAnsi="Times New Roman" w:cs="Times New Roman"/>
          <w:sz w:val="24"/>
          <w:szCs w:val="24"/>
        </w:rPr>
        <w:t>, laatst geraad</w:t>
      </w:r>
      <w:r w:rsidR="00A4570C"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Grondwettelijk Hof 18 maart 2010, Arrest 29/2010 (</w:t>
      </w:r>
      <w:hyperlink r:id="rId117" w:history="1">
        <w:r w:rsidRPr="00D147A7">
          <w:rPr>
            <w:rStyle w:val="Hyperlink"/>
            <w:rFonts w:ascii="Times New Roman" w:hAnsi="Times New Roman" w:cs="Times New Roman"/>
            <w:sz w:val="24"/>
            <w:szCs w:val="24"/>
          </w:rPr>
          <w:t>www.const-court.be/public/n/2010/2010-029n.pdf</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p>
    <w:p w:rsidR="009931C7" w:rsidRDefault="009931C7" w:rsidP="00404B84">
      <w:pPr>
        <w:pStyle w:val="Geenafstand"/>
        <w:ind w:left="1410"/>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2.4 Koninklijke Academie voor Geneeskunde van België</w:t>
      </w:r>
    </w:p>
    <w:p w:rsidR="003A670E" w:rsidRPr="00D147A7" w:rsidRDefault="003A670E" w:rsidP="00404B84">
      <w:pPr>
        <w:pStyle w:val="Geenafstand"/>
        <w:ind w:left="1410"/>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sz w:val="24"/>
          <w:szCs w:val="24"/>
        </w:rPr>
        <w:t>Advies van 27 januari 2007 nopens het wetsvoorstel rond ‘Be-Health’ of het ‘Wetsontwerp betreffende de verwerking en de informatisering van de gezondheidsgegevens alsook de toepassingen voor telegeneeskunde’ (</w:t>
      </w:r>
      <w:hyperlink r:id="rId118" w:history="1">
        <w:r w:rsidR="003A670E" w:rsidRPr="00ED5FE6">
          <w:rPr>
            <w:rStyle w:val="Hyperlink"/>
            <w:rFonts w:ascii="Times New Roman" w:hAnsi="Times New Roman" w:cs="Times New Roman"/>
            <w:sz w:val="24"/>
            <w:szCs w:val="24"/>
          </w:rPr>
          <w:t>http://www.zorg-en-gezondheid.be/Over-ons/KAGB/ Adviezen/Advies,-27-januari-2007,-Be-Health/</w:t>
        </w:r>
      </w:hyperlink>
      <w:r w:rsidRPr="00D147A7">
        <w:rPr>
          <w:rFonts w:ascii="Times New Roman" w:hAnsi="Times New Roman" w:cs="Times New Roman"/>
          <w:sz w:val="24"/>
          <w:szCs w:val="24"/>
        </w:rPr>
        <w:t>, laatst geraadpleegd op 23 juli 2012).</w:t>
      </w:r>
    </w:p>
    <w:p w:rsidR="009931C7" w:rsidRPr="00D147A7" w:rsidRDefault="009931C7" w:rsidP="00FA6686">
      <w:pPr>
        <w:pStyle w:val="Geenafstand"/>
        <w:jc w:val="both"/>
        <w:rPr>
          <w:rFonts w:ascii="Times New Roman" w:hAnsi="Times New Roman" w:cs="Times New Roman"/>
          <w:b/>
          <w:sz w:val="24"/>
          <w:szCs w:val="24"/>
        </w:rPr>
      </w:pPr>
    </w:p>
    <w:p w:rsidR="009931C7" w:rsidRDefault="009931C7" w:rsidP="00404B84">
      <w:pPr>
        <w:pStyle w:val="Geenafstand"/>
        <w:ind w:left="708" w:firstLine="708"/>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2.5 Nationale R</w:t>
      </w:r>
      <w:r w:rsidR="00404B84">
        <w:rPr>
          <w:rFonts w:ascii="Times New Roman" w:hAnsi="Times New Roman" w:cs="Times New Roman"/>
          <w:b/>
          <w:sz w:val="24"/>
          <w:szCs w:val="24"/>
        </w:rPr>
        <w:t>aad van de Orde der geneesheren</w:t>
      </w:r>
    </w:p>
    <w:p w:rsidR="003A670E" w:rsidRPr="00404B84" w:rsidRDefault="003A670E" w:rsidP="00404B84">
      <w:pPr>
        <w:pStyle w:val="Geenafstand"/>
        <w:ind w:left="708" w:firstLine="708"/>
        <w:jc w:val="both"/>
        <w:rPr>
          <w:rFonts w:ascii="Times New Roman" w:hAnsi="Times New Roman" w:cs="Times New Roman"/>
          <w:b/>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‘Nationaal Kankerregister – Netwerk voor uitwisseling van gegevens’, </w:t>
      </w:r>
      <w:r w:rsidRPr="00D147A7">
        <w:rPr>
          <w:rFonts w:ascii="Times New Roman" w:hAnsi="Times New Roman" w:cs="Times New Roman"/>
          <w:i/>
          <w:sz w:val="24"/>
          <w:szCs w:val="24"/>
        </w:rPr>
        <w:t>T.N.R.</w:t>
      </w:r>
      <w:r w:rsidRPr="00D147A7">
        <w:rPr>
          <w:rFonts w:ascii="Times New Roman" w:hAnsi="Times New Roman" w:cs="Times New Roman"/>
          <w:sz w:val="24"/>
          <w:szCs w:val="24"/>
        </w:rPr>
        <w:t>, 80 (1998), p. 22.</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‘BeHealthproject’, </w:t>
      </w:r>
      <w:r w:rsidRPr="00D147A7">
        <w:rPr>
          <w:rFonts w:ascii="Times New Roman" w:hAnsi="Times New Roman" w:cs="Times New Roman"/>
          <w:i/>
          <w:sz w:val="24"/>
          <w:szCs w:val="24"/>
          <w:lang w:val="en-US"/>
        </w:rPr>
        <w:t>T.N.R.</w:t>
      </w:r>
      <w:r w:rsidRPr="00D147A7">
        <w:rPr>
          <w:rFonts w:ascii="Times New Roman" w:hAnsi="Times New Roman" w:cs="Times New Roman"/>
          <w:sz w:val="24"/>
          <w:szCs w:val="24"/>
          <w:lang w:val="en-US"/>
        </w:rPr>
        <w:t>, 111 (2005), p. 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‘Wetsontwerp houdende diverse bepalingen betreffende de gezondheid’, </w:t>
      </w:r>
      <w:r w:rsidRPr="00D147A7">
        <w:rPr>
          <w:rFonts w:ascii="Times New Roman" w:hAnsi="Times New Roman" w:cs="Times New Roman"/>
          <w:i/>
          <w:sz w:val="24"/>
          <w:szCs w:val="24"/>
        </w:rPr>
        <w:t>T.N.R.</w:t>
      </w:r>
      <w:r w:rsidRPr="00D147A7">
        <w:rPr>
          <w:rFonts w:ascii="Times New Roman" w:hAnsi="Times New Roman" w:cs="Times New Roman"/>
          <w:sz w:val="24"/>
          <w:szCs w:val="24"/>
        </w:rPr>
        <w:t xml:space="preserve">, 114 (2006), p. 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‘Advies van de Nationale Raad in verband met het decreet van de Vlaamse Gemeenschap van 16 juni 2006 betreffende het Gezondheidsinformatiesysteem’, </w:t>
      </w:r>
      <w:r w:rsidRPr="00D147A7">
        <w:rPr>
          <w:rFonts w:ascii="Times New Roman" w:hAnsi="Times New Roman" w:cs="Times New Roman"/>
          <w:i/>
          <w:sz w:val="24"/>
          <w:szCs w:val="24"/>
        </w:rPr>
        <w:t>T.N.R.</w:t>
      </w:r>
      <w:r w:rsidRPr="00D147A7">
        <w:rPr>
          <w:rFonts w:ascii="Times New Roman" w:hAnsi="Times New Roman" w:cs="Times New Roman"/>
          <w:sz w:val="24"/>
          <w:szCs w:val="24"/>
        </w:rPr>
        <w:t xml:space="preserve">, 116 (2007), p. 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‘Oprichting en organisatie van het e-Health-platform’, </w:t>
      </w:r>
      <w:r w:rsidRPr="00D147A7">
        <w:rPr>
          <w:rFonts w:ascii="Times New Roman" w:hAnsi="Times New Roman" w:cs="Times New Roman"/>
          <w:i/>
          <w:sz w:val="24"/>
          <w:szCs w:val="24"/>
        </w:rPr>
        <w:t>T.N.R.</w:t>
      </w:r>
      <w:r w:rsidRPr="00D147A7">
        <w:rPr>
          <w:rFonts w:ascii="Times New Roman" w:hAnsi="Times New Roman" w:cs="Times New Roman"/>
          <w:sz w:val="24"/>
          <w:szCs w:val="24"/>
        </w:rPr>
        <w:t>, 121 (2008), p. 4.</w:t>
      </w:r>
    </w:p>
    <w:p w:rsidR="00A4570C" w:rsidRPr="00D147A7" w:rsidRDefault="00A4570C" w:rsidP="009931C7">
      <w:pPr>
        <w:pStyle w:val="Geenafstand"/>
        <w:jc w:val="both"/>
        <w:rPr>
          <w:rFonts w:ascii="Times New Roman" w:hAnsi="Times New Roman" w:cs="Times New Roman"/>
          <w:sz w:val="24"/>
          <w:szCs w:val="24"/>
        </w:rPr>
      </w:pPr>
    </w:p>
    <w:p w:rsidR="009931C7" w:rsidRPr="00404B84" w:rsidRDefault="009931C7" w:rsidP="00404B84">
      <w:pPr>
        <w:pStyle w:val="Geenafstand"/>
        <w:ind w:left="1416"/>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00404B84">
        <w:rPr>
          <w:rFonts w:ascii="Times New Roman" w:hAnsi="Times New Roman" w:cs="Times New Roman"/>
          <w:b/>
          <w:sz w:val="24"/>
          <w:szCs w:val="24"/>
        </w:rPr>
        <w:t xml:space="preserve">2.6 Privacycommissie </w:t>
      </w:r>
    </w:p>
    <w:p w:rsidR="003A670E" w:rsidRDefault="003A670E"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04/97 van 19 februari 1997 betreffende de toepasbaarheid van de wet van 8 decem</w:t>
      </w:r>
      <w:r w:rsidR="003A670E">
        <w:rPr>
          <w:rFonts w:ascii="Times New Roman" w:hAnsi="Times New Roman" w:cs="Times New Roman"/>
          <w:sz w:val="24"/>
          <w:szCs w:val="24"/>
        </w:rPr>
        <w:t>-</w:t>
      </w:r>
      <w:r w:rsidRPr="00D147A7">
        <w:rPr>
          <w:rFonts w:ascii="Times New Roman" w:hAnsi="Times New Roman" w:cs="Times New Roman"/>
          <w:sz w:val="24"/>
          <w:szCs w:val="24"/>
        </w:rPr>
        <w:t>ber 1992 tot bescherming van de persoonlijke levenssfeer ten opzichte van de verwerking van persoonsgegevens, op het netwerk van het Nationaal Kankerregister.</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19/2002 van 10 juni 2002 van de CBPL betreffende het ontwerp van wet tot wij</w:t>
      </w:r>
      <w:r w:rsidR="003A670E">
        <w:rPr>
          <w:rFonts w:ascii="Times New Roman" w:hAnsi="Times New Roman" w:cs="Times New Roman"/>
          <w:sz w:val="24"/>
          <w:szCs w:val="24"/>
        </w:rPr>
        <w:t>-</w:t>
      </w:r>
      <w:r w:rsidRPr="00D147A7">
        <w:rPr>
          <w:rFonts w:ascii="Times New Roman" w:hAnsi="Times New Roman" w:cs="Times New Roman"/>
          <w:sz w:val="24"/>
          <w:szCs w:val="24"/>
        </w:rPr>
        <w:t>ziging van de wet van 8 augustus 1983 tot regeling van een Rijksregister van de natuurlijke personen en van de wet van 19 juli 1991 betreffende de bevolkingsregisters en de identiteits</w:t>
      </w:r>
      <w:r w:rsidR="003A670E">
        <w:rPr>
          <w:rFonts w:ascii="Times New Roman" w:hAnsi="Times New Roman" w:cs="Times New Roman"/>
          <w:sz w:val="24"/>
          <w:szCs w:val="24"/>
        </w:rPr>
        <w:t>-</w:t>
      </w:r>
      <w:r w:rsidRPr="00D147A7">
        <w:rPr>
          <w:rFonts w:ascii="Times New Roman" w:hAnsi="Times New Roman" w:cs="Times New Roman"/>
          <w:sz w:val="24"/>
          <w:szCs w:val="24"/>
        </w:rPr>
        <w:lastRenderedPageBreak/>
        <w:t>kaarten en tot wijziging van de wet van 8 augustus 1983 tot regeling van een Rijksregister van de natuurlijke personen, het ontwerp van koninklijk besluit betreffende de identiteitskaarten, en het ontwerp van koninklijk besluit houdende overgangsmaatregelen in verband met de elektronische identiteitskaarten in België.</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30/2002 van 12 augustus 2002 van de CBPL betreffende het ontwerp van decreet betreffende het preventieve gezondheidsbeleid.</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33/2002 van 22 augustus 2002 van de CBPL betreffende het ontwerp van wet houdende oprichting van het Federaal Kenniscentrum voor de Gezondheidszorg.</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05/2004 van 10 mei 2004 van de CBPL inzake het voorontwerp Decreet Vlaamse Regering betreffende het gezondheidsinformatiesysteem.</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10/2004 van 23 september 2004 van de CBPL betreffende het ontwerp van konink</w:t>
      </w:r>
      <w:r w:rsidR="003A670E">
        <w:rPr>
          <w:rFonts w:ascii="Times New Roman" w:hAnsi="Times New Roman" w:cs="Times New Roman"/>
          <w:sz w:val="24"/>
          <w:szCs w:val="24"/>
        </w:rPr>
        <w:t>-</w:t>
      </w:r>
      <w:r w:rsidRPr="00D147A7">
        <w:rPr>
          <w:rFonts w:ascii="Times New Roman" w:hAnsi="Times New Roman" w:cs="Times New Roman"/>
          <w:sz w:val="24"/>
          <w:szCs w:val="24"/>
        </w:rPr>
        <w:t>lijk besluit houdende organisatie van de kankerregistratie.</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01/2005 van 10 januari 2005 van de CBPL betreffende ontwerp van koninklijk be</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sluit houdende organisatie van de kankerregistratie.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14/2008 van 2 april 2008 van de CBPL op verzoek van de Minister van Sociale Zaken en Volksgezondheid en de Minister van Ambtenarenzaken en Overheidsbedrijven met betrekking tot een ontwerp van wet houdende oprichting en organisatie van het eHealth-plat</w:t>
      </w:r>
      <w:r w:rsidR="003A670E">
        <w:rPr>
          <w:rFonts w:ascii="Times New Roman" w:hAnsi="Times New Roman" w:cs="Times New Roman"/>
          <w:sz w:val="24"/>
          <w:szCs w:val="24"/>
        </w:rPr>
        <w:t>-</w:t>
      </w:r>
      <w:r w:rsidRPr="00D147A7">
        <w:rPr>
          <w:rFonts w:ascii="Times New Roman" w:hAnsi="Times New Roman" w:cs="Times New Roman"/>
          <w:sz w:val="24"/>
          <w:szCs w:val="24"/>
        </w:rPr>
        <w:t>form.</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nr. 09/008 van 20 januari 2009 van het Sectoraal Comité van de Sociale Zeker</w:t>
      </w:r>
      <w:r w:rsidR="003A670E">
        <w:rPr>
          <w:rFonts w:ascii="Times New Roman" w:hAnsi="Times New Roman" w:cs="Times New Roman"/>
          <w:sz w:val="24"/>
          <w:szCs w:val="24"/>
        </w:rPr>
        <w:t>-</w:t>
      </w:r>
      <w:r w:rsidRPr="00D147A7">
        <w:rPr>
          <w:rFonts w:ascii="Times New Roman" w:hAnsi="Times New Roman" w:cs="Times New Roman"/>
          <w:sz w:val="24"/>
          <w:szCs w:val="24"/>
        </w:rPr>
        <w:t>heid en van de Gezondheid met betrekking tot het geïntegreerd gebruikers- en toegangsbeheer door het eHealth-platform bij de uitwisseling van persoonsgegevens.</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08/2009 van 18 maart 2009 van de CBPL inzake het voorontwerp decreet Vlaamse Regering betreffende het Platform voor gezondheids- en welzijnsinformatie.</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RR nr. 50/2009 van 15 juli 2009 van de CBPL betreffende het verzoek van de ‘Fédération Régionale des Associations de Télématique Médicale’ (FRATEM) om het identi</w:t>
      </w:r>
      <w:r w:rsidR="003A670E">
        <w:rPr>
          <w:rFonts w:ascii="Times New Roman" w:hAnsi="Times New Roman" w:cs="Times New Roman"/>
          <w:sz w:val="24"/>
          <w:szCs w:val="24"/>
        </w:rPr>
        <w:t>-</w:t>
      </w:r>
      <w:r w:rsidRPr="00D147A7">
        <w:rPr>
          <w:rFonts w:ascii="Times New Roman" w:hAnsi="Times New Roman" w:cs="Times New Roman"/>
          <w:sz w:val="24"/>
          <w:szCs w:val="24"/>
        </w:rPr>
        <w:t>ficatienummer van het Rijksregister van de patiënten en van de beroepsbeoefenaars in de ge</w:t>
      </w:r>
      <w:r w:rsidR="003A670E">
        <w:rPr>
          <w:rFonts w:ascii="Times New Roman" w:hAnsi="Times New Roman" w:cs="Times New Roman"/>
          <w:sz w:val="24"/>
          <w:szCs w:val="24"/>
        </w:rPr>
        <w:t>-</w:t>
      </w:r>
      <w:r w:rsidRPr="00D147A7">
        <w:rPr>
          <w:rFonts w:ascii="Times New Roman" w:hAnsi="Times New Roman" w:cs="Times New Roman"/>
          <w:sz w:val="24"/>
          <w:szCs w:val="24"/>
        </w:rPr>
        <w:t>zondheidszorg te gebruiken voor het beheer van het Waals Gezondheidsnetwerk dat in het unieke kader van de continuïteit van de patiëntenzorg moet dienen om de uitwisseling van medische documenten tussen beroepsbeoefenaars in de gezondheidszorg te bevorderen.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18/2010 van 9 juni 2010 van de CBPL betreffende het voorstel tot wijziging van de wet van 21/08/2008 houdende oprichting en organisatie van het eHealth-platform – Machti</w:t>
      </w:r>
      <w:r w:rsidR="003A670E">
        <w:rPr>
          <w:rFonts w:ascii="Times New Roman" w:hAnsi="Times New Roman" w:cs="Times New Roman"/>
          <w:sz w:val="24"/>
          <w:szCs w:val="24"/>
        </w:rPr>
        <w:t>-</w:t>
      </w:r>
      <w:r w:rsidRPr="00D147A7">
        <w:rPr>
          <w:rFonts w:ascii="Times New Roman" w:hAnsi="Times New Roman" w:cs="Times New Roman"/>
          <w:sz w:val="24"/>
          <w:szCs w:val="24"/>
        </w:rPr>
        <w:t>ging voor de zorgverleners in de gezondheidszorg om het identificatienummer te gebruiken van het Rijksregister en het Register bis.</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nr. 10/085 van 21 december 2010 van de afdeling Gezondheid van het Secto</w:t>
      </w:r>
      <w:r w:rsidR="003A670E">
        <w:rPr>
          <w:rFonts w:ascii="Times New Roman" w:hAnsi="Times New Roman" w:cs="Times New Roman"/>
          <w:sz w:val="24"/>
          <w:szCs w:val="24"/>
        </w:rPr>
        <w:t>-</w:t>
      </w:r>
      <w:r w:rsidRPr="00D147A7">
        <w:rPr>
          <w:rFonts w:ascii="Times New Roman" w:hAnsi="Times New Roman" w:cs="Times New Roman"/>
          <w:sz w:val="24"/>
          <w:szCs w:val="24"/>
        </w:rPr>
        <w:t>raal Comité van de Sociale Zekerheid en van de Gezondheid met betrekking tot de organisatie van de mededeling van elektronische ambulante voorschriften in het kader van het project Recip-e.</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03/2011 van 9 februari 2011 van de CBPL betreffende het ontwerp van koninklijk besluit tot uitbreiding van de lijst van instanties die het eHealth-platform kunnen vragen om als intermediaire organisatie op te treden.</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Advies nr. 11/01 van 15 februari 2011 van de afdeling Gezondheid van het Sectoraal Comité van de Sociale Zekerheid en van de Gezondheid met betrekking tot het protocol houdende de voorwaarden en modaliteiten volgens welke een elektronisch document met precisie kan wor</w:t>
      </w:r>
      <w:r w:rsidR="003A670E">
        <w:rPr>
          <w:rFonts w:ascii="Times New Roman" w:hAnsi="Times New Roman" w:cs="Times New Roman"/>
          <w:sz w:val="24"/>
          <w:szCs w:val="24"/>
        </w:rPr>
        <w:t>-</w:t>
      </w:r>
      <w:r w:rsidRPr="00D147A7">
        <w:rPr>
          <w:rFonts w:ascii="Times New Roman" w:hAnsi="Times New Roman" w:cs="Times New Roman"/>
          <w:sz w:val="24"/>
          <w:szCs w:val="24"/>
        </w:rPr>
        <w:t>den geassocieerd aan een referentiedatum en een referentietijdstip en het niet meer onmerk</w:t>
      </w:r>
      <w:r w:rsidR="003A670E">
        <w:rPr>
          <w:rFonts w:ascii="Times New Roman" w:hAnsi="Times New Roman" w:cs="Times New Roman"/>
          <w:sz w:val="24"/>
          <w:szCs w:val="24"/>
        </w:rPr>
        <w:t>-</w:t>
      </w:r>
      <w:r w:rsidRPr="00D147A7">
        <w:rPr>
          <w:rFonts w:ascii="Times New Roman" w:hAnsi="Times New Roman" w:cs="Times New Roman"/>
          <w:sz w:val="24"/>
          <w:szCs w:val="24"/>
        </w:rPr>
        <w:t>baar kan worden gewijzigd, in het kader van het elektronisch ziekenhuisvoorschrift.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nr. 11/046 van 17 mei 2011 van de afdeling Gezondheid van het Sectoraal Co</w:t>
      </w:r>
      <w:r w:rsidR="003A670E">
        <w:rPr>
          <w:rFonts w:ascii="Times New Roman" w:hAnsi="Times New Roman" w:cs="Times New Roman"/>
          <w:sz w:val="24"/>
          <w:szCs w:val="24"/>
        </w:rPr>
        <w:t>-</w:t>
      </w:r>
      <w:r w:rsidRPr="00D147A7">
        <w:rPr>
          <w:rFonts w:ascii="Times New Roman" w:hAnsi="Times New Roman" w:cs="Times New Roman"/>
          <w:sz w:val="24"/>
          <w:szCs w:val="24"/>
        </w:rPr>
        <w:t>mité van de Sociale Zekerheid en van de Gezondheid met betrekking tot de nota betreffende de geïnformatiseerde toestemming in het hub &amp; metahubproject.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nr. 11/055 van 19 juli 2011, gewijzigd op 17 januari 2012, van de afdeling Ge</w:t>
      </w:r>
      <w:r w:rsidR="003A670E">
        <w:rPr>
          <w:rFonts w:ascii="Times New Roman" w:hAnsi="Times New Roman" w:cs="Times New Roman"/>
          <w:sz w:val="24"/>
          <w:szCs w:val="24"/>
        </w:rPr>
        <w:t>-</w:t>
      </w:r>
      <w:r w:rsidRPr="00D147A7">
        <w:rPr>
          <w:rFonts w:ascii="Times New Roman" w:hAnsi="Times New Roman" w:cs="Times New Roman"/>
          <w:sz w:val="24"/>
          <w:szCs w:val="24"/>
        </w:rPr>
        <w:t>zondheid van het Sectoraal Comité van de Sociale Zekerheid en van de Gezondheid met be</w:t>
      </w:r>
      <w:r w:rsidR="003A670E">
        <w:rPr>
          <w:rFonts w:ascii="Times New Roman" w:hAnsi="Times New Roman" w:cs="Times New Roman"/>
          <w:sz w:val="24"/>
          <w:szCs w:val="24"/>
        </w:rPr>
        <w:t>-</w:t>
      </w:r>
      <w:r w:rsidRPr="00D147A7">
        <w:rPr>
          <w:rFonts w:ascii="Times New Roman" w:hAnsi="Times New Roman" w:cs="Times New Roman"/>
          <w:sz w:val="24"/>
          <w:szCs w:val="24"/>
        </w:rPr>
        <w:lastRenderedPageBreak/>
        <w:t>trekking tot de organisatie van de communicatie in het kader van de terugbetaling van farma</w:t>
      </w:r>
      <w:r w:rsidR="003A670E">
        <w:rPr>
          <w:rFonts w:ascii="Times New Roman" w:hAnsi="Times New Roman" w:cs="Times New Roman"/>
          <w:sz w:val="24"/>
          <w:szCs w:val="24"/>
        </w:rPr>
        <w:t>-</w:t>
      </w:r>
      <w:r w:rsidRPr="00D147A7">
        <w:rPr>
          <w:rFonts w:ascii="Times New Roman" w:hAnsi="Times New Roman" w:cs="Times New Roman"/>
          <w:sz w:val="24"/>
          <w:szCs w:val="24"/>
        </w:rPr>
        <w:t>ceutische specialiteiten waarvoor een voorafgaand akkoord van de adviserend geneesheer ver</w:t>
      </w:r>
      <w:r w:rsidR="003A670E">
        <w:rPr>
          <w:rFonts w:ascii="Times New Roman" w:hAnsi="Times New Roman" w:cs="Times New Roman"/>
          <w:sz w:val="24"/>
          <w:szCs w:val="24"/>
        </w:rPr>
        <w:t>-</w:t>
      </w:r>
      <w:r w:rsidRPr="00D147A7">
        <w:rPr>
          <w:rFonts w:ascii="Times New Roman" w:hAnsi="Times New Roman" w:cs="Times New Roman"/>
          <w:sz w:val="24"/>
          <w:szCs w:val="24"/>
        </w:rPr>
        <w:t>eist is (hoofdstuk IV).</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Advies nr. 11/088 van 18 oktober 2011 van de afdeling Gezondheid van het Sectoraal Comité van de Sociale Zekerheid en van de Gezondheid met betrekking tot de nota betreffende de elektronische bewijsmiddelen van een therapeutische relatie en van een zorgrelatie.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Beraadslaging RR nr. 69/2011 van 14 december 2011 van de CBPL betreffende de aanvraag van het eHealth-platform ten behoeve van de actoren in de gezondheidszorg die gebruik ma</w:t>
      </w:r>
      <w:r w:rsidR="003A670E">
        <w:rPr>
          <w:rFonts w:ascii="Times New Roman" w:hAnsi="Times New Roman" w:cs="Times New Roman"/>
          <w:sz w:val="24"/>
          <w:szCs w:val="24"/>
        </w:rPr>
        <w:t>-</w:t>
      </w:r>
      <w:r w:rsidRPr="00D147A7">
        <w:rPr>
          <w:rFonts w:ascii="Times New Roman" w:hAnsi="Times New Roman" w:cs="Times New Roman"/>
          <w:sz w:val="24"/>
          <w:szCs w:val="24"/>
        </w:rPr>
        <w:t>ken van de basisdiensten die door het eHealth-platform worden aangeboden om toegang te hebben tot de informatiegegevens van het Rijksregister en het identificatienummer ervan te gebruiken.</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404B84">
      <w:pPr>
        <w:pStyle w:val="Geenafstand"/>
        <w:ind w:left="708" w:firstLine="708"/>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00404B84">
        <w:rPr>
          <w:rFonts w:ascii="Times New Roman" w:hAnsi="Times New Roman" w:cs="Times New Roman"/>
          <w:b/>
          <w:sz w:val="24"/>
          <w:szCs w:val="24"/>
        </w:rPr>
        <w:t xml:space="preserve">2.7 Krantenartikelen </w:t>
      </w:r>
    </w:p>
    <w:p w:rsidR="003A670E" w:rsidRDefault="003A670E"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‘Artsen waarschuwen voor Big Brother. BeHealth-databank is een gevaar voor privacy van patiënten’, </w:t>
      </w:r>
      <w:r w:rsidRPr="00D147A7">
        <w:rPr>
          <w:rFonts w:ascii="Times New Roman" w:hAnsi="Times New Roman" w:cs="Times New Roman"/>
          <w:i/>
          <w:sz w:val="24"/>
          <w:szCs w:val="24"/>
        </w:rPr>
        <w:t>De Standaard</w:t>
      </w:r>
      <w:r w:rsidRPr="00D147A7">
        <w:rPr>
          <w:rFonts w:ascii="Times New Roman" w:hAnsi="Times New Roman" w:cs="Times New Roman"/>
          <w:sz w:val="24"/>
          <w:szCs w:val="24"/>
        </w:rPr>
        <w:t>, 8 september 2005.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‘Consortium Accenture-Belgacom moet e-voorschriften uitdokteren’,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 februari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‘Eén artsenbond niet tegen E-Health’,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10 augustus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‘E-Health en E-care voorlopig afgevoerd’,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12 juni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‘eHealth: ‘Nieuwe hubs in Antwerpen en in Brugge’’,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15 januari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‘Elektronisch delen van medische gegevens in najaar van start’,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30 april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‘Elektronische id-kaart vervangt SIS-kaart vanaf 2014’,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19 augustus 2011.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‘Elektronische voorschriften kunnen besparing van 200 miljoen opleveren’,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25 juli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‘Frank Robben nu ook betrokken bij ‘Vlaamse eHealth’’,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26 november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‘Grondwettelijk Hof geeft eHealth groen licht’,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19 maart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‘Kamer bespreekt en stemt later over e-Health-platform’,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10 juli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‘Kamer stemt over eHealth, artsen blijven morren’,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10 juli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‘Krijtlijnen voor Vlaamse eHealth uitgezet’,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22 februari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‘La majorité corrige le projet e-Health’, </w:t>
      </w:r>
      <w:r w:rsidRPr="00D147A7">
        <w:rPr>
          <w:rFonts w:ascii="Times New Roman" w:hAnsi="Times New Roman" w:cs="Times New Roman"/>
          <w:i/>
          <w:sz w:val="24"/>
          <w:szCs w:val="24"/>
          <w:lang w:val="fr-BE"/>
        </w:rPr>
        <w:t>La</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Libre</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Belgique</w:t>
      </w:r>
      <w:r w:rsidRPr="00D147A7">
        <w:rPr>
          <w:rFonts w:ascii="Times New Roman" w:hAnsi="Times New Roman" w:cs="Times New Roman"/>
          <w:sz w:val="24"/>
          <w:szCs w:val="24"/>
          <w:lang w:val="fr-BE"/>
        </w:rPr>
        <w:t>, 2 juli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‘Negatief advies voor medische kruispuntbank’,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16 april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‘Onkelinx haalt eHealth uit programmawet’,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xml:space="preserve">, 12 juni 2008.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‘Samenwerking is geen wondermiddel’,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22 oktober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‘Senaat werkt vrijdag zware agenda af’,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17 juli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‘SIS-kaart verdwijnt wellicht in 2011’,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9 augustus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‘SIS-kaart verdwijnt in 2013’,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29 juni 2010.</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‘Tous les dossiers médicaux online…’, </w:t>
      </w:r>
      <w:r w:rsidRPr="00D147A7">
        <w:rPr>
          <w:rFonts w:ascii="Times New Roman" w:hAnsi="Times New Roman" w:cs="Times New Roman"/>
          <w:i/>
          <w:sz w:val="24"/>
          <w:szCs w:val="24"/>
          <w:lang w:val="fr-BE"/>
        </w:rPr>
        <w:t>La</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Libre</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Belgique</w:t>
      </w:r>
      <w:r w:rsidRPr="00D147A7">
        <w:rPr>
          <w:rFonts w:ascii="Times New Roman" w:hAnsi="Times New Roman" w:cs="Times New Roman"/>
          <w:sz w:val="24"/>
          <w:szCs w:val="24"/>
          <w:lang w:val="fr-BE"/>
        </w:rPr>
        <w:t>, 8 september 2005.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‘Turtelboom belooft megadatabank ‘JustX’ voor Justitie’,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8 mei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‘Vla-Health deels vernietigd’,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16 februari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‘Vraagtekens bij bescherming privacy op eHealth’,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30 mei 2008.</w:t>
      </w:r>
    </w:p>
    <w:p w:rsidR="009931C7" w:rsidRPr="00D147A7" w:rsidRDefault="009931C7" w:rsidP="009931C7">
      <w:pPr>
        <w:pStyle w:val="Geenafstand"/>
        <w:jc w:val="both"/>
        <w:rPr>
          <w:rFonts w:ascii="Times New Roman" w:hAnsi="Times New Roman" w:cs="Times New Roman"/>
          <w:i/>
          <w:sz w:val="24"/>
          <w:szCs w:val="24"/>
        </w:rPr>
      </w:pPr>
      <w:r w:rsidRPr="00D147A7">
        <w:rPr>
          <w:rFonts w:ascii="Times New Roman" w:hAnsi="Times New Roman" w:cs="Times New Roman"/>
          <w:sz w:val="24"/>
          <w:szCs w:val="24"/>
        </w:rPr>
        <w:t xml:space="preserve">COLSON, W., ‘Elektronische voorschriften worden rechtsgeldig’,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15 maart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DECOO, S., ‘De eID wordt een onafscheidelijke vriend: al vierhonderd toepassingen voor de elektronische identiteitskaart op komst – Straks niet meer weg te denken uit ons dagelijks le</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ven’,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Morgen</w:t>
      </w:r>
      <w:r w:rsidRPr="00D147A7">
        <w:rPr>
          <w:rFonts w:ascii="Times New Roman" w:hAnsi="Times New Roman" w:cs="Times New Roman"/>
          <w:sz w:val="24"/>
          <w:szCs w:val="24"/>
        </w:rPr>
        <w:t>, 16 augustus 2005.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SMET, F., ‘Elektronische identiteitskaart blijft zorgenkind’,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11 september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GROMMEN, S., ‘Artsen stomverbaasd over Vlaamse e-Health-plannen’,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16 april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GROMMEN, S., ‘Antwerpse ziekenhuizen creëren portaal voor patiëntengegevens’, </w:t>
      </w:r>
      <w:r w:rsidRPr="00D147A7">
        <w:rPr>
          <w:rFonts w:ascii="Times New Roman" w:hAnsi="Times New Roman" w:cs="Times New Roman"/>
          <w:i/>
          <w:sz w:val="24"/>
          <w:szCs w:val="24"/>
        </w:rPr>
        <w:t>Data</w:t>
      </w:r>
      <w:r w:rsidR="003A670E">
        <w:rPr>
          <w:rFonts w:ascii="Times New Roman" w:hAnsi="Times New Roman" w:cs="Times New Roman"/>
          <w:i/>
          <w:sz w:val="24"/>
          <w:szCs w:val="24"/>
        </w:rPr>
        <w:t>-</w:t>
      </w:r>
      <w:r w:rsidRPr="00D147A7">
        <w:rPr>
          <w:rFonts w:ascii="Times New Roman" w:hAnsi="Times New Roman" w:cs="Times New Roman"/>
          <w:i/>
          <w:sz w:val="24"/>
          <w:szCs w:val="24"/>
        </w:rPr>
        <w:t>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16 november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GROMMEN, S., ‘eHealth-platform kost slechts 80 miljoen euro’,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9 februari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MEIJER, J., ‘Elektronische identiteitskaart blijkt niet veilig: elektronische identiteitskaart on</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veilig en makkelijk te kraken’,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Morgen</w:t>
      </w:r>
      <w:r w:rsidRPr="00D147A7">
        <w:rPr>
          <w:rFonts w:ascii="Times New Roman" w:hAnsi="Times New Roman" w:cs="Times New Roman"/>
          <w:sz w:val="24"/>
          <w:szCs w:val="24"/>
        </w:rPr>
        <w:t>, 13 juni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MOENS, M., ‘Wordt het E-Health platform een grabbelton voor politici’,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11 augustus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MOEREMANS, H., ‘De snelwegen van E-health’,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11 augustus 2008.</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ROCOUR, V., ‘Un recours contre le projet e-Health’, </w:t>
      </w:r>
      <w:r w:rsidRPr="00D147A7">
        <w:rPr>
          <w:rFonts w:ascii="Times New Roman" w:hAnsi="Times New Roman" w:cs="Times New Roman"/>
          <w:i/>
          <w:sz w:val="24"/>
          <w:szCs w:val="24"/>
          <w:lang w:val="fr-BE"/>
        </w:rPr>
        <w:t>La</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Libre</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Belgique</w:t>
      </w:r>
      <w:r w:rsidRPr="00D147A7">
        <w:rPr>
          <w:rFonts w:ascii="Times New Roman" w:hAnsi="Times New Roman" w:cs="Times New Roman"/>
          <w:sz w:val="24"/>
          <w:szCs w:val="24"/>
          <w:lang w:val="fr-BE"/>
        </w:rPr>
        <w:t>, 17 april 2009.</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ROGER FRANCE, F., ‘Pourquoi se méfier de eHealth?’, </w:t>
      </w:r>
      <w:r w:rsidRPr="00D147A7">
        <w:rPr>
          <w:rFonts w:ascii="Times New Roman" w:hAnsi="Times New Roman" w:cs="Times New Roman"/>
          <w:i/>
          <w:sz w:val="24"/>
          <w:szCs w:val="24"/>
          <w:lang w:val="fr-BE"/>
        </w:rPr>
        <w:t>La</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Libre</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Belgique</w:t>
      </w:r>
      <w:r w:rsidRPr="00D147A7">
        <w:rPr>
          <w:rFonts w:ascii="Times New Roman" w:hAnsi="Times New Roman" w:cs="Times New Roman"/>
          <w:sz w:val="24"/>
          <w:szCs w:val="24"/>
          <w:lang w:val="fr-BE"/>
        </w:rPr>
        <w:t>, 7 oktober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TEGENBOS, G., ‘België zwak broertje e-health. Tevredenheid over gezondheidszorg remt vernieuwing af’, </w:t>
      </w:r>
      <w:r w:rsidRPr="00D147A7">
        <w:rPr>
          <w:rFonts w:ascii="Times New Roman" w:hAnsi="Times New Roman" w:cs="Times New Roman"/>
          <w:i/>
          <w:sz w:val="24"/>
          <w:szCs w:val="24"/>
        </w:rPr>
        <w:t>De Standaard</w:t>
      </w:r>
      <w:r w:rsidRPr="00D147A7">
        <w:rPr>
          <w:rFonts w:ascii="Times New Roman" w:hAnsi="Times New Roman" w:cs="Times New Roman"/>
          <w:sz w:val="24"/>
          <w:szCs w:val="24"/>
        </w:rPr>
        <w:t>, 8 februari 2011.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TEGENBOS, G., ‘E-health is na drie jaar startklaar’, </w:t>
      </w:r>
      <w:r w:rsidRPr="00D147A7">
        <w:rPr>
          <w:rFonts w:ascii="Times New Roman" w:hAnsi="Times New Roman" w:cs="Times New Roman"/>
          <w:i/>
          <w:sz w:val="24"/>
          <w:szCs w:val="24"/>
        </w:rPr>
        <w:t>De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Standaard</w:t>
      </w:r>
      <w:r w:rsidRPr="00D147A7">
        <w:rPr>
          <w:rFonts w:ascii="Times New Roman" w:hAnsi="Times New Roman" w:cs="Times New Roman"/>
          <w:sz w:val="24"/>
          <w:szCs w:val="24"/>
        </w:rPr>
        <w:t>, 11 april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TEGENBOS, G., ‘Toch geen oorlog in eerstelijnszorg’, </w:t>
      </w:r>
      <w:r w:rsidRPr="00D147A7">
        <w:rPr>
          <w:rFonts w:ascii="Times New Roman" w:hAnsi="Times New Roman" w:cs="Times New Roman"/>
          <w:i/>
          <w:sz w:val="24"/>
          <w:szCs w:val="24"/>
        </w:rPr>
        <w:t>De Standaard</w:t>
      </w:r>
      <w:r w:rsidRPr="00D147A7">
        <w:rPr>
          <w:rFonts w:ascii="Times New Roman" w:hAnsi="Times New Roman" w:cs="Times New Roman"/>
          <w:sz w:val="24"/>
          <w:szCs w:val="24"/>
        </w:rPr>
        <w:t>, 13 december 2010.</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TIBAU, F., ‘Réseau Santé Wallon uit de startblokken’, </w:t>
      </w:r>
      <w:r w:rsidRPr="00D147A7">
        <w:rPr>
          <w:rFonts w:ascii="Times New Roman" w:hAnsi="Times New Roman" w:cs="Times New Roman"/>
          <w:i/>
          <w:sz w:val="24"/>
          <w:szCs w:val="24"/>
          <w:lang w:val="fr-BE"/>
        </w:rPr>
        <w:t>Datanews</w:t>
      </w:r>
      <w:r w:rsidRPr="00D147A7">
        <w:rPr>
          <w:rFonts w:ascii="Times New Roman" w:hAnsi="Times New Roman" w:cs="Times New Roman"/>
          <w:sz w:val="24"/>
          <w:szCs w:val="24"/>
          <w:lang w:val="fr-BE"/>
        </w:rPr>
        <w:t xml:space="preserve"> </w:t>
      </w:r>
      <w:r w:rsidRPr="00D147A7">
        <w:rPr>
          <w:rFonts w:ascii="Times New Roman" w:hAnsi="Times New Roman" w:cs="Times New Roman"/>
          <w:i/>
          <w:sz w:val="24"/>
          <w:szCs w:val="24"/>
          <w:lang w:val="fr-BE"/>
        </w:rPr>
        <w:t>Knack</w:t>
      </w:r>
      <w:r w:rsidRPr="00D147A7">
        <w:rPr>
          <w:rFonts w:ascii="Times New Roman" w:hAnsi="Times New Roman" w:cs="Times New Roman"/>
          <w:sz w:val="24"/>
          <w:szCs w:val="24"/>
          <w:lang w:val="fr-BE"/>
        </w:rPr>
        <w:t>, 23 september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TIBAU, F., ‘UZ Leuven rolt elektronisch medisch dossier uit bij 7 partnerziekenhuizen, </w:t>
      </w:r>
      <w:r w:rsidRPr="00D147A7">
        <w:rPr>
          <w:rFonts w:ascii="Times New Roman" w:hAnsi="Times New Roman" w:cs="Times New Roman"/>
          <w:i/>
          <w:sz w:val="24"/>
          <w:szCs w:val="24"/>
        </w:rPr>
        <w:t>Data</w:t>
      </w:r>
      <w:r w:rsidR="003A670E">
        <w:rPr>
          <w:rFonts w:ascii="Times New Roman" w:hAnsi="Times New Roman" w:cs="Times New Roman"/>
          <w:i/>
          <w:sz w:val="24"/>
          <w:szCs w:val="24"/>
        </w:rPr>
        <w:t>-</w:t>
      </w:r>
      <w:r w:rsidRPr="00D147A7">
        <w:rPr>
          <w:rFonts w:ascii="Times New Roman" w:hAnsi="Times New Roman" w:cs="Times New Roman"/>
          <w:i/>
          <w:sz w:val="24"/>
          <w:szCs w:val="24"/>
        </w:rPr>
        <w:t>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28 april 2011.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DER STADT, K., ‘Roekeloze plannen rond eHeath’, </w:t>
      </w:r>
      <w:r w:rsidRPr="00D147A7">
        <w:rPr>
          <w:rFonts w:ascii="Times New Roman" w:hAnsi="Times New Roman" w:cs="Times New Roman"/>
          <w:i/>
          <w:sz w:val="24"/>
          <w:szCs w:val="24"/>
        </w:rPr>
        <w:t>Datanews</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Knack</w:t>
      </w:r>
      <w:r w:rsidRPr="00D147A7">
        <w:rPr>
          <w:rFonts w:ascii="Times New Roman" w:hAnsi="Times New Roman" w:cs="Times New Roman"/>
          <w:sz w:val="24"/>
          <w:szCs w:val="24"/>
        </w:rPr>
        <w:t>, 16 april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2.8 Rechtsleer en literatuur</w:t>
      </w:r>
    </w:p>
    <w:p w:rsidR="003A670E" w:rsidRDefault="003A670E" w:rsidP="009931C7">
      <w:pPr>
        <w:pStyle w:val="Geenafstand"/>
        <w:jc w:val="both"/>
        <w:rPr>
          <w:rFonts w:ascii="Times New Roman" w:hAnsi="Times New Roman" w:cs="Times New Roman"/>
          <w:sz w:val="24"/>
          <w:szCs w:val="24"/>
        </w:rPr>
      </w:pPr>
    </w:p>
    <w:p w:rsidR="009931C7" w:rsidRPr="000B0567" w:rsidRDefault="009931C7" w:rsidP="009931C7">
      <w:pPr>
        <w:pStyle w:val="Geenafstand"/>
        <w:jc w:val="both"/>
        <w:rPr>
          <w:rFonts w:ascii="Times New Roman" w:hAnsi="Times New Roman" w:cs="Times New Roman"/>
          <w:sz w:val="24"/>
          <w:szCs w:val="24"/>
        </w:rPr>
      </w:pPr>
      <w:r w:rsidRPr="000B0567">
        <w:rPr>
          <w:rFonts w:ascii="Times New Roman" w:hAnsi="Times New Roman" w:cs="Times New Roman"/>
          <w:sz w:val="24"/>
          <w:szCs w:val="24"/>
        </w:rPr>
        <w:t xml:space="preserve">‘Be-health-platform wordt e-health-platform’, </w:t>
      </w:r>
      <w:r w:rsidRPr="000B0567">
        <w:rPr>
          <w:rFonts w:ascii="Times New Roman" w:hAnsi="Times New Roman" w:cs="Times New Roman"/>
          <w:i/>
          <w:sz w:val="24"/>
          <w:szCs w:val="24"/>
        </w:rPr>
        <w:t>P&amp;I</w:t>
      </w:r>
      <w:r w:rsidRPr="000B0567">
        <w:rPr>
          <w:rFonts w:ascii="Times New Roman" w:hAnsi="Times New Roman" w:cs="Times New Roman"/>
          <w:sz w:val="24"/>
          <w:szCs w:val="24"/>
        </w:rPr>
        <w:t>, 11/3 (2008), p. 156-157 (nr. 189).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Beleidsstukken Eerstelijnszorg Vlaanderen (</w:t>
      </w:r>
      <w:hyperlink r:id="rId119" w:history="1">
        <w:r w:rsidR="003A670E" w:rsidRPr="00ED5FE6">
          <w:rPr>
            <w:rStyle w:val="Hyperlink"/>
            <w:rFonts w:ascii="Times New Roman" w:hAnsi="Times New Roman" w:cs="Times New Roman"/>
            <w:sz w:val="24"/>
            <w:szCs w:val="24"/>
          </w:rPr>
          <w:t>http://www.zorg-en-gezondheid.be/Beleid/ Vlaamse-bevoegdheden/Beleid-eerstelijnsgezondheidszorg/</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‘Cour const., 18 mars 2010’, </w:t>
      </w:r>
      <w:r w:rsidRPr="00D147A7">
        <w:rPr>
          <w:rFonts w:ascii="Times New Roman" w:hAnsi="Times New Roman" w:cs="Times New Roman"/>
          <w:i/>
          <w:sz w:val="24"/>
          <w:szCs w:val="24"/>
          <w:lang w:val="fr-BE"/>
        </w:rPr>
        <w:t>R.D.T.I</w:t>
      </w:r>
      <w:r w:rsidRPr="00D147A7">
        <w:rPr>
          <w:rFonts w:ascii="Times New Roman" w:hAnsi="Times New Roman" w:cs="Times New Roman"/>
          <w:sz w:val="24"/>
          <w:szCs w:val="24"/>
          <w:lang w:val="fr-BE"/>
        </w:rPr>
        <w:t>., 41 (2010), p. 23-38.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Belgische SIS-kaart verdwijnt tegen 2011’, </w:t>
      </w:r>
      <w:r w:rsidRPr="00D147A7">
        <w:rPr>
          <w:rFonts w:ascii="Times New Roman" w:hAnsi="Times New Roman" w:cs="Times New Roman"/>
          <w:i/>
          <w:sz w:val="24"/>
          <w:szCs w:val="24"/>
        </w:rPr>
        <w:t>P&amp;I</w:t>
      </w:r>
      <w:r w:rsidRPr="00D147A7">
        <w:rPr>
          <w:rFonts w:ascii="Times New Roman" w:hAnsi="Times New Roman" w:cs="Times New Roman"/>
          <w:sz w:val="24"/>
          <w:szCs w:val="24"/>
        </w:rPr>
        <w:t xml:space="preserve">, 11/5 (2008), p. 260 (nr. 271).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elektronische identiteitskaart: onmisbaar voor e-government’, </w:t>
      </w:r>
      <w:r w:rsidRPr="00D147A7">
        <w:rPr>
          <w:rFonts w:ascii="Times New Roman" w:hAnsi="Times New Roman" w:cs="Times New Roman"/>
          <w:i/>
          <w:sz w:val="24"/>
          <w:szCs w:val="24"/>
        </w:rPr>
        <w:t>Fedra</w:t>
      </w:r>
      <w:r w:rsidRPr="00D147A7">
        <w:rPr>
          <w:rFonts w:ascii="Times New Roman" w:hAnsi="Times New Roman" w:cs="Times New Roman"/>
          <w:sz w:val="24"/>
          <w:szCs w:val="24"/>
        </w:rPr>
        <w:t xml:space="preserve">, 2002, 3, p. 24-27.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invoering van een elektronische identiteitskaart: een middel tot e-government’, </w:t>
      </w:r>
      <w:r w:rsidRPr="00D147A7">
        <w:rPr>
          <w:rFonts w:ascii="Times New Roman" w:hAnsi="Times New Roman" w:cs="Times New Roman"/>
          <w:i/>
          <w:sz w:val="24"/>
          <w:szCs w:val="24"/>
        </w:rPr>
        <w:t>4instance</w:t>
      </w:r>
      <w:r w:rsidRPr="00D147A7">
        <w:rPr>
          <w:rFonts w:ascii="Times New Roman" w:hAnsi="Times New Roman" w:cs="Times New Roman"/>
          <w:sz w:val="24"/>
          <w:szCs w:val="24"/>
        </w:rPr>
        <w:t>, 2001, 8, p. 14-17.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kruispuntbank van de sociale zekerheid’, </w:t>
      </w:r>
      <w:r w:rsidRPr="00D147A7">
        <w:rPr>
          <w:rFonts w:ascii="Times New Roman" w:hAnsi="Times New Roman" w:cs="Times New Roman"/>
          <w:i/>
          <w:sz w:val="24"/>
          <w:szCs w:val="24"/>
        </w:rPr>
        <w:t>Med.V.B.O.</w:t>
      </w:r>
      <w:r w:rsidRPr="00D147A7">
        <w:rPr>
          <w:rFonts w:ascii="Times New Roman" w:hAnsi="Times New Roman" w:cs="Times New Roman"/>
          <w:sz w:val="24"/>
          <w:szCs w:val="24"/>
        </w:rPr>
        <w:t>, 1989, p. 1786-1789.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toestemmingsregeling in het Gezondheidsinformatiesysteem vernietigd door het Grondwettelijk Hof’, </w:t>
      </w:r>
      <w:r w:rsidRPr="00D147A7">
        <w:rPr>
          <w:rFonts w:ascii="Times New Roman" w:hAnsi="Times New Roman" w:cs="Times New Roman"/>
          <w:i/>
          <w:sz w:val="24"/>
          <w:szCs w:val="24"/>
        </w:rPr>
        <w:t>P&amp;I</w:t>
      </w:r>
      <w:r w:rsidRPr="00D147A7">
        <w:rPr>
          <w:rFonts w:ascii="Times New Roman" w:hAnsi="Times New Roman" w:cs="Times New Roman"/>
          <w:sz w:val="24"/>
          <w:szCs w:val="24"/>
        </w:rPr>
        <w:t>, 11/3 (2008), p. 152-153 (nr. 184).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‘Digitale handtekening’, </w:t>
      </w:r>
      <w:r w:rsidRPr="00D147A7">
        <w:rPr>
          <w:rFonts w:ascii="Times New Roman" w:hAnsi="Times New Roman" w:cs="Times New Roman"/>
          <w:i/>
          <w:sz w:val="24"/>
          <w:szCs w:val="24"/>
        </w:rPr>
        <w:t>N.J.W.</w:t>
      </w:r>
      <w:r w:rsidRPr="00D147A7">
        <w:rPr>
          <w:rFonts w:ascii="Times New Roman" w:hAnsi="Times New Roman" w:cs="Times New Roman"/>
          <w:sz w:val="24"/>
          <w:szCs w:val="24"/>
        </w:rPr>
        <w:t xml:space="preserve">, 260 (2012), p. 244.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eHealthBox: Webtoepassing en webservices</w:t>
      </w:r>
      <w:r w:rsidRPr="00D147A7">
        <w:rPr>
          <w:rFonts w:ascii="Times New Roman" w:hAnsi="Times New Roman" w:cs="Times New Roman"/>
          <w:sz w:val="24"/>
          <w:szCs w:val="24"/>
        </w:rPr>
        <w:t>, Brussel, 2010, 8p. (</w:t>
      </w:r>
      <w:hyperlink r:id="rId120" w:history="1">
        <w:r w:rsidR="00404B84" w:rsidRPr="002E3061">
          <w:rPr>
            <w:rStyle w:val="Hyperlink"/>
            <w:rFonts w:ascii="Times New Roman" w:hAnsi="Times New Roman" w:cs="Times New Roman"/>
            <w:sz w:val="24"/>
            <w:szCs w:val="24"/>
          </w:rPr>
          <w:t>https://www.ehealth.fgov.be/ nl/over-het-ehealth-platform/presentatie/infodays/4-march-2011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eHealthBox: Beveiligde elektronische brievenbus</w:t>
      </w:r>
      <w:r w:rsidRPr="00D147A7">
        <w:rPr>
          <w:rFonts w:ascii="Times New Roman" w:hAnsi="Times New Roman" w:cs="Times New Roman"/>
          <w:sz w:val="24"/>
          <w:szCs w:val="24"/>
        </w:rPr>
        <w:t>, Brussel, 2011, 17p. (</w:t>
      </w:r>
      <w:hyperlink w:history="1">
        <w:r w:rsidR="00A46F95" w:rsidRPr="00D147A7">
          <w:rPr>
            <w:rStyle w:val="Hyperlink"/>
            <w:rFonts w:ascii="Times New Roman" w:hAnsi="Times New Roman" w:cs="Times New Roman"/>
            <w:sz w:val="24"/>
            <w:szCs w:val="24"/>
          </w:rPr>
          <w:t>https://www.ehealth. fgov.be/nl/over-het-ehealth-platform/presentatie/infodays/4-march-2011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‘eHealth-platform’, </w:t>
      </w:r>
      <w:r w:rsidRPr="00D147A7">
        <w:rPr>
          <w:rFonts w:ascii="Times New Roman" w:hAnsi="Times New Roman" w:cs="Times New Roman"/>
          <w:i/>
          <w:sz w:val="24"/>
          <w:szCs w:val="24"/>
          <w:lang w:val="en-US"/>
        </w:rPr>
        <w:t>N.J.W.</w:t>
      </w:r>
      <w:r w:rsidRPr="00D147A7">
        <w:rPr>
          <w:rFonts w:ascii="Times New Roman" w:hAnsi="Times New Roman" w:cs="Times New Roman"/>
          <w:sz w:val="24"/>
          <w:szCs w:val="24"/>
          <w:lang w:val="en-US"/>
        </w:rPr>
        <w:t>, 217 (2010), p. 143.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‘eHealth-platform. Projecten op kruissnelheid’, </w:t>
      </w:r>
      <w:r w:rsidRPr="00D147A7">
        <w:rPr>
          <w:rFonts w:ascii="Times New Roman" w:hAnsi="Times New Roman" w:cs="Times New Roman"/>
          <w:i/>
          <w:sz w:val="24"/>
          <w:szCs w:val="24"/>
        </w:rPr>
        <w:t>Citizen-e</w:t>
      </w:r>
      <w:r w:rsidRPr="00D147A7">
        <w:rPr>
          <w:rFonts w:ascii="Times New Roman" w:hAnsi="Times New Roman" w:cs="Times New Roman"/>
          <w:sz w:val="24"/>
          <w:szCs w:val="24"/>
        </w:rPr>
        <w:t>, 2010, 1, p. 13-14  (</w:t>
      </w:r>
      <w:hyperlink w:history="1">
        <w:r w:rsidR="00A46F95" w:rsidRPr="00D147A7">
          <w:rPr>
            <w:rStyle w:val="Hyperlink"/>
            <w:rFonts w:ascii="Times New Roman" w:hAnsi="Times New Roman" w:cs="Times New Roman"/>
            <w:sz w:val="24"/>
            <w:szCs w:val="24"/>
          </w:rPr>
          <w:t>https://www. law.kuleuven.be/icri/frobben/documents/Citizen-E%20-%20maart%202010.pdf</w:t>
        </w:r>
      </w:hyperlink>
      <w:r w:rsidRPr="00D147A7">
        <w:rPr>
          <w:rFonts w:ascii="Times New Roman" w:hAnsi="Times New Roman" w:cs="Times New Roman"/>
          <w:sz w:val="24"/>
          <w:szCs w:val="24"/>
        </w:rPr>
        <w:t>, laatst ge</w:t>
      </w:r>
      <w:r w:rsidR="003A670E">
        <w:rPr>
          <w:rFonts w:ascii="Times New Roman" w:hAnsi="Times New Roman" w:cs="Times New Roman"/>
          <w:sz w:val="24"/>
          <w:szCs w:val="24"/>
        </w:rPr>
        <w:t>-</w:t>
      </w:r>
      <w:r w:rsidRPr="00D147A7">
        <w:rPr>
          <w:rFonts w:ascii="Times New Roman" w:hAnsi="Times New Roman" w:cs="Times New Roman"/>
          <w:sz w:val="24"/>
          <w:szCs w:val="24"/>
        </w:rPr>
        <w:t>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‘Het eHealth-platform opgericht’, </w:t>
      </w:r>
      <w:r w:rsidRPr="00D147A7">
        <w:rPr>
          <w:rFonts w:ascii="Times New Roman" w:hAnsi="Times New Roman" w:cs="Times New Roman"/>
          <w:i/>
          <w:sz w:val="24"/>
          <w:szCs w:val="24"/>
        </w:rPr>
        <w:t>P&amp;I</w:t>
      </w:r>
      <w:r w:rsidRPr="00D147A7">
        <w:rPr>
          <w:rFonts w:ascii="Times New Roman" w:hAnsi="Times New Roman" w:cs="Times New Roman"/>
          <w:sz w:val="24"/>
          <w:szCs w:val="24"/>
        </w:rPr>
        <w:t>, 11/5 (2008), p. 259-260 (nr. 270).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lastRenderedPageBreak/>
        <w:t>Het systeem voor end-to-end vercijfering</w:t>
      </w:r>
      <w:r w:rsidRPr="00D147A7">
        <w:rPr>
          <w:rFonts w:ascii="Times New Roman" w:hAnsi="Times New Roman" w:cs="Times New Roman"/>
          <w:sz w:val="24"/>
          <w:szCs w:val="24"/>
        </w:rPr>
        <w:t>, Brussel, 2009, 11p. (</w:t>
      </w:r>
      <w:hyperlink r:id="rId121" w:history="1">
        <w:r w:rsidR="00A46F95" w:rsidRPr="00D147A7">
          <w:rPr>
            <w:rStyle w:val="Hyperlink"/>
            <w:rFonts w:ascii="Times New Roman" w:hAnsi="Times New Roman" w:cs="Times New Roman"/>
            <w:sz w:val="24"/>
            <w:szCs w:val="24"/>
          </w:rPr>
          <w:t>https://www.ehealth.fgov.be/ nl/over-het-ehealth-platform/presentatie/infodays/8-oktober-2009</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‘Informatieplatformen bij het delen van gezondheidsgegevens: nieuwe regelgeving in België’, </w:t>
      </w:r>
      <w:r w:rsidRPr="00D147A7">
        <w:rPr>
          <w:rFonts w:ascii="Times New Roman" w:hAnsi="Times New Roman" w:cs="Times New Roman"/>
          <w:i/>
          <w:sz w:val="24"/>
          <w:szCs w:val="24"/>
        </w:rPr>
        <w:t>P&amp;I</w:t>
      </w:r>
      <w:r w:rsidRPr="00D147A7">
        <w:rPr>
          <w:rFonts w:ascii="Times New Roman" w:hAnsi="Times New Roman" w:cs="Times New Roman"/>
          <w:sz w:val="24"/>
          <w:szCs w:val="24"/>
        </w:rPr>
        <w:t>, 11/1 (2008), p. 61-62 (nr. 70).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‘Kruispuntbank- en kankerregisters’, </w:t>
      </w:r>
      <w:r w:rsidRPr="00D147A7">
        <w:rPr>
          <w:rFonts w:ascii="Times New Roman" w:hAnsi="Times New Roman" w:cs="Times New Roman"/>
          <w:i/>
          <w:sz w:val="24"/>
          <w:szCs w:val="24"/>
        </w:rPr>
        <w:t>P&amp;I</w:t>
      </w:r>
      <w:r w:rsidRPr="00D147A7">
        <w:rPr>
          <w:rFonts w:ascii="Times New Roman" w:hAnsi="Times New Roman" w:cs="Times New Roman"/>
          <w:sz w:val="24"/>
          <w:szCs w:val="24"/>
        </w:rPr>
        <w:t>, 11/1 (2008), p. 60-61 (nr. 69).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‘Le plan d’action Réseau Santé Wallon’, s.l.n.d. (</w:t>
      </w:r>
      <w:hyperlink r:id="rId122" w:history="1">
        <w:r w:rsidRPr="00D147A7">
          <w:rPr>
            <w:rStyle w:val="Hyperlink"/>
            <w:rFonts w:ascii="Times New Roman" w:hAnsi="Times New Roman" w:cs="Times New Roman"/>
            <w:sz w:val="24"/>
            <w:szCs w:val="24"/>
          </w:rPr>
          <w:t>www.reseausantewallon.be/default.aspx</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‘Privacycommissie geeft in advies eHealth-platform groen licht voor gebruik Rijksregister</w:t>
      </w:r>
      <w:r w:rsidR="003A670E">
        <w:rPr>
          <w:rFonts w:ascii="Times New Roman" w:hAnsi="Times New Roman" w:cs="Times New Roman"/>
          <w:sz w:val="24"/>
          <w:szCs w:val="24"/>
        </w:rPr>
        <w:t>-</w:t>
      </w:r>
      <w:r w:rsidRPr="00D147A7">
        <w:rPr>
          <w:rFonts w:ascii="Times New Roman" w:hAnsi="Times New Roman" w:cs="Times New Roman"/>
          <w:sz w:val="24"/>
          <w:szCs w:val="24"/>
        </w:rPr>
        <w:t xml:space="preserve">nummer’, </w:t>
      </w:r>
      <w:r w:rsidRPr="00D147A7">
        <w:rPr>
          <w:rFonts w:ascii="Times New Roman" w:hAnsi="Times New Roman" w:cs="Times New Roman"/>
          <w:i/>
          <w:sz w:val="24"/>
          <w:szCs w:val="24"/>
        </w:rPr>
        <w:t>P&amp;I</w:t>
      </w:r>
      <w:r w:rsidRPr="00D147A7">
        <w:rPr>
          <w:rFonts w:ascii="Times New Roman" w:hAnsi="Times New Roman" w:cs="Times New Roman"/>
          <w:sz w:val="24"/>
          <w:szCs w:val="24"/>
        </w:rPr>
        <w:t>, 11/4 (2008), p. 202-203 (nr. 224).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Recip-e. Het elektronische voorschrift in de ambulante zorg</w:t>
      </w:r>
      <w:r w:rsidRPr="00D147A7">
        <w:rPr>
          <w:rFonts w:ascii="Times New Roman" w:hAnsi="Times New Roman" w:cs="Times New Roman"/>
          <w:sz w:val="24"/>
          <w:szCs w:val="24"/>
        </w:rPr>
        <w:t>, Brussel, 2011, 37p. (</w:t>
      </w:r>
      <w:hyperlink w:history="1">
        <w:r w:rsidR="00A46F95" w:rsidRPr="00D147A7">
          <w:rPr>
            <w:rStyle w:val="Hyperlink"/>
            <w:rFonts w:ascii="Times New Roman" w:hAnsi="Times New Roman" w:cs="Times New Roman"/>
            <w:sz w:val="24"/>
            <w:szCs w:val="24"/>
          </w:rPr>
          <w:t>https:// www.ehealth.fgov.be/nl/over-het-ehealth-platform/presentatie/infodays/8-december-2011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‘Sociale identiteitskaart – Privacyproblematiek’, </w:t>
      </w:r>
      <w:r w:rsidRPr="00D147A7">
        <w:rPr>
          <w:rFonts w:ascii="Times New Roman" w:hAnsi="Times New Roman" w:cs="Times New Roman"/>
          <w:i/>
          <w:sz w:val="24"/>
          <w:szCs w:val="24"/>
        </w:rPr>
        <w:t>Hosp.</w:t>
      </w:r>
      <w:r w:rsidRPr="00D147A7">
        <w:rPr>
          <w:rFonts w:ascii="Times New Roman" w:hAnsi="Times New Roman" w:cs="Times New Roman"/>
          <w:sz w:val="24"/>
          <w:szCs w:val="24"/>
        </w:rPr>
        <w:t>, 41/3 (1997), p. 138-139.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Strategisch plan 2011-2013, besproken en goedgekeurd door het Beheerscomité van decem</w:t>
      </w:r>
      <w:r w:rsidR="003A670E">
        <w:rPr>
          <w:rFonts w:ascii="Times New Roman" w:hAnsi="Times New Roman" w:cs="Times New Roman"/>
          <w:i/>
          <w:sz w:val="24"/>
          <w:szCs w:val="24"/>
        </w:rPr>
        <w:t>-</w:t>
      </w:r>
      <w:r w:rsidRPr="00D147A7">
        <w:rPr>
          <w:rFonts w:ascii="Times New Roman" w:hAnsi="Times New Roman" w:cs="Times New Roman"/>
          <w:i/>
          <w:sz w:val="24"/>
          <w:szCs w:val="24"/>
        </w:rPr>
        <w:t>ber 2010</w:t>
      </w:r>
      <w:r w:rsidRPr="00D147A7">
        <w:rPr>
          <w:rFonts w:ascii="Times New Roman" w:hAnsi="Times New Roman" w:cs="Times New Roman"/>
          <w:sz w:val="24"/>
          <w:szCs w:val="24"/>
        </w:rPr>
        <w:t>, Brussel, 2010, 42p. (</w:t>
      </w:r>
      <w:hyperlink r:id="rId123" w:history="1">
        <w:r w:rsidR="003A670E" w:rsidRPr="00ED5FE6">
          <w:rPr>
            <w:rStyle w:val="Hyperlink"/>
            <w:rFonts w:ascii="Times New Roman" w:hAnsi="Times New Roman" w:cs="Times New Roman"/>
            <w:sz w:val="24"/>
            <w:szCs w:val="24"/>
          </w:rPr>
          <w:t>https://www.ehealth.fgov.be/nl/over-het-ehealth-platform/ organisatie/beheerscomite</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lang w:val="en-US"/>
        </w:rPr>
        <w:t xml:space="preserve">The electronic prescription of medication inside hospitals (ePrescription). </w:t>
      </w:r>
      <w:r w:rsidRPr="00D147A7">
        <w:rPr>
          <w:rFonts w:ascii="Times New Roman" w:hAnsi="Times New Roman" w:cs="Times New Roman"/>
          <w:i/>
          <w:sz w:val="24"/>
          <w:szCs w:val="24"/>
        </w:rPr>
        <w:t>General overview</w:t>
      </w:r>
      <w:r w:rsidRPr="00D147A7">
        <w:rPr>
          <w:rFonts w:ascii="Times New Roman" w:hAnsi="Times New Roman" w:cs="Times New Roman"/>
          <w:sz w:val="24"/>
          <w:szCs w:val="24"/>
        </w:rPr>
        <w:t>, Brussel, 2009, 45p. (</w:t>
      </w:r>
      <w:hyperlink r:id="rId124" w:history="1">
        <w:r w:rsidR="00404B84" w:rsidRPr="002E3061">
          <w:rPr>
            <w:rStyle w:val="Hyperlink"/>
            <w:rFonts w:ascii="Times New Roman" w:hAnsi="Times New Roman" w:cs="Times New Roman"/>
            <w:sz w:val="24"/>
            <w:szCs w:val="24"/>
          </w:rPr>
          <w:t>https://www.ehealth.fgov.be/nl/over-het-ehealth-platform/presentatie/ infodays/8-oktober-2009</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Verslag bijeenkomst Werkgroep ICT Eerstelijns Gezondheidsconferentie Brussel</w:t>
      </w:r>
      <w:r w:rsidRPr="00D147A7">
        <w:rPr>
          <w:rFonts w:ascii="Times New Roman" w:hAnsi="Times New Roman" w:cs="Times New Roman"/>
          <w:sz w:val="24"/>
          <w:szCs w:val="24"/>
        </w:rPr>
        <w:t>, Brussel, 15 april 2011, 44p. (</w:t>
      </w:r>
      <w:hyperlink r:id="rId125" w:history="1">
        <w:r w:rsidR="003A670E" w:rsidRPr="00ED5FE6">
          <w:rPr>
            <w:rStyle w:val="Hyperlink"/>
            <w:rFonts w:ascii="Times New Roman" w:hAnsi="Times New Roman" w:cs="Times New Roman"/>
            <w:sz w:val="24"/>
            <w:szCs w:val="24"/>
          </w:rPr>
          <w:t>www.zorg-en-gezondheid.be/uploadedFiles/Zorg_en_Gezondheid/ Applicaties-ICT/Eerstelijnskluis/Verslag%20WG%20ICT%2020110415%20bijlage.pdf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ALENGREAU, V., ‘De inbreng van de nieuwe informatie- en communicatietechnologieën in het domein van de gezondheid’, </w:t>
      </w:r>
      <w:r w:rsidRPr="00D147A7">
        <w:rPr>
          <w:rFonts w:ascii="Times New Roman" w:hAnsi="Times New Roman" w:cs="Times New Roman"/>
          <w:i/>
          <w:sz w:val="24"/>
          <w:szCs w:val="24"/>
        </w:rPr>
        <w:t>Inf.RIZIV</w:t>
      </w:r>
      <w:r w:rsidRPr="00D147A7">
        <w:rPr>
          <w:rFonts w:ascii="Times New Roman" w:hAnsi="Times New Roman" w:cs="Times New Roman"/>
          <w:sz w:val="24"/>
          <w:szCs w:val="24"/>
        </w:rPr>
        <w:t>, 2006, 4, p. 429-465 (</w:t>
      </w:r>
      <w:hyperlink w:history="1">
        <w:r w:rsidR="00A46F95" w:rsidRPr="00D147A7">
          <w:rPr>
            <w:rStyle w:val="Hyperlink"/>
            <w:rFonts w:ascii="Times New Roman" w:hAnsi="Times New Roman" w:cs="Times New Roman"/>
            <w:sz w:val="24"/>
            <w:szCs w:val="24"/>
          </w:rPr>
          <w:t>http://www.health.belgium. be/eportal/Healthcare/Telematics/HealthNetworks/eHealth/index.htm?fodnlang=nl</w:t>
        </w:r>
      </w:hyperlink>
      <w:r w:rsidRPr="00D147A7">
        <w:rPr>
          <w:rFonts w:ascii="Times New Roman" w:hAnsi="Times New Roman" w:cs="Times New Roman"/>
          <w:sz w:val="24"/>
          <w:szCs w:val="24"/>
        </w:rPr>
        <w:t>, laatst ge</w:t>
      </w:r>
      <w:r w:rsidR="00404B84">
        <w:rPr>
          <w:rFonts w:ascii="Times New Roman" w:hAnsi="Times New Roman" w:cs="Times New Roman"/>
          <w:sz w:val="24"/>
          <w:szCs w:val="24"/>
        </w:rPr>
        <w:t>-</w:t>
      </w:r>
      <w:r w:rsidRPr="00D147A7">
        <w:rPr>
          <w:rFonts w:ascii="Times New Roman" w:hAnsi="Times New Roman" w:cs="Times New Roman"/>
          <w:sz w:val="24"/>
          <w:szCs w:val="24"/>
        </w:rPr>
        <w:t>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ANKAERT, E., ‘Een informatie-uitwisselingsplatform op het vlak van gezondheidszorg’, </w:t>
      </w:r>
      <w:r w:rsidRPr="00D147A7">
        <w:rPr>
          <w:rFonts w:ascii="Times New Roman" w:hAnsi="Times New Roman" w:cs="Times New Roman"/>
          <w:i/>
          <w:sz w:val="24"/>
          <w:szCs w:val="24"/>
        </w:rPr>
        <w:t>T.v.W.</w:t>
      </w:r>
      <w:r w:rsidRPr="00D147A7">
        <w:rPr>
          <w:rFonts w:ascii="Times New Roman" w:hAnsi="Times New Roman" w:cs="Times New Roman"/>
          <w:sz w:val="24"/>
          <w:szCs w:val="24"/>
        </w:rPr>
        <w:t>, 2009, 1, p. 62-64.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BELLON, E.; NEYENS, P.; FERON, M.; VINCKX, M.; VAN DEN BOSCH, B.; </w:t>
      </w:r>
      <w:r w:rsidRPr="00D147A7">
        <w:rPr>
          <w:rFonts w:ascii="Times New Roman" w:hAnsi="Times New Roman" w:cs="Times New Roman"/>
          <w:i/>
          <w:sz w:val="24"/>
          <w:szCs w:val="24"/>
          <w:lang w:val="en-US"/>
        </w:rPr>
        <w:t>The Leuven hub in the eHealth ‘hubs &amp; metahub’ project</w:t>
      </w:r>
      <w:r w:rsidRPr="00D147A7">
        <w:rPr>
          <w:rFonts w:ascii="Times New Roman" w:hAnsi="Times New Roman" w:cs="Times New Roman"/>
          <w:sz w:val="24"/>
          <w:szCs w:val="24"/>
          <w:lang w:val="en-US"/>
        </w:rPr>
        <w:t xml:space="preserve">, Leuven, s.d., 24p. </w:t>
      </w:r>
      <w:r w:rsidRPr="00D147A7">
        <w:rPr>
          <w:rFonts w:ascii="Times New Roman" w:hAnsi="Times New Roman" w:cs="Times New Roman"/>
          <w:sz w:val="24"/>
          <w:szCs w:val="24"/>
        </w:rPr>
        <w:t>(</w:t>
      </w:r>
      <w:hyperlink r:id="rId126" w:history="1">
        <w:r w:rsidR="005E4A37" w:rsidRPr="00ED5FE6">
          <w:rPr>
            <w:rStyle w:val="Hyperlink"/>
            <w:rFonts w:ascii="Times New Roman" w:hAnsi="Times New Roman" w:cs="Times New Roman"/>
            <w:sz w:val="24"/>
            <w:szCs w:val="24"/>
          </w:rPr>
          <w:t>http://www.health-care.be/ downloads/seminaries/HIT15bellon.pdf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BELMANS, L.; DEVOGELE, M.; DEVREKER, N.; FIERENS, C. et al.; </w:t>
      </w:r>
      <w:r w:rsidRPr="00D147A7">
        <w:rPr>
          <w:rFonts w:ascii="Times New Roman" w:hAnsi="Times New Roman" w:cs="Times New Roman"/>
          <w:i/>
          <w:sz w:val="24"/>
          <w:szCs w:val="24"/>
        </w:rPr>
        <w:t>Handboek ICD-9-CM-codering 2011/2012</w:t>
      </w:r>
      <w:r w:rsidRPr="00D147A7">
        <w:rPr>
          <w:rFonts w:ascii="Times New Roman" w:hAnsi="Times New Roman" w:cs="Times New Roman"/>
          <w:sz w:val="24"/>
          <w:szCs w:val="24"/>
        </w:rPr>
        <w:t>, Brussel, FOD Volksgezondheid, Veiligheid van de Voedselketen en Leefmilieu – Directoraat-generaal Organisatie van de Gezondheidszorgvoorzieningen Dienst Management, 2011, 450p. (</w:t>
      </w:r>
      <w:hyperlink r:id="rId127" w:history="1">
        <w:r w:rsidR="005E4A37" w:rsidRPr="00ED5FE6">
          <w:rPr>
            <w:rStyle w:val="Hyperlink"/>
            <w:rFonts w:ascii="Times New Roman" w:hAnsi="Times New Roman" w:cs="Times New Roman"/>
            <w:sz w:val="24"/>
            <w:szCs w:val="24"/>
          </w:rPr>
          <w:t>http://www.health.belgium.be/internet2Prd/groups/public/@ public/@dg1/@datamanagement/documents/ie2divers/19076147.pdf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BOONE, R., ‘Frank Robben, de paus van succesvol e-government’, </w:t>
      </w:r>
      <w:r w:rsidRPr="00D147A7">
        <w:rPr>
          <w:rFonts w:ascii="Times New Roman" w:hAnsi="Times New Roman" w:cs="Times New Roman"/>
          <w:i/>
          <w:sz w:val="24"/>
          <w:szCs w:val="24"/>
        </w:rPr>
        <w:t>Juristenkrant</w:t>
      </w:r>
      <w:r w:rsidRPr="00D147A7">
        <w:rPr>
          <w:rFonts w:ascii="Times New Roman" w:hAnsi="Times New Roman" w:cs="Times New Roman"/>
          <w:sz w:val="24"/>
          <w:szCs w:val="24"/>
        </w:rPr>
        <w:t>, 208 (2010), p. 15.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BOTTERMAN, C., ‘De sociale zekerheidskaart’, </w:t>
      </w:r>
      <w:r w:rsidRPr="00D147A7">
        <w:rPr>
          <w:rFonts w:ascii="Times New Roman" w:hAnsi="Times New Roman" w:cs="Times New Roman"/>
          <w:i/>
          <w:sz w:val="24"/>
          <w:szCs w:val="24"/>
        </w:rPr>
        <w:t>Kijk Uit</w:t>
      </w:r>
      <w:r w:rsidRPr="00D147A7">
        <w:rPr>
          <w:rFonts w:ascii="Times New Roman" w:hAnsi="Times New Roman" w:cs="Times New Roman"/>
          <w:sz w:val="24"/>
          <w:szCs w:val="24"/>
        </w:rPr>
        <w:t xml:space="preserve">, 1986, p. 247-257. </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BOUCKAERT, J.M.C.; DEGRYSE, H.A.; </w:t>
      </w:r>
      <w:r w:rsidRPr="00D147A7">
        <w:rPr>
          <w:rFonts w:ascii="Times New Roman" w:hAnsi="Times New Roman" w:cs="Times New Roman"/>
          <w:i/>
          <w:sz w:val="24"/>
          <w:szCs w:val="24"/>
          <w:lang w:val="en-US"/>
        </w:rPr>
        <w:t>Opt In versus Opt Out: A Free-Entry Analysis of Privacy Policies</w:t>
      </w:r>
      <w:r w:rsidRPr="00D147A7">
        <w:rPr>
          <w:rFonts w:ascii="Times New Roman" w:hAnsi="Times New Roman" w:cs="Times New Roman"/>
          <w:sz w:val="24"/>
          <w:szCs w:val="24"/>
          <w:lang w:val="en-US"/>
        </w:rPr>
        <w:t>, CentER Discussion Paper, 96, Tilburg, 2006, 27p.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BOUDREZ, F.; DEKEYSER, H.; DUMORTIER, J.; </w:t>
      </w:r>
      <w:r w:rsidRPr="00D147A7">
        <w:rPr>
          <w:rFonts w:ascii="Times New Roman" w:hAnsi="Times New Roman" w:cs="Times New Roman"/>
          <w:i/>
          <w:sz w:val="24"/>
          <w:szCs w:val="24"/>
          <w:lang w:val="en-US"/>
        </w:rPr>
        <w:t>Digital archiving-the new challenge. Le</w:t>
      </w:r>
      <w:r w:rsidR="005E4A37">
        <w:rPr>
          <w:rFonts w:ascii="Times New Roman" w:hAnsi="Times New Roman" w:cs="Times New Roman"/>
          <w:i/>
          <w:sz w:val="24"/>
          <w:szCs w:val="24"/>
          <w:lang w:val="en-US"/>
        </w:rPr>
        <w:t>-</w:t>
      </w:r>
      <w:r w:rsidRPr="00D147A7">
        <w:rPr>
          <w:rFonts w:ascii="Times New Roman" w:hAnsi="Times New Roman" w:cs="Times New Roman"/>
          <w:i/>
          <w:sz w:val="24"/>
          <w:szCs w:val="24"/>
          <w:lang w:val="en-US"/>
        </w:rPr>
        <w:t>gal and archival issues</w:t>
      </w:r>
      <w:r w:rsidRPr="00D147A7">
        <w:rPr>
          <w:rFonts w:ascii="Times New Roman" w:hAnsi="Times New Roman" w:cs="Times New Roman"/>
          <w:sz w:val="24"/>
          <w:szCs w:val="24"/>
          <w:lang w:val="en-US"/>
        </w:rPr>
        <w:t xml:space="preserve">, Mont Saint Guibert, I.R.I.S. Document to Knowledge, 2005, 133p. </w:t>
      </w:r>
      <w:r w:rsidRPr="00D147A7">
        <w:rPr>
          <w:rFonts w:ascii="Times New Roman" w:hAnsi="Times New Roman" w:cs="Times New Roman"/>
          <w:sz w:val="24"/>
          <w:szCs w:val="24"/>
        </w:rPr>
        <w:t>(</w:t>
      </w:r>
      <w:hyperlink r:id="rId128" w:history="1">
        <w:r w:rsidR="005E4A37" w:rsidRPr="00ED5FE6">
          <w:rPr>
            <w:rStyle w:val="Hyperlink"/>
            <w:rFonts w:ascii="Times New Roman" w:hAnsi="Times New Roman" w:cs="Times New Roman"/>
            <w:sz w:val="24"/>
            <w:szCs w:val="24"/>
          </w:rPr>
          <w:t>http://www.edavid.be/docs/digitalarchiving_manual.pdf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BOUDREZ, F., ‘Digitale handtekeningen en archiefdocumenten’,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xml:space="preserve">, 2006, 2, p. 81-88.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BOUDREZ, F., </w:t>
      </w:r>
      <w:r w:rsidRPr="00D147A7">
        <w:rPr>
          <w:rFonts w:ascii="Times New Roman" w:hAnsi="Times New Roman" w:cs="Times New Roman"/>
          <w:i/>
          <w:sz w:val="24"/>
          <w:szCs w:val="24"/>
        </w:rPr>
        <w:t>Digitale handtekeningen en archiefdocumenten</w:t>
      </w:r>
      <w:r w:rsidRPr="00D147A7">
        <w:rPr>
          <w:rFonts w:ascii="Times New Roman" w:hAnsi="Times New Roman" w:cs="Times New Roman"/>
          <w:sz w:val="24"/>
          <w:szCs w:val="24"/>
        </w:rPr>
        <w:t>, Antwerpen, Expertisecen</w:t>
      </w:r>
      <w:r w:rsidR="005E4A37">
        <w:rPr>
          <w:rFonts w:ascii="Times New Roman" w:hAnsi="Times New Roman" w:cs="Times New Roman"/>
          <w:sz w:val="24"/>
          <w:szCs w:val="24"/>
        </w:rPr>
        <w:t>-</w:t>
      </w:r>
      <w:r w:rsidRPr="00D147A7">
        <w:rPr>
          <w:rFonts w:ascii="Times New Roman" w:hAnsi="Times New Roman" w:cs="Times New Roman"/>
          <w:sz w:val="24"/>
          <w:szCs w:val="24"/>
        </w:rPr>
        <w:t>trum DAVID vzw, 2005, 14p. (</w:t>
      </w:r>
      <w:hyperlink r:id="rId129" w:history="1">
        <w:r w:rsidR="005E4A37" w:rsidRPr="00ED5FE6">
          <w:rPr>
            <w:rStyle w:val="Hyperlink"/>
            <w:rFonts w:ascii="Times New Roman" w:hAnsi="Times New Roman" w:cs="Times New Roman"/>
            <w:sz w:val="24"/>
            <w:szCs w:val="24"/>
          </w:rPr>
          <w:t>http://www.edavid.be/docs/digitalehandtekeningen_ archiefdocumenten.pdf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M., </w:t>
      </w:r>
      <w:r w:rsidRPr="00D147A7">
        <w:rPr>
          <w:rFonts w:ascii="Times New Roman" w:hAnsi="Times New Roman" w:cs="Times New Roman"/>
          <w:i/>
          <w:sz w:val="24"/>
          <w:szCs w:val="24"/>
        </w:rPr>
        <w:t>Vereenvoudiging en informatisering van de hoofdstuk IV geneesmiddelen</w:t>
      </w:r>
      <w:r w:rsidRPr="00D147A7">
        <w:rPr>
          <w:rFonts w:ascii="Times New Roman" w:hAnsi="Times New Roman" w:cs="Times New Roman"/>
          <w:sz w:val="24"/>
          <w:szCs w:val="24"/>
        </w:rPr>
        <w:t>, Brussel, 2009, 52p. (</w:t>
      </w:r>
      <w:hyperlink r:id="rId130" w:history="1">
        <w:r w:rsidR="005E4A37" w:rsidRPr="00ED5FE6">
          <w:rPr>
            <w:rStyle w:val="Hyperlink"/>
            <w:rFonts w:ascii="Times New Roman" w:hAnsi="Times New Roman" w:cs="Times New Roman"/>
            <w:sz w:val="24"/>
            <w:szCs w:val="24"/>
          </w:rPr>
          <w:t>https://www.ehealth.fgov.be/nl/over-het-ehealth-platform/presentatie/ infodays/4-juni-2009</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‘Minimale psychiatrische gegevens en privacybescherming’, </w:t>
      </w:r>
      <w:r w:rsidRPr="00D147A7">
        <w:rPr>
          <w:rFonts w:ascii="Times New Roman" w:hAnsi="Times New Roman" w:cs="Times New Roman"/>
          <w:i/>
          <w:sz w:val="24"/>
          <w:szCs w:val="24"/>
        </w:rPr>
        <w:t>T.Gez.</w:t>
      </w:r>
      <w:r w:rsidRPr="00D147A7">
        <w:rPr>
          <w:rFonts w:ascii="Times New Roman" w:hAnsi="Times New Roman" w:cs="Times New Roman"/>
          <w:sz w:val="24"/>
          <w:szCs w:val="24"/>
        </w:rPr>
        <w:t>, 2000-2001, p. 289-290.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‘Recente ontwikkelingen inzake onlinecontact arts-patiënt in Nederland en België’, </w:t>
      </w:r>
      <w:r w:rsidRPr="00D147A7">
        <w:rPr>
          <w:rFonts w:ascii="Times New Roman" w:hAnsi="Times New Roman" w:cs="Times New Roman"/>
          <w:i/>
          <w:sz w:val="24"/>
          <w:szCs w:val="24"/>
        </w:rPr>
        <w:t>T.G.</w:t>
      </w:r>
      <w:r w:rsidRPr="00D147A7">
        <w:rPr>
          <w:rFonts w:ascii="Times New Roman" w:hAnsi="Times New Roman" w:cs="Times New Roman"/>
          <w:sz w:val="24"/>
          <w:szCs w:val="24"/>
        </w:rPr>
        <w:t>, 29/4 (2006), p. 266-275.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‘Omtrent het e-Health-platform en het recht op privacy van de patiënt’, </w:t>
      </w:r>
      <w:r w:rsidRPr="00D147A7">
        <w:rPr>
          <w:rFonts w:ascii="Times New Roman" w:hAnsi="Times New Roman" w:cs="Times New Roman"/>
          <w:i/>
          <w:sz w:val="24"/>
          <w:szCs w:val="24"/>
        </w:rPr>
        <w:t>T.Gez.</w:t>
      </w:r>
      <w:r w:rsidRPr="00D147A7">
        <w:rPr>
          <w:rFonts w:ascii="Times New Roman" w:hAnsi="Times New Roman" w:cs="Times New Roman"/>
          <w:sz w:val="24"/>
          <w:szCs w:val="24"/>
        </w:rPr>
        <w:t>, 2008-2009, p. 185-186.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CIERKENS, K.; ‘Elektronische patiëntendossiers’, </w:t>
      </w:r>
      <w:r w:rsidRPr="00D147A7">
        <w:rPr>
          <w:rFonts w:ascii="Times New Roman" w:hAnsi="Times New Roman" w:cs="Times New Roman"/>
          <w:i/>
          <w:sz w:val="24"/>
          <w:szCs w:val="24"/>
        </w:rPr>
        <w:t>N.J.W.</w:t>
      </w:r>
      <w:r w:rsidRPr="00D147A7">
        <w:rPr>
          <w:rFonts w:ascii="Times New Roman" w:hAnsi="Times New Roman" w:cs="Times New Roman"/>
          <w:sz w:val="24"/>
          <w:szCs w:val="24"/>
        </w:rPr>
        <w:t>, 227 (2010), p. 585-586.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GOOSSENS, M.; MARTENS, L.; ‘Geneesmiddelen, medische hulpmiddelen en andere gezondheidsproducten’, CALLENS, S.; PEERS, J. (reds.); </w:t>
      </w:r>
      <w:r w:rsidRPr="00D147A7">
        <w:rPr>
          <w:rFonts w:ascii="Times New Roman" w:hAnsi="Times New Roman" w:cs="Times New Roman"/>
          <w:i/>
          <w:sz w:val="24"/>
          <w:szCs w:val="24"/>
        </w:rPr>
        <w:t>Organisatie van de ge</w:t>
      </w:r>
      <w:r w:rsidR="005E4A37">
        <w:rPr>
          <w:rFonts w:ascii="Times New Roman" w:hAnsi="Times New Roman" w:cs="Times New Roman"/>
          <w:i/>
          <w:sz w:val="24"/>
          <w:szCs w:val="24"/>
        </w:rPr>
        <w:t>-</w:t>
      </w:r>
      <w:r w:rsidRPr="00D147A7">
        <w:rPr>
          <w:rFonts w:ascii="Times New Roman" w:hAnsi="Times New Roman" w:cs="Times New Roman"/>
          <w:i/>
          <w:sz w:val="24"/>
          <w:szCs w:val="24"/>
        </w:rPr>
        <w:t>zondheidszorg</w:t>
      </w:r>
      <w:r w:rsidRPr="00D147A7">
        <w:rPr>
          <w:rFonts w:ascii="Times New Roman" w:hAnsi="Times New Roman" w:cs="Times New Roman"/>
          <w:sz w:val="24"/>
          <w:szCs w:val="24"/>
        </w:rPr>
        <w:t>, Antwerpen-Oxford, Intersentia, 2008², p. 443-558.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CALLENS, S.; TER HEERDT, J.; ‘Juridische beschouwingen bij telegeneeskunde’, </w:t>
      </w:r>
      <w:r w:rsidRPr="00D147A7">
        <w:rPr>
          <w:rFonts w:ascii="Times New Roman" w:hAnsi="Times New Roman" w:cs="Times New Roman"/>
          <w:i/>
          <w:sz w:val="24"/>
          <w:szCs w:val="24"/>
        </w:rPr>
        <w:t>T.Gez.</w:t>
      </w:r>
      <w:r w:rsidRPr="00D147A7">
        <w:rPr>
          <w:rFonts w:ascii="Times New Roman" w:hAnsi="Times New Roman" w:cs="Times New Roman"/>
          <w:sz w:val="24"/>
          <w:szCs w:val="24"/>
        </w:rPr>
        <w:t>, 1999-2000, p. 310-321.</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CLOQUET, E., ‘La nouvelle carte de sécurité sociale’, </w:t>
      </w:r>
      <w:r w:rsidRPr="00D147A7">
        <w:rPr>
          <w:rFonts w:ascii="Times New Roman" w:hAnsi="Times New Roman" w:cs="Times New Roman"/>
          <w:i/>
          <w:sz w:val="24"/>
          <w:szCs w:val="24"/>
          <w:lang w:val="fr-BE"/>
        </w:rPr>
        <w:t>J.T.T.</w:t>
      </w:r>
      <w:r w:rsidRPr="00D147A7">
        <w:rPr>
          <w:rFonts w:ascii="Times New Roman" w:hAnsi="Times New Roman" w:cs="Times New Roman"/>
          <w:sz w:val="24"/>
          <w:szCs w:val="24"/>
          <w:lang w:val="fr-BE"/>
        </w:rPr>
        <w:t>, 1985, p. 282-284.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Collaboratief Zorgplatform (CoZo), </w:t>
      </w:r>
      <w:r w:rsidRPr="00D147A7">
        <w:rPr>
          <w:rFonts w:ascii="Times New Roman" w:hAnsi="Times New Roman" w:cs="Times New Roman"/>
          <w:i/>
          <w:sz w:val="24"/>
          <w:szCs w:val="24"/>
        </w:rPr>
        <w:t>Snel en veilig patiëntengegevens uitwisselen</w:t>
      </w:r>
      <w:r w:rsidRPr="00D147A7">
        <w:rPr>
          <w:rFonts w:ascii="Times New Roman" w:hAnsi="Times New Roman" w:cs="Times New Roman"/>
          <w:sz w:val="24"/>
          <w:szCs w:val="24"/>
        </w:rPr>
        <w:t>, s.l., 2012, p. 24-25 (</w:t>
      </w:r>
      <w:hyperlink r:id="rId131" w:history="1">
        <w:r w:rsidRPr="00D147A7">
          <w:rPr>
            <w:rStyle w:val="Hyperlink"/>
            <w:rFonts w:ascii="Times New Roman" w:hAnsi="Times New Roman" w:cs="Times New Roman"/>
            <w:sz w:val="24"/>
            <w:szCs w:val="24"/>
          </w:rPr>
          <w:t>http://www.uzgent.be/wps/wcm/connect/nl/web/zorg/cozo</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BOT, D., ‘De Commissie voor de Bescherming van de Persoonlijke Levenssfeer: ‘Tussen droom en daad staan er niet alleen wetten in de weg, maar vooral praktische problemen’’, </w:t>
      </w:r>
      <w:r w:rsidRPr="00D147A7">
        <w:rPr>
          <w:rFonts w:ascii="Times New Roman" w:hAnsi="Times New Roman" w:cs="Times New Roman"/>
          <w:i/>
          <w:sz w:val="24"/>
          <w:szCs w:val="24"/>
        </w:rPr>
        <w:t>T.B.B.R.</w:t>
      </w:r>
      <w:r w:rsidRPr="00D147A7">
        <w:rPr>
          <w:rFonts w:ascii="Times New Roman" w:hAnsi="Times New Roman" w:cs="Times New Roman"/>
          <w:sz w:val="24"/>
          <w:szCs w:val="24"/>
        </w:rPr>
        <w:t>, 2003, 6, p. 384-402.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BOT, D., </w:t>
      </w:r>
      <w:r w:rsidRPr="00D147A7">
        <w:rPr>
          <w:rFonts w:ascii="Times New Roman" w:hAnsi="Times New Roman" w:cs="Times New Roman"/>
          <w:i/>
          <w:sz w:val="24"/>
          <w:szCs w:val="24"/>
        </w:rPr>
        <w:t>Privacybescherming bij e-government in België: een kritische analyse van het Rijksregister, de Kruispuntbank van Ondernemingen en de elektronische identiteitskaart als belangrijkste juridische bouwstenen</w:t>
      </w:r>
      <w:r w:rsidRPr="00D147A7">
        <w:rPr>
          <w:rFonts w:ascii="Times New Roman" w:hAnsi="Times New Roman" w:cs="Times New Roman"/>
          <w:sz w:val="24"/>
          <w:szCs w:val="24"/>
        </w:rPr>
        <w:t>, Collectie publiekrecht, Brugge, Vanden Broele, 2005, 469p.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DECHAMPS, F., ‘Be-Health moet een volwaardige organisatie worden’, </w:t>
      </w:r>
      <w:r w:rsidRPr="00D147A7">
        <w:rPr>
          <w:rFonts w:ascii="Times New Roman" w:hAnsi="Times New Roman" w:cs="Times New Roman"/>
          <w:i/>
          <w:sz w:val="24"/>
          <w:szCs w:val="24"/>
        </w:rPr>
        <w:t>Citizen-e</w:t>
      </w:r>
      <w:r w:rsidRPr="00D147A7">
        <w:rPr>
          <w:rFonts w:ascii="Times New Roman" w:hAnsi="Times New Roman" w:cs="Times New Roman"/>
          <w:sz w:val="24"/>
          <w:szCs w:val="24"/>
        </w:rPr>
        <w:t>, 2007, 5, p. 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CORTE, R., ‘Elektronische handtekening en authenticatie in de virtuele wereld’, </w:t>
      </w:r>
      <w:r w:rsidRPr="00D147A7">
        <w:rPr>
          <w:rFonts w:ascii="Times New Roman" w:hAnsi="Times New Roman" w:cs="Times New Roman"/>
          <w:i/>
          <w:sz w:val="24"/>
          <w:szCs w:val="24"/>
        </w:rPr>
        <w:t>P&amp;B</w:t>
      </w:r>
      <w:r w:rsidRPr="00D147A7">
        <w:rPr>
          <w:rFonts w:ascii="Times New Roman" w:hAnsi="Times New Roman" w:cs="Times New Roman"/>
          <w:sz w:val="24"/>
          <w:szCs w:val="24"/>
        </w:rPr>
        <w:t>, 2001, p. 207-234.</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DE COSTER, T., ‘La carte d’identité sociale: enjeux vie privée’, </w:t>
      </w:r>
      <w:r w:rsidRPr="00D147A7">
        <w:rPr>
          <w:rFonts w:ascii="Times New Roman" w:hAnsi="Times New Roman" w:cs="Times New Roman"/>
          <w:i/>
          <w:sz w:val="24"/>
          <w:szCs w:val="24"/>
          <w:lang w:val="fr-BE"/>
        </w:rPr>
        <w:t>T.S.R.</w:t>
      </w:r>
      <w:r w:rsidRPr="00D147A7">
        <w:rPr>
          <w:rFonts w:ascii="Times New Roman" w:hAnsi="Times New Roman" w:cs="Times New Roman"/>
          <w:sz w:val="24"/>
          <w:szCs w:val="24"/>
          <w:lang w:val="fr-BE"/>
        </w:rPr>
        <w:t xml:space="preserve">, 1998, p. 495-515.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DE GROOTE, K., ‘Frank Robben (Kruispuntbank van de Sociale Zekerheid, e-Health-plat</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form): Leidersfiguur met passie’, </w:t>
      </w:r>
      <w:r w:rsidRPr="00D147A7">
        <w:rPr>
          <w:rFonts w:ascii="Times New Roman" w:hAnsi="Times New Roman" w:cs="Times New Roman"/>
          <w:i/>
          <w:sz w:val="24"/>
          <w:szCs w:val="24"/>
        </w:rPr>
        <w:t>HRMagazine: mens en werk</w:t>
      </w:r>
      <w:r w:rsidRPr="00D147A7">
        <w:rPr>
          <w:rFonts w:ascii="Times New Roman" w:hAnsi="Times New Roman" w:cs="Times New Roman"/>
          <w:sz w:val="24"/>
          <w:szCs w:val="24"/>
        </w:rPr>
        <w:t>, 181/17 (2011), p. 10-14.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SCHOUWER, P., ‘Het gebruik van de medische gegevens voor het gezondheidsbeleid’, </w:t>
      </w:r>
      <w:r w:rsidRPr="00D147A7">
        <w:rPr>
          <w:rFonts w:ascii="Times New Roman" w:hAnsi="Times New Roman" w:cs="Times New Roman"/>
          <w:i/>
          <w:sz w:val="24"/>
          <w:szCs w:val="24"/>
        </w:rPr>
        <w:t>Vl.T.Gez.</w:t>
      </w:r>
      <w:r w:rsidRPr="00D147A7">
        <w:rPr>
          <w:rFonts w:ascii="Times New Roman" w:hAnsi="Times New Roman" w:cs="Times New Roman"/>
          <w:sz w:val="24"/>
          <w:szCs w:val="24"/>
        </w:rPr>
        <w:t>, 1986, p. 235-241.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DEVLIES, J.; WALOSSEK, U.; ARTMANN, J.; GIEST, S.; DUMORTIER, J.; </w:t>
      </w:r>
      <w:r w:rsidRPr="00D147A7">
        <w:rPr>
          <w:rFonts w:ascii="Times New Roman" w:hAnsi="Times New Roman" w:cs="Times New Roman"/>
          <w:i/>
          <w:sz w:val="24"/>
          <w:szCs w:val="24"/>
        </w:rPr>
        <w:t>Country Brief: Belgium</w:t>
      </w:r>
      <w:r w:rsidRPr="00D147A7">
        <w:rPr>
          <w:rFonts w:ascii="Times New Roman" w:hAnsi="Times New Roman" w:cs="Times New Roman"/>
          <w:sz w:val="24"/>
          <w:szCs w:val="24"/>
        </w:rPr>
        <w:t>, s.l., Directoraat-generaal Informatiemaatschappij en Media van de Europese Commissie, 2010, 42p. (</w:t>
      </w:r>
      <w:hyperlink r:id="rId132" w:history="1">
        <w:r w:rsidR="00A46F95" w:rsidRPr="00D147A7">
          <w:rPr>
            <w:rStyle w:val="Hyperlink"/>
            <w:rFonts w:ascii="Times New Roman" w:hAnsi="Times New Roman" w:cs="Times New Roman"/>
            <w:sz w:val="24"/>
            <w:szCs w:val="24"/>
          </w:rPr>
          <w:t>http://ehealth-strategies.eu/database/documents/Belgium_ CountryBrief_eHStrategies.pdf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DUMORTIER, J., [Het advies van de Commissie voor de bescherming van de persoonlijke levenssfeer inzake het Nationaal Kankerregister],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1997, 3, p. 105-107.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DUMORTIER, J., </w:t>
      </w:r>
      <w:r w:rsidRPr="00D147A7">
        <w:rPr>
          <w:rFonts w:ascii="Times New Roman" w:hAnsi="Times New Roman" w:cs="Times New Roman"/>
          <w:i/>
          <w:sz w:val="24"/>
          <w:szCs w:val="24"/>
          <w:lang w:val="fr-BE"/>
        </w:rPr>
        <w:t>ICT-Recht</w:t>
      </w:r>
      <w:r w:rsidRPr="00D147A7">
        <w:rPr>
          <w:rFonts w:ascii="Times New Roman" w:hAnsi="Times New Roman" w:cs="Times New Roman"/>
          <w:sz w:val="24"/>
          <w:szCs w:val="24"/>
          <w:lang w:val="fr-BE"/>
        </w:rPr>
        <w:t>, Leuven, Acco, 2012</w:t>
      </w:r>
      <w:r w:rsidRPr="00D147A7">
        <w:rPr>
          <w:rFonts w:ascii="Times New Roman" w:hAnsi="Times New Roman" w:cs="Times New Roman"/>
          <w:sz w:val="24"/>
          <w:szCs w:val="24"/>
          <w:vertAlign w:val="superscript"/>
          <w:lang w:val="fr-BE"/>
        </w:rPr>
        <w:t>14</w:t>
      </w:r>
      <w:r w:rsidRPr="00D147A7">
        <w:rPr>
          <w:rFonts w:ascii="Times New Roman" w:hAnsi="Times New Roman" w:cs="Times New Roman"/>
          <w:sz w:val="24"/>
          <w:szCs w:val="24"/>
          <w:lang w:val="fr-BE"/>
        </w:rPr>
        <w:t>, 276p.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DUMORTIER, J., ‘Recente ontwikkelingen in het privacyrecht 2008-2009’, </w:t>
      </w:r>
      <w:r w:rsidRPr="00D147A7">
        <w:rPr>
          <w:rFonts w:ascii="Times New Roman" w:hAnsi="Times New Roman" w:cs="Times New Roman"/>
          <w:i/>
          <w:sz w:val="24"/>
          <w:szCs w:val="24"/>
        </w:rPr>
        <w:t>Recht in bewe</w:t>
      </w:r>
      <w:r w:rsidR="005E4A37">
        <w:rPr>
          <w:rFonts w:ascii="Times New Roman" w:hAnsi="Times New Roman" w:cs="Times New Roman"/>
          <w:i/>
          <w:sz w:val="24"/>
          <w:szCs w:val="24"/>
        </w:rPr>
        <w:t>-</w:t>
      </w:r>
      <w:r w:rsidRPr="00D147A7">
        <w:rPr>
          <w:rFonts w:ascii="Times New Roman" w:hAnsi="Times New Roman" w:cs="Times New Roman"/>
          <w:i/>
          <w:sz w:val="24"/>
          <w:szCs w:val="24"/>
        </w:rPr>
        <w:t>ging. 17de VRG-Alumnidag 2010</w:t>
      </w:r>
      <w:r w:rsidRPr="00D147A7">
        <w:rPr>
          <w:rFonts w:ascii="Times New Roman" w:hAnsi="Times New Roman" w:cs="Times New Roman"/>
          <w:sz w:val="24"/>
          <w:szCs w:val="24"/>
        </w:rPr>
        <w:t>, Antwerpen-Appeldoorn, Maklu, 2010, p. 157-182.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DUMORTIER, J.; ROBBEN, F.; ‘Gebruikers- en toegangsbeheer bij het bestuurlijke elektro</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nische gegevensverkeer in België’,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2009, 2, p. 42-73.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DUMORTIER, J.; VAN DEN EYNDE, S.; ‘De juridische erkenning van de elektronische handtekening in België’,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2001, 4, p. 185-194 (</w:t>
      </w:r>
      <w:hyperlink r:id="rId133" w:history="1">
        <w:r w:rsidR="00A46F95" w:rsidRPr="00D147A7">
          <w:rPr>
            <w:rStyle w:val="Hyperlink"/>
            <w:rFonts w:ascii="Times New Roman" w:hAnsi="Times New Roman" w:cs="Times New Roman"/>
            <w:sz w:val="24"/>
            <w:szCs w:val="24"/>
          </w:rPr>
          <w:t>https://www.law.kuleuven.be/icri/ publications/72EH-computerrecht-juli2001.PDF?where=</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DUMORTIER, J.; VAN DEN EYNDE, S.; ‘De rol van de digitale handtekening bij de archi</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vering van elektronische documenten’, </w:t>
      </w:r>
      <w:r w:rsidRPr="00D147A7">
        <w:rPr>
          <w:rFonts w:ascii="Times New Roman" w:hAnsi="Times New Roman" w:cs="Times New Roman"/>
          <w:i/>
          <w:sz w:val="24"/>
          <w:szCs w:val="24"/>
        </w:rPr>
        <w:t>B.A.G.</w:t>
      </w:r>
      <w:r w:rsidRPr="00D147A7">
        <w:rPr>
          <w:rFonts w:ascii="Times New Roman" w:hAnsi="Times New Roman" w:cs="Times New Roman"/>
          <w:sz w:val="24"/>
          <w:szCs w:val="24"/>
        </w:rPr>
        <w:t>, 2001, 1, p. 9-13 (</w:t>
      </w:r>
      <w:hyperlink w:history="1">
        <w:r w:rsidR="005E4A37" w:rsidRPr="00ED5FE6">
          <w:rPr>
            <w:rStyle w:val="Hyperlink"/>
            <w:rFonts w:ascii="Times New Roman" w:hAnsi="Times New Roman" w:cs="Times New Roman"/>
            <w:sz w:val="24"/>
            <w:szCs w:val="24"/>
          </w:rPr>
          <w:t>https://www.law.kuleuven. be/icri/publications/80artikel%20DH%20nederlands%202.pdf?where=</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EECKLO, K., ‘Externe verantwoording van ziekenhuizen: analyse en synthese van de fede</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rale en Vlaamse regelgeving’, </w:t>
      </w:r>
      <w:r w:rsidRPr="00D147A7">
        <w:rPr>
          <w:rFonts w:ascii="Times New Roman" w:hAnsi="Times New Roman" w:cs="Times New Roman"/>
          <w:i/>
          <w:sz w:val="24"/>
          <w:szCs w:val="24"/>
        </w:rPr>
        <w:t>T.Gez.</w:t>
      </w:r>
      <w:r w:rsidRPr="00D147A7">
        <w:rPr>
          <w:rFonts w:ascii="Times New Roman" w:hAnsi="Times New Roman" w:cs="Times New Roman"/>
          <w:sz w:val="24"/>
          <w:szCs w:val="24"/>
        </w:rPr>
        <w:t xml:space="preserve">, 2009-2010, 4, p. 198-214.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EYSENBACH, G., ‘What is e-Health?’, </w:t>
      </w:r>
      <w:r w:rsidRPr="00D147A7">
        <w:rPr>
          <w:rFonts w:ascii="Times New Roman" w:hAnsi="Times New Roman" w:cs="Times New Roman"/>
          <w:i/>
          <w:sz w:val="24"/>
          <w:szCs w:val="24"/>
        </w:rPr>
        <w:t>J.M.I.R.</w:t>
      </w:r>
      <w:r w:rsidRPr="00D147A7">
        <w:rPr>
          <w:rFonts w:ascii="Times New Roman" w:hAnsi="Times New Roman" w:cs="Times New Roman"/>
          <w:sz w:val="24"/>
          <w:szCs w:val="24"/>
        </w:rPr>
        <w:t>, 3/2 (2001) (</w:t>
      </w:r>
      <w:hyperlink r:id="rId134" w:history="1">
        <w:r w:rsidR="00A46F95" w:rsidRPr="00D147A7">
          <w:rPr>
            <w:rStyle w:val="Hyperlink"/>
            <w:rFonts w:ascii="Times New Roman" w:hAnsi="Times New Roman" w:cs="Times New Roman"/>
            <w:sz w:val="24"/>
            <w:szCs w:val="24"/>
          </w:rPr>
          <w:t>http://www.jmir.org/2001/2/ e20</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Federale Commissie ‘Rechten van de patiënt’, </w:t>
      </w:r>
      <w:r w:rsidRPr="00D147A7">
        <w:rPr>
          <w:rFonts w:ascii="Times New Roman" w:hAnsi="Times New Roman" w:cs="Times New Roman"/>
          <w:i/>
          <w:sz w:val="24"/>
          <w:szCs w:val="24"/>
        </w:rPr>
        <w:t>Advies over de Nota van de e-Health Werk</w:t>
      </w:r>
      <w:r w:rsidR="005E4A37">
        <w:rPr>
          <w:rFonts w:ascii="Times New Roman" w:hAnsi="Times New Roman" w:cs="Times New Roman"/>
          <w:i/>
          <w:sz w:val="24"/>
          <w:szCs w:val="24"/>
        </w:rPr>
        <w:t>-</w:t>
      </w:r>
      <w:r w:rsidRPr="00D147A7">
        <w:rPr>
          <w:rFonts w:ascii="Times New Roman" w:hAnsi="Times New Roman" w:cs="Times New Roman"/>
          <w:i/>
          <w:sz w:val="24"/>
          <w:szCs w:val="24"/>
        </w:rPr>
        <w:t>groep G19 van 14 september 2010 betreffende de geïnformeerde toestemming in het hub &amp; metahub-project</w:t>
      </w:r>
      <w:r w:rsidRPr="00D147A7">
        <w:rPr>
          <w:rFonts w:ascii="Times New Roman" w:hAnsi="Times New Roman" w:cs="Times New Roman"/>
          <w:sz w:val="24"/>
          <w:szCs w:val="24"/>
        </w:rPr>
        <w:t>, s.l.n.d., 10p. (</w:t>
      </w:r>
      <w:hyperlink r:id="rId135" w:history="1">
        <w:r w:rsidR="00A46F95" w:rsidRPr="00D147A7">
          <w:rPr>
            <w:rStyle w:val="Hyperlink"/>
            <w:rFonts w:ascii="Times New Roman" w:hAnsi="Times New Roman" w:cs="Times New Roman"/>
            <w:sz w:val="24"/>
            <w:szCs w:val="24"/>
          </w:rPr>
          <w:t>http://www.health.belgium.be/filestore/19067053/20101126 %2520Advies%2520ge%25C3%25AFnformeerde%2520toestemming%2520in%2520het%2520hub%2520%26%2520metahub-project.pdf</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Federale Commissie ‘Rechten van de patiënt’, ‘Advies in verband met de ‘Nota betreffende de therapeutische relatie’ opgesteld door de werkgroep G19 van het eHealth-platform’, </w:t>
      </w:r>
      <w:r w:rsidRPr="00D147A7">
        <w:rPr>
          <w:rFonts w:ascii="Times New Roman" w:hAnsi="Times New Roman" w:cs="Times New Roman"/>
          <w:i/>
          <w:sz w:val="24"/>
          <w:szCs w:val="24"/>
        </w:rPr>
        <w:t>T.Gez.</w:t>
      </w:r>
      <w:r w:rsidRPr="00D147A7">
        <w:rPr>
          <w:rFonts w:ascii="Times New Roman" w:hAnsi="Times New Roman" w:cs="Times New Roman"/>
          <w:sz w:val="24"/>
          <w:szCs w:val="24"/>
        </w:rPr>
        <w:t xml:space="preserve">, 2009-2010, 3, p. 165-177.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Flanders’ Care, </w:t>
      </w:r>
      <w:r w:rsidRPr="00D147A7">
        <w:rPr>
          <w:rFonts w:ascii="Times New Roman" w:hAnsi="Times New Roman" w:cs="Times New Roman"/>
          <w:i/>
          <w:sz w:val="24"/>
          <w:szCs w:val="24"/>
        </w:rPr>
        <w:t>Visietekst (e)Zorgzaam Vlaanderen. Gegevensdeling in zorg- en welzijns</w:t>
      </w:r>
      <w:r w:rsidR="005E4A37">
        <w:rPr>
          <w:rFonts w:ascii="Times New Roman" w:hAnsi="Times New Roman" w:cs="Times New Roman"/>
          <w:i/>
          <w:sz w:val="24"/>
          <w:szCs w:val="24"/>
        </w:rPr>
        <w:t>-</w:t>
      </w:r>
      <w:r w:rsidRPr="00D147A7">
        <w:rPr>
          <w:rFonts w:ascii="Times New Roman" w:hAnsi="Times New Roman" w:cs="Times New Roman"/>
          <w:i/>
          <w:sz w:val="24"/>
          <w:szCs w:val="24"/>
        </w:rPr>
        <w:t>sector, Vlaanderen in Actie Pact 2020</w:t>
      </w:r>
      <w:r w:rsidRPr="00D147A7">
        <w:rPr>
          <w:rFonts w:ascii="Times New Roman" w:hAnsi="Times New Roman" w:cs="Times New Roman"/>
          <w:sz w:val="24"/>
          <w:szCs w:val="24"/>
        </w:rPr>
        <w:t>, s.l., 2012, 27p. (</w:t>
      </w:r>
      <w:hyperlink r:id="rId136" w:history="1">
        <w:r w:rsidR="005E4A37" w:rsidRPr="00ED5FE6">
          <w:rPr>
            <w:rStyle w:val="Hyperlink"/>
            <w:rFonts w:ascii="Times New Roman" w:hAnsi="Times New Roman" w:cs="Times New Roman"/>
            <w:sz w:val="24"/>
            <w:szCs w:val="24"/>
          </w:rPr>
          <w:t>http://www.flanders-care.be/files/ visiedocument-ezorgzaam-vlaanderen.pdf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GOFFARD, O.; ROGER FRANCE, E.; ‘L’introduction de la carte d’identité électronique en droit belge par la loi du 25 mars 2003: aspects juridiques’, </w:t>
      </w:r>
      <w:r w:rsidRPr="00D147A7">
        <w:rPr>
          <w:rFonts w:ascii="Times New Roman" w:hAnsi="Times New Roman" w:cs="Times New Roman"/>
          <w:i/>
          <w:sz w:val="24"/>
          <w:szCs w:val="24"/>
          <w:lang w:val="fr-BE"/>
        </w:rPr>
        <w:t>Juridische aspecten van de elektro</w:t>
      </w:r>
      <w:r w:rsidR="005E4A37">
        <w:rPr>
          <w:rFonts w:ascii="Times New Roman" w:hAnsi="Times New Roman" w:cs="Times New Roman"/>
          <w:i/>
          <w:sz w:val="24"/>
          <w:szCs w:val="24"/>
          <w:lang w:val="fr-BE"/>
        </w:rPr>
        <w:t>-</w:t>
      </w:r>
      <w:r w:rsidRPr="00D147A7">
        <w:rPr>
          <w:rFonts w:ascii="Times New Roman" w:hAnsi="Times New Roman" w:cs="Times New Roman"/>
          <w:i/>
          <w:sz w:val="24"/>
          <w:szCs w:val="24"/>
          <w:lang w:val="fr-BE"/>
        </w:rPr>
        <w:t>nische betaling</w:t>
      </w:r>
      <w:r w:rsidRPr="00D147A7">
        <w:rPr>
          <w:rFonts w:ascii="Times New Roman" w:hAnsi="Times New Roman" w:cs="Times New Roman"/>
          <w:sz w:val="24"/>
          <w:szCs w:val="24"/>
          <w:lang w:val="fr-BE"/>
        </w:rPr>
        <w:t>, 2, Brussel, Kluwer, 2004, p. 121-150.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GRAUX, H.; DUMORTIER, J.; m.m.v. VANHAUWAERT, F.; </w:t>
      </w:r>
      <w:r w:rsidRPr="00D147A7">
        <w:rPr>
          <w:rFonts w:ascii="Times New Roman" w:hAnsi="Times New Roman" w:cs="Times New Roman"/>
          <w:i/>
          <w:sz w:val="24"/>
          <w:szCs w:val="24"/>
        </w:rPr>
        <w:t>Privacywetgeving in de prak</w:t>
      </w:r>
      <w:r w:rsidR="005E4A37">
        <w:rPr>
          <w:rFonts w:ascii="Times New Roman" w:hAnsi="Times New Roman" w:cs="Times New Roman"/>
          <w:i/>
          <w:sz w:val="24"/>
          <w:szCs w:val="24"/>
        </w:rPr>
        <w:t>-</w:t>
      </w:r>
      <w:r w:rsidRPr="00D147A7">
        <w:rPr>
          <w:rFonts w:ascii="Times New Roman" w:hAnsi="Times New Roman" w:cs="Times New Roman"/>
          <w:i/>
          <w:sz w:val="24"/>
          <w:szCs w:val="24"/>
        </w:rPr>
        <w:t>tijk</w:t>
      </w:r>
      <w:r w:rsidRPr="00D147A7">
        <w:rPr>
          <w:rFonts w:ascii="Times New Roman" w:hAnsi="Times New Roman" w:cs="Times New Roman"/>
          <w:sz w:val="24"/>
          <w:szCs w:val="24"/>
        </w:rPr>
        <w:t>, Recht en ICT, 1, Kortrijk, UGA, 2009, 439p.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HAUSMAN, J.M., ‘Le décret relatif au système d’information Santé: l’arrêt n° 15/2008 de la Cour constitutionnelle du 14 février 2008 – Considérations autour des règles de répartition de compétences en matière de santé et de protection de la vie privée’, </w:t>
      </w:r>
      <w:r w:rsidRPr="00D147A7">
        <w:rPr>
          <w:rFonts w:ascii="Times New Roman" w:hAnsi="Times New Roman" w:cs="Times New Roman"/>
          <w:i/>
          <w:sz w:val="24"/>
          <w:szCs w:val="24"/>
          <w:lang w:val="fr-BE"/>
        </w:rPr>
        <w:t>T.Gez.</w:t>
      </w:r>
      <w:r w:rsidRPr="00D147A7">
        <w:rPr>
          <w:rFonts w:ascii="Times New Roman" w:hAnsi="Times New Roman" w:cs="Times New Roman"/>
          <w:sz w:val="24"/>
          <w:szCs w:val="24"/>
          <w:lang w:val="fr-BE"/>
        </w:rPr>
        <w:t xml:space="preserve">, 2008-2009, 4, p. 297-303.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HAUSMAN, J.M., ‘Le droit d’accès au système d’information santé organisé par le décret du 16 juin 2006 de la communauté flamande’, SCHAMPS, G. (red.), </w:t>
      </w:r>
      <w:r w:rsidRPr="00D147A7">
        <w:rPr>
          <w:rFonts w:ascii="Times New Roman" w:hAnsi="Times New Roman" w:cs="Times New Roman"/>
          <w:i/>
          <w:sz w:val="24"/>
          <w:szCs w:val="24"/>
          <w:lang w:val="fr-BE"/>
        </w:rPr>
        <w:t>Evolution des droits du pa</w:t>
      </w:r>
      <w:r w:rsidR="005E4A37">
        <w:rPr>
          <w:rFonts w:ascii="Times New Roman" w:hAnsi="Times New Roman" w:cs="Times New Roman"/>
          <w:i/>
          <w:sz w:val="24"/>
          <w:szCs w:val="24"/>
          <w:lang w:val="fr-BE"/>
        </w:rPr>
        <w:t>-</w:t>
      </w:r>
      <w:r w:rsidRPr="00D147A7">
        <w:rPr>
          <w:rFonts w:ascii="Times New Roman" w:hAnsi="Times New Roman" w:cs="Times New Roman"/>
          <w:i/>
          <w:sz w:val="24"/>
          <w:szCs w:val="24"/>
          <w:lang w:val="fr-BE"/>
        </w:rPr>
        <w:t>tient, indemnisation sans faute des dommages liés aux soins de santé: le droit médical en mouvement</w:t>
      </w:r>
      <w:r w:rsidRPr="00D147A7">
        <w:rPr>
          <w:rFonts w:ascii="Times New Roman" w:hAnsi="Times New Roman" w:cs="Times New Roman"/>
          <w:sz w:val="24"/>
          <w:szCs w:val="24"/>
          <w:lang w:val="fr-BE"/>
        </w:rPr>
        <w:t>, Brussel, Bruylant, 2008, p. 187-242.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HENDRICKX, P., ‘Elektronische identiteitskaart eerst naar artsen. De voor- en nadelen van de eID’, </w:t>
      </w:r>
      <w:r w:rsidRPr="00D147A7">
        <w:rPr>
          <w:rFonts w:ascii="Times New Roman" w:hAnsi="Times New Roman" w:cs="Times New Roman"/>
          <w:i/>
          <w:sz w:val="24"/>
          <w:szCs w:val="24"/>
        </w:rPr>
        <w:t>Artsenkrant</w:t>
      </w:r>
      <w:r w:rsidRPr="00D147A7">
        <w:rPr>
          <w:rFonts w:ascii="Times New Roman" w:hAnsi="Times New Roman" w:cs="Times New Roman"/>
          <w:sz w:val="24"/>
          <w:szCs w:val="24"/>
        </w:rPr>
        <w:t>, 1557 (2003), p. 36.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HERVEG, J., ‘L’accès du patient aux log files de son dossier informatisé’, </w:t>
      </w:r>
      <w:r w:rsidRPr="00D147A7">
        <w:rPr>
          <w:rFonts w:ascii="Times New Roman" w:hAnsi="Times New Roman" w:cs="Times New Roman"/>
          <w:i/>
          <w:sz w:val="24"/>
          <w:szCs w:val="24"/>
        </w:rPr>
        <w:t>D.C.C.R.</w:t>
      </w:r>
      <w:r w:rsidRPr="00D147A7">
        <w:rPr>
          <w:rFonts w:ascii="Times New Roman" w:hAnsi="Times New Roman" w:cs="Times New Roman"/>
          <w:sz w:val="24"/>
          <w:szCs w:val="24"/>
        </w:rPr>
        <w:t>, 90 (2011), p. 34-55.</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HERVEG, J., ‘Une première mise à l’épreuve de la plate-forme eHealth’, </w:t>
      </w:r>
      <w:r w:rsidRPr="00D147A7">
        <w:rPr>
          <w:rFonts w:ascii="Times New Roman" w:hAnsi="Times New Roman" w:cs="Times New Roman"/>
          <w:i/>
          <w:sz w:val="24"/>
          <w:szCs w:val="24"/>
          <w:lang w:val="fr-BE"/>
        </w:rPr>
        <w:t>R.D.T.I.</w:t>
      </w:r>
      <w:r w:rsidRPr="00D147A7">
        <w:rPr>
          <w:rFonts w:ascii="Times New Roman" w:hAnsi="Times New Roman" w:cs="Times New Roman"/>
          <w:sz w:val="24"/>
          <w:szCs w:val="24"/>
          <w:lang w:val="fr-BE"/>
        </w:rPr>
        <w:t>, 41 (2010), p. 38-52.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HUBIN, J., ‘La diffusion des données jurisprudentielles dans le cadre du programme ‘Phénix’ d’informatisation de l’ordre judiciaire’, HENROTTE, J.; POULLET, Y. (reds.); </w:t>
      </w:r>
      <w:r w:rsidRPr="00D147A7">
        <w:rPr>
          <w:rFonts w:ascii="Times New Roman" w:hAnsi="Times New Roman" w:cs="Times New Roman"/>
          <w:i/>
          <w:sz w:val="24"/>
          <w:szCs w:val="24"/>
          <w:lang w:val="fr-BE"/>
        </w:rPr>
        <w:t>Cabinets d’avocats et technologies de l’information: balises et enjeux</w:t>
      </w:r>
      <w:r w:rsidRPr="00D147A7">
        <w:rPr>
          <w:rFonts w:ascii="Times New Roman" w:hAnsi="Times New Roman" w:cs="Times New Roman"/>
          <w:sz w:val="24"/>
          <w:szCs w:val="24"/>
          <w:lang w:val="fr-BE"/>
        </w:rPr>
        <w:t>, Cahiers du centre de recherches informatique et droit, 26, Brussel, Bruylant, 2005, p. 321-384.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HUYSEGEMS, R., ‘Informatisering van de sociale zekerheid’, </w:t>
      </w:r>
      <w:r w:rsidRPr="00D147A7">
        <w:rPr>
          <w:rFonts w:ascii="Times New Roman" w:hAnsi="Times New Roman" w:cs="Times New Roman"/>
          <w:i/>
          <w:sz w:val="24"/>
          <w:szCs w:val="24"/>
        </w:rPr>
        <w:t>Kijk Uit</w:t>
      </w:r>
      <w:r w:rsidRPr="00D147A7">
        <w:rPr>
          <w:rFonts w:ascii="Times New Roman" w:hAnsi="Times New Roman" w:cs="Times New Roman"/>
          <w:sz w:val="24"/>
          <w:szCs w:val="24"/>
        </w:rPr>
        <w:t>, 1990, p. 63-64.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JUDO, F., ‘eHealth overleeft, maar binnen strikte grenzen’, </w:t>
      </w:r>
      <w:r w:rsidRPr="00D147A7">
        <w:rPr>
          <w:rFonts w:ascii="Times New Roman" w:hAnsi="Times New Roman" w:cs="Times New Roman"/>
          <w:i/>
          <w:sz w:val="24"/>
          <w:szCs w:val="24"/>
        </w:rPr>
        <w:t>Juristenkrant</w:t>
      </w:r>
      <w:r w:rsidRPr="00D147A7">
        <w:rPr>
          <w:rFonts w:ascii="Times New Roman" w:hAnsi="Times New Roman" w:cs="Times New Roman"/>
          <w:sz w:val="24"/>
          <w:szCs w:val="24"/>
        </w:rPr>
        <w:t xml:space="preserve">, 207 (2010), p. 4-5.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KINDT, E.; VAN DER HOF, S.; ‘Identiteitsgegevens en -beheer in een digitale omgeving: een juridische benadering’,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2009, 2, p. 44-52.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Koninklijke Academie voor Geneeskunde van België, ‘Advies nopens het wetsvoorstel rond ‘Be-Health’ of het ‘Wetsontwerp betreffende de verwerking en de informatisering van de ge</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zondheidsgegevens alsook de toepassingen voor telegeneeskunde’, </w:t>
      </w:r>
      <w:r w:rsidRPr="00D147A7">
        <w:rPr>
          <w:rFonts w:ascii="Times New Roman" w:hAnsi="Times New Roman" w:cs="Times New Roman"/>
          <w:i/>
          <w:sz w:val="24"/>
          <w:szCs w:val="24"/>
        </w:rPr>
        <w:t>T.G.</w:t>
      </w:r>
      <w:r w:rsidRPr="00D147A7">
        <w:rPr>
          <w:rFonts w:ascii="Times New Roman" w:hAnsi="Times New Roman" w:cs="Times New Roman"/>
          <w:sz w:val="24"/>
          <w:szCs w:val="24"/>
        </w:rPr>
        <w:t>, 63/7 (2007), p. 289-291.</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LAFFINEUR, J., ‘Réflexions sur la protection des données médicales dans le cadre de la Banque-carrefour de la sécurité sociale’, </w:t>
      </w:r>
      <w:r w:rsidRPr="00D147A7">
        <w:rPr>
          <w:rFonts w:ascii="Times New Roman" w:hAnsi="Times New Roman" w:cs="Times New Roman"/>
          <w:i/>
          <w:sz w:val="24"/>
          <w:szCs w:val="24"/>
          <w:lang w:val="fr-BE"/>
        </w:rPr>
        <w:t>D.C.C.R.</w:t>
      </w:r>
      <w:r w:rsidRPr="00D147A7">
        <w:rPr>
          <w:rFonts w:ascii="Times New Roman" w:hAnsi="Times New Roman" w:cs="Times New Roman"/>
          <w:sz w:val="24"/>
          <w:szCs w:val="24"/>
          <w:lang w:val="fr-BE"/>
        </w:rPr>
        <w:t>, 1994-1995, p. 123-133.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MOERENHOUT, R., ‘Rechtspraakoverzicht Grondwettelijk Hof 2008. Bevoegdheid en rechtspleging’, </w:t>
      </w:r>
      <w:r w:rsidRPr="00D147A7">
        <w:rPr>
          <w:rFonts w:ascii="Times New Roman" w:hAnsi="Times New Roman" w:cs="Times New Roman"/>
          <w:i/>
          <w:sz w:val="24"/>
          <w:szCs w:val="24"/>
        </w:rPr>
        <w:t>T.B.P.</w:t>
      </w:r>
      <w:r w:rsidRPr="00D147A7">
        <w:rPr>
          <w:rFonts w:ascii="Times New Roman" w:hAnsi="Times New Roman" w:cs="Times New Roman"/>
          <w:sz w:val="24"/>
          <w:szCs w:val="24"/>
        </w:rPr>
        <w:t>, 2009, 9, p. 515-532.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MONTERO, E.; MOUGENOT, D. (reds.); </w:t>
      </w:r>
      <w:r w:rsidRPr="00D147A7">
        <w:rPr>
          <w:rFonts w:ascii="Times New Roman" w:hAnsi="Times New Roman" w:cs="Times New Roman"/>
          <w:i/>
          <w:sz w:val="24"/>
          <w:szCs w:val="24"/>
          <w:lang w:val="fr-BE"/>
        </w:rPr>
        <w:t>Phenix: les tribunaux à l’ère électronique</w:t>
      </w:r>
      <w:r w:rsidRPr="00D147A7">
        <w:rPr>
          <w:rFonts w:ascii="Times New Roman" w:hAnsi="Times New Roman" w:cs="Times New Roman"/>
          <w:sz w:val="24"/>
          <w:szCs w:val="24"/>
          <w:lang w:val="fr-BE"/>
        </w:rPr>
        <w:t xml:space="preserve">, Cahiers du centre de recherches informatique et droit, 29, Brussel, Bruylant, 2007, 249p.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MOSTINCKX, J.; DEVEN, F.; ‘Het welzijns- en gezondheidsbeleid in Vlaanderen: een be</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knopte terugblik’, MOSTINCKX, J.; DEVEN, F.; DAUWE, P. (reds.); </w:t>
      </w:r>
      <w:r w:rsidRPr="00D147A7">
        <w:rPr>
          <w:rFonts w:ascii="Times New Roman" w:hAnsi="Times New Roman" w:cs="Times New Roman"/>
          <w:i/>
          <w:sz w:val="24"/>
          <w:szCs w:val="24"/>
        </w:rPr>
        <w:t>Welzijn en Zorg in Vlaanderen 2011-2012</w:t>
      </w:r>
      <w:r w:rsidRPr="00D147A7">
        <w:rPr>
          <w:rFonts w:ascii="Times New Roman" w:hAnsi="Times New Roman" w:cs="Times New Roman"/>
          <w:sz w:val="24"/>
          <w:szCs w:val="24"/>
        </w:rPr>
        <w:t>, Mechelen, Kluwer, 2011, p. 107-131.</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OH, H.; RIZO, C.; ENKIN, L.; JADAD, A.; ‘What is eHealth (3): A systematic review of published de</w:t>
      </w:r>
      <w:r w:rsidRPr="00D147A7">
        <w:rPr>
          <w:rFonts w:ascii="Times New Roman" w:hAnsi="Times New Roman" w:cs="Times New Roman"/>
          <w:sz w:val="24"/>
          <w:szCs w:val="24"/>
        </w:rPr>
        <w:t>ﬁ</w:t>
      </w:r>
      <w:r w:rsidRPr="00D147A7">
        <w:rPr>
          <w:rFonts w:ascii="Times New Roman" w:hAnsi="Times New Roman" w:cs="Times New Roman"/>
          <w:sz w:val="24"/>
          <w:szCs w:val="24"/>
          <w:lang w:val="en-US"/>
        </w:rPr>
        <w:t xml:space="preserve">nitions’, </w:t>
      </w:r>
      <w:r w:rsidRPr="00D147A7">
        <w:rPr>
          <w:rFonts w:ascii="Times New Roman" w:hAnsi="Times New Roman" w:cs="Times New Roman"/>
          <w:i/>
          <w:sz w:val="24"/>
          <w:szCs w:val="24"/>
          <w:lang w:val="en-US"/>
        </w:rPr>
        <w:t>J.M.I.R.</w:t>
      </w:r>
      <w:r w:rsidRPr="00D147A7">
        <w:rPr>
          <w:rFonts w:ascii="Times New Roman" w:hAnsi="Times New Roman" w:cs="Times New Roman"/>
          <w:sz w:val="24"/>
          <w:szCs w:val="24"/>
          <w:lang w:val="en-US"/>
        </w:rPr>
        <w:t>, 7/1 (2005) (</w:t>
      </w:r>
      <w:hyperlink r:id="rId137" w:history="1">
        <w:r w:rsidRPr="00D147A7">
          <w:rPr>
            <w:rStyle w:val="Hyperlink"/>
            <w:rFonts w:ascii="Times New Roman" w:hAnsi="Times New Roman" w:cs="Times New Roman"/>
            <w:sz w:val="24"/>
            <w:szCs w:val="24"/>
            <w:lang w:val="en-US"/>
          </w:rPr>
          <w:t>http://www.jmir.org/2005/1/e1</w:t>
        </w:r>
      </w:hyperlink>
      <w:r w:rsidRPr="00D147A7">
        <w:rPr>
          <w:rFonts w:ascii="Times New Roman" w:hAnsi="Times New Roman" w:cs="Times New Roman"/>
          <w:sz w:val="24"/>
          <w:szCs w:val="24"/>
          <w:lang w:val="en-US"/>
        </w:rPr>
        <w:t>, laatst geraad</w:t>
      </w:r>
      <w:r w:rsidR="00A46F95" w:rsidRPr="00D147A7">
        <w:rPr>
          <w:rFonts w:ascii="Times New Roman" w:hAnsi="Times New Roman" w:cs="Times New Roman"/>
          <w:sz w:val="24"/>
          <w:szCs w:val="24"/>
          <w:lang w:val="en-US"/>
        </w:rPr>
        <w:t>-</w:t>
      </w:r>
      <w:r w:rsidRPr="00D147A7">
        <w:rPr>
          <w:rFonts w:ascii="Times New Roman" w:hAnsi="Times New Roman" w:cs="Times New Roman"/>
          <w:sz w:val="24"/>
          <w:szCs w:val="24"/>
          <w:lang w:val="en-US"/>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POLLET, I., </w:t>
      </w:r>
      <w:r w:rsidRPr="00D147A7">
        <w:rPr>
          <w:rFonts w:ascii="Times New Roman" w:hAnsi="Times New Roman" w:cs="Times New Roman"/>
          <w:i/>
          <w:sz w:val="24"/>
          <w:szCs w:val="24"/>
          <w:lang w:val="en-US"/>
        </w:rPr>
        <w:t xml:space="preserve">eHealth platform services connectors. </w:t>
      </w:r>
      <w:r w:rsidRPr="00D147A7">
        <w:rPr>
          <w:rFonts w:ascii="Times New Roman" w:hAnsi="Times New Roman" w:cs="Times New Roman"/>
          <w:i/>
          <w:sz w:val="24"/>
          <w:szCs w:val="24"/>
        </w:rPr>
        <w:t>Algemene presentatie, functionaliteiten en toegankelijkheid</w:t>
      </w:r>
      <w:r w:rsidRPr="00D147A7">
        <w:rPr>
          <w:rFonts w:ascii="Times New Roman" w:hAnsi="Times New Roman" w:cs="Times New Roman"/>
          <w:sz w:val="24"/>
          <w:szCs w:val="24"/>
        </w:rPr>
        <w:t>, Brussel, 2011, 7p. (</w:t>
      </w:r>
      <w:hyperlink r:id="rId138" w:history="1">
        <w:r w:rsidR="005E4A37" w:rsidRPr="00ED5FE6">
          <w:rPr>
            <w:rStyle w:val="Hyperlink"/>
            <w:rFonts w:ascii="Times New Roman" w:hAnsi="Times New Roman" w:cs="Times New Roman"/>
            <w:sz w:val="24"/>
            <w:szCs w:val="24"/>
          </w:rPr>
          <w:t>https://www.ehealth.fgov.be/nl/over-het-ehealth-platform/presentatie/infodays/8-december-2011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POLLET, I., </w:t>
      </w:r>
      <w:r w:rsidRPr="00D147A7">
        <w:rPr>
          <w:rFonts w:ascii="Times New Roman" w:hAnsi="Times New Roman" w:cs="Times New Roman"/>
          <w:i/>
          <w:sz w:val="24"/>
          <w:szCs w:val="24"/>
        </w:rPr>
        <w:t>Elektronische bewijzen van een therapeutische relatie. Architectuurelementen</w:t>
      </w:r>
      <w:r w:rsidRPr="00D147A7">
        <w:rPr>
          <w:rFonts w:ascii="Times New Roman" w:hAnsi="Times New Roman" w:cs="Times New Roman"/>
          <w:sz w:val="24"/>
          <w:szCs w:val="24"/>
        </w:rPr>
        <w:t>, Brussel, 2011, 9p. (</w:t>
      </w:r>
      <w:hyperlink r:id="rId139" w:history="1">
        <w:r w:rsidR="005E4A37" w:rsidRPr="00ED5FE6">
          <w:rPr>
            <w:rStyle w:val="Hyperlink"/>
            <w:rFonts w:ascii="Times New Roman" w:hAnsi="Times New Roman" w:cs="Times New Roman"/>
            <w:sz w:val="24"/>
            <w:szCs w:val="24"/>
          </w:rPr>
          <w:t>https://www.ehealth.fgov.be/nl/over-het-ehealth-platform/presentatie/ infodays/8-december-2011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fr-BE"/>
        </w:rPr>
        <w:t xml:space="preserve">POULLET, Y., ‘Construire un cadre juridique pour l’e-Health. A propos d’un avant-projet de loi belge en matière de télématique’, HERVEG, J. (red.), </w:t>
      </w:r>
      <w:r w:rsidRPr="00D147A7">
        <w:rPr>
          <w:rFonts w:ascii="Times New Roman" w:hAnsi="Times New Roman" w:cs="Times New Roman"/>
          <w:i/>
          <w:sz w:val="24"/>
          <w:szCs w:val="24"/>
          <w:lang w:val="fr-BE"/>
        </w:rPr>
        <w:t xml:space="preserve">The protection of medical data. </w:t>
      </w:r>
      <w:r w:rsidRPr="00D147A7">
        <w:rPr>
          <w:rFonts w:ascii="Times New Roman" w:hAnsi="Times New Roman" w:cs="Times New Roman"/>
          <w:i/>
          <w:sz w:val="24"/>
          <w:szCs w:val="24"/>
          <w:lang w:val="en-US"/>
        </w:rPr>
        <w:t>Challenges of the 21st century</w:t>
      </w:r>
      <w:r w:rsidRPr="00D147A7">
        <w:rPr>
          <w:rFonts w:ascii="Times New Roman" w:hAnsi="Times New Roman" w:cs="Times New Roman"/>
          <w:sz w:val="24"/>
          <w:szCs w:val="24"/>
          <w:lang w:val="en-US"/>
        </w:rPr>
        <w:t>, Louvain-la-Neuve, Anthemis, 2008, p. 89-130.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w:t>
      </w:r>
      <w:r w:rsidRPr="00D147A7">
        <w:rPr>
          <w:rFonts w:ascii="Times New Roman" w:hAnsi="Times New Roman" w:cs="Times New Roman"/>
          <w:i/>
          <w:sz w:val="24"/>
          <w:szCs w:val="24"/>
        </w:rPr>
        <w:t>De extramurale zorgkluis</w:t>
      </w:r>
      <w:r w:rsidRPr="00D147A7">
        <w:rPr>
          <w:rFonts w:ascii="Times New Roman" w:hAnsi="Times New Roman" w:cs="Times New Roman"/>
          <w:sz w:val="24"/>
          <w:szCs w:val="24"/>
        </w:rPr>
        <w:t>, Brussel, 6 juni 2011, 16p. (</w:t>
      </w:r>
      <w:hyperlink r:id="rId140" w:history="1">
        <w:r w:rsidR="00A46F95" w:rsidRPr="00D147A7">
          <w:rPr>
            <w:rStyle w:val="Hyperlink"/>
            <w:rFonts w:ascii="Times New Roman" w:hAnsi="Times New Roman" w:cs="Times New Roman"/>
            <w:sz w:val="24"/>
            <w:szCs w:val="24"/>
          </w:rPr>
          <w:t>www.law.kuleuven.be/ icri/frobben/wp/index.php/presentations</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‘De invoering van een elektronisch leesbare sociale identiteitskaart voor alle Belgen’,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xml:space="preserve">, 1998, 1, p. 14-19.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‘De werking van de kruispuntbank van de sociale zekerheid’, </w:t>
      </w:r>
      <w:r w:rsidRPr="00D147A7">
        <w:rPr>
          <w:rFonts w:ascii="Times New Roman" w:hAnsi="Times New Roman" w:cs="Times New Roman"/>
          <w:i/>
          <w:sz w:val="24"/>
          <w:szCs w:val="24"/>
        </w:rPr>
        <w:t>B.T.S.Z.</w:t>
      </w:r>
      <w:r w:rsidRPr="00D147A7">
        <w:rPr>
          <w:rFonts w:ascii="Times New Roman" w:hAnsi="Times New Roman" w:cs="Times New Roman"/>
          <w:sz w:val="24"/>
          <w:szCs w:val="24"/>
        </w:rPr>
        <w:t xml:space="preserve">, 1989, extra aflevering, p. 23-48; </w:t>
      </w:r>
      <w:r w:rsidRPr="00D147A7">
        <w:rPr>
          <w:rFonts w:ascii="Times New Roman" w:hAnsi="Times New Roman" w:cs="Times New Roman"/>
          <w:i/>
          <w:sz w:val="24"/>
          <w:szCs w:val="24"/>
        </w:rPr>
        <w:t>De Gemeente</w:t>
      </w:r>
      <w:r w:rsidRPr="00D147A7">
        <w:rPr>
          <w:rFonts w:ascii="Times New Roman" w:hAnsi="Times New Roman" w:cs="Times New Roman"/>
          <w:sz w:val="24"/>
          <w:szCs w:val="24"/>
        </w:rPr>
        <w:t xml:space="preserve">, 1989, p. 545-553.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w:t>
      </w:r>
      <w:r w:rsidRPr="00D147A7">
        <w:rPr>
          <w:rFonts w:ascii="Times New Roman" w:hAnsi="Times New Roman" w:cs="Times New Roman"/>
          <w:i/>
          <w:sz w:val="24"/>
          <w:szCs w:val="24"/>
        </w:rPr>
        <w:t>Een visie op elektronische samenwerking in de gezondheidszorg, gebaseerd op de ervaring in de sociale sector, en de mogelijke rol van een BeHealth-platform</w:t>
      </w:r>
      <w:r w:rsidRPr="00D147A7">
        <w:rPr>
          <w:rFonts w:ascii="Times New Roman" w:hAnsi="Times New Roman" w:cs="Times New Roman"/>
          <w:sz w:val="24"/>
          <w:szCs w:val="24"/>
        </w:rPr>
        <w:t>, Brussel, 2007, 51p. (</w:t>
      </w:r>
      <w:hyperlink r:id="rId141" w:history="1">
        <w:r w:rsidRPr="00D147A7">
          <w:rPr>
            <w:rStyle w:val="Hyperlink"/>
            <w:rFonts w:ascii="Times New Roman" w:hAnsi="Times New Roman" w:cs="Times New Roman"/>
            <w:sz w:val="24"/>
            <w:szCs w:val="24"/>
          </w:rPr>
          <w:t>www.law.kuleuven.be/icri/frobben/presentations/20070215nl.ppt</w:t>
        </w:r>
      </w:hyperlink>
      <w:r w:rsidRPr="00D147A7">
        <w:rPr>
          <w:rFonts w:ascii="Times New Roman" w:hAnsi="Times New Roman" w:cs="Times New Roman"/>
          <w:sz w:val="24"/>
          <w:szCs w:val="24"/>
        </w:rPr>
        <w:t>, laatst geraad</w:t>
      </w:r>
      <w:r w:rsidR="00A46F95"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w:t>
      </w:r>
      <w:r w:rsidRPr="00D147A7">
        <w:rPr>
          <w:rFonts w:ascii="Times New Roman" w:hAnsi="Times New Roman" w:cs="Times New Roman"/>
          <w:i/>
          <w:sz w:val="24"/>
          <w:szCs w:val="24"/>
        </w:rPr>
        <w:t>eHealth-toepassingen en het gebruik van de Belgische elektronische identiteits</w:t>
      </w:r>
      <w:r w:rsidR="005E4A37">
        <w:rPr>
          <w:rFonts w:ascii="Times New Roman" w:hAnsi="Times New Roman" w:cs="Times New Roman"/>
          <w:i/>
          <w:sz w:val="24"/>
          <w:szCs w:val="24"/>
        </w:rPr>
        <w:t>-</w:t>
      </w:r>
      <w:r w:rsidRPr="00D147A7">
        <w:rPr>
          <w:rFonts w:ascii="Times New Roman" w:hAnsi="Times New Roman" w:cs="Times New Roman"/>
          <w:i/>
          <w:sz w:val="24"/>
          <w:szCs w:val="24"/>
        </w:rPr>
        <w:t>kaart</w:t>
      </w:r>
      <w:r w:rsidRPr="00D147A7">
        <w:rPr>
          <w:rFonts w:ascii="Times New Roman" w:hAnsi="Times New Roman" w:cs="Times New Roman"/>
          <w:sz w:val="24"/>
          <w:szCs w:val="24"/>
        </w:rPr>
        <w:t>, Brussel, 2008, 50p. (</w:t>
      </w:r>
      <w:hyperlink r:id="rId142" w:history="1">
        <w:r w:rsidR="005E4A37" w:rsidRPr="00ED5FE6">
          <w:rPr>
            <w:rStyle w:val="Hyperlink"/>
            <w:rFonts w:ascii="Times New Roman" w:hAnsi="Times New Roman" w:cs="Times New Roman"/>
            <w:sz w:val="24"/>
            <w:szCs w:val="24"/>
          </w:rPr>
          <w:t>https://www.msec.be/eidea/ws2008/presentaties/frank_robben. pdf</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w:t>
      </w:r>
      <w:r w:rsidRPr="00D147A7">
        <w:rPr>
          <w:rFonts w:ascii="Times New Roman" w:hAnsi="Times New Roman" w:cs="Times New Roman"/>
          <w:i/>
          <w:sz w:val="24"/>
          <w:szCs w:val="24"/>
        </w:rPr>
        <w:t>Het belang van elektronisch informatiebeh</w:t>
      </w:r>
      <w:r w:rsidR="005E4A37">
        <w:rPr>
          <w:rFonts w:ascii="Times New Roman" w:hAnsi="Times New Roman" w:cs="Times New Roman"/>
          <w:i/>
          <w:sz w:val="24"/>
          <w:szCs w:val="24"/>
        </w:rPr>
        <w:t>eer en elektronische informatie-</w:t>
      </w:r>
      <w:r w:rsidRPr="00D147A7">
        <w:rPr>
          <w:rFonts w:ascii="Times New Roman" w:hAnsi="Times New Roman" w:cs="Times New Roman"/>
          <w:i/>
          <w:sz w:val="24"/>
          <w:szCs w:val="24"/>
        </w:rPr>
        <w:t>uit</w:t>
      </w:r>
      <w:r w:rsidR="005E4A37">
        <w:rPr>
          <w:rFonts w:ascii="Times New Roman" w:hAnsi="Times New Roman" w:cs="Times New Roman"/>
          <w:i/>
          <w:sz w:val="24"/>
          <w:szCs w:val="24"/>
        </w:rPr>
        <w:t>-</w:t>
      </w:r>
      <w:r w:rsidRPr="00D147A7">
        <w:rPr>
          <w:rFonts w:ascii="Times New Roman" w:hAnsi="Times New Roman" w:cs="Times New Roman"/>
          <w:i/>
          <w:sz w:val="24"/>
          <w:szCs w:val="24"/>
        </w:rPr>
        <w:t>wisseling in de Belgische gezondheidszorg</w:t>
      </w:r>
      <w:r w:rsidRPr="00D147A7">
        <w:rPr>
          <w:rFonts w:ascii="Times New Roman" w:hAnsi="Times New Roman" w:cs="Times New Roman"/>
          <w:sz w:val="24"/>
          <w:szCs w:val="24"/>
        </w:rPr>
        <w:t>, s.l., 2011 (</w:t>
      </w:r>
      <w:hyperlink r:id="rId143" w:anchor="more-142" w:history="1">
        <w:r w:rsidR="005E4A37" w:rsidRPr="00ED5FE6">
          <w:rPr>
            <w:rStyle w:val="Hyperlink"/>
            <w:rFonts w:ascii="Times New Roman" w:hAnsi="Times New Roman" w:cs="Times New Roman"/>
            <w:sz w:val="24"/>
            <w:szCs w:val="24"/>
          </w:rPr>
          <w:t>www.law.kuleuven.be/icri/frobben/wp/ index.php/opinion-2#more-142</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‘Oprichting en organisatie van een kruispuntbank van de sociale zekerheid’, </w:t>
      </w:r>
      <w:r w:rsidRPr="00D147A7">
        <w:rPr>
          <w:rFonts w:ascii="Times New Roman" w:hAnsi="Times New Roman" w:cs="Times New Roman"/>
          <w:i/>
          <w:sz w:val="24"/>
          <w:szCs w:val="24"/>
        </w:rPr>
        <w:t>D.C.C.R.</w:t>
      </w:r>
      <w:r w:rsidRPr="00D147A7">
        <w:rPr>
          <w:rFonts w:ascii="Times New Roman" w:hAnsi="Times New Roman" w:cs="Times New Roman"/>
          <w:sz w:val="24"/>
          <w:szCs w:val="24"/>
        </w:rPr>
        <w:t>, 1989-1990, p. 198-216.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MAES, P.; ‘De Kruispuntbank van de sociale zekerheid anno 2004’, </w:t>
      </w:r>
      <w:r w:rsidRPr="00D147A7">
        <w:rPr>
          <w:rFonts w:ascii="Times New Roman" w:hAnsi="Times New Roman" w:cs="Times New Roman"/>
          <w:i/>
          <w:sz w:val="24"/>
          <w:szCs w:val="24"/>
        </w:rPr>
        <w:t>B.T.S.Z.</w:t>
      </w:r>
      <w:r w:rsidRPr="00D147A7">
        <w:rPr>
          <w:rFonts w:ascii="Times New Roman" w:hAnsi="Times New Roman" w:cs="Times New Roman"/>
          <w:sz w:val="24"/>
          <w:szCs w:val="24"/>
        </w:rPr>
        <w:t xml:space="preserve">, 2004, 1, p. 145-174.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ROBBEN, F.; MAES, P.; ‘De Kruispuntbank van de Sociale Zekerheid als motor van e-government in de sociale sector’, </w:t>
      </w:r>
      <w:r w:rsidRPr="00D147A7">
        <w:rPr>
          <w:rFonts w:ascii="Times New Roman" w:hAnsi="Times New Roman" w:cs="Times New Roman"/>
          <w:i/>
          <w:sz w:val="24"/>
          <w:szCs w:val="24"/>
        </w:rPr>
        <w:t>Vl.T.O.</w:t>
      </w:r>
      <w:r w:rsidRPr="00D147A7">
        <w:rPr>
          <w:rFonts w:ascii="Times New Roman" w:hAnsi="Times New Roman" w:cs="Times New Roman"/>
          <w:sz w:val="24"/>
          <w:szCs w:val="24"/>
        </w:rPr>
        <w:t xml:space="preserve">, 2005, 4, p. 35-55.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SAELENS, R.; DE HERT, P.; ‘eHealth-wet: nog enkele onduidelijkheden’, </w:t>
      </w:r>
      <w:r w:rsidRPr="00D147A7">
        <w:rPr>
          <w:rFonts w:ascii="Times New Roman" w:hAnsi="Times New Roman" w:cs="Times New Roman"/>
          <w:i/>
          <w:sz w:val="24"/>
          <w:szCs w:val="24"/>
        </w:rPr>
        <w:t>Juristenkrant</w:t>
      </w:r>
      <w:r w:rsidRPr="00D147A7">
        <w:rPr>
          <w:rFonts w:ascii="Times New Roman" w:hAnsi="Times New Roman" w:cs="Times New Roman"/>
          <w:sz w:val="24"/>
          <w:szCs w:val="24"/>
        </w:rPr>
        <w:t>, 209 (2010), p. 12-13.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SEUTIN, B.; VAN HAEGENDOREN, G. (reds.); VANSTEENKISTE, S.; </w:t>
      </w:r>
      <w:r w:rsidRPr="00D147A7">
        <w:rPr>
          <w:rFonts w:ascii="Times New Roman" w:hAnsi="Times New Roman" w:cs="Times New Roman"/>
          <w:i/>
          <w:sz w:val="24"/>
          <w:szCs w:val="24"/>
        </w:rPr>
        <w:t>Het gezondheids</w:t>
      </w:r>
      <w:r w:rsidR="005E4A37">
        <w:rPr>
          <w:rFonts w:ascii="Times New Roman" w:hAnsi="Times New Roman" w:cs="Times New Roman"/>
          <w:i/>
          <w:sz w:val="24"/>
          <w:szCs w:val="24"/>
        </w:rPr>
        <w:t>-</w:t>
      </w:r>
      <w:r w:rsidRPr="00D147A7">
        <w:rPr>
          <w:rFonts w:ascii="Times New Roman" w:hAnsi="Times New Roman" w:cs="Times New Roman"/>
          <w:i/>
          <w:sz w:val="24"/>
          <w:szCs w:val="24"/>
        </w:rPr>
        <w:t>beleid</w:t>
      </w:r>
      <w:r w:rsidRPr="00D147A7">
        <w:rPr>
          <w:rFonts w:ascii="Times New Roman" w:hAnsi="Times New Roman" w:cs="Times New Roman"/>
          <w:sz w:val="24"/>
          <w:szCs w:val="24"/>
        </w:rPr>
        <w:t>, De bevoegdheidsverdeling in het federale België, 10, Brugge, die Keure, 2001, 156p.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SIJNAVE, B., ‘De elektronische identiteitskaart in UZ Gent’, </w:t>
      </w:r>
      <w:r w:rsidRPr="00D147A7">
        <w:rPr>
          <w:rFonts w:ascii="Times New Roman" w:hAnsi="Times New Roman" w:cs="Times New Roman"/>
          <w:i/>
          <w:sz w:val="24"/>
          <w:szCs w:val="24"/>
        </w:rPr>
        <w:t>Vl.T.O.</w:t>
      </w:r>
      <w:r w:rsidRPr="00D147A7">
        <w:rPr>
          <w:rFonts w:ascii="Times New Roman" w:hAnsi="Times New Roman" w:cs="Times New Roman"/>
          <w:sz w:val="24"/>
          <w:szCs w:val="24"/>
        </w:rPr>
        <w:t>, 2005, 4, p. 29-34.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SNIJKERS, K., ‘e-Government en welzijnsbeleid: de kruispuntbank van de sociale zeker</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heid’, MERTENS, J. (red.), </w:t>
      </w:r>
      <w:r w:rsidRPr="00D147A7">
        <w:rPr>
          <w:rFonts w:ascii="Times New Roman" w:hAnsi="Times New Roman" w:cs="Times New Roman"/>
          <w:i/>
          <w:sz w:val="24"/>
          <w:szCs w:val="24"/>
        </w:rPr>
        <w:t>Welzijnsgids: gezondheidszorg, welzijnszorg</w:t>
      </w:r>
      <w:r w:rsidRPr="00D147A7">
        <w:rPr>
          <w:rFonts w:ascii="Times New Roman" w:hAnsi="Times New Roman" w:cs="Times New Roman"/>
          <w:sz w:val="24"/>
          <w:szCs w:val="24"/>
        </w:rPr>
        <w:t xml:space="preserve">, Mechelen, Kluwer, 2004, p. 1-20.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STORME, M.E., ‘De invoering van de elektronische handtekening in ons bewijsrecht – een inkadering van en commentaar bij de nieuwe wetsbepalingen’, </w:t>
      </w:r>
      <w:r w:rsidRPr="00D147A7">
        <w:rPr>
          <w:rFonts w:ascii="Times New Roman" w:hAnsi="Times New Roman" w:cs="Times New Roman"/>
          <w:i/>
          <w:sz w:val="24"/>
          <w:szCs w:val="24"/>
        </w:rPr>
        <w:t>R.W.</w:t>
      </w:r>
      <w:r w:rsidRPr="00D147A7">
        <w:rPr>
          <w:rFonts w:ascii="Times New Roman" w:hAnsi="Times New Roman" w:cs="Times New Roman"/>
          <w:sz w:val="24"/>
          <w:szCs w:val="24"/>
        </w:rPr>
        <w:t>, 2000-2001, k. 1505-1524 (</w:t>
      </w:r>
      <w:hyperlink r:id="rId144" w:history="1">
        <w:r w:rsidRPr="00D147A7">
          <w:rPr>
            <w:rStyle w:val="Hyperlink"/>
            <w:rFonts w:ascii="Times New Roman" w:hAnsi="Times New Roman" w:cs="Times New Roman"/>
            <w:sz w:val="24"/>
            <w:szCs w:val="24"/>
          </w:rPr>
          <w:t>http://www.storme.be/elektronischehandtekening.pdf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SUETONIUS; DEN HENGST, D. (vert.); </w:t>
      </w:r>
      <w:r w:rsidRPr="00D147A7">
        <w:rPr>
          <w:rFonts w:ascii="Times New Roman" w:hAnsi="Times New Roman" w:cs="Times New Roman"/>
          <w:i/>
          <w:sz w:val="24"/>
          <w:szCs w:val="24"/>
        </w:rPr>
        <w:t>Keizers van Rome</w:t>
      </w:r>
      <w:r w:rsidRPr="00D147A7">
        <w:rPr>
          <w:rFonts w:ascii="Times New Roman" w:hAnsi="Times New Roman" w:cs="Times New Roman"/>
          <w:sz w:val="24"/>
          <w:szCs w:val="24"/>
        </w:rPr>
        <w:t>, Amsterdam, Atheanaeum – Po</w:t>
      </w:r>
      <w:r w:rsidR="005E4A37">
        <w:rPr>
          <w:rFonts w:ascii="Times New Roman" w:hAnsi="Times New Roman" w:cs="Times New Roman"/>
          <w:sz w:val="24"/>
          <w:szCs w:val="24"/>
        </w:rPr>
        <w:t>-</w:t>
      </w:r>
      <w:r w:rsidRPr="00D147A7">
        <w:rPr>
          <w:rFonts w:ascii="Times New Roman" w:hAnsi="Times New Roman" w:cs="Times New Roman"/>
          <w:sz w:val="24"/>
          <w:szCs w:val="24"/>
        </w:rPr>
        <w:t>lak &amp; Van Gennep, 2006, 546p.</w:t>
      </w:r>
    </w:p>
    <w:p w:rsidR="009931C7" w:rsidRPr="00D147A7" w:rsidRDefault="009931C7" w:rsidP="009931C7">
      <w:pPr>
        <w:pStyle w:val="Geenafstand"/>
        <w:jc w:val="both"/>
        <w:rPr>
          <w:rFonts w:ascii="Times New Roman" w:hAnsi="Times New Roman" w:cs="Times New Roman"/>
          <w:color w:val="0000FF" w:themeColor="hyperlink"/>
          <w:sz w:val="24"/>
          <w:szCs w:val="24"/>
          <w:u w:val="single"/>
        </w:rPr>
      </w:pPr>
      <w:r w:rsidRPr="00D147A7">
        <w:rPr>
          <w:rFonts w:ascii="Times New Roman" w:hAnsi="Times New Roman" w:cs="Times New Roman"/>
          <w:sz w:val="24"/>
          <w:szCs w:val="24"/>
        </w:rPr>
        <w:t>Syndicaat van Vlaamse Huisartsen vzw, ‘Persnota FlandersHealth/BeHealth’, s.l., 27 januari 2006 (</w:t>
      </w:r>
      <w:hyperlink r:id="rId145" w:history="1">
        <w:r w:rsidRPr="00D147A7">
          <w:rPr>
            <w:rStyle w:val="Hyperlink"/>
            <w:rFonts w:ascii="Times New Roman" w:hAnsi="Times New Roman" w:cs="Times New Roman"/>
            <w:sz w:val="24"/>
            <w:szCs w:val="24"/>
          </w:rPr>
          <w:t>http://www.svh.be/persnota20060127Flandershealthbe.htm</w:t>
        </w:r>
      </w:hyperlink>
      <w:r w:rsidRPr="00D147A7">
        <w:rPr>
          <w:rFonts w:ascii="Times New Roman" w:hAnsi="Times New Roman" w:cs="Times New Roman"/>
          <w:sz w:val="24"/>
          <w:szCs w:val="24"/>
        </w:rPr>
        <w:t>, laatst geraadpleegd op 23 juli 201</w:t>
      </w:r>
      <w:r w:rsidR="00A46F95" w:rsidRPr="00D147A7">
        <w:rPr>
          <w:rFonts w:ascii="Times New Roman" w:hAnsi="Times New Roman" w:cs="Times New Roman"/>
          <w:sz w:val="24"/>
          <w:szCs w:val="24"/>
        </w:rPr>
        <w:t>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Telematicacommissie, </w:t>
      </w:r>
      <w:r w:rsidRPr="00D147A7">
        <w:rPr>
          <w:rFonts w:ascii="Times New Roman" w:hAnsi="Times New Roman" w:cs="Times New Roman"/>
          <w:i/>
          <w:sz w:val="24"/>
          <w:szCs w:val="24"/>
        </w:rPr>
        <w:t>Advies nr. 4: Telematicastandaarden in de zorgsector</w:t>
      </w:r>
      <w:r w:rsidRPr="00D147A7">
        <w:rPr>
          <w:rFonts w:ascii="Times New Roman" w:hAnsi="Times New Roman" w:cs="Times New Roman"/>
          <w:sz w:val="24"/>
          <w:szCs w:val="24"/>
        </w:rPr>
        <w:t>, s.l., 2001, 10p. (</w:t>
      </w:r>
      <w:hyperlink r:id="rId146" w:history="1">
        <w:r w:rsidR="00A46F95" w:rsidRPr="00D147A7">
          <w:rPr>
            <w:rStyle w:val="Hyperlink"/>
            <w:rFonts w:ascii="Times New Roman" w:hAnsi="Times New Roman" w:cs="Times New Roman"/>
            <w:sz w:val="24"/>
            <w:szCs w:val="24"/>
          </w:rPr>
          <w:t>http://www.health.belgium.be/eportal/Healthcare/Telematics/Studygroups/TelematicsCommission/index.htm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THEUNIS, J., ‘De toetsing aan grondrechten door het Grondwettelijk Hof. Overzicht van rechtspraak 2008’, </w:t>
      </w:r>
      <w:r w:rsidRPr="00D147A7">
        <w:rPr>
          <w:rFonts w:ascii="Times New Roman" w:hAnsi="Times New Roman" w:cs="Times New Roman"/>
          <w:i/>
          <w:sz w:val="24"/>
          <w:szCs w:val="24"/>
        </w:rPr>
        <w:t>T.B.P.</w:t>
      </w:r>
      <w:r w:rsidRPr="00D147A7">
        <w:rPr>
          <w:rFonts w:ascii="Times New Roman" w:hAnsi="Times New Roman" w:cs="Times New Roman"/>
          <w:sz w:val="24"/>
          <w:szCs w:val="24"/>
        </w:rPr>
        <w:t>, 2009, 6, p. 323-364.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THEUNIS, J., ‘De toetsing aan grondrechten door het Grondwettelijk Hof – Overzicht van rechtspraak 2010’, </w:t>
      </w:r>
      <w:r w:rsidRPr="00D147A7">
        <w:rPr>
          <w:rFonts w:ascii="Times New Roman" w:hAnsi="Times New Roman" w:cs="Times New Roman"/>
          <w:i/>
          <w:sz w:val="24"/>
          <w:szCs w:val="24"/>
        </w:rPr>
        <w:t>T.B.P.</w:t>
      </w:r>
      <w:r w:rsidRPr="00D147A7">
        <w:rPr>
          <w:rFonts w:ascii="Times New Roman" w:hAnsi="Times New Roman" w:cs="Times New Roman"/>
          <w:sz w:val="24"/>
          <w:szCs w:val="24"/>
        </w:rPr>
        <w:t>, 2012, 1, p. 3-37.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AKEN, K., </w:t>
      </w:r>
      <w:r w:rsidRPr="00D147A7">
        <w:rPr>
          <w:rFonts w:ascii="Times New Roman" w:hAnsi="Times New Roman" w:cs="Times New Roman"/>
          <w:i/>
          <w:sz w:val="24"/>
          <w:szCs w:val="24"/>
        </w:rPr>
        <w:t>Beheer van eHealth Certificaten. Vernieuwd proces. Van aanvraag tot in</w:t>
      </w:r>
      <w:r w:rsidR="005E4A37">
        <w:rPr>
          <w:rFonts w:ascii="Times New Roman" w:hAnsi="Times New Roman" w:cs="Times New Roman"/>
          <w:i/>
          <w:sz w:val="24"/>
          <w:szCs w:val="24"/>
        </w:rPr>
        <w:t>-</w:t>
      </w:r>
      <w:r w:rsidRPr="00D147A7">
        <w:rPr>
          <w:rFonts w:ascii="Times New Roman" w:hAnsi="Times New Roman" w:cs="Times New Roman"/>
          <w:i/>
          <w:sz w:val="24"/>
          <w:szCs w:val="24"/>
        </w:rPr>
        <w:t>stallatie</w:t>
      </w:r>
      <w:r w:rsidRPr="00D147A7">
        <w:rPr>
          <w:rFonts w:ascii="Times New Roman" w:hAnsi="Times New Roman" w:cs="Times New Roman"/>
          <w:sz w:val="24"/>
          <w:szCs w:val="24"/>
        </w:rPr>
        <w:t>, Brussel, 2011, 36p. (</w:t>
      </w:r>
      <w:hyperlink r:id="rId147" w:history="1">
        <w:r w:rsidR="005E4A37" w:rsidRPr="00ED5FE6">
          <w:rPr>
            <w:rStyle w:val="Hyperlink"/>
            <w:rFonts w:ascii="Times New Roman" w:hAnsi="Times New Roman" w:cs="Times New Roman"/>
            <w:sz w:val="24"/>
            <w:szCs w:val="24"/>
          </w:rPr>
          <w:t>https://www.ehealth.fgov.be/nl/over-het-ehealth-platform/ presentatie/infodays/8-december-2011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DEN BOSCH, B., ‘Toegangscontrole in ziekenhuisinformatiesystemen’, CALLENS, S.; BRILLON, S.; DE BOT, D.; NYS, H.; VAN DEN BOSCH, B.; </w:t>
      </w:r>
      <w:r w:rsidRPr="00D147A7">
        <w:rPr>
          <w:rFonts w:ascii="Times New Roman" w:hAnsi="Times New Roman" w:cs="Times New Roman"/>
          <w:i/>
          <w:sz w:val="24"/>
          <w:szCs w:val="24"/>
        </w:rPr>
        <w:t>Privacy en verwerking van gegevens in het ziekenhuis</w:t>
      </w:r>
      <w:r w:rsidRPr="00D147A7">
        <w:rPr>
          <w:rFonts w:ascii="Times New Roman" w:hAnsi="Times New Roman" w:cs="Times New Roman"/>
          <w:sz w:val="24"/>
          <w:szCs w:val="24"/>
        </w:rPr>
        <w:t>, Diegem, Kluwer, 2002, p. 59-88.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VANDENBROUCKE, F., ‘Elektronische overdracht van medische gegevens’, </w:t>
      </w:r>
      <w:r w:rsidRPr="00D147A7">
        <w:rPr>
          <w:rFonts w:ascii="Times New Roman" w:hAnsi="Times New Roman" w:cs="Times New Roman"/>
          <w:i/>
          <w:sz w:val="24"/>
          <w:szCs w:val="24"/>
        </w:rPr>
        <w:t>Het medisch dossier. Verslag symposium 4 mei 2002</w:t>
      </w:r>
      <w:r w:rsidRPr="00D147A7">
        <w:rPr>
          <w:rFonts w:ascii="Times New Roman" w:hAnsi="Times New Roman" w:cs="Times New Roman"/>
          <w:sz w:val="24"/>
          <w:szCs w:val="24"/>
        </w:rPr>
        <w:t>, Hippocrates, 42, Gent, Orde der geneesheren – Pro</w:t>
      </w:r>
      <w:r w:rsidR="005E4A37">
        <w:rPr>
          <w:rFonts w:ascii="Times New Roman" w:hAnsi="Times New Roman" w:cs="Times New Roman"/>
          <w:sz w:val="24"/>
          <w:szCs w:val="24"/>
        </w:rPr>
        <w:t>-</w:t>
      </w:r>
      <w:r w:rsidRPr="00D147A7">
        <w:rPr>
          <w:rFonts w:ascii="Times New Roman" w:hAnsi="Times New Roman" w:cs="Times New Roman"/>
          <w:sz w:val="24"/>
          <w:szCs w:val="24"/>
        </w:rPr>
        <w:t>vinciale Raad van Oost-Vlaanderen, 2002, p. 29-33.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VAN DEN EYNDE, S.; DUMORTIER, J.; ‘De rol van de digitale handtekening bij het archi</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veren van elektronische documenten’, </w:t>
      </w:r>
      <w:r w:rsidRPr="00D147A7">
        <w:rPr>
          <w:rFonts w:ascii="Times New Roman" w:hAnsi="Times New Roman" w:cs="Times New Roman"/>
          <w:i/>
          <w:sz w:val="24"/>
          <w:szCs w:val="24"/>
        </w:rPr>
        <w:t>B.A.G.</w:t>
      </w:r>
      <w:r w:rsidRPr="00D147A7">
        <w:rPr>
          <w:rFonts w:ascii="Times New Roman" w:hAnsi="Times New Roman" w:cs="Times New Roman"/>
          <w:sz w:val="24"/>
          <w:szCs w:val="24"/>
        </w:rPr>
        <w:t xml:space="preserve">, 2001, 1, p. 9-13.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VANDEWEERDT, M., ‘De bescherming van de medische persoonsgegevens’, </w:t>
      </w:r>
      <w:r w:rsidRPr="00D147A7">
        <w:rPr>
          <w:rFonts w:ascii="Times New Roman" w:hAnsi="Times New Roman" w:cs="Times New Roman"/>
          <w:i/>
          <w:sz w:val="24"/>
          <w:szCs w:val="24"/>
        </w:rPr>
        <w:t>B.T.S.Z.</w:t>
      </w:r>
      <w:r w:rsidRPr="00D147A7">
        <w:rPr>
          <w:rFonts w:ascii="Times New Roman" w:hAnsi="Times New Roman" w:cs="Times New Roman"/>
          <w:sz w:val="24"/>
          <w:szCs w:val="24"/>
        </w:rPr>
        <w:t>, 1993, p. 263-281.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VANDEWEERDT, M.; VIAENE, J.; ‘Mededeling van medische gegevens van persoonlijke aard aan gerechtigden op sociale zekerheid en medische motivering van bestuurshandelingen’, </w:t>
      </w:r>
      <w:r w:rsidRPr="00D147A7">
        <w:rPr>
          <w:rFonts w:ascii="Times New Roman" w:hAnsi="Times New Roman" w:cs="Times New Roman"/>
          <w:i/>
          <w:sz w:val="24"/>
          <w:szCs w:val="24"/>
        </w:rPr>
        <w:t>Soc.Kron.</w:t>
      </w:r>
      <w:r w:rsidRPr="00D147A7">
        <w:rPr>
          <w:rFonts w:ascii="Times New Roman" w:hAnsi="Times New Roman" w:cs="Times New Roman"/>
          <w:sz w:val="24"/>
          <w:szCs w:val="24"/>
        </w:rPr>
        <w:t>, 1996, p. 365-376.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EECKE, P., </w:t>
      </w:r>
      <w:r w:rsidRPr="00D147A7">
        <w:rPr>
          <w:rFonts w:ascii="Times New Roman" w:hAnsi="Times New Roman" w:cs="Times New Roman"/>
          <w:i/>
          <w:sz w:val="24"/>
          <w:szCs w:val="24"/>
        </w:rPr>
        <w:t>De handtekening in het recht. Van pennentrek tot elektronische handteke</w:t>
      </w:r>
      <w:r w:rsidR="005E4A37">
        <w:rPr>
          <w:rFonts w:ascii="Times New Roman" w:hAnsi="Times New Roman" w:cs="Times New Roman"/>
          <w:i/>
          <w:sz w:val="24"/>
          <w:szCs w:val="24"/>
        </w:rPr>
        <w:t>-</w:t>
      </w:r>
      <w:r w:rsidRPr="00D147A7">
        <w:rPr>
          <w:rFonts w:ascii="Times New Roman" w:hAnsi="Times New Roman" w:cs="Times New Roman"/>
          <w:i/>
          <w:sz w:val="24"/>
          <w:szCs w:val="24"/>
        </w:rPr>
        <w:t>ning</w:t>
      </w:r>
      <w:r w:rsidRPr="00D147A7">
        <w:rPr>
          <w:rFonts w:ascii="Times New Roman" w:hAnsi="Times New Roman" w:cs="Times New Roman"/>
          <w:sz w:val="24"/>
          <w:szCs w:val="24"/>
        </w:rPr>
        <w:t>, Brussel, Larcier, 2004, 608p.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VAN EECKE, P.; DUMORTIER, J.; ‘Een juridisch kader voor Trusted Third Parties in Bel</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gië’,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1998, 5, p. 228-232.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VAN GOSSUM, K., ‘Het elektronisch gedeeld patiëntendossier in België: een stand van za</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ken’, </w:t>
      </w:r>
      <w:r w:rsidRPr="00D147A7">
        <w:rPr>
          <w:rFonts w:ascii="Times New Roman" w:hAnsi="Times New Roman" w:cs="Times New Roman"/>
          <w:i/>
          <w:sz w:val="24"/>
          <w:szCs w:val="24"/>
        </w:rPr>
        <w:t>P&amp;I</w:t>
      </w:r>
      <w:r w:rsidRPr="00D147A7">
        <w:rPr>
          <w:rFonts w:ascii="Times New Roman" w:hAnsi="Times New Roman" w:cs="Times New Roman"/>
          <w:sz w:val="24"/>
          <w:szCs w:val="24"/>
        </w:rPr>
        <w:t>, 11/1 (2008), p. 18-19 (nr. 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GOSSUM, K.; VERHENNEMAN, G.; ‘De informatisering van de kankerregistratie in België’,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2008, 6, p. 275-284.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HOOF, K., ‘De sociale identiteitskaart’, </w:t>
      </w:r>
      <w:r w:rsidRPr="00D147A7">
        <w:rPr>
          <w:rFonts w:ascii="Times New Roman" w:hAnsi="Times New Roman" w:cs="Times New Roman"/>
          <w:i/>
          <w:sz w:val="24"/>
          <w:szCs w:val="24"/>
        </w:rPr>
        <w:t>W.A.V.</w:t>
      </w:r>
      <w:r w:rsidRPr="00D147A7">
        <w:rPr>
          <w:rFonts w:ascii="Times New Roman" w:hAnsi="Times New Roman" w:cs="Times New Roman"/>
          <w:sz w:val="24"/>
          <w:szCs w:val="24"/>
        </w:rPr>
        <w:t xml:space="preserve">, 1998, 3, p. 28-33.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MALDEREN, G., ‘Het ‘Advies inzake de toepasbaarheid van de Wet van 8 december 1992 tot bescherming van de persoonlijke levenssfeer ten opzichte van de verwerking van </w:t>
      </w:r>
      <w:r w:rsidRPr="00D147A7">
        <w:rPr>
          <w:rFonts w:ascii="Times New Roman" w:hAnsi="Times New Roman" w:cs="Times New Roman"/>
          <w:sz w:val="24"/>
          <w:szCs w:val="24"/>
        </w:rPr>
        <w:lastRenderedPageBreak/>
        <w:t>persoonsgegevens op het netwerk van een Nationaal Kankerregister’ - Introductie van een bij</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komend criterium’,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1997, 6, p. 299-303.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MALDEREN, G., ‘In de kaart gekeken: over de sociale identiteitskaart’, </w:t>
      </w:r>
      <w:r w:rsidRPr="00D147A7">
        <w:rPr>
          <w:rFonts w:ascii="Times New Roman" w:hAnsi="Times New Roman" w:cs="Times New Roman"/>
          <w:i/>
          <w:sz w:val="24"/>
          <w:szCs w:val="24"/>
        </w:rPr>
        <w:t>S&amp;P</w:t>
      </w:r>
      <w:r w:rsidRPr="00D147A7">
        <w:rPr>
          <w:rFonts w:ascii="Times New Roman" w:hAnsi="Times New Roman" w:cs="Times New Roman"/>
          <w:sz w:val="24"/>
          <w:szCs w:val="24"/>
        </w:rPr>
        <w:t>, 5/2 (1998), p. 29-37.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VERBRUGGE, F., ‘La carte d’identité sociale’, </w:t>
      </w:r>
      <w:r w:rsidRPr="00D147A7">
        <w:rPr>
          <w:rFonts w:ascii="Times New Roman" w:hAnsi="Times New Roman" w:cs="Times New Roman"/>
          <w:i/>
          <w:sz w:val="24"/>
          <w:szCs w:val="24"/>
          <w:lang w:val="fr-BE"/>
        </w:rPr>
        <w:t>Ors.</w:t>
      </w:r>
      <w:r w:rsidRPr="00D147A7">
        <w:rPr>
          <w:rFonts w:ascii="Times New Roman" w:hAnsi="Times New Roman" w:cs="Times New Roman"/>
          <w:sz w:val="24"/>
          <w:szCs w:val="24"/>
          <w:lang w:val="fr-BE"/>
        </w:rPr>
        <w:t>, 1998, p. 162-168.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VERDEYEN, V., ‘Informatisering van het socialezekerheidsbeheer’, PUT, J.; VERDEYEN, V. (reds.); </w:t>
      </w:r>
      <w:r w:rsidRPr="00D147A7">
        <w:rPr>
          <w:rFonts w:ascii="Times New Roman" w:hAnsi="Times New Roman" w:cs="Times New Roman"/>
          <w:i/>
          <w:sz w:val="24"/>
          <w:szCs w:val="24"/>
        </w:rPr>
        <w:t>Praktijkboek sociale zekerheid 2011 voor de onderneming en de sociale adviseur</w:t>
      </w:r>
      <w:r w:rsidRPr="00D147A7">
        <w:rPr>
          <w:rFonts w:ascii="Times New Roman" w:hAnsi="Times New Roman" w:cs="Times New Roman"/>
          <w:sz w:val="24"/>
          <w:szCs w:val="24"/>
        </w:rPr>
        <w:t xml:space="preserve">, Mechelen, Kluwer, 2011, p. 11-24.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VERHENNEMAN, G., ‘Privacycommissie beoordeelt het Voorontwerp van decreet betref</w:t>
      </w:r>
      <w:r w:rsidR="005E4A37">
        <w:rPr>
          <w:rFonts w:ascii="Times New Roman" w:hAnsi="Times New Roman" w:cs="Times New Roman"/>
          <w:sz w:val="24"/>
          <w:szCs w:val="24"/>
        </w:rPr>
        <w:t>-</w:t>
      </w:r>
      <w:r w:rsidRPr="00D147A7">
        <w:rPr>
          <w:rFonts w:ascii="Times New Roman" w:hAnsi="Times New Roman" w:cs="Times New Roman"/>
          <w:sz w:val="24"/>
          <w:szCs w:val="24"/>
        </w:rPr>
        <w:t>fende het Platform voor gezondheids- en welzijnsinformatie’,</w:t>
      </w:r>
      <w:r w:rsidRPr="00D147A7">
        <w:rPr>
          <w:rFonts w:ascii="Times New Roman" w:hAnsi="Times New Roman" w:cs="Times New Roman"/>
          <w:i/>
          <w:sz w:val="24"/>
          <w:szCs w:val="24"/>
        </w:rPr>
        <w:t xml:space="preserve"> P&amp;I</w:t>
      </w:r>
      <w:r w:rsidRPr="00D147A7">
        <w:rPr>
          <w:rFonts w:ascii="Times New Roman" w:hAnsi="Times New Roman" w:cs="Times New Roman"/>
          <w:sz w:val="24"/>
          <w:szCs w:val="24"/>
        </w:rPr>
        <w:t>, 12/4 (2009), p. 204-206 (nr. 178).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VERHENNEMAN, G., ROBBEN, F., DUMORTIER, J., ‘Het Belgische eHealth-platform en haar praktische en juridische uitdagingen’,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2011, 6, p. 300-310 (nr. 154).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VEROUGSTRAETE, I., ‘ICT in de gerechtelijke wereld: het Phenix-project’, DEPRE, R.; PLESSERS, J.; HONDEGHEM, A. (reds.); </w:t>
      </w:r>
      <w:r w:rsidRPr="00D147A7">
        <w:rPr>
          <w:rFonts w:ascii="Times New Roman" w:hAnsi="Times New Roman" w:cs="Times New Roman"/>
          <w:i/>
          <w:sz w:val="24"/>
          <w:szCs w:val="24"/>
        </w:rPr>
        <w:t>Managementhervormingen in justitie: van inter</w:t>
      </w:r>
      <w:r w:rsidR="005E4A37">
        <w:rPr>
          <w:rFonts w:ascii="Times New Roman" w:hAnsi="Times New Roman" w:cs="Times New Roman"/>
          <w:i/>
          <w:sz w:val="24"/>
          <w:szCs w:val="24"/>
        </w:rPr>
        <w:t>-</w:t>
      </w:r>
      <w:r w:rsidRPr="00D147A7">
        <w:rPr>
          <w:rFonts w:ascii="Times New Roman" w:hAnsi="Times New Roman" w:cs="Times New Roman"/>
          <w:i/>
          <w:sz w:val="24"/>
          <w:szCs w:val="24"/>
        </w:rPr>
        <w:t>nationale ontwikkelingen tot dagelijkse praktijk</w:t>
      </w:r>
      <w:r w:rsidRPr="00D147A7">
        <w:rPr>
          <w:rFonts w:ascii="Times New Roman" w:hAnsi="Times New Roman" w:cs="Times New Roman"/>
          <w:sz w:val="24"/>
          <w:szCs w:val="24"/>
        </w:rPr>
        <w:t>, KUL. Instituut voor de overheid. Overheids</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management, 19, Brugge, die Keure, 2005, p. 183-206;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VEROUGSTRAETE, I., ‘Phenix: een toekomst voor de rechterlijke orde’, </w:t>
      </w:r>
      <w:r w:rsidRPr="00D147A7">
        <w:rPr>
          <w:rFonts w:ascii="Times New Roman" w:hAnsi="Times New Roman" w:cs="Times New Roman"/>
          <w:i/>
          <w:sz w:val="24"/>
          <w:szCs w:val="24"/>
        </w:rPr>
        <w:t>Recht in beweging</w:t>
      </w:r>
      <w:r w:rsidRPr="00D147A7">
        <w:rPr>
          <w:rFonts w:ascii="Times New Roman" w:hAnsi="Times New Roman" w:cs="Times New Roman"/>
          <w:sz w:val="24"/>
          <w:szCs w:val="24"/>
        </w:rPr>
        <w:t>, Antwerpen, Maklu, 2007, p. 87-110.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VERSCHUERE, B.; VANCOPPENOLLE, D.; </w:t>
      </w:r>
      <w:r w:rsidRPr="00D147A7">
        <w:rPr>
          <w:rFonts w:ascii="Times New Roman" w:hAnsi="Times New Roman" w:cs="Times New Roman"/>
          <w:i/>
          <w:sz w:val="24"/>
          <w:szCs w:val="24"/>
        </w:rPr>
        <w:t>Welzijn in Vlaanderen. Beleid, bestuurlijke or</w:t>
      </w:r>
      <w:r w:rsidR="005E4A37">
        <w:rPr>
          <w:rFonts w:ascii="Times New Roman" w:hAnsi="Times New Roman" w:cs="Times New Roman"/>
          <w:i/>
          <w:sz w:val="24"/>
          <w:szCs w:val="24"/>
        </w:rPr>
        <w:t>-</w:t>
      </w:r>
      <w:r w:rsidRPr="00D147A7">
        <w:rPr>
          <w:rFonts w:ascii="Times New Roman" w:hAnsi="Times New Roman" w:cs="Times New Roman"/>
          <w:i/>
          <w:sz w:val="24"/>
          <w:szCs w:val="24"/>
        </w:rPr>
        <w:t>ganisatie en uitdagingen</w:t>
      </w:r>
      <w:r w:rsidRPr="00D147A7">
        <w:rPr>
          <w:rFonts w:ascii="Times New Roman" w:hAnsi="Times New Roman" w:cs="Times New Roman"/>
          <w:sz w:val="24"/>
          <w:szCs w:val="24"/>
        </w:rPr>
        <w:t>, Brugge, die Keure, 2010, 245p.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VIAENE, J., ‘Het informatiseringsplan van de sociale zekerheid’, </w:t>
      </w:r>
      <w:r w:rsidRPr="00D147A7">
        <w:rPr>
          <w:rFonts w:ascii="Times New Roman" w:hAnsi="Times New Roman" w:cs="Times New Roman"/>
          <w:i/>
          <w:sz w:val="24"/>
          <w:szCs w:val="24"/>
        </w:rPr>
        <w:t>B.T.S.Z.</w:t>
      </w:r>
      <w:r w:rsidRPr="00D147A7">
        <w:rPr>
          <w:rFonts w:ascii="Times New Roman" w:hAnsi="Times New Roman" w:cs="Times New Roman"/>
          <w:sz w:val="24"/>
          <w:szCs w:val="24"/>
        </w:rPr>
        <w:t>, 1989, speciaal nummer, p. 3-22.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VIOLA, M.F., </w:t>
      </w:r>
      <w:r w:rsidRPr="00D147A7">
        <w:rPr>
          <w:rFonts w:ascii="Times New Roman" w:hAnsi="Times New Roman" w:cs="Times New Roman"/>
          <w:i/>
          <w:sz w:val="24"/>
          <w:szCs w:val="24"/>
          <w:lang w:val="fr-BE"/>
        </w:rPr>
        <w:t>Plate-forme eHealth. Dossier d’étude et de préparation du tableau de tri pour les archives</w:t>
      </w:r>
      <w:r w:rsidRPr="00D147A7">
        <w:rPr>
          <w:rFonts w:ascii="Times New Roman" w:hAnsi="Times New Roman" w:cs="Times New Roman"/>
          <w:sz w:val="24"/>
          <w:szCs w:val="24"/>
          <w:lang w:val="fr-BE"/>
        </w:rPr>
        <w:t xml:space="preserve">, Brussel, Algemeen Rijksarchief, 2012, 23p. </w:t>
      </w:r>
      <w:r w:rsidRPr="00D147A7">
        <w:rPr>
          <w:rFonts w:ascii="Times New Roman" w:hAnsi="Times New Roman" w:cs="Times New Roman"/>
          <w:sz w:val="24"/>
          <w:szCs w:val="24"/>
        </w:rPr>
        <w:t>(</w:t>
      </w:r>
      <w:hyperlink r:id="rId148" w:history="1">
        <w:r w:rsidR="005E4A37" w:rsidRPr="00ED5FE6">
          <w:rPr>
            <w:rStyle w:val="Hyperlink"/>
            <w:rFonts w:ascii="Times New Roman" w:hAnsi="Times New Roman" w:cs="Times New Roman"/>
            <w:sz w:val="24"/>
            <w:szCs w:val="24"/>
          </w:rPr>
          <w:t>http://extranet.arch.be/arch/tableau_ de_tri_selectielijsten/fed/new/eHealth_EP_2012_DEF.pdf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VIOLA, M.F., Plate-forme eHealth. Tableau de tri pour les archives, Brussel, Algemeen Rijksarchief, 2012, 122p. </w:t>
      </w:r>
      <w:r w:rsidRPr="00D147A7">
        <w:rPr>
          <w:rFonts w:ascii="Times New Roman" w:hAnsi="Times New Roman" w:cs="Times New Roman"/>
          <w:sz w:val="24"/>
          <w:szCs w:val="24"/>
        </w:rPr>
        <w:t>(</w:t>
      </w:r>
      <w:hyperlink r:id="rId149" w:history="1">
        <w:r w:rsidR="00A46F95" w:rsidRPr="00D147A7">
          <w:rPr>
            <w:rStyle w:val="Hyperlink"/>
            <w:rFonts w:ascii="Times New Roman" w:hAnsi="Times New Roman" w:cs="Times New Roman"/>
            <w:sz w:val="24"/>
            <w:szCs w:val="24"/>
          </w:rPr>
          <w:t>http://extranet.arch.be/arch/tableau_de_tri_selectielijsten/fed/new/ eHealth_TT_2012_DEF.pdf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Vlaams Agentschap Zorg &amp; Gezondheid, </w:t>
      </w:r>
      <w:r w:rsidRPr="00D147A7">
        <w:rPr>
          <w:rFonts w:ascii="Times New Roman" w:hAnsi="Times New Roman" w:cs="Times New Roman"/>
          <w:i/>
          <w:sz w:val="24"/>
          <w:szCs w:val="24"/>
        </w:rPr>
        <w:t>Bijeenkomst Werkgroep ICT Eerstelijns Gezond</w:t>
      </w:r>
      <w:r w:rsidR="005E4A37">
        <w:rPr>
          <w:rFonts w:ascii="Times New Roman" w:hAnsi="Times New Roman" w:cs="Times New Roman"/>
          <w:i/>
          <w:sz w:val="24"/>
          <w:szCs w:val="24"/>
        </w:rPr>
        <w:t>-</w:t>
      </w:r>
      <w:r w:rsidRPr="00D147A7">
        <w:rPr>
          <w:rFonts w:ascii="Times New Roman" w:hAnsi="Times New Roman" w:cs="Times New Roman"/>
          <w:i/>
          <w:sz w:val="24"/>
          <w:szCs w:val="24"/>
        </w:rPr>
        <w:t>heidsconferentie</w:t>
      </w:r>
      <w:r w:rsidRPr="00D147A7">
        <w:rPr>
          <w:rFonts w:ascii="Times New Roman" w:hAnsi="Times New Roman" w:cs="Times New Roman"/>
          <w:sz w:val="24"/>
          <w:szCs w:val="24"/>
        </w:rPr>
        <w:t>, Brussel, 2011 44p. (</w:t>
      </w:r>
      <w:hyperlink r:id="rId150" w:history="1">
        <w:r w:rsidR="005E4A37" w:rsidRPr="00ED5FE6">
          <w:rPr>
            <w:rStyle w:val="Hyperlink"/>
            <w:rFonts w:ascii="Times New Roman" w:hAnsi="Times New Roman" w:cs="Times New Roman"/>
            <w:sz w:val="24"/>
            <w:szCs w:val="24"/>
          </w:rPr>
          <w:t>http://www.zorg-en-gezondheid.be/uploadedFiles/Zorg _en_Gezondheid/Applicaties-ICT/Eerstelijnskluis/Verslag%20WG%20ICT%2020110415% 20 bijlage.pdf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Vlaams Patiëntenplatform, </w:t>
      </w:r>
      <w:r w:rsidRPr="00D147A7">
        <w:rPr>
          <w:rFonts w:ascii="Times New Roman" w:hAnsi="Times New Roman" w:cs="Times New Roman"/>
          <w:i/>
          <w:sz w:val="24"/>
          <w:szCs w:val="24"/>
        </w:rPr>
        <w:t>De elektronische uitwisseling van gezondheidsgegevens</w:t>
      </w:r>
      <w:r w:rsidRPr="00D147A7">
        <w:rPr>
          <w:rFonts w:ascii="Times New Roman" w:hAnsi="Times New Roman" w:cs="Times New Roman"/>
          <w:sz w:val="24"/>
          <w:szCs w:val="24"/>
        </w:rPr>
        <w:t>, Heverlee, 2011, 19p. (</w:t>
      </w:r>
      <w:hyperlink r:id="rId151" w:history="1">
        <w:r w:rsidR="005E4A37" w:rsidRPr="00ED5FE6">
          <w:rPr>
            <w:rStyle w:val="Hyperlink"/>
            <w:rFonts w:ascii="Times New Roman" w:hAnsi="Times New Roman" w:cs="Times New Roman"/>
            <w:sz w:val="24"/>
            <w:szCs w:val="24"/>
          </w:rPr>
          <w:t>http://www.raliga.be/files/Dossier%20elektronische%20uitwisseling%20 gezondheidsgegevens.pdf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VUYLSTEKE, B., ‘Op weg naar elektronische authenticiteit?’, </w:t>
      </w:r>
      <w:r w:rsidRPr="00D147A7">
        <w:rPr>
          <w:rFonts w:ascii="Times New Roman" w:hAnsi="Times New Roman" w:cs="Times New Roman"/>
          <w:i/>
          <w:sz w:val="24"/>
          <w:szCs w:val="24"/>
        </w:rPr>
        <w:t>Not.Fisc.M.</w:t>
      </w:r>
      <w:r w:rsidRPr="00D147A7">
        <w:rPr>
          <w:rFonts w:ascii="Times New Roman" w:hAnsi="Times New Roman" w:cs="Times New Roman"/>
          <w:sz w:val="24"/>
          <w:szCs w:val="24"/>
        </w:rPr>
        <w:t>, 1999, p. 235-243.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WAUTERS, W., </w:t>
      </w:r>
      <w:r w:rsidRPr="00D147A7">
        <w:rPr>
          <w:rFonts w:ascii="Times New Roman" w:hAnsi="Times New Roman" w:cs="Times New Roman"/>
          <w:i/>
          <w:sz w:val="24"/>
          <w:szCs w:val="24"/>
        </w:rPr>
        <w:t>eHealthBox. Presentatie van de huidige en toekomstige functionaliteiten</w:t>
      </w:r>
      <w:r w:rsidRPr="00D147A7">
        <w:rPr>
          <w:rFonts w:ascii="Times New Roman" w:hAnsi="Times New Roman" w:cs="Times New Roman"/>
          <w:sz w:val="24"/>
          <w:szCs w:val="24"/>
        </w:rPr>
        <w:t>, Brussel, 2011, 13p. (</w:t>
      </w:r>
      <w:hyperlink r:id="rId152" w:history="1">
        <w:r w:rsidR="00A46F95" w:rsidRPr="00D147A7">
          <w:rPr>
            <w:rStyle w:val="Hyperlink"/>
            <w:rFonts w:ascii="Times New Roman" w:hAnsi="Times New Roman" w:cs="Times New Roman"/>
            <w:sz w:val="24"/>
            <w:szCs w:val="24"/>
          </w:rPr>
          <w:t>https://www.ehealth.fgov.be/nl/over-het-ehealth-platform/presentatie/ infodays/8-december-2011</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Werkgroep G19, </w:t>
      </w:r>
      <w:r w:rsidRPr="00D147A7">
        <w:rPr>
          <w:rFonts w:ascii="Times New Roman" w:hAnsi="Times New Roman" w:cs="Times New Roman"/>
          <w:i/>
          <w:sz w:val="24"/>
          <w:szCs w:val="24"/>
        </w:rPr>
        <w:t>Nota betreffende de geïnformeerde toestemming in het hub &amp; metahub-pro</w:t>
      </w:r>
      <w:r w:rsidR="005E4A37">
        <w:rPr>
          <w:rFonts w:ascii="Times New Roman" w:hAnsi="Times New Roman" w:cs="Times New Roman"/>
          <w:i/>
          <w:sz w:val="24"/>
          <w:szCs w:val="24"/>
        </w:rPr>
        <w:t>-</w:t>
      </w:r>
      <w:r w:rsidRPr="00D147A7">
        <w:rPr>
          <w:rFonts w:ascii="Times New Roman" w:hAnsi="Times New Roman" w:cs="Times New Roman"/>
          <w:i/>
          <w:sz w:val="24"/>
          <w:szCs w:val="24"/>
        </w:rPr>
        <w:t>ject</w:t>
      </w:r>
      <w:r w:rsidRPr="00D147A7">
        <w:rPr>
          <w:rFonts w:ascii="Times New Roman" w:hAnsi="Times New Roman" w:cs="Times New Roman"/>
          <w:sz w:val="24"/>
          <w:szCs w:val="24"/>
        </w:rPr>
        <w:t>, Brussel, 2011, 27p. (</w:t>
      </w:r>
      <w:hyperlink r:id="rId153" w:history="1">
        <w:r w:rsidR="005E4A37" w:rsidRPr="00ED5FE6">
          <w:rPr>
            <w:rStyle w:val="Hyperlink"/>
            <w:rFonts w:ascii="Times New Roman" w:hAnsi="Times New Roman" w:cs="Times New Roman"/>
            <w:sz w:val="24"/>
            <w:szCs w:val="24"/>
          </w:rPr>
          <w:t>https://www.ehealth.fgov.be/sites/activeprd.ehealth.fgov.be/files/ assets/nl/pdf/news/nota--ge-nformeerde-toestemming.pdf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rPr>
        <w:t xml:space="preserve">Werkgroep G19, </w:t>
      </w:r>
      <w:r w:rsidRPr="00D147A7">
        <w:rPr>
          <w:rFonts w:ascii="Times New Roman" w:hAnsi="Times New Roman" w:cs="Times New Roman"/>
          <w:i/>
          <w:sz w:val="24"/>
          <w:szCs w:val="24"/>
        </w:rPr>
        <w:t>Nota betreffende de elektronische bewijsmiddelen van een therapeutische re</w:t>
      </w:r>
      <w:r w:rsidR="005E4A37">
        <w:rPr>
          <w:rFonts w:ascii="Times New Roman" w:hAnsi="Times New Roman" w:cs="Times New Roman"/>
          <w:i/>
          <w:sz w:val="24"/>
          <w:szCs w:val="24"/>
        </w:rPr>
        <w:t>-</w:t>
      </w:r>
      <w:r w:rsidRPr="00D147A7">
        <w:rPr>
          <w:rFonts w:ascii="Times New Roman" w:hAnsi="Times New Roman" w:cs="Times New Roman"/>
          <w:i/>
          <w:sz w:val="24"/>
          <w:szCs w:val="24"/>
        </w:rPr>
        <w:t>latie en van een zorgrelatie</w:t>
      </w:r>
      <w:r w:rsidRPr="00D147A7">
        <w:rPr>
          <w:rFonts w:ascii="Times New Roman" w:hAnsi="Times New Roman" w:cs="Times New Roman"/>
          <w:sz w:val="24"/>
          <w:szCs w:val="24"/>
        </w:rPr>
        <w:t xml:space="preserve">, Brussel, 2010, 22p. </w:t>
      </w:r>
      <w:r w:rsidRPr="00D147A7">
        <w:rPr>
          <w:rFonts w:ascii="Times New Roman" w:hAnsi="Times New Roman" w:cs="Times New Roman"/>
          <w:sz w:val="24"/>
          <w:szCs w:val="24"/>
          <w:lang w:val="en-US"/>
        </w:rPr>
        <w:t>(</w:t>
      </w:r>
      <w:hyperlink r:id="rId154" w:history="1">
        <w:r w:rsidR="005E4A37" w:rsidRPr="00ED5FE6">
          <w:rPr>
            <w:rStyle w:val="Hyperlink"/>
            <w:rFonts w:ascii="Times New Roman" w:hAnsi="Times New Roman" w:cs="Times New Roman"/>
            <w:sz w:val="24"/>
            <w:szCs w:val="24"/>
            <w:lang w:val="en-US"/>
          </w:rPr>
          <w:t>https://www.ehealth.fgov.be/sites/activeprd. ehealth.fgov.be/files/assets/nl/pdf/sector_committee/sector_committee_11-088-n134-nota.pdf</w:t>
        </w:r>
      </w:hyperlink>
      <w:r w:rsidRPr="00D147A7">
        <w:rPr>
          <w:rFonts w:ascii="Times New Roman" w:hAnsi="Times New Roman" w:cs="Times New Roman"/>
          <w:sz w:val="24"/>
          <w:szCs w:val="24"/>
          <w:lang w:val="en-US"/>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lastRenderedPageBreak/>
        <w:t xml:space="preserve">WEYNS, D., </w:t>
      </w:r>
      <w:r w:rsidRPr="00D147A7">
        <w:rPr>
          <w:rFonts w:ascii="Times New Roman" w:hAnsi="Times New Roman" w:cs="Times New Roman"/>
          <w:i/>
          <w:sz w:val="24"/>
          <w:szCs w:val="24"/>
          <w:lang w:val="en-US"/>
        </w:rPr>
        <w:t>Flanders eHealth Platform</w:t>
      </w:r>
      <w:r w:rsidRPr="00D147A7">
        <w:rPr>
          <w:rFonts w:ascii="Times New Roman" w:hAnsi="Times New Roman" w:cs="Times New Roman"/>
          <w:sz w:val="24"/>
          <w:szCs w:val="24"/>
          <w:lang w:val="en-US"/>
        </w:rPr>
        <w:t xml:space="preserve">, Leuven, 2010, 6p. </w:t>
      </w:r>
      <w:r w:rsidRPr="00D147A7">
        <w:rPr>
          <w:rFonts w:ascii="Times New Roman" w:hAnsi="Times New Roman" w:cs="Times New Roman"/>
          <w:sz w:val="24"/>
          <w:szCs w:val="24"/>
        </w:rPr>
        <w:t>(</w:t>
      </w:r>
      <w:hyperlink r:id="rId155" w:history="1">
        <w:r w:rsidR="00A46F95" w:rsidRPr="00D147A7">
          <w:rPr>
            <w:rStyle w:val="Hyperlink"/>
            <w:rFonts w:ascii="Times New Roman" w:hAnsi="Times New Roman" w:cs="Times New Roman"/>
            <w:sz w:val="24"/>
            <w:szCs w:val="24"/>
          </w:rPr>
          <w:t>http://people.cs.kuleuven.be/ ~danny.weyns/dsa-vs/Project.pdf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WU, L., </w:t>
      </w:r>
      <w:r w:rsidRPr="00D147A7">
        <w:rPr>
          <w:rFonts w:ascii="Times New Roman" w:hAnsi="Times New Roman" w:cs="Times New Roman"/>
          <w:i/>
          <w:sz w:val="24"/>
          <w:szCs w:val="24"/>
        </w:rPr>
        <w:t>Gebruiksvriendelijk en veilig beheer van persoonlijke gegevens met behulp van de elektronische identiteitskaart</w:t>
      </w:r>
      <w:r w:rsidRPr="00D147A7">
        <w:rPr>
          <w:rFonts w:ascii="Times New Roman" w:hAnsi="Times New Roman" w:cs="Times New Roman"/>
          <w:sz w:val="24"/>
          <w:szCs w:val="24"/>
        </w:rPr>
        <w:t>, onuitgeg. Licentiaatsverhandeling, KULeuven, Faculteit Inge</w:t>
      </w:r>
      <w:r w:rsidR="005E4A37">
        <w:rPr>
          <w:rFonts w:ascii="Times New Roman" w:hAnsi="Times New Roman" w:cs="Times New Roman"/>
          <w:sz w:val="24"/>
          <w:szCs w:val="24"/>
        </w:rPr>
        <w:t>-</w:t>
      </w:r>
      <w:r w:rsidRPr="00D147A7">
        <w:rPr>
          <w:rFonts w:ascii="Times New Roman" w:hAnsi="Times New Roman" w:cs="Times New Roman"/>
          <w:sz w:val="24"/>
          <w:szCs w:val="24"/>
        </w:rPr>
        <w:t>nieurswetenschappen, Departement Computerwetenschappen, promotor prof. dr. B. De Deck</w:t>
      </w:r>
      <w:r w:rsidR="005E4A37">
        <w:rPr>
          <w:rFonts w:ascii="Times New Roman" w:hAnsi="Times New Roman" w:cs="Times New Roman"/>
          <w:sz w:val="24"/>
          <w:szCs w:val="24"/>
        </w:rPr>
        <w:t>-</w:t>
      </w:r>
      <w:r w:rsidRPr="00D147A7">
        <w:rPr>
          <w:rFonts w:ascii="Times New Roman" w:hAnsi="Times New Roman" w:cs="Times New Roman"/>
          <w:sz w:val="24"/>
          <w:szCs w:val="24"/>
        </w:rPr>
        <w:t>er, 2007, 84p.</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2.9 Websites</w:t>
      </w:r>
    </w:p>
    <w:p w:rsidR="005E4A37" w:rsidRDefault="005E4A37" w:rsidP="009931C7">
      <w:pPr>
        <w:pStyle w:val="Geenafstand"/>
        <w:jc w:val="both"/>
      </w:pPr>
    </w:p>
    <w:p w:rsidR="009931C7" w:rsidRPr="00D147A7" w:rsidRDefault="002E7E12" w:rsidP="009931C7">
      <w:pPr>
        <w:pStyle w:val="Geenafstand"/>
        <w:jc w:val="both"/>
        <w:rPr>
          <w:rFonts w:ascii="Times New Roman" w:hAnsi="Times New Roman" w:cs="Times New Roman"/>
          <w:sz w:val="24"/>
          <w:szCs w:val="24"/>
        </w:rPr>
      </w:pPr>
      <w:hyperlink r:id="rId156" w:history="1">
        <w:r w:rsidR="009931C7" w:rsidRPr="00D147A7">
          <w:rPr>
            <w:rStyle w:val="Hyperlink"/>
            <w:rFonts w:ascii="Times New Roman" w:hAnsi="Times New Roman" w:cs="Times New Roman"/>
            <w:sz w:val="24"/>
            <w:szCs w:val="24"/>
          </w:rPr>
          <w:t>http://arch.be/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57" w:history="1">
        <w:r w:rsidR="009931C7" w:rsidRPr="00D147A7">
          <w:rPr>
            <w:rStyle w:val="Hyperlink"/>
            <w:rFonts w:ascii="Times New Roman" w:hAnsi="Times New Roman" w:cs="Times New Roman"/>
            <w:sz w:val="24"/>
            <w:szCs w:val="24"/>
          </w:rPr>
          <w:t>http://ehealth-strategies.eu/</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58" w:history="1">
        <w:r w:rsidR="009931C7" w:rsidRPr="00D147A7">
          <w:rPr>
            <w:rStyle w:val="Hyperlink"/>
            <w:rFonts w:ascii="Times New Roman" w:hAnsi="Times New Roman" w:cs="Times New Roman"/>
            <w:sz w:val="24"/>
            <w:szCs w:val="24"/>
          </w:rPr>
          <w:t>http://people.cs.kuleuven.be/~danny.weyns/</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59" w:history="1">
        <w:r w:rsidR="009931C7" w:rsidRPr="00D147A7">
          <w:rPr>
            <w:rStyle w:val="Hyperlink"/>
            <w:rFonts w:ascii="Times New Roman" w:hAnsi="Times New Roman" w:cs="Times New Roman"/>
            <w:sz w:val="24"/>
            <w:szCs w:val="24"/>
          </w:rPr>
          <w:t>http://www.edavid.be/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0" w:history="1">
        <w:r w:rsidR="009931C7" w:rsidRPr="00D147A7">
          <w:rPr>
            <w:rStyle w:val="Hyperlink"/>
            <w:rFonts w:ascii="Times New Roman" w:hAnsi="Times New Roman" w:cs="Times New Roman"/>
            <w:sz w:val="24"/>
            <w:szCs w:val="24"/>
          </w:rPr>
          <w:t>http://www.ehealth.fgov.be/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1" w:history="1">
        <w:r w:rsidR="009931C7" w:rsidRPr="00D147A7">
          <w:rPr>
            <w:rStyle w:val="Hyperlink"/>
            <w:rFonts w:ascii="Times New Roman" w:hAnsi="Times New Roman" w:cs="Times New Roman"/>
            <w:sz w:val="24"/>
            <w:szCs w:val="24"/>
          </w:rPr>
          <w:t>http://www.flanders-care.be/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2" w:history="1">
        <w:r w:rsidR="009931C7" w:rsidRPr="00D147A7">
          <w:rPr>
            <w:rStyle w:val="Hyperlink"/>
            <w:rFonts w:ascii="Times New Roman" w:hAnsi="Times New Roman" w:cs="Times New Roman"/>
            <w:sz w:val="24"/>
            <w:szCs w:val="24"/>
          </w:rPr>
          <w:t>http://www.health.belgium.be/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3" w:history="1">
        <w:r w:rsidR="009931C7" w:rsidRPr="00D147A7">
          <w:rPr>
            <w:rStyle w:val="Hyperlink"/>
            <w:rFonts w:ascii="Times New Roman" w:hAnsi="Times New Roman" w:cs="Times New Roman"/>
            <w:sz w:val="24"/>
            <w:szCs w:val="24"/>
          </w:rPr>
          <w:t>http://www.health-care.be/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4" w:history="1">
        <w:r w:rsidR="009931C7" w:rsidRPr="00D147A7">
          <w:rPr>
            <w:rStyle w:val="Hyperlink"/>
            <w:rFonts w:ascii="Times New Roman" w:hAnsi="Times New Roman" w:cs="Times New Roman"/>
            <w:sz w:val="24"/>
            <w:szCs w:val="24"/>
          </w:rPr>
          <w:t>http://www.jmir.org/</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5" w:history="1">
        <w:r w:rsidR="009931C7" w:rsidRPr="00D147A7">
          <w:rPr>
            <w:rStyle w:val="Hyperlink"/>
            <w:rFonts w:ascii="Times New Roman" w:hAnsi="Times New Roman" w:cs="Times New Roman"/>
            <w:sz w:val="24"/>
            <w:szCs w:val="24"/>
          </w:rPr>
          <w:t>http://www.law.kuleuven.be/icri/</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6" w:history="1">
        <w:r w:rsidR="009931C7" w:rsidRPr="00D147A7">
          <w:rPr>
            <w:rStyle w:val="Hyperlink"/>
            <w:rFonts w:ascii="Times New Roman" w:hAnsi="Times New Roman" w:cs="Times New Roman"/>
            <w:sz w:val="24"/>
            <w:szCs w:val="24"/>
          </w:rPr>
          <w:t>https://www.msec.be/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7" w:history="1">
        <w:r w:rsidR="009931C7" w:rsidRPr="00D147A7">
          <w:rPr>
            <w:rStyle w:val="Hyperlink"/>
            <w:rFonts w:ascii="Times New Roman" w:hAnsi="Times New Roman" w:cs="Times New Roman"/>
            <w:sz w:val="24"/>
            <w:szCs w:val="24"/>
          </w:rPr>
          <w:t>http://www.raliga.be/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68" w:history="1">
        <w:r w:rsidR="009931C7" w:rsidRPr="00D147A7">
          <w:rPr>
            <w:rStyle w:val="Hyperlink"/>
            <w:rFonts w:ascii="Times New Roman" w:hAnsi="Times New Roman" w:cs="Times New Roman"/>
            <w:sz w:val="24"/>
            <w:szCs w:val="24"/>
          </w:rPr>
          <w:t>http://www.reseausantewallon.be</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169" w:history="1">
        <w:r w:rsidR="009931C7" w:rsidRPr="00D147A7">
          <w:rPr>
            <w:rStyle w:val="Hyperlink"/>
            <w:rFonts w:ascii="Times New Roman" w:hAnsi="Times New Roman" w:cs="Times New Roman"/>
            <w:sz w:val="24"/>
            <w:szCs w:val="24"/>
          </w:rPr>
          <w:t>http://www.storme.be/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70" w:history="1">
        <w:r w:rsidR="009931C7" w:rsidRPr="00D147A7">
          <w:rPr>
            <w:rStyle w:val="Hyperlink"/>
            <w:rFonts w:ascii="Times New Roman" w:hAnsi="Times New Roman" w:cs="Times New Roman"/>
            <w:sz w:val="24"/>
            <w:szCs w:val="24"/>
          </w:rPr>
          <w:t>http://www.svh.be/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71" w:history="1">
        <w:r w:rsidR="009931C7" w:rsidRPr="00D147A7">
          <w:rPr>
            <w:rStyle w:val="Hyperlink"/>
            <w:rFonts w:ascii="Times New Roman" w:hAnsi="Times New Roman" w:cs="Times New Roman"/>
            <w:sz w:val="24"/>
            <w:szCs w:val="24"/>
          </w:rPr>
          <w:t>http://www.uzgent.be/</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172" w:history="1">
        <w:r w:rsidR="009931C7" w:rsidRPr="00D147A7">
          <w:rPr>
            <w:rStyle w:val="Hyperlink"/>
            <w:rFonts w:ascii="Times New Roman" w:hAnsi="Times New Roman" w:cs="Times New Roman"/>
            <w:sz w:val="24"/>
            <w:szCs w:val="24"/>
          </w:rPr>
          <w:t>http://www.vitalink.be</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173" w:history="1">
        <w:r w:rsidR="009931C7" w:rsidRPr="00D147A7">
          <w:rPr>
            <w:rStyle w:val="Hyperlink"/>
            <w:rFonts w:ascii="Times New Roman" w:hAnsi="Times New Roman" w:cs="Times New Roman"/>
            <w:sz w:val="24"/>
            <w:szCs w:val="24"/>
          </w:rPr>
          <w:t>http://www.zorg-en-gezondheid.be</w:t>
        </w:r>
      </w:hyperlink>
      <w:r w:rsidR="009931C7"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b/>
          <w:smallCaps/>
          <w:sz w:val="24"/>
          <w:szCs w:val="24"/>
        </w:rPr>
      </w:pPr>
    </w:p>
    <w:p w:rsidR="009931C7" w:rsidRPr="00D147A7" w:rsidRDefault="009931C7" w:rsidP="009931C7">
      <w:pPr>
        <w:pStyle w:val="Geenafstand"/>
        <w:jc w:val="both"/>
        <w:rPr>
          <w:rFonts w:ascii="Times New Roman" w:hAnsi="Times New Roman" w:cs="Times New Roman"/>
          <w:b/>
          <w:smallCaps/>
          <w:sz w:val="24"/>
          <w:szCs w:val="24"/>
        </w:rPr>
      </w:pPr>
    </w:p>
    <w:p w:rsidR="009931C7" w:rsidRPr="00D147A7" w:rsidRDefault="009931C7" w:rsidP="009931C7">
      <w:pPr>
        <w:pStyle w:val="Geenafstand"/>
        <w:ind w:firstLine="708"/>
        <w:jc w:val="both"/>
        <w:rPr>
          <w:rFonts w:ascii="Times New Roman" w:hAnsi="Times New Roman" w:cs="Times New Roman"/>
          <w:b/>
          <w:smallCaps/>
          <w:sz w:val="24"/>
          <w:szCs w:val="24"/>
        </w:rPr>
      </w:pPr>
      <w:r w:rsidRPr="00D147A7">
        <w:rPr>
          <w:rFonts w:ascii="Times New Roman" w:hAnsi="Times New Roman" w:cs="Times New Roman"/>
          <w:b/>
          <w:smallCaps/>
          <w:sz w:val="24"/>
          <w:szCs w:val="24"/>
        </w:rPr>
        <w:t>2.5.3 Nederland</w:t>
      </w:r>
    </w:p>
    <w:p w:rsidR="009931C7" w:rsidRPr="00D147A7" w:rsidRDefault="009931C7" w:rsidP="009931C7">
      <w:pPr>
        <w:pStyle w:val="Geenafstand"/>
        <w:jc w:val="both"/>
        <w:rPr>
          <w:rFonts w:ascii="Times New Roman" w:hAnsi="Times New Roman" w:cs="Times New Roman"/>
          <w:smallCaps/>
          <w:sz w:val="24"/>
          <w:szCs w:val="24"/>
        </w:rPr>
      </w:pPr>
      <w:r w:rsidRPr="00D147A7">
        <w:rPr>
          <w:rFonts w:ascii="Times New Roman" w:hAnsi="Times New Roman" w:cs="Times New Roman"/>
          <w:smallCaps/>
          <w:sz w:val="24"/>
          <w:szCs w:val="24"/>
        </w:rPr>
        <w:tab/>
      </w: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3.</w:t>
      </w:r>
      <w:r w:rsidR="00404B84">
        <w:rPr>
          <w:rFonts w:ascii="Times New Roman" w:hAnsi="Times New Roman" w:cs="Times New Roman"/>
          <w:b/>
          <w:sz w:val="24"/>
          <w:szCs w:val="24"/>
        </w:rPr>
        <w:t>1 Parlementaire voorbereidingen</w:t>
      </w:r>
    </w:p>
    <w:p w:rsidR="005E4A37" w:rsidRDefault="005E4A3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Regeerakkoord ‘Samen Werken, Samen Leven’ van 7 februari 2007 tussen de Tweede kamer</w:t>
      </w:r>
      <w:r w:rsidR="005E4A37">
        <w:rPr>
          <w:rFonts w:ascii="Times New Roman" w:hAnsi="Times New Roman" w:cs="Times New Roman"/>
          <w:sz w:val="24"/>
          <w:szCs w:val="24"/>
        </w:rPr>
        <w:t>-</w:t>
      </w:r>
      <w:r w:rsidRPr="00D147A7">
        <w:rPr>
          <w:rFonts w:ascii="Times New Roman" w:hAnsi="Times New Roman" w:cs="Times New Roman"/>
          <w:sz w:val="24"/>
          <w:szCs w:val="24"/>
        </w:rPr>
        <w:t>fracties van CDA, PvdA en ChristenUnie, 53p. (</w:t>
      </w:r>
      <w:hyperlink r:id="rId174" w:history="1">
        <w:r w:rsidR="005E4A37" w:rsidRPr="00ED5FE6">
          <w:rPr>
            <w:rStyle w:val="Hyperlink"/>
            <w:rFonts w:ascii="Times New Roman" w:hAnsi="Times New Roman" w:cs="Times New Roman"/>
            <w:sz w:val="24"/>
            <w:szCs w:val="24"/>
          </w:rPr>
          <w:t>http://www.rijksbegroting.nl/ rijksbegrotingsarchief/regeerakkoorden/regeerakkoord_2007.pdf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Handelingen I, vergaderjaar 2007-2008, nr. 26, p. 1056-1082 (</w:t>
      </w:r>
      <w:hyperlink r:id="rId175" w:history="1">
        <w:r w:rsidR="00A46F95" w:rsidRPr="00D147A7">
          <w:rPr>
            <w:rStyle w:val="Hyperlink"/>
            <w:rFonts w:ascii="Times New Roman" w:hAnsi="Times New Roman" w:cs="Times New Roman"/>
            <w:sz w:val="24"/>
            <w:szCs w:val="24"/>
          </w:rPr>
          <w:t>http://www.eerstekamer.nl/ behandeling/20080408/behandeling_en_stemming_zonder/document3/f=/w30380h1.pdf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Handelingen I, vergaderjaar 2008-2009, nr. 56.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2007-2008, 30 380, G.</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2009-2010, 31 466, D, met als bijlage: Ministerie van Volks</w:t>
      </w:r>
      <w:r w:rsidR="005E4A37">
        <w:rPr>
          <w:rFonts w:ascii="Times New Roman" w:hAnsi="Times New Roman" w:cs="Times New Roman"/>
          <w:sz w:val="24"/>
          <w:szCs w:val="24"/>
        </w:rPr>
        <w:t>-</w:t>
      </w:r>
      <w:r w:rsidRPr="00D147A7">
        <w:rPr>
          <w:rFonts w:ascii="Times New Roman" w:hAnsi="Times New Roman" w:cs="Times New Roman"/>
          <w:sz w:val="24"/>
          <w:szCs w:val="24"/>
        </w:rPr>
        <w:t xml:space="preserve">gezondheid, Welzijn en Sport; KNMG; LHV; KNMP; NHG; KNGF; VHN; V&amp;VN; NMT; Orde; </w:t>
      </w:r>
      <w:r w:rsidRPr="00D147A7">
        <w:rPr>
          <w:rFonts w:ascii="Times New Roman" w:hAnsi="Times New Roman" w:cs="Times New Roman"/>
          <w:i/>
          <w:sz w:val="24"/>
          <w:szCs w:val="24"/>
        </w:rPr>
        <w:t>Uitgangspuntennotitie invoering landelijk EPD</w:t>
      </w:r>
      <w:r w:rsidRPr="00D147A7">
        <w:rPr>
          <w:rFonts w:ascii="Times New Roman" w:hAnsi="Times New Roman" w:cs="Times New Roman"/>
          <w:sz w:val="24"/>
          <w:szCs w:val="24"/>
        </w:rPr>
        <w:t>, 2009 (</w:t>
      </w:r>
      <w:hyperlink r:id="rId176" w:history="1">
        <w:r w:rsidR="005E4A37" w:rsidRPr="00ED5FE6">
          <w:rPr>
            <w:rStyle w:val="Hyperlink"/>
            <w:rFonts w:ascii="Times New Roman" w:hAnsi="Times New Roman" w:cs="Times New Roman"/>
            <w:sz w:val="24"/>
            <w:szCs w:val="24"/>
          </w:rPr>
          <w:t>http://knmg.artsennet.nl/Nieuws /Nieuwsarchief/Nieuwsbericht-1/Uitgangspuntennotitie-EPD-28-oktober-2009.htm</w:t>
        </w:r>
      </w:hyperlink>
      <w:r w:rsidRPr="00D147A7">
        <w:rPr>
          <w:rFonts w:ascii="Times New Roman" w:hAnsi="Times New Roman" w:cs="Times New Roman"/>
          <w:sz w:val="24"/>
          <w:szCs w:val="24"/>
        </w:rPr>
        <w:t>, laatst ge</w:t>
      </w:r>
      <w:r w:rsidR="005E4A37">
        <w:rPr>
          <w:rFonts w:ascii="Times New Roman" w:hAnsi="Times New Roman" w:cs="Times New Roman"/>
          <w:sz w:val="24"/>
          <w:szCs w:val="24"/>
        </w:rPr>
        <w:t>-</w:t>
      </w:r>
      <w:r w:rsidRPr="00D147A7">
        <w:rPr>
          <w:rFonts w:ascii="Times New Roman" w:hAnsi="Times New Roman" w:cs="Times New Roman"/>
          <w:sz w:val="24"/>
          <w:szCs w:val="24"/>
        </w:rPr>
        <w:t>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2009-2010, 31 466, F.</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2010-2011, 31 466, X.</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2010-2011, 31 466, Y.</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Kamerstukken I, vergaderjaar 2011-2012, 31 466, nr. A, met in bijlage: VERMEULEN, O.; DE BRUIJN, A.; DE BIE, C.; VAN MOURIK, A.; WITTEMAN, B.; MENNEN, Y.; Digitale toegang tot het eigen medisch dossier: mogelijkheden voor een elektronische sleutel, Price</w:t>
      </w:r>
      <w:r w:rsidR="005E4A37">
        <w:rPr>
          <w:rFonts w:ascii="Times New Roman" w:hAnsi="Times New Roman" w:cs="Times New Roman"/>
          <w:sz w:val="24"/>
          <w:szCs w:val="24"/>
        </w:rPr>
        <w:t xml:space="preserve"> </w:t>
      </w:r>
      <w:r w:rsidRPr="00D147A7">
        <w:rPr>
          <w:rFonts w:ascii="Times New Roman" w:hAnsi="Times New Roman" w:cs="Times New Roman"/>
          <w:sz w:val="24"/>
          <w:szCs w:val="24"/>
        </w:rPr>
        <w:t>WaterhouseCoopers, 2011, 45p. (</w:t>
      </w:r>
      <w:hyperlink r:id="rId177" w:history="1">
        <w:r w:rsidRPr="00D147A7">
          <w:rPr>
            <w:rStyle w:val="Hyperlink"/>
            <w:rFonts w:ascii="Times New Roman" w:hAnsi="Times New Roman" w:cs="Times New Roman"/>
            <w:sz w:val="24"/>
            <w:szCs w:val="24"/>
          </w:rPr>
          <w:t>http://www.rijksoverheid.nl/bestanden/documenten-en-publicaties/rapporten/2011/12/19/rapport-digitale-toegang-tot-het-eigen-medisch-dossier-mogelijkheden-voor-een-elektronische-sleutel/rapport-digitale-toegang-tot-het-eigen-medisch-dossier-mogelijkheden-voor-een-elektronische-sleutel.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 vergaderjaar 2011-2012, 31 466, nr. AI.</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1997-1998, 25 669, nr. 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2000-2001, 27 529, nr. 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2004-2005, 27 529, nr. 15.</w:t>
      </w:r>
    </w:p>
    <w:p w:rsidR="009931C7" w:rsidRPr="00D147A7" w:rsidRDefault="009931C7" w:rsidP="009931C7">
      <w:pPr>
        <w:pStyle w:val="Geenafstand"/>
        <w:jc w:val="both"/>
        <w:rPr>
          <w:rFonts w:ascii="Times New Roman" w:hAnsi="Times New Roman" w:cs="Times New Roman"/>
          <w:color w:val="222222"/>
          <w:shd w:val="clear" w:color="auto" w:fill="FFFFFF"/>
        </w:rPr>
      </w:pPr>
      <w:r w:rsidRPr="00D147A7">
        <w:rPr>
          <w:rFonts w:ascii="Times New Roman" w:hAnsi="Times New Roman" w:cs="Times New Roman"/>
          <w:sz w:val="24"/>
          <w:szCs w:val="24"/>
        </w:rPr>
        <w:t xml:space="preserve">Kamerstukken II, vergaderjaar 2004-2005, 27 529, nr. 18, met in bijlage: Het Expertise Centrum, </w:t>
      </w:r>
      <w:r w:rsidRPr="00D147A7">
        <w:rPr>
          <w:rFonts w:ascii="Times New Roman" w:hAnsi="Times New Roman" w:cs="Times New Roman"/>
          <w:i/>
          <w:sz w:val="24"/>
          <w:szCs w:val="24"/>
        </w:rPr>
        <w:t>Audit Implementatieplan EMD/WDH</w:t>
      </w:r>
      <w:r w:rsidRPr="00D147A7">
        <w:rPr>
          <w:rFonts w:ascii="Times New Roman" w:hAnsi="Times New Roman" w:cs="Times New Roman"/>
          <w:sz w:val="24"/>
          <w:szCs w:val="24"/>
        </w:rPr>
        <w:t>, Den Haag, 2005, 8p. (</w:t>
      </w:r>
      <w:hyperlink w:history="1">
        <w:r w:rsidR="005E4A37" w:rsidRPr="00ED5FE6">
          <w:rPr>
            <w:rStyle w:val="Hyperlink"/>
            <w:rFonts w:ascii="Times New Roman" w:hAnsi="Times New Roman" w:cs="Times New Roman"/>
            <w:sz w:val="24"/>
            <w:szCs w:val="24"/>
          </w:rPr>
          <w:t>https://zoek. officielebekendmakingen.nl/kst-27529-18-b2.pdf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2004-2005, 29 362, nr. 39.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2005-2006, 30 380, nr. 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2005-2006, 27 529/30 300 XVI, nr. 19.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2006-2007, 27 529, nr. 29.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2006-2007, 30 800 XVI, nr. 27.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Kamerstukken II, vergaderjaar 2007-2008, 27 529, nr. 38, met in bijlage: DE BRUIJN, A.J.M., </w:t>
      </w:r>
      <w:r w:rsidRPr="00D147A7">
        <w:rPr>
          <w:rFonts w:ascii="Times New Roman" w:hAnsi="Times New Roman" w:cs="Times New Roman"/>
          <w:i/>
          <w:sz w:val="24"/>
          <w:szCs w:val="24"/>
        </w:rPr>
        <w:t>Onderzoek Landelijke Invoering Electronisch Medicatie Dossier (EMD) en het Waar</w:t>
      </w:r>
      <w:r w:rsidR="005E4A37">
        <w:rPr>
          <w:rFonts w:ascii="Times New Roman" w:hAnsi="Times New Roman" w:cs="Times New Roman"/>
          <w:i/>
          <w:sz w:val="24"/>
          <w:szCs w:val="24"/>
        </w:rPr>
        <w:t>-</w:t>
      </w:r>
      <w:r w:rsidRPr="00D147A7">
        <w:rPr>
          <w:rFonts w:ascii="Times New Roman" w:hAnsi="Times New Roman" w:cs="Times New Roman"/>
          <w:i/>
          <w:sz w:val="24"/>
          <w:szCs w:val="24"/>
        </w:rPr>
        <w:t>neem Dossier Huisartsen (WDH)</w:t>
      </w:r>
      <w:r w:rsidRPr="00D147A7">
        <w:rPr>
          <w:rFonts w:ascii="Times New Roman" w:hAnsi="Times New Roman" w:cs="Times New Roman"/>
          <w:sz w:val="24"/>
          <w:szCs w:val="24"/>
        </w:rPr>
        <w:t>, s.l., PriceWaterhouseCoopers, 2007; 79p.  (</w:t>
      </w:r>
      <w:hyperlink w:history="1">
        <w:r w:rsidR="005E4A37" w:rsidRPr="00ED5FE6">
          <w:rPr>
            <w:rStyle w:val="Hyperlink"/>
            <w:rFonts w:ascii="Times New Roman" w:hAnsi="Times New Roman" w:cs="Times New Roman"/>
            <w:sz w:val="24"/>
            <w:szCs w:val="24"/>
          </w:rPr>
          <w:t>https://zoek. officielebekendmakingen.nl/kst-27529-38-b2.pdf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2008-2009, 27 529, nr. 53.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2008-2009, 31 466, nr. 15.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2008-2009, 31 466, nr. 29.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2009-2010, 27 529, nr. 61, met in bijlage: VERHEUL, E.R.; PRINS, J.P.; VERMEULEN, O.A.; DE BRUIJN, A.J.M.; POLL, E.; VAN DEN BROEK, F.; Risicoanalyse EPD-DigiD. Naar aanleiding van de A5/1 kwetsbaarheid in GSM, PriceWater</w:t>
      </w:r>
      <w:r w:rsidR="00531850">
        <w:rPr>
          <w:rFonts w:ascii="Times New Roman" w:hAnsi="Times New Roman" w:cs="Times New Roman"/>
          <w:sz w:val="24"/>
          <w:szCs w:val="24"/>
        </w:rPr>
        <w:t>-</w:t>
      </w:r>
      <w:r w:rsidRPr="00D147A7">
        <w:rPr>
          <w:rFonts w:ascii="Times New Roman" w:hAnsi="Times New Roman" w:cs="Times New Roman"/>
          <w:sz w:val="24"/>
          <w:szCs w:val="24"/>
        </w:rPr>
        <w:t>houseCoopers – Radboud Universiteit Nijmegen, 2010, 36p. (</w:t>
      </w:r>
      <w:hyperlink r:id="rId178" w:history="1">
        <w:r w:rsidR="00531850" w:rsidRPr="00ED5FE6">
          <w:rPr>
            <w:rStyle w:val="Hyperlink"/>
            <w:rFonts w:ascii="Times New Roman" w:hAnsi="Times New Roman" w:cs="Times New Roman"/>
            <w:sz w:val="24"/>
            <w:szCs w:val="24"/>
          </w:rPr>
          <w:t>http://www.rijksoverheid.nl/ bestanden/documenten-en-publicaties/rapporten/2010/06/30/risicoanalyse-epd-digid/meva-3019667b.pdf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2010-2011, 31 466, nr. 52.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Kamerstukken II, vergaderjaar 2011-2012, 27 529, nr. 89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Brief van Ab Klink aan de Voorzitter van de Tweede Kamer der Staten-Generaal, Den Haag, 12 december 2008 (</w:t>
      </w:r>
      <w:hyperlink r:id="rId179" w:history="1">
        <w:r w:rsidR="00531850" w:rsidRPr="00ED5FE6">
          <w:rPr>
            <w:rStyle w:val="Hyperlink"/>
            <w:rFonts w:ascii="Times New Roman" w:hAnsi="Times New Roman" w:cs="Times New Roman"/>
            <w:sz w:val="24"/>
            <w:szCs w:val="24"/>
          </w:rPr>
          <w:t>http://www.eurofa-zorg.nl/downloads/kamerstuk%2012%20december% 202008.pdf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Brief van M.J. Boereboom aan G. van ’t Noordende, Den Haag, 30 maart 2010, p. 4 (</w:t>
      </w:r>
      <w:hyperlink w:history="1">
        <w:r w:rsidR="00531850" w:rsidRPr="00ED5FE6">
          <w:rPr>
            <w:rStyle w:val="Hyperlink"/>
            <w:rFonts w:ascii="Times New Roman" w:hAnsi="Times New Roman" w:cs="Times New Roman"/>
            <w:sz w:val="24"/>
            <w:szCs w:val="24"/>
          </w:rPr>
          <w:t>http:// d1sx0yagqoiea4.cloudfront.net/epd/001-brief-aan-Noordende.pdf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Brief van het Ministerie van Volksgezondheid, Welzijn en Sport van 4 maart 2011 waarin de juridische aspecten worden belicht van de verwerking van patiëntgegevens door het Landelijk Schakelpunt na verwerping van het wetsvoorstel voor een landelijk elektronisch patiënten</w:t>
      </w:r>
      <w:r w:rsidR="00531850">
        <w:rPr>
          <w:rFonts w:ascii="Times New Roman" w:hAnsi="Times New Roman" w:cs="Times New Roman"/>
          <w:sz w:val="24"/>
          <w:szCs w:val="24"/>
        </w:rPr>
        <w:t>-</w:t>
      </w:r>
      <w:r w:rsidRPr="00D147A7">
        <w:rPr>
          <w:rFonts w:ascii="Times New Roman" w:hAnsi="Times New Roman" w:cs="Times New Roman"/>
          <w:sz w:val="24"/>
          <w:szCs w:val="24"/>
        </w:rPr>
        <w:t>dossier door de Eerste Kamer (</w:t>
      </w:r>
      <w:hyperlink r:id="rId180" w:history="1">
        <w:r w:rsidR="00531850" w:rsidRPr="00ED5FE6">
          <w:rPr>
            <w:rStyle w:val="Hyperlink"/>
            <w:rFonts w:ascii="Times New Roman" w:hAnsi="Times New Roman" w:cs="Times New Roman"/>
            <w:sz w:val="24"/>
            <w:szCs w:val="24"/>
          </w:rPr>
          <w:t>http://www.rijksoverheid.nl/documenten-en-publicaties/ brieven/2011/04/11/brief-juridische-status-lsp-zonder-kaderwet-epd.html</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Brief van H. Bosma, voorzitter van Nictiz, aan Minister Schippers betreffende de sluiting van het Landelijk Schakelpunt, Den Haag, 8 november 2011 (</w:t>
      </w:r>
      <w:hyperlink r:id="rId181" w:history="1">
        <w:r w:rsidR="00531850" w:rsidRPr="00ED5FE6">
          <w:rPr>
            <w:rStyle w:val="Hyperlink"/>
            <w:rFonts w:ascii="Times New Roman" w:hAnsi="Times New Roman" w:cs="Times New Roman"/>
            <w:sz w:val="24"/>
            <w:szCs w:val="24"/>
          </w:rPr>
          <w:t xml:space="preserve">http://www.tweedekamer.nl/ </w:t>
        </w:r>
        <w:r w:rsidR="00531850" w:rsidRPr="00ED5FE6">
          <w:rPr>
            <w:rStyle w:val="Hyperlink"/>
            <w:rFonts w:ascii="Times New Roman" w:hAnsi="Times New Roman" w:cs="Times New Roman"/>
            <w:sz w:val="24"/>
            <w:szCs w:val="24"/>
          </w:rPr>
          <w:lastRenderedPageBreak/>
          <w:t>kamerstukken/dossiers/elektronisch_patienten_dossier_oktober_2011.jsp</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Brief van Minister Schippers aan de Voorzitter van de Tweede Kamer der Staten-Generaal be</w:t>
      </w:r>
      <w:r w:rsidR="00531850">
        <w:rPr>
          <w:rFonts w:ascii="Times New Roman" w:hAnsi="Times New Roman" w:cs="Times New Roman"/>
          <w:sz w:val="24"/>
          <w:szCs w:val="24"/>
        </w:rPr>
        <w:t>-</w:t>
      </w:r>
      <w:r w:rsidRPr="00D147A7">
        <w:rPr>
          <w:rFonts w:ascii="Times New Roman" w:hAnsi="Times New Roman" w:cs="Times New Roman"/>
          <w:sz w:val="24"/>
          <w:szCs w:val="24"/>
        </w:rPr>
        <w:t>treffende rapport NSOB en KPMG, kenmerk MEVA/ICT-3103293, Den Haag, 7 februari 2012 (</w:t>
      </w:r>
      <w:hyperlink r:id="rId182" w:history="1">
        <w:r w:rsidR="00531850" w:rsidRPr="00ED5FE6">
          <w:rPr>
            <w:rStyle w:val="Hyperlink"/>
            <w:rFonts w:ascii="Times New Roman" w:hAnsi="Times New Roman" w:cs="Times New Roman"/>
            <w:sz w:val="24"/>
            <w:szCs w:val="24"/>
          </w:rPr>
          <w:t>http://www.rijksoverheid.nl/documenten-en-publicaties/kamerstukken/2012/02/08/ aanbiedingsbrief-rapporten-nsob-en-kpmg-over-epd.html</w:t>
        </w:r>
      </w:hyperlink>
      <w:r w:rsidRPr="00D147A7">
        <w:rPr>
          <w:rFonts w:ascii="Times New Roman" w:hAnsi="Times New Roman" w:cs="Times New Roman"/>
          <w:sz w:val="24"/>
          <w:szCs w:val="24"/>
        </w:rPr>
        <w:t xml:space="preserve">, laatst geraadpleegd op 23 juli 2012), met in bijlage: VAN TWIST, M.J.W.; SCHULZ, J.M.; CHIN-A-FAT, N.M.H.; SCHERPENISSE, K.J.; VAN DER STEEN, M.; EIFF, V.; ‘T HART, P.; </w:t>
      </w:r>
      <w:r w:rsidRPr="00D147A7">
        <w:rPr>
          <w:rFonts w:ascii="Times New Roman" w:hAnsi="Times New Roman" w:cs="Times New Roman"/>
          <w:i/>
          <w:sz w:val="24"/>
          <w:szCs w:val="24"/>
        </w:rPr>
        <w:t>Het EPD voorbij? Evaluatie Besluitvormingsproces Kaderwet Elektronische Zorginformatie-uitwisseling</w:t>
      </w:r>
      <w:r w:rsidRPr="00D147A7">
        <w:rPr>
          <w:rFonts w:ascii="Times New Roman" w:hAnsi="Times New Roman" w:cs="Times New Roman"/>
          <w:sz w:val="24"/>
          <w:szCs w:val="24"/>
        </w:rPr>
        <w:t>, s.l., Nederlandse School voor Openbaar Bestuur, 2012, 175p. (</w:t>
      </w:r>
      <w:hyperlink r:id="rId183" w:history="1">
        <w:r w:rsidR="00531850" w:rsidRPr="00ED5FE6">
          <w:rPr>
            <w:rStyle w:val="Hyperlink"/>
            <w:rFonts w:ascii="Times New Roman" w:hAnsi="Times New Roman" w:cs="Times New Roman"/>
            <w:sz w:val="24"/>
            <w:szCs w:val="24"/>
          </w:rPr>
          <w:t>http://www.rijksoverheid.nl/ bestanden/documenten-en-publicaties/rapporten/2012/02/08/rapport-het-epd-voorbij/rapport-het-epd-voorbij.pdf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3.2 Wetgeving</w:t>
      </w:r>
    </w:p>
    <w:p w:rsidR="00531850" w:rsidRDefault="00531850"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11 november 1993 houdende regelen inzake beroepen op het gebied van de indivi</w:t>
      </w:r>
      <w:r w:rsidR="00531850">
        <w:rPr>
          <w:rFonts w:ascii="Times New Roman" w:hAnsi="Times New Roman" w:cs="Times New Roman"/>
          <w:sz w:val="24"/>
          <w:szCs w:val="24"/>
        </w:rPr>
        <w:t>-</w:t>
      </w:r>
      <w:r w:rsidRPr="00D147A7">
        <w:rPr>
          <w:rFonts w:ascii="Times New Roman" w:hAnsi="Times New Roman" w:cs="Times New Roman"/>
          <w:sz w:val="24"/>
          <w:szCs w:val="24"/>
        </w:rPr>
        <w:t>duele gezondheidszorg (</w:t>
      </w:r>
      <w:r w:rsidRPr="00D147A7">
        <w:rPr>
          <w:rFonts w:ascii="Times New Roman" w:hAnsi="Times New Roman" w:cs="Times New Roman"/>
          <w:i/>
          <w:sz w:val="24"/>
          <w:szCs w:val="24"/>
        </w:rPr>
        <w:t xml:space="preserve">Stb. </w:t>
      </w:r>
      <w:r w:rsidRPr="00D147A7">
        <w:rPr>
          <w:rFonts w:ascii="Times New Roman" w:hAnsi="Times New Roman" w:cs="Times New Roman"/>
          <w:sz w:val="24"/>
          <w:szCs w:val="24"/>
        </w:rPr>
        <w:t>655, 23 december 1993).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18 januari 1996 betreffende de kwaliteit van zorginstellingen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80, 13 februari 1996).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10 april 2008 houdende regels inzake het gebruik van het burgerservicenummer in de zorg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164, 20 mei 2008).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van 8 mei 2003 tot aanpassing van Boek 3 en Boek 6 van het Burgerlijk Wetboek, de Telecommunicatiewet en de Wet op de economische delicten inzake elektronische handteke</w:t>
      </w:r>
      <w:r w:rsidR="00531850">
        <w:rPr>
          <w:rFonts w:ascii="Times New Roman" w:hAnsi="Times New Roman" w:cs="Times New Roman"/>
          <w:sz w:val="24"/>
          <w:szCs w:val="24"/>
        </w:rPr>
        <w:t>-</w:t>
      </w:r>
      <w:r w:rsidRPr="00D147A7">
        <w:rPr>
          <w:rFonts w:ascii="Times New Roman" w:hAnsi="Times New Roman" w:cs="Times New Roman"/>
          <w:sz w:val="24"/>
          <w:szCs w:val="24"/>
        </w:rPr>
        <w:t>ningen ter uitvoering van richtlijn nr. 1999/93/EG van het Europees Parlement en de Raad van de Europese Unie van 13 december 1999 betreffende een gemeenschappelijk kader voor elek</w:t>
      </w:r>
      <w:r w:rsidR="00531850">
        <w:rPr>
          <w:rFonts w:ascii="Times New Roman" w:hAnsi="Times New Roman" w:cs="Times New Roman"/>
          <w:sz w:val="24"/>
          <w:szCs w:val="24"/>
        </w:rPr>
        <w:t>-</w:t>
      </w:r>
      <w:r w:rsidRPr="00D147A7">
        <w:rPr>
          <w:rFonts w:ascii="Times New Roman" w:hAnsi="Times New Roman" w:cs="Times New Roman"/>
          <w:sz w:val="24"/>
          <w:szCs w:val="24"/>
        </w:rPr>
        <w:t>tronische handtekeningen (Pb.EG L 13)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199, 20 mei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van 8 mei 2003 houdende de vaststelling van eisen voor het verlenen van diensten voor elektronische handtekeningen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200, 20 mei 2003).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van 23 mei 2008 houdende regels voor het gebruik van het burgerservicenummer in de zorg (</w:t>
      </w:r>
      <w:r w:rsidRPr="00D147A7">
        <w:rPr>
          <w:rFonts w:ascii="Times New Roman" w:hAnsi="Times New Roman" w:cs="Times New Roman"/>
          <w:i/>
          <w:sz w:val="24"/>
          <w:szCs w:val="24"/>
        </w:rPr>
        <w:t>Stb.</w:t>
      </w:r>
      <w:r w:rsidRPr="00D147A7">
        <w:rPr>
          <w:rFonts w:ascii="Times New Roman" w:hAnsi="Times New Roman" w:cs="Times New Roman"/>
          <w:sz w:val="24"/>
          <w:szCs w:val="24"/>
        </w:rPr>
        <w:t xml:space="preserve"> 185, 29 mei 2008).</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3.3 Cbp</w:t>
      </w:r>
    </w:p>
    <w:p w:rsidR="00531850" w:rsidRDefault="00531850" w:rsidP="009931C7">
      <w:pPr>
        <w:pStyle w:val="Geenafstand"/>
        <w:jc w:val="both"/>
        <w:rPr>
          <w:rFonts w:ascii="Times New Roman" w:hAnsi="Times New Roman" w:cs="Times New Roman"/>
          <w:i/>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Toegang elektronische patiëntendossiers beter geregeld? Behandelrelatie voorwaarde voor toegang dossier</w:t>
      </w:r>
      <w:r w:rsidRPr="00D147A7">
        <w:rPr>
          <w:rFonts w:ascii="Times New Roman" w:hAnsi="Times New Roman" w:cs="Times New Roman"/>
          <w:sz w:val="24"/>
          <w:szCs w:val="24"/>
        </w:rPr>
        <w:t>, s.l., 2008 (</w:t>
      </w:r>
      <w:hyperlink r:id="rId184" w:history="1">
        <w:r w:rsidRPr="00D147A7">
          <w:rPr>
            <w:rStyle w:val="Hyperlink"/>
            <w:rFonts w:ascii="Times New Roman" w:hAnsi="Times New Roman" w:cs="Times New Roman"/>
            <w:sz w:val="24"/>
            <w:szCs w:val="24"/>
          </w:rPr>
          <w:t>http://www.cbpweb.nl/Pages/pb_20080428_toegang_epd.aspx</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GARDENIERS, H.J.M., </w:t>
      </w:r>
      <w:r w:rsidRPr="00D147A7">
        <w:rPr>
          <w:rFonts w:ascii="Times New Roman" w:hAnsi="Times New Roman" w:cs="Times New Roman"/>
          <w:i/>
          <w:sz w:val="24"/>
          <w:szCs w:val="24"/>
        </w:rPr>
        <w:t>Chipcards en privacy. Regels voor een nieuw kaartspel</w:t>
      </w:r>
      <w:r w:rsidRPr="00D147A7">
        <w:rPr>
          <w:rFonts w:ascii="Times New Roman" w:hAnsi="Times New Roman" w:cs="Times New Roman"/>
          <w:sz w:val="24"/>
          <w:szCs w:val="24"/>
        </w:rPr>
        <w:t>, Achter</w:t>
      </w:r>
      <w:r w:rsidR="00531850">
        <w:rPr>
          <w:rFonts w:ascii="Times New Roman" w:hAnsi="Times New Roman" w:cs="Times New Roman"/>
          <w:sz w:val="24"/>
          <w:szCs w:val="24"/>
        </w:rPr>
        <w:t>-</w:t>
      </w:r>
      <w:r w:rsidRPr="00D147A7">
        <w:rPr>
          <w:rFonts w:ascii="Times New Roman" w:hAnsi="Times New Roman" w:cs="Times New Roman"/>
          <w:sz w:val="24"/>
          <w:szCs w:val="24"/>
        </w:rPr>
        <w:t>grondstudies en Verkenningen, 6, Rijswijk, Registratiekamer, 1995, 39p. (</w:t>
      </w:r>
      <w:hyperlink w:history="1">
        <w:r w:rsidR="00531850" w:rsidRPr="00ED5FE6">
          <w:rPr>
            <w:rStyle w:val="Hyperlink"/>
            <w:rFonts w:ascii="Times New Roman" w:hAnsi="Times New Roman" w:cs="Times New Roman"/>
            <w:sz w:val="24"/>
            <w:szCs w:val="24"/>
          </w:rPr>
          <w:t>http://www.cbpweb .nl/downloads_av/av06.pdf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3.4 KN</w:t>
      </w:r>
      <w:r w:rsidR="00404B84">
        <w:rPr>
          <w:rFonts w:ascii="Times New Roman" w:hAnsi="Times New Roman" w:cs="Times New Roman"/>
          <w:b/>
          <w:sz w:val="24"/>
          <w:szCs w:val="24"/>
        </w:rPr>
        <w:t>MG en andere artsenorganisaties</w:t>
      </w:r>
    </w:p>
    <w:p w:rsidR="00531850" w:rsidRDefault="00531850"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‘Doorstart LSP weer een stap verder’, s.l.n.d. (</w:t>
      </w:r>
      <w:hyperlink r:id="rId185" w:history="1">
        <w:r w:rsidR="00A46F95" w:rsidRPr="00D147A7">
          <w:rPr>
            <w:rStyle w:val="Hyperlink"/>
            <w:rFonts w:ascii="Times New Roman" w:hAnsi="Times New Roman" w:cs="Times New Roman"/>
            <w:sz w:val="24"/>
            <w:szCs w:val="24"/>
          </w:rPr>
          <w:t>http://vhn.artsennet.nl/Artikel/Doorstart-LSP-weer-een-stap-verder.htm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eHealth in beeld. 21 praktijkverhalen over digitaal dokteren</w:t>
      </w:r>
      <w:r w:rsidRPr="00D147A7">
        <w:rPr>
          <w:rFonts w:ascii="Times New Roman" w:hAnsi="Times New Roman" w:cs="Times New Roman"/>
          <w:sz w:val="24"/>
          <w:szCs w:val="24"/>
        </w:rPr>
        <w:t>, s.l., KNMG, NVEH, eHealthNu, 2011, 79p. (</w:t>
      </w:r>
      <w:hyperlink r:id="rId186" w:history="1">
        <w:r w:rsidR="00A46F95" w:rsidRPr="00D147A7">
          <w:rPr>
            <w:rStyle w:val="Hyperlink"/>
            <w:rFonts w:ascii="Times New Roman" w:hAnsi="Times New Roman" w:cs="Times New Roman"/>
            <w:sz w:val="24"/>
            <w:szCs w:val="24"/>
          </w:rPr>
          <w:t>http://knmg.artsennet.nl/dossiers/Dossiers-op-thema/Inrichting-en-kwaliteit-van-zorg/eHealth/eHealth-in-beeld.htm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Nictiz; KNMG et al.; </w:t>
      </w:r>
      <w:r w:rsidRPr="00D147A7">
        <w:rPr>
          <w:rFonts w:ascii="Times New Roman" w:hAnsi="Times New Roman" w:cs="Times New Roman"/>
          <w:i/>
          <w:sz w:val="24"/>
          <w:szCs w:val="24"/>
        </w:rPr>
        <w:t>Modelrichtlijn en modelvoorlichtingsmateriaal autorisatie voor kop</w:t>
      </w:r>
      <w:r w:rsidR="00531850">
        <w:rPr>
          <w:rFonts w:ascii="Times New Roman" w:hAnsi="Times New Roman" w:cs="Times New Roman"/>
          <w:i/>
          <w:sz w:val="24"/>
          <w:szCs w:val="24"/>
        </w:rPr>
        <w:t>-</w:t>
      </w:r>
      <w:r w:rsidRPr="00D147A7">
        <w:rPr>
          <w:rFonts w:ascii="Times New Roman" w:hAnsi="Times New Roman" w:cs="Times New Roman"/>
          <w:i/>
          <w:sz w:val="24"/>
          <w:szCs w:val="24"/>
        </w:rPr>
        <w:t>lopers. Elektronisch Medicatie Dossier</w:t>
      </w:r>
      <w:r w:rsidRPr="00D147A7">
        <w:rPr>
          <w:rFonts w:ascii="Times New Roman" w:hAnsi="Times New Roman" w:cs="Times New Roman"/>
          <w:sz w:val="24"/>
          <w:szCs w:val="24"/>
        </w:rPr>
        <w:t>, Leidschendam, 2005, 35p.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Nictiz; KNMG et al.; </w:t>
      </w:r>
      <w:r w:rsidRPr="00D147A7">
        <w:rPr>
          <w:rFonts w:ascii="Times New Roman" w:hAnsi="Times New Roman" w:cs="Times New Roman"/>
          <w:i/>
          <w:sz w:val="24"/>
          <w:szCs w:val="24"/>
        </w:rPr>
        <w:t>Modelrichtlijn en modelvoorlichtingsmateriaal autorisatie voor kop</w:t>
      </w:r>
      <w:r w:rsidR="00531850">
        <w:rPr>
          <w:rFonts w:ascii="Times New Roman" w:hAnsi="Times New Roman" w:cs="Times New Roman"/>
          <w:i/>
          <w:sz w:val="24"/>
          <w:szCs w:val="24"/>
        </w:rPr>
        <w:t>-</w:t>
      </w:r>
      <w:r w:rsidRPr="00D147A7">
        <w:rPr>
          <w:rFonts w:ascii="Times New Roman" w:hAnsi="Times New Roman" w:cs="Times New Roman"/>
          <w:i/>
          <w:sz w:val="24"/>
          <w:szCs w:val="24"/>
        </w:rPr>
        <w:t>lopers. Waarneem Dossier Huisartsen</w:t>
      </w:r>
      <w:r w:rsidRPr="00D147A7">
        <w:rPr>
          <w:rFonts w:ascii="Times New Roman" w:hAnsi="Times New Roman" w:cs="Times New Roman"/>
          <w:sz w:val="24"/>
          <w:szCs w:val="24"/>
        </w:rPr>
        <w:t>, Leidschendam, 2005, 43p.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NIEUWENHUIJZEN KRUSEMAN, A.C., ‘Definitief geen EPD?’, s.l., KNMG, 2011 (</w:t>
      </w:r>
      <w:hyperlink w:history="1">
        <w:r w:rsidR="00531850" w:rsidRPr="00ED5FE6">
          <w:rPr>
            <w:rStyle w:val="Hyperlink"/>
            <w:rFonts w:ascii="Times New Roman" w:hAnsi="Times New Roman" w:cs="Times New Roman"/>
            <w:sz w:val="24"/>
            <w:szCs w:val="24"/>
          </w:rPr>
          <w:t>http:// knmg.artsennet.nl/Dossiers/Columns/column/Definitief-geen-EPD.htm</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3.5 Krantenartikelen</w:t>
      </w:r>
    </w:p>
    <w:p w:rsidR="00531850" w:rsidRDefault="00531850"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‘Behandeling EPD-Wet in Eerste Kamer uitgesteld tot april’, </w:t>
      </w:r>
      <w:r w:rsidRPr="00D147A7">
        <w:rPr>
          <w:rFonts w:ascii="Times New Roman" w:hAnsi="Times New Roman" w:cs="Times New Roman"/>
          <w:i/>
          <w:sz w:val="24"/>
          <w:szCs w:val="24"/>
        </w:rPr>
        <w:t>Z&amp;F</w:t>
      </w:r>
      <w:r w:rsidRPr="00D147A7">
        <w:rPr>
          <w:rFonts w:ascii="Times New Roman" w:hAnsi="Times New Roman" w:cs="Times New Roman"/>
          <w:sz w:val="24"/>
          <w:szCs w:val="24"/>
        </w:rPr>
        <w:t>, 9/3 (2010), p. 107 (nr. 502).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‘Beveiliging toegang patiënten tot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12/1 (2009), p. 42-43 (nr. 41).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‘BIOZ: liever regionaal dan landelijk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11/1 (2008), p. 47-48 (nr. 42).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‘BSN in de zorg opnieuw uitgesteld’, </w:t>
      </w:r>
      <w:r w:rsidRPr="00D147A7">
        <w:rPr>
          <w:rFonts w:ascii="Times New Roman" w:hAnsi="Times New Roman" w:cs="Times New Roman"/>
          <w:i/>
          <w:sz w:val="24"/>
          <w:szCs w:val="24"/>
        </w:rPr>
        <w:t>P&amp;I</w:t>
      </w:r>
      <w:r w:rsidRPr="00D147A7">
        <w:rPr>
          <w:rFonts w:ascii="Times New Roman" w:hAnsi="Times New Roman" w:cs="Times New Roman"/>
          <w:sz w:val="24"/>
          <w:szCs w:val="24"/>
        </w:rPr>
        <w:t>, 11/1 (2008), p. 43 (nr. 32).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‘Burgerservicenummer in de zorg’, </w:t>
      </w:r>
      <w:r w:rsidRPr="00D147A7">
        <w:rPr>
          <w:rFonts w:ascii="Times New Roman" w:hAnsi="Times New Roman" w:cs="Times New Roman"/>
          <w:i/>
          <w:sz w:val="24"/>
          <w:szCs w:val="24"/>
        </w:rPr>
        <w:t>P&amp;I</w:t>
      </w:r>
      <w:r w:rsidRPr="00D147A7">
        <w:rPr>
          <w:rFonts w:ascii="Times New Roman" w:hAnsi="Times New Roman" w:cs="Times New Roman"/>
          <w:sz w:val="24"/>
          <w:szCs w:val="24"/>
        </w:rPr>
        <w:t>, 10/2 (2007), p. 90 (nr. 116).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‘Doorstart landelijk EPD mislukt wegens geldgebrek’, </w:t>
      </w:r>
      <w:r w:rsidRPr="00D147A7">
        <w:rPr>
          <w:rFonts w:ascii="Times New Roman" w:hAnsi="Times New Roman" w:cs="Times New Roman"/>
          <w:i/>
          <w:sz w:val="24"/>
          <w:szCs w:val="24"/>
        </w:rPr>
        <w:t>Z&amp;F</w:t>
      </w:r>
      <w:r w:rsidRPr="00D147A7">
        <w:rPr>
          <w:rFonts w:ascii="Times New Roman" w:hAnsi="Times New Roman" w:cs="Times New Roman"/>
          <w:sz w:val="24"/>
          <w:szCs w:val="24"/>
        </w:rPr>
        <w:t>, 11/1 (2012), p. 114 (nr. 149).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‘Eerste ervaringen met UZI-pas positief’, </w:t>
      </w:r>
      <w:r w:rsidRPr="00D147A7">
        <w:rPr>
          <w:rFonts w:ascii="Times New Roman" w:hAnsi="Times New Roman" w:cs="Times New Roman"/>
          <w:i/>
          <w:sz w:val="24"/>
          <w:szCs w:val="24"/>
        </w:rPr>
        <w:t>P&amp;I</w:t>
      </w:r>
      <w:r w:rsidRPr="00D147A7">
        <w:rPr>
          <w:rFonts w:ascii="Times New Roman" w:hAnsi="Times New Roman" w:cs="Times New Roman"/>
          <w:sz w:val="24"/>
          <w:szCs w:val="24"/>
        </w:rPr>
        <w:t>, 9/5 (2006), p. 249 (nr. 285).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‘Eerste Kamer moet landelijk EPD afwijzen’, </w:t>
      </w:r>
      <w:r w:rsidRPr="00D147A7">
        <w:rPr>
          <w:rFonts w:ascii="Times New Roman" w:hAnsi="Times New Roman" w:cs="Times New Roman"/>
          <w:i/>
          <w:sz w:val="24"/>
          <w:szCs w:val="24"/>
        </w:rPr>
        <w:t>Z&amp;F</w:t>
      </w:r>
      <w:r w:rsidRPr="00D147A7">
        <w:rPr>
          <w:rFonts w:ascii="Times New Roman" w:hAnsi="Times New Roman" w:cs="Times New Roman"/>
          <w:sz w:val="24"/>
          <w:szCs w:val="24"/>
        </w:rPr>
        <w:t>, 10/4 (2011), p. 99 (nr. 586).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‘Eerste Kamer stemt in met BSN in de zorg’, </w:t>
      </w:r>
      <w:r w:rsidRPr="00D147A7">
        <w:rPr>
          <w:rFonts w:ascii="Times New Roman" w:hAnsi="Times New Roman" w:cs="Times New Roman"/>
          <w:i/>
          <w:sz w:val="24"/>
          <w:szCs w:val="24"/>
        </w:rPr>
        <w:t>Z&amp;F</w:t>
      </w:r>
      <w:r w:rsidRPr="00D147A7">
        <w:rPr>
          <w:rFonts w:ascii="Times New Roman" w:hAnsi="Times New Roman" w:cs="Times New Roman"/>
          <w:sz w:val="24"/>
          <w:szCs w:val="24"/>
        </w:rPr>
        <w:t>, 7/5 (2008), p. 127 (nr. 642).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‘Eerste Kamer stemt tegen Landelijk Elektronisch Patiëntendossier’, </w:t>
      </w:r>
      <w:r w:rsidRPr="00D147A7">
        <w:rPr>
          <w:rFonts w:ascii="Times New Roman" w:hAnsi="Times New Roman" w:cs="Times New Roman"/>
          <w:i/>
          <w:sz w:val="24"/>
          <w:szCs w:val="24"/>
        </w:rPr>
        <w:t>Z&amp;F</w:t>
      </w:r>
      <w:r w:rsidRPr="00D147A7">
        <w:rPr>
          <w:rFonts w:ascii="Times New Roman" w:hAnsi="Times New Roman" w:cs="Times New Roman"/>
          <w:sz w:val="24"/>
          <w:szCs w:val="24"/>
        </w:rPr>
        <w:t xml:space="preserve">, 10/5 (2011), p. 93 (nr. 722).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‘Elektronisch Patiëntendossier: toegang te ruim volgens CBP’, </w:t>
      </w:r>
      <w:r w:rsidRPr="00D147A7">
        <w:rPr>
          <w:rFonts w:ascii="Times New Roman" w:hAnsi="Times New Roman" w:cs="Times New Roman"/>
          <w:i/>
          <w:sz w:val="24"/>
          <w:szCs w:val="24"/>
        </w:rPr>
        <w:t>P&amp;I</w:t>
      </w:r>
      <w:r w:rsidRPr="00D147A7">
        <w:rPr>
          <w:rFonts w:ascii="Times New Roman" w:hAnsi="Times New Roman" w:cs="Times New Roman"/>
          <w:sz w:val="24"/>
          <w:szCs w:val="24"/>
        </w:rPr>
        <w:t xml:space="preserve">, 10/4 (2007), p. 189 (nr. 251).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‘EPD niet haalbaar in 2009’, </w:t>
      </w:r>
      <w:r w:rsidRPr="00D147A7">
        <w:rPr>
          <w:rFonts w:ascii="Times New Roman" w:hAnsi="Times New Roman" w:cs="Times New Roman"/>
          <w:i/>
          <w:sz w:val="24"/>
          <w:szCs w:val="24"/>
        </w:rPr>
        <w:t>P&amp;I</w:t>
      </w:r>
      <w:r w:rsidRPr="00D147A7">
        <w:rPr>
          <w:rFonts w:ascii="Times New Roman" w:hAnsi="Times New Roman" w:cs="Times New Roman"/>
          <w:sz w:val="24"/>
          <w:szCs w:val="24"/>
        </w:rPr>
        <w:t>, 10/5 (2007), p. 231 (nr. 295).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‘EPD vertraagt door 438.000 bezwaren’, </w:t>
      </w:r>
      <w:r w:rsidRPr="00D147A7">
        <w:rPr>
          <w:rFonts w:ascii="Times New Roman" w:hAnsi="Times New Roman" w:cs="Times New Roman"/>
          <w:i/>
          <w:sz w:val="24"/>
          <w:szCs w:val="24"/>
        </w:rPr>
        <w:t>Z&amp;F</w:t>
      </w:r>
      <w:r w:rsidRPr="00D147A7">
        <w:rPr>
          <w:rFonts w:ascii="Times New Roman" w:hAnsi="Times New Roman" w:cs="Times New Roman"/>
          <w:sz w:val="24"/>
          <w:szCs w:val="24"/>
        </w:rPr>
        <w:t>, 8/5 (2009), p. 78 (nr. 684).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‘Gebruik burgerservicenummer in de zorg’, </w:t>
      </w:r>
      <w:r w:rsidRPr="00D147A7">
        <w:rPr>
          <w:rFonts w:ascii="Times New Roman" w:hAnsi="Times New Roman" w:cs="Times New Roman"/>
          <w:i/>
          <w:sz w:val="24"/>
          <w:szCs w:val="24"/>
        </w:rPr>
        <w:t>P&amp;I</w:t>
      </w:r>
      <w:r w:rsidRPr="00D147A7">
        <w:rPr>
          <w:rFonts w:ascii="Times New Roman" w:hAnsi="Times New Roman" w:cs="Times New Roman"/>
          <w:sz w:val="24"/>
          <w:szCs w:val="24"/>
        </w:rPr>
        <w:t>, 11/5 (2008), p. 264 (nr. 272).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‘Gebruikerstests EMD en WDH succesvol verlopen’, </w:t>
      </w:r>
      <w:r w:rsidRPr="00D147A7">
        <w:rPr>
          <w:rFonts w:ascii="Times New Roman" w:hAnsi="Times New Roman" w:cs="Times New Roman"/>
          <w:i/>
          <w:sz w:val="24"/>
          <w:szCs w:val="24"/>
        </w:rPr>
        <w:t>P&amp;I</w:t>
      </w:r>
      <w:r w:rsidRPr="00D147A7">
        <w:rPr>
          <w:rFonts w:ascii="Times New Roman" w:hAnsi="Times New Roman" w:cs="Times New Roman"/>
          <w:sz w:val="24"/>
          <w:szCs w:val="24"/>
        </w:rPr>
        <w:t>, 9/5 (2006), p. 249-250 (nr. 286).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‘Geen toegang medisch dossier zonder toestemming’, </w:t>
      </w:r>
      <w:r w:rsidRPr="00D147A7">
        <w:rPr>
          <w:rFonts w:ascii="Times New Roman" w:hAnsi="Times New Roman" w:cs="Times New Roman"/>
          <w:i/>
          <w:sz w:val="24"/>
          <w:szCs w:val="24"/>
        </w:rPr>
        <w:t>P&amp;I</w:t>
      </w:r>
      <w:r w:rsidRPr="00D147A7">
        <w:rPr>
          <w:rFonts w:ascii="Times New Roman" w:hAnsi="Times New Roman" w:cs="Times New Roman"/>
          <w:sz w:val="24"/>
          <w:szCs w:val="24"/>
        </w:rPr>
        <w:t xml:space="preserve">, 11/2 (2008), p. 95-96 (100).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‘Geen toegang tot EPD voor onbevoegden’, </w:t>
      </w:r>
      <w:r w:rsidRPr="00D147A7">
        <w:rPr>
          <w:rFonts w:ascii="Times New Roman" w:hAnsi="Times New Roman" w:cs="Times New Roman"/>
          <w:i/>
          <w:sz w:val="24"/>
          <w:szCs w:val="24"/>
        </w:rPr>
        <w:t>P&amp;I</w:t>
      </w:r>
      <w:r w:rsidRPr="00D147A7">
        <w:rPr>
          <w:rFonts w:ascii="Times New Roman" w:hAnsi="Times New Roman" w:cs="Times New Roman"/>
          <w:sz w:val="24"/>
          <w:szCs w:val="24"/>
        </w:rPr>
        <w:t>, 10/6 (2007), p. 278 (nr. 338).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‘Invoering EPD kost tot nu toe 217,5 miljoen’, </w:t>
      </w:r>
      <w:r w:rsidRPr="00D147A7">
        <w:rPr>
          <w:rFonts w:ascii="Times New Roman" w:hAnsi="Times New Roman" w:cs="Times New Roman"/>
          <w:i/>
          <w:sz w:val="24"/>
          <w:szCs w:val="24"/>
        </w:rPr>
        <w:t>Z&amp;F</w:t>
      </w:r>
      <w:r w:rsidRPr="00D147A7">
        <w:rPr>
          <w:rFonts w:ascii="Times New Roman" w:hAnsi="Times New Roman" w:cs="Times New Roman"/>
          <w:sz w:val="24"/>
          <w:szCs w:val="24"/>
        </w:rPr>
        <w:t xml:space="preserve">, 9/9 (2010), p. 91 (nr. 1398).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‘Juridische aspecten van toegang tot het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11/3 (2008), p. 146-147 (nr. 172).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‘Klink krijgt 15.000 bezwaren tegen patiëntendossier’, </w:t>
      </w:r>
      <w:r w:rsidRPr="00D147A7">
        <w:rPr>
          <w:rFonts w:ascii="Times New Roman" w:hAnsi="Times New Roman" w:cs="Times New Roman"/>
          <w:i/>
          <w:sz w:val="24"/>
          <w:szCs w:val="24"/>
        </w:rPr>
        <w:t>Volkskrant</w:t>
      </w:r>
      <w:r w:rsidRPr="00D147A7">
        <w:rPr>
          <w:rFonts w:ascii="Times New Roman" w:hAnsi="Times New Roman" w:cs="Times New Roman"/>
          <w:sz w:val="24"/>
          <w:szCs w:val="24"/>
        </w:rPr>
        <w:t>, 6 november 2008 (</w:t>
      </w:r>
      <w:hyperlink w:history="1">
        <w:r w:rsidR="00531850" w:rsidRPr="00ED5FE6">
          <w:rPr>
            <w:rStyle w:val="Hyperlink"/>
            <w:rFonts w:ascii="Times New Roman" w:hAnsi="Times New Roman" w:cs="Times New Roman"/>
            <w:sz w:val="24"/>
            <w:szCs w:val="24"/>
          </w:rPr>
          <w:t>http:// www.nu.nl/algemeen/1827396/klink-krijgt-15000-bezwaren-tegen-patientendossier.html</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‘KNMG acht invoering EPD in 2010 niet haalbaar’, </w:t>
      </w:r>
      <w:r w:rsidRPr="00D147A7">
        <w:rPr>
          <w:rFonts w:ascii="Times New Roman" w:hAnsi="Times New Roman" w:cs="Times New Roman"/>
          <w:i/>
          <w:sz w:val="24"/>
          <w:szCs w:val="24"/>
        </w:rPr>
        <w:t>P&amp;I</w:t>
      </w:r>
      <w:r w:rsidRPr="00D147A7">
        <w:rPr>
          <w:rFonts w:ascii="Times New Roman" w:hAnsi="Times New Roman" w:cs="Times New Roman"/>
          <w:sz w:val="24"/>
          <w:szCs w:val="24"/>
        </w:rPr>
        <w:t>, 12/6 (2009), p. 295 (nr. 261).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‘KNMG wil eerst regionaal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12/5 (2009), p. 247-248 (nr. 207).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‘KNMP wil voortbouwen op EPD-structuur’, </w:t>
      </w:r>
      <w:r w:rsidRPr="00D147A7">
        <w:rPr>
          <w:rFonts w:ascii="Times New Roman" w:hAnsi="Times New Roman" w:cs="Times New Roman"/>
          <w:i/>
          <w:sz w:val="24"/>
          <w:szCs w:val="24"/>
        </w:rPr>
        <w:t>Z&amp;F</w:t>
      </w:r>
      <w:r w:rsidRPr="00D147A7">
        <w:rPr>
          <w:rFonts w:ascii="Times New Roman" w:hAnsi="Times New Roman" w:cs="Times New Roman"/>
          <w:sz w:val="24"/>
          <w:szCs w:val="24"/>
        </w:rPr>
        <w:t>, 10/6 (2011), p. 104-107 (nr. 878).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‘Met DigiD inzage in lokale patiëntendossiers?’, </w:t>
      </w:r>
      <w:r w:rsidRPr="00D147A7">
        <w:rPr>
          <w:rFonts w:ascii="Times New Roman" w:hAnsi="Times New Roman" w:cs="Times New Roman"/>
          <w:i/>
          <w:sz w:val="24"/>
          <w:szCs w:val="24"/>
        </w:rPr>
        <w:t>P&amp;I</w:t>
      </w:r>
      <w:r w:rsidRPr="00D147A7">
        <w:rPr>
          <w:rFonts w:ascii="Times New Roman" w:hAnsi="Times New Roman" w:cs="Times New Roman"/>
          <w:sz w:val="24"/>
          <w:szCs w:val="24"/>
        </w:rPr>
        <w:t>, 12/6 (2009), p. 295 (nr. 262).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‘Minister Klink start publiekscampagne rondom EPD’, </w:t>
      </w:r>
      <w:r w:rsidRPr="00D147A7">
        <w:rPr>
          <w:rFonts w:ascii="Times New Roman" w:hAnsi="Times New Roman" w:cs="Times New Roman"/>
          <w:i/>
          <w:sz w:val="24"/>
          <w:szCs w:val="24"/>
        </w:rPr>
        <w:t>Z&amp;F</w:t>
      </w:r>
      <w:r w:rsidRPr="00D147A7">
        <w:rPr>
          <w:rFonts w:ascii="Times New Roman" w:hAnsi="Times New Roman" w:cs="Times New Roman"/>
          <w:sz w:val="24"/>
          <w:szCs w:val="24"/>
        </w:rPr>
        <w:t>, 8/1 (2009), p. 98 (nr. 145).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‘Minister Klink stelt invoering EPD voorlopig uit’, </w:t>
      </w:r>
      <w:r w:rsidRPr="00D147A7">
        <w:rPr>
          <w:rFonts w:ascii="Times New Roman" w:hAnsi="Times New Roman" w:cs="Times New Roman"/>
          <w:i/>
          <w:sz w:val="24"/>
          <w:szCs w:val="24"/>
        </w:rPr>
        <w:t>Z&amp;F</w:t>
      </w:r>
      <w:r w:rsidRPr="00D147A7">
        <w:rPr>
          <w:rFonts w:ascii="Times New Roman" w:hAnsi="Times New Roman" w:cs="Times New Roman"/>
          <w:sz w:val="24"/>
          <w:szCs w:val="24"/>
        </w:rPr>
        <w:t>, 8/3 (2009), p. 82-83 (nr. 405).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‘Mobiel elektronisch medicatiedossier’, </w:t>
      </w:r>
      <w:r w:rsidRPr="00D147A7">
        <w:rPr>
          <w:rFonts w:ascii="Times New Roman" w:hAnsi="Times New Roman" w:cs="Times New Roman"/>
          <w:i/>
          <w:sz w:val="24"/>
          <w:szCs w:val="24"/>
        </w:rPr>
        <w:t>P&amp;I</w:t>
      </w:r>
      <w:r w:rsidRPr="00D147A7">
        <w:rPr>
          <w:rFonts w:ascii="Times New Roman" w:hAnsi="Times New Roman" w:cs="Times New Roman"/>
          <w:sz w:val="24"/>
          <w:szCs w:val="24"/>
        </w:rPr>
        <w:t>, 11/3 (2008), p. 134 (nr. 139).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‘Nictiz: zorgsector wil wel verder met EPD’, </w:t>
      </w:r>
      <w:r w:rsidRPr="00D147A7">
        <w:rPr>
          <w:rFonts w:ascii="Times New Roman" w:hAnsi="Times New Roman" w:cs="Times New Roman"/>
          <w:i/>
          <w:sz w:val="24"/>
          <w:szCs w:val="24"/>
        </w:rPr>
        <w:t>Z&amp;F</w:t>
      </w:r>
      <w:r w:rsidRPr="00D147A7">
        <w:rPr>
          <w:rFonts w:ascii="Times New Roman" w:hAnsi="Times New Roman" w:cs="Times New Roman"/>
          <w:sz w:val="24"/>
          <w:szCs w:val="24"/>
        </w:rPr>
        <w:t>, 10/7 (2011), p. 105 (nr. 1023).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‘NPCF: bezwaar tegen EPD moet mogelijk zijn’, </w:t>
      </w:r>
      <w:r w:rsidRPr="00D147A7">
        <w:rPr>
          <w:rFonts w:ascii="Times New Roman" w:hAnsi="Times New Roman" w:cs="Times New Roman"/>
          <w:i/>
          <w:sz w:val="24"/>
          <w:szCs w:val="24"/>
        </w:rPr>
        <w:t>Z&amp;F</w:t>
      </w:r>
      <w:r w:rsidRPr="00D147A7">
        <w:rPr>
          <w:rFonts w:ascii="Times New Roman" w:hAnsi="Times New Roman" w:cs="Times New Roman"/>
          <w:sz w:val="24"/>
          <w:szCs w:val="24"/>
        </w:rPr>
        <w:t>, 7/4 (2008), p. 102 (nr. 466).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‘NVZ maakt zich ernstige zorgen over einde Landelijk Schakelpunt’, </w:t>
      </w:r>
      <w:r w:rsidRPr="00D147A7">
        <w:rPr>
          <w:rFonts w:ascii="Times New Roman" w:hAnsi="Times New Roman" w:cs="Times New Roman"/>
          <w:i/>
          <w:sz w:val="24"/>
          <w:szCs w:val="24"/>
        </w:rPr>
        <w:t>Z&amp;F</w:t>
      </w:r>
      <w:r w:rsidRPr="00D147A7">
        <w:rPr>
          <w:rFonts w:ascii="Times New Roman" w:hAnsi="Times New Roman" w:cs="Times New Roman"/>
          <w:sz w:val="24"/>
          <w:szCs w:val="24"/>
        </w:rPr>
        <w:t>, 11/1 (2012), p. 114 (nr. 148).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‘Ontwerp norm logging patiëntendossiers’, </w:t>
      </w:r>
      <w:r w:rsidRPr="00D147A7">
        <w:rPr>
          <w:rFonts w:ascii="Times New Roman" w:hAnsi="Times New Roman" w:cs="Times New Roman"/>
          <w:i/>
          <w:sz w:val="24"/>
          <w:szCs w:val="24"/>
        </w:rPr>
        <w:t>P&amp;I</w:t>
      </w:r>
      <w:r w:rsidRPr="00D147A7">
        <w:rPr>
          <w:rFonts w:ascii="Times New Roman" w:hAnsi="Times New Roman" w:cs="Times New Roman"/>
          <w:sz w:val="24"/>
          <w:szCs w:val="24"/>
        </w:rPr>
        <w:t>, 12/4 (2009), p. 194 (nr. 160).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‘Parlementair onderzoek naar falen EPD in 2012’, </w:t>
      </w:r>
      <w:r w:rsidRPr="00D147A7">
        <w:rPr>
          <w:rFonts w:ascii="Times New Roman" w:hAnsi="Times New Roman" w:cs="Times New Roman"/>
          <w:i/>
          <w:sz w:val="24"/>
          <w:szCs w:val="24"/>
        </w:rPr>
        <w:t>Z&amp;F</w:t>
      </w:r>
      <w:r w:rsidRPr="00D147A7">
        <w:rPr>
          <w:rFonts w:ascii="Times New Roman" w:hAnsi="Times New Roman" w:cs="Times New Roman"/>
          <w:sz w:val="24"/>
          <w:szCs w:val="24"/>
        </w:rPr>
        <w:t>, 11/1 (2012), p. 115 (nr. 150).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‘Regionaal EPD niet langer in strijd met de wet’, </w:t>
      </w:r>
      <w:r w:rsidRPr="00D147A7">
        <w:rPr>
          <w:rFonts w:ascii="Times New Roman" w:hAnsi="Times New Roman" w:cs="Times New Roman"/>
          <w:i/>
          <w:sz w:val="24"/>
          <w:szCs w:val="24"/>
        </w:rPr>
        <w:t>P&amp;I</w:t>
      </w:r>
      <w:r w:rsidRPr="00D147A7">
        <w:rPr>
          <w:rFonts w:ascii="Times New Roman" w:hAnsi="Times New Roman" w:cs="Times New Roman"/>
          <w:sz w:val="24"/>
          <w:szCs w:val="24"/>
        </w:rPr>
        <w:t>, 12/6 (2009), p. 293 (nr. 255).</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 xml:space="preserve">‘Regionale EPD’s’, </w:t>
      </w:r>
      <w:r w:rsidRPr="00D147A7">
        <w:rPr>
          <w:rFonts w:ascii="Times New Roman" w:hAnsi="Times New Roman" w:cs="Times New Roman"/>
          <w:i/>
          <w:sz w:val="24"/>
          <w:szCs w:val="24"/>
          <w:lang w:val="en-US"/>
        </w:rPr>
        <w:t>P&amp;I</w:t>
      </w:r>
      <w:r w:rsidRPr="00D147A7">
        <w:rPr>
          <w:rFonts w:ascii="Times New Roman" w:hAnsi="Times New Roman" w:cs="Times New Roman"/>
          <w:sz w:val="24"/>
          <w:szCs w:val="24"/>
          <w:lang w:val="en-US"/>
        </w:rPr>
        <w:t>, 12/4 (2009), p. 209 (nr. 180).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‘Toegang cliënten tot eigen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12/2 (2009), p. 100 (nr. 74).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‘Tweede Kamer akkoord met wet BSN in de zorg’, </w:t>
      </w:r>
      <w:r w:rsidRPr="00D147A7">
        <w:rPr>
          <w:rFonts w:ascii="Times New Roman" w:hAnsi="Times New Roman" w:cs="Times New Roman"/>
          <w:i/>
          <w:sz w:val="24"/>
          <w:szCs w:val="24"/>
        </w:rPr>
        <w:t>P&amp;I</w:t>
      </w:r>
      <w:r w:rsidRPr="00D147A7">
        <w:rPr>
          <w:rFonts w:ascii="Times New Roman" w:hAnsi="Times New Roman" w:cs="Times New Roman"/>
          <w:sz w:val="24"/>
          <w:szCs w:val="24"/>
        </w:rPr>
        <w:t>, 9/6 (2006), p. 307 (nr. 347).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‘Tweede Kamer akkoord met Wet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12/2 (2009), p. 99 (nr. 72).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‘Tweede Kamer stemt in met Landelijk Elektronisch Patiëntendossier’, </w:t>
      </w:r>
      <w:r w:rsidRPr="00D147A7">
        <w:rPr>
          <w:rFonts w:ascii="Times New Roman" w:hAnsi="Times New Roman" w:cs="Times New Roman"/>
          <w:i/>
          <w:sz w:val="24"/>
          <w:szCs w:val="24"/>
        </w:rPr>
        <w:t>Z&amp;F</w:t>
      </w:r>
      <w:r w:rsidRPr="00D147A7">
        <w:rPr>
          <w:rFonts w:ascii="Times New Roman" w:hAnsi="Times New Roman" w:cs="Times New Roman"/>
          <w:sz w:val="24"/>
          <w:szCs w:val="24"/>
        </w:rPr>
        <w:t>, 8/4 (2009), p. 91-92 (nr. 549).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rPr>
        <w:t>‘Verzuimapplicatie lekt 300.000 medische dossiers’, 20 april 2012 (</w:t>
      </w:r>
      <w:hyperlink r:id="rId187" w:history="1">
        <w:r w:rsidR="00404B84" w:rsidRPr="002E3061">
          <w:rPr>
            <w:rStyle w:val="Hyperlink"/>
            <w:rFonts w:ascii="Times New Roman" w:hAnsi="Times New Roman" w:cs="Times New Roman"/>
          </w:rPr>
          <w:t>http://www.security.nl/artikel/ 41192/1/Verzuimapplicatie_lekt_300.000_medische_dossiers.html</w:t>
        </w:r>
      </w:hyperlink>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‘Waarneemdossier huisartsen’, </w:t>
      </w:r>
      <w:r w:rsidRPr="00D147A7">
        <w:rPr>
          <w:rFonts w:ascii="Times New Roman" w:hAnsi="Times New Roman" w:cs="Times New Roman"/>
          <w:i/>
          <w:sz w:val="24"/>
          <w:szCs w:val="24"/>
        </w:rPr>
        <w:t>P&amp;I</w:t>
      </w:r>
      <w:r w:rsidRPr="00D147A7">
        <w:rPr>
          <w:rFonts w:ascii="Times New Roman" w:hAnsi="Times New Roman" w:cs="Times New Roman"/>
          <w:sz w:val="24"/>
          <w:szCs w:val="24"/>
        </w:rPr>
        <w:t>, 10/6 (2007), p. 277-278 (nr. 337).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‘Wet op het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11/2 (2008), p. 94-95 (nr. 98).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‘Wetsvoorstel gebruik burgerservicenummer in de zorg’, </w:t>
      </w:r>
      <w:r w:rsidRPr="00D147A7">
        <w:rPr>
          <w:rFonts w:ascii="Times New Roman" w:hAnsi="Times New Roman" w:cs="Times New Roman"/>
          <w:i/>
          <w:sz w:val="24"/>
          <w:szCs w:val="24"/>
        </w:rPr>
        <w:t>P&amp;I</w:t>
      </w:r>
      <w:r w:rsidRPr="00D147A7">
        <w:rPr>
          <w:rFonts w:ascii="Times New Roman" w:hAnsi="Times New Roman" w:cs="Times New Roman"/>
          <w:sz w:val="24"/>
          <w:szCs w:val="24"/>
        </w:rPr>
        <w:t>, 9/2 (2006), p. 101-104 (nr. 130).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‘Zorg op afstand’, </w:t>
      </w:r>
      <w:r w:rsidRPr="00D147A7">
        <w:rPr>
          <w:rFonts w:ascii="Times New Roman" w:hAnsi="Times New Roman" w:cs="Times New Roman"/>
          <w:i/>
          <w:sz w:val="24"/>
          <w:szCs w:val="24"/>
        </w:rPr>
        <w:t>P&amp;I</w:t>
      </w:r>
      <w:r w:rsidRPr="00D147A7">
        <w:rPr>
          <w:rFonts w:ascii="Times New Roman" w:hAnsi="Times New Roman" w:cs="Times New Roman"/>
          <w:sz w:val="24"/>
          <w:szCs w:val="24"/>
        </w:rPr>
        <w:t>, 12/4 (2009), p. 197 (nr. 166).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rPr>
        <w:t>BOERSMA, M., ‘300.000 medische dossiers op straat’, 20 april 2012 (</w:t>
      </w:r>
      <w:hyperlink r:id="rId188" w:history="1">
        <w:r w:rsidR="00531850" w:rsidRPr="00ED5FE6">
          <w:rPr>
            <w:rStyle w:val="Hyperlink"/>
            <w:rFonts w:ascii="Times New Roman" w:hAnsi="Times New Roman" w:cs="Times New Roman"/>
          </w:rPr>
          <w:t>http://www.pcmweb.nl/nieuws /300000-medische-dossiers-publiekelijk-toegankelijk.html</w:t>
        </w:r>
      </w:hyperlink>
      <w:r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POOT, D., ‘Toch elektronische uitwisseling in Nederland’, </w:t>
      </w:r>
      <w:r w:rsidRPr="00D147A7">
        <w:rPr>
          <w:rFonts w:ascii="Times New Roman" w:hAnsi="Times New Roman" w:cs="Times New Roman"/>
          <w:i/>
          <w:sz w:val="24"/>
          <w:szCs w:val="24"/>
        </w:rPr>
        <w:t>Datanews Knack</w:t>
      </w:r>
      <w:r w:rsidRPr="00D147A7">
        <w:rPr>
          <w:rFonts w:ascii="Times New Roman" w:hAnsi="Times New Roman" w:cs="Times New Roman"/>
          <w:sz w:val="24"/>
          <w:szCs w:val="24"/>
        </w:rPr>
        <w:t>, 12 decem</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ber 2011. </w:t>
      </w:r>
    </w:p>
    <w:p w:rsidR="009931C7" w:rsidRPr="00D147A7" w:rsidRDefault="009931C7" w:rsidP="009931C7">
      <w:pPr>
        <w:pStyle w:val="Geenafstand"/>
        <w:jc w:val="both"/>
        <w:rPr>
          <w:rFonts w:ascii="Times New Roman" w:hAnsi="Times New Roman" w:cs="Times New Roman"/>
        </w:rPr>
      </w:pPr>
      <w:r w:rsidRPr="00D147A7">
        <w:rPr>
          <w:rFonts w:ascii="Times New Roman" w:hAnsi="Times New Roman" w:cs="Times New Roman"/>
        </w:rPr>
        <w:t xml:space="preserve">DE VRIES, J., ‘Medische gegevens duizenden Brabanders op straat’, </w:t>
      </w:r>
      <w:r w:rsidRPr="00D147A7">
        <w:rPr>
          <w:rFonts w:ascii="Times New Roman" w:hAnsi="Times New Roman" w:cs="Times New Roman"/>
          <w:i/>
        </w:rPr>
        <w:t>Omroep Brabant</w:t>
      </w:r>
      <w:r w:rsidRPr="00D147A7">
        <w:rPr>
          <w:rFonts w:ascii="Times New Roman" w:hAnsi="Times New Roman" w:cs="Times New Roman"/>
        </w:rPr>
        <w:t>, 19 april 2012 (</w:t>
      </w:r>
      <w:hyperlink r:id="rId189" w:history="1">
        <w:r w:rsidR="00404B84" w:rsidRPr="002E3061">
          <w:rPr>
            <w:rStyle w:val="Hyperlink"/>
            <w:rFonts w:ascii="Times New Roman" w:hAnsi="Times New Roman" w:cs="Times New Roman"/>
          </w:rPr>
          <w:t>http://www.omroepbrabant.nl/?news/1729921143/Medische+gegevens+duizenden+Brabanders+op+straat.aspx</w:t>
        </w:r>
      </w:hyperlink>
      <w:r w:rsidRPr="00D147A7">
        <w:rPr>
          <w:rFonts w:ascii="Times New Roman" w:hAnsi="Times New Roman" w:cs="Times New Roman"/>
        </w:rPr>
        <w:t>).</w:t>
      </w:r>
    </w:p>
    <w:p w:rsidR="009931C7" w:rsidRPr="00D147A7" w:rsidRDefault="00037667" w:rsidP="009931C7">
      <w:pPr>
        <w:pStyle w:val="Geenafstand"/>
        <w:jc w:val="both"/>
        <w:rPr>
          <w:rFonts w:ascii="Times New Roman" w:hAnsi="Times New Roman" w:cs="Times New Roman"/>
        </w:rPr>
      </w:pPr>
      <w:r w:rsidRPr="00D147A7">
        <w:rPr>
          <w:rFonts w:ascii="Times New Roman" w:hAnsi="Times New Roman" w:cs="Times New Roman"/>
        </w:rPr>
        <w:t xml:space="preserve">MEEUWSEN, F., ‘Brenno de Winter: ‘Medische gegevens op straat mogelijk overtreding wet’’, </w:t>
      </w:r>
      <w:r w:rsidRPr="00D147A7">
        <w:rPr>
          <w:rFonts w:ascii="Times New Roman" w:hAnsi="Times New Roman" w:cs="Times New Roman"/>
          <w:i/>
        </w:rPr>
        <w:t>Om</w:t>
      </w:r>
      <w:r w:rsidR="00531850">
        <w:rPr>
          <w:rFonts w:ascii="Times New Roman" w:hAnsi="Times New Roman" w:cs="Times New Roman"/>
          <w:i/>
        </w:rPr>
        <w:t>-</w:t>
      </w:r>
      <w:r w:rsidRPr="00D147A7">
        <w:rPr>
          <w:rFonts w:ascii="Times New Roman" w:hAnsi="Times New Roman" w:cs="Times New Roman"/>
          <w:i/>
        </w:rPr>
        <w:t>roep Brabant</w:t>
      </w:r>
      <w:r w:rsidRPr="00D147A7">
        <w:rPr>
          <w:rFonts w:ascii="Times New Roman" w:hAnsi="Times New Roman" w:cs="Times New Roman"/>
        </w:rPr>
        <w:t>, 19 april 2012.</w:t>
      </w:r>
    </w:p>
    <w:p w:rsidR="00FA6686" w:rsidRPr="00D147A7"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b/>
          <w:sz w:val="24"/>
          <w:szCs w:val="24"/>
        </w:rPr>
        <w:tab/>
      </w:r>
      <w:r w:rsidRPr="00D147A7">
        <w:rPr>
          <w:rFonts w:ascii="Times New Roman" w:hAnsi="Times New Roman" w:cs="Times New Roman"/>
          <w:b/>
          <w:sz w:val="24"/>
          <w:szCs w:val="24"/>
        </w:rPr>
        <w:tab/>
      </w:r>
    </w:p>
    <w:p w:rsidR="009931C7" w:rsidRPr="00404B84" w:rsidRDefault="009931C7" w:rsidP="00404B84">
      <w:pPr>
        <w:pStyle w:val="Geenafstand"/>
        <w:ind w:firstLine="708"/>
        <w:jc w:val="both"/>
        <w:rPr>
          <w:rFonts w:ascii="Times New Roman" w:hAnsi="Times New Roman" w:cs="Times New Roman"/>
          <w:b/>
          <w:sz w:val="24"/>
          <w:szCs w:val="24"/>
        </w:rPr>
      </w:pPr>
      <w:r w:rsidRPr="00D147A7">
        <w:rPr>
          <w:rFonts w:ascii="Times New Roman" w:hAnsi="Times New Roman" w:cs="Times New Roman"/>
          <w:b/>
          <w:smallCaps/>
          <w:sz w:val="24"/>
          <w:szCs w:val="24"/>
        </w:rPr>
        <w:t>2.5.</w:t>
      </w:r>
      <w:r w:rsidR="00404B84">
        <w:rPr>
          <w:rFonts w:ascii="Times New Roman" w:hAnsi="Times New Roman" w:cs="Times New Roman"/>
          <w:b/>
          <w:sz w:val="24"/>
          <w:szCs w:val="24"/>
        </w:rPr>
        <w:t>3.4 Rechtsleer en literatuur</w:t>
      </w:r>
    </w:p>
    <w:p w:rsidR="00531850" w:rsidRDefault="00531850"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EPD-brief van minister Klink: een onnodig antwoord’, </w:t>
      </w:r>
      <w:r w:rsidRPr="00D147A7">
        <w:rPr>
          <w:rFonts w:ascii="Times New Roman" w:hAnsi="Times New Roman" w:cs="Times New Roman"/>
          <w:i/>
          <w:sz w:val="24"/>
          <w:szCs w:val="24"/>
        </w:rPr>
        <w:t>T.G.</w:t>
      </w:r>
      <w:r w:rsidRPr="00D147A7">
        <w:rPr>
          <w:rFonts w:ascii="Times New Roman" w:hAnsi="Times New Roman" w:cs="Times New Roman"/>
          <w:sz w:val="24"/>
          <w:szCs w:val="24"/>
        </w:rPr>
        <w:t>,  33/2 (2009), p. 79-85.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rPr>
        <w:t>Documentatierapport Landelijke Medische Registratie (LMR) 2009V1</w:t>
      </w:r>
      <w:r w:rsidRPr="00D147A7">
        <w:rPr>
          <w:rFonts w:ascii="Times New Roman" w:hAnsi="Times New Roman" w:cs="Times New Roman"/>
          <w:sz w:val="24"/>
          <w:szCs w:val="24"/>
        </w:rPr>
        <w:t>, Centraal Bureau voor de Statistiek – Centrum voor Beleidsstatistiek, Leiden, 2011, 51p. (</w:t>
      </w:r>
      <w:hyperlink r:id="rId190" w:history="1">
        <w:r w:rsidR="00404B84" w:rsidRPr="002E3061">
          <w:rPr>
            <w:rStyle w:val="Hyperlink"/>
            <w:rFonts w:ascii="Times New Roman" w:hAnsi="Times New Roman" w:cs="Times New Roman"/>
            <w:sz w:val="24"/>
            <w:szCs w:val="24"/>
          </w:rPr>
          <w:t>http://www.cbs.nl/NR/ rdonlyres/AA18B546-CA6E-40C6-8B17-1BB976F1C4E5/0/lmrmicrodata.pdf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BONTHUIS, M.J., ‘Addendum bij: Privacy en het landelijk elektronisch patiëntendossier’, </w:t>
      </w:r>
      <w:r w:rsidRPr="00D147A7">
        <w:rPr>
          <w:rFonts w:ascii="Times New Roman" w:hAnsi="Times New Roman" w:cs="Times New Roman"/>
          <w:i/>
          <w:sz w:val="24"/>
          <w:szCs w:val="24"/>
        </w:rPr>
        <w:t>P&amp;I</w:t>
      </w:r>
      <w:r w:rsidRPr="00D147A7">
        <w:rPr>
          <w:rFonts w:ascii="Times New Roman" w:hAnsi="Times New Roman" w:cs="Times New Roman"/>
          <w:sz w:val="24"/>
          <w:szCs w:val="24"/>
        </w:rPr>
        <w:t>, 11/4 (2008), p. 190-191 (nr. 197).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BONTHUIS, M.J., ‘Het EPD en privacy’, </w:t>
      </w:r>
      <w:r w:rsidRPr="00D147A7">
        <w:rPr>
          <w:rFonts w:ascii="Times New Roman" w:hAnsi="Times New Roman" w:cs="Times New Roman"/>
          <w:i/>
          <w:sz w:val="24"/>
          <w:szCs w:val="24"/>
        </w:rPr>
        <w:t>Journaal Privacy gezondheidszorg</w:t>
      </w:r>
      <w:r w:rsidRPr="00D147A7">
        <w:rPr>
          <w:rFonts w:ascii="Times New Roman" w:hAnsi="Times New Roman" w:cs="Times New Roman"/>
          <w:sz w:val="24"/>
          <w:szCs w:val="24"/>
        </w:rPr>
        <w:t>, 9/7 (2008), p. 167-171.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BONTHUIS, M.J., ‘Privacy en het landelijk elektronisch patiëntendossier’,</w:t>
      </w:r>
      <w:r w:rsidRPr="00D147A7">
        <w:rPr>
          <w:rFonts w:ascii="Times New Roman" w:hAnsi="Times New Roman" w:cs="Times New Roman"/>
          <w:i/>
          <w:sz w:val="24"/>
          <w:szCs w:val="24"/>
        </w:rPr>
        <w:t xml:space="preserve"> P&amp;I</w:t>
      </w:r>
      <w:r w:rsidRPr="00D147A7">
        <w:rPr>
          <w:rFonts w:ascii="Times New Roman" w:hAnsi="Times New Roman" w:cs="Times New Roman"/>
          <w:sz w:val="24"/>
          <w:szCs w:val="24"/>
        </w:rPr>
        <w:t>, 11/3 (2008), p. 119-123 (nr. 126).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BREURE, E.; KAMST, N.; ‘Alle gegevens van de patiënten op het juiste moment op de juiste plek’,  </w:t>
      </w:r>
      <w:r w:rsidRPr="00D147A7">
        <w:rPr>
          <w:rFonts w:ascii="Times New Roman" w:hAnsi="Times New Roman" w:cs="Times New Roman"/>
          <w:i/>
          <w:sz w:val="24"/>
          <w:szCs w:val="24"/>
        </w:rPr>
        <w:t>Z&amp;I</w:t>
      </w:r>
      <w:r w:rsidRPr="00D147A7">
        <w:rPr>
          <w:rFonts w:ascii="Times New Roman" w:hAnsi="Times New Roman" w:cs="Times New Roman"/>
          <w:sz w:val="24"/>
          <w:szCs w:val="24"/>
        </w:rPr>
        <w:t>, 31/121 (2005), p. 9-11.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CROONEN, H., ‘Onlinedossier geeft patiënt de regie. Geïnformeerde patiënten, gestroomlijn</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de zorg’, </w:t>
      </w:r>
      <w:r w:rsidRPr="00D147A7">
        <w:rPr>
          <w:rFonts w:ascii="Times New Roman" w:hAnsi="Times New Roman" w:cs="Times New Roman"/>
          <w:i/>
          <w:sz w:val="24"/>
          <w:szCs w:val="24"/>
        </w:rPr>
        <w:t>M.C.</w:t>
      </w:r>
      <w:r w:rsidRPr="00D147A7">
        <w:rPr>
          <w:rFonts w:ascii="Times New Roman" w:hAnsi="Times New Roman" w:cs="Times New Roman"/>
          <w:sz w:val="24"/>
          <w:szCs w:val="24"/>
        </w:rPr>
        <w:t>, 65/8 (2010), p. 342-345.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CROONEN, H., ‘Succesvol werken met e-health. Acht tips om uitvoeringsproblemen te tackelen’, </w:t>
      </w:r>
      <w:r w:rsidRPr="00D147A7">
        <w:rPr>
          <w:rFonts w:ascii="Times New Roman" w:hAnsi="Times New Roman" w:cs="Times New Roman"/>
          <w:i/>
          <w:sz w:val="24"/>
          <w:szCs w:val="24"/>
        </w:rPr>
        <w:t>M.C.</w:t>
      </w:r>
      <w:r w:rsidRPr="00D147A7">
        <w:rPr>
          <w:rFonts w:ascii="Times New Roman" w:hAnsi="Times New Roman" w:cs="Times New Roman"/>
          <w:sz w:val="24"/>
          <w:szCs w:val="24"/>
        </w:rPr>
        <w:t>, 66/2 (2011), p. 77-80.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DANS, E.; VAN DER VORST, P.R.; ‘Teleradiologie. Enkele juridische implicaties van een nieuw fenomeen’, </w:t>
      </w:r>
      <w:r w:rsidRPr="00D147A7">
        <w:rPr>
          <w:rFonts w:ascii="Times New Roman" w:hAnsi="Times New Roman" w:cs="Times New Roman"/>
          <w:i/>
          <w:sz w:val="24"/>
          <w:szCs w:val="24"/>
        </w:rPr>
        <w:t>T.G.</w:t>
      </w:r>
      <w:r w:rsidRPr="00D147A7">
        <w:rPr>
          <w:rFonts w:ascii="Times New Roman" w:hAnsi="Times New Roman" w:cs="Times New Roman"/>
          <w:sz w:val="24"/>
          <w:szCs w:val="24"/>
        </w:rPr>
        <w:t>, 31/3 (2008), p. 187-199.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DE JONG, J.; VAN DER SCHEE, E.; </w:t>
      </w:r>
      <w:r w:rsidRPr="00D147A7">
        <w:rPr>
          <w:rFonts w:ascii="Times New Roman" w:hAnsi="Times New Roman" w:cs="Times New Roman"/>
          <w:i/>
          <w:sz w:val="24"/>
          <w:szCs w:val="24"/>
        </w:rPr>
        <w:t>Ruim een kwart van de bevolking wil gebruik maken van het recht om bepaalde zorgverleners de toegang tot hun elektronisch patiëntendossier te ontzeggen</w:t>
      </w:r>
      <w:r w:rsidRPr="00D147A7">
        <w:rPr>
          <w:rFonts w:ascii="Times New Roman" w:hAnsi="Times New Roman" w:cs="Times New Roman"/>
          <w:sz w:val="24"/>
          <w:szCs w:val="24"/>
        </w:rPr>
        <w:t>, s.l., 2006, 4p. (</w:t>
      </w:r>
      <w:hyperlink r:id="rId191" w:history="1">
        <w:r w:rsidR="00531850" w:rsidRPr="00ED5FE6">
          <w:rPr>
            <w:rStyle w:val="Hyperlink"/>
            <w:rFonts w:ascii="Times New Roman" w:hAnsi="Times New Roman" w:cs="Times New Roman"/>
            <w:sz w:val="24"/>
            <w:szCs w:val="24"/>
          </w:rPr>
          <w:t>http://www.nivel.nl/sites/default/files/bestanden/factsheet-emd-juni 2006.pdf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EKKER, A., ‘Wie ziet wat? Juridische aspecten van autorisatie’, NOUWT, S.; PLOEM, M.C.; </w:t>
      </w:r>
      <w:r w:rsidRPr="00D147A7">
        <w:rPr>
          <w:rFonts w:ascii="Times New Roman" w:hAnsi="Times New Roman" w:cs="Times New Roman"/>
          <w:i/>
          <w:sz w:val="24"/>
          <w:szCs w:val="24"/>
        </w:rPr>
        <w:t>Gezondheidsrecht en ICT</w:t>
      </w:r>
      <w:r w:rsidRPr="00D147A7">
        <w:rPr>
          <w:rFonts w:ascii="Times New Roman" w:hAnsi="Times New Roman" w:cs="Times New Roman"/>
          <w:sz w:val="24"/>
          <w:szCs w:val="24"/>
        </w:rPr>
        <w:t>, ICT en Recht, 7, Den Haag, Sdu Uitgevers, 2012, p. 53-63.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FLIM, C.; GIEST, S.; DUMORTIER, J.; </w:t>
      </w:r>
      <w:r w:rsidRPr="00D147A7">
        <w:rPr>
          <w:rFonts w:ascii="Times New Roman" w:hAnsi="Times New Roman" w:cs="Times New Roman"/>
          <w:i/>
          <w:sz w:val="24"/>
          <w:szCs w:val="24"/>
        </w:rPr>
        <w:t>Country Brief: Netherlands</w:t>
      </w:r>
      <w:r w:rsidRPr="00D147A7">
        <w:rPr>
          <w:rFonts w:ascii="Times New Roman" w:hAnsi="Times New Roman" w:cs="Times New Roman"/>
          <w:sz w:val="24"/>
          <w:szCs w:val="24"/>
        </w:rPr>
        <w:t>, Directoraat-generaal In</w:t>
      </w:r>
      <w:r w:rsidR="00531850">
        <w:rPr>
          <w:rFonts w:ascii="Times New Roman" w:hAnsi="Times New Roman" w:cs="Times New Roman"/>
          <w:sz w:val="24"/>
          <w:szCs w:val="24"/>
        </w:rPr>
        <w:t>-</w:t>
      </w:r>
      <w:r w:rsidRPr="00D147A7">
        <w:rPr>
          <w:rFonts w:ascii="Times New Roman" w:hAnsi="Times New Roman" w:cs="Times New Roman"/>
          <w:sz w:val="24"/>
          <w:szCs w:val="24"/>
        </w:rPr>
        <w:t>formatiemaatschappij en Media van de Europese Commissie, 2010, 37p. (</w:t>
      </w:r>
      <w:hyperlink r:id="rId192" w:history="1">
        <w:r w:rsidR="00531850" w:rsidRPr="00ED5FE6">
          <w:rPr>
            <w:rStyle w:val="Hyperlink"/>
            <w:rFonts w:ascii="Times New Roman" w:hAnsi="Times New Roman" w:cs="Times New Roman"/>
            <w:sz w:val="24"/>
            <w:szCs w:val="24"/>
          </w:rPr>
          <w:t>http://ehealth-strategies.eu/database/documents/Netherlands_CountryBrief_eHStrategies.pdf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FRANKEN, H., ‘Is het elektronisch patiëntendossier een bedreiging voor de rechtsstaat?’, MOMMERS, L.; FRANKEN, H.; VAN DEN HERIK, J.; VAN DER KLAAUW, F. (reds.); </w:t>
      </w:r>
      <w:r w:rsidRPr="00D147A7">
        <w:rPr>
          <w:rFonts w:ascii="Times New Roman" w:hAnsi="Times New Roman" w:cs="Times New Roman"/>
          <w:i/>
          <w:sz w:val="24"/>
          <w:szCs w:val="24"/>
        </w:rPr>
        <w:t>Het binnenste buiten. Liber amicorum ter gelegenheid van het emeritaat van prof. dr. Aernout H.J. Schmidt, hoogleraar Recht en Informatica te Leiden</w:t>
      </w:r>
      <w:r w:rsidRPr="00D147A7">
        <w:rPr>
          <w:rFonts w:ascii="Times New Roman" w:hAnsi="Times New Roman" w:cs="Times New Roman"/>
          <w:sz w:val="24"/>
          <w:szCs w:val="24"/>
        </w:rPr>
        <w:t>, Leiden, 2010, p. 367-373.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FRIELE, R.H., ‘Een thematische evaluatie van het begrip informed consent’, </w:t>
      </w:r>
      <w:r w:rsidRPr="00D147A7">
        <w:rPr>
          <w:rFonts w:ascii="Times New Roman" w:hAnsi="Times New Roman" w:cs="Times New Roman"/>
          <w:i/>
          <w:sz w:val="24"/>
          <w:szCs w:val="24"/>
        </w:rPr>
        <w:t>T.G.</w:t>
      </w:r>
      <w:r w:rsidRPr="00D147A7">
        <w:rPr>
          <w:rFonts w:ascii="Times New Roman" w:hAnsi="Times New Roman" w:cs="Times New Roman"/>
          <w:sz w:val="24"/>
          <w:szCs w:val="24"/>
        </w:rPr>
        <w:t xml:space="preserve">, 31/8 (2007), p. 614-619.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GERARDTS, G., ‘Eerste kamer stemt in met wet gebruik burgerservicenummer in de zorg’, </w:t>
      </w:r>
      <w:r w:rsidRPr="00D147A7">
        <w:rPr>
          <w:rFonts w:ascii="Times New Roman" w:hAnsi="Times New Roman" w:cs="Times New Roman"/>
          <w:i/>
          <w:sz w:val="24"/>
          <w:szCs w:val="24"/>
        </w:rPr>
        <w:t>T.V.</w:t>
      </w:r>
      <w:r w:rsidRPr="00D147A7">
        <w:rPr>
          <w:rFonts w:ascii="Times New Roman" w:hAnsi="Times New Roman" w:cs="Times New Roman"/>
          <w:sz w:val="24"/>
          <w:szCs w:val="24"/>
        </w:rPr>
        <w:t>, 33/5 (2008), p. 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GROOTHUIS, M., ‘Het elektronisch patiëntendossier in een veellagige rechtsorde’, HEN</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DRIKS, A.C.; TEN NAPEL, H.M.T.D. (reds.); </w:t>
      </w:r>
      <w:r w:rsidRPr="00D147A7">
        <w:rPr>
          <w:rFonts w:ascii="Times New Roman" w:hAnsi="Times New Roman" w:cs="Times New Roman"/>
          <w:i/>
          <w:sz w:val="24"/>
          <w:szCs w:val="24"/>
        </w:rPr>
        <w:t>Volksgezondheid in een veellagige rechtsorde. Eenheid en verscheidenheid van norm en praktijk</w:t>
      </w:r>
      <w:r w:rsidRPr="00D147A7">
        <w:rPr>
          <w:rFonts w:ascii="Times New Roman" w:hAnsi="Times New Roman" w:cs="Times New Roman"/>
          <w:sz w:val="24"/>
          <w:szCs w:val="24"/>
        </w:rPr>
        <w:t>, Alphen aan den Rijn, Kluwer, 2007, p. 263-273.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GROOTHUIS, M.; VAN DER HOF, S.; ‘De elektronische handtekening in het bestuursrecht: ontwikkelingen in Nederland en Europa’,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2009, 5, p. 193-198.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HELDOORN, M.; VAN HERK, E.; VEERESCHILD, S.; </w:t>
      </w:r>
      <w:r w:rsidRPr="00D147A7">
        <w:rPr>
          <w:rFonts w:ascii="Times New Roman" w:hAnsi="Times New Roman" w:cs="Times New Roman"/>
          <w:i/>
          <w:sz w:val="24"/>
          <w:szCs w:val="24"/>
        </w:rPr>
        <w:t>Patiëntportalen in Nederland. On</w:t>
      </w:r>
      <w:r w:rsidR="00531850">
        <w:rPr>
          <w:rFonts w:ascii="Times New Roman" w:hAnsi="Times New Roman" w:cs="Times New Roman"/>
          <w:i/>
          <w:sz w:val="24"/>
          <w:szCs w:val="24"/>
        </w:rPr>
        <w:t>-</w:t>
      </w:r>
      <w:r w:rsidRPr="00D147A7">
        <w:rPr>
          <w:rFonts w:ascii="Times New Roman" w:hAnsi="Times New Roman" w:cs="Times New Roman"/>
          <w:i/>
          <w:sz w:val="24"/>
          <w:szCs w:val="24"/>
        </w:rPr>
        <w:t>line inzage in mijn medische gegevens</w:t>
      </w:r>
      <w:r w:rsidRPr="00D147A7">
        <w:rPr>
          <w:rFonts w:ascii="Times New Roman" w:hAnsi="Times New Roman" w:cs="Times New Roman"/>
          <w:sz w:val="24"/>
          <w:szCs w:val="24"/>
        </w:rPr>
        <w:t>, Den Haag, NPCF, Nictiz, 2011, 41p. (</w:t>
      </w:r>
      <w:hyperlink w:history="1">
        <w:r w:rsidR="00531850" w:rsidRPr="00ED5FE6">
          <w:rPr>
            <w:rStyle w:val="Hyperlink"/>
            <w:rFonts w:ascii="Times New Roman" w:hAnsi="Times New Roman" w:cs="Times New Roman"/>
            <w:sz w:val="24"/>
            <w:szCs w:val="24"/>
          </w:rPr>
          <w:t>http://www. nictiz.nl/module/360/498/110331_Patientportalen_in%2520Nederland_inventarisatie.pdf</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HOOGHIEMSTRA, T.F.M.; NOUWT, S.; ‘eHealth en recht. Een inleiding op een thema’,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2011, 6, p. 282-291 (nr. 152).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JACOBS, B.; NOUWT, S.; DE BRUIJN, A.; VERMEULEN, O.; VAN DER KNAAP, R.; DE BIE, C.; Beveiligingseisen ten aanzien van identificatie en authenticatie voor toegang zorgconsument tot het Elektronisch Patiëntendossier (EPD), PriceWaterhouseCoopers – Rad</w:t>
      </w:r>
      <w:r w:rsidR="00531850">
        <w:rPr>
          <w:rFonts w:ascii="Times New Roman" w:hAnsi="Times New Roman" w:cs="Times New Roman"/>
          <w:sz w:val="24"/>
          <w:szCs w:val="24"/>
        </w:rPr>
        <w:t>-</w:t>
      </w:r>
      <w:r w:rsidRPr="00D147A7">
        <w:rPr>
          <w:rFonts w:ascii="Times New Roman" w:hAnsi="Times New Roman" w:cs="Times New Roman"/>
          <w:sz w:val="24"/>
          <w:szCs w:val="24"/>
        </w:rPr>
        <w:t>boud Universiteit Nijmegen – Universiteit Tilburg, 2008, 85p. (</w:t>
      </w:r>
      <w:hyperlink r:id="rId193" w:history="1">
        <w:r w:rsidR="00531850" w:rsidRPr="00ED5FE6">
          <w:rPr>
            <w:rStyle w:val="Hyperlink"/>
            <w:rFonts w:ascii="Times New Roman" w:hAnsi="Times New Roman" w:cs="Times New Roman"/>
            <w:sz w:val="24"/>
            <w:szCs w:val="24"/>
          </w:rPr>
          <w:t>http://www.cs.ru.nl/B.Jacobs/ PAPERS/BLG18295.pdf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KEIZER, A.G., ‘De digitale patiënt centraal. Medische informatie in een digitale wereld’, BROEDERS, D.; CUIJPERS, M.K.C.; PRINS, J.E.J. (reds.); </w:t>
      </w:r>
      <w:r w:rsidRPr="00D147A7">
        <w:rPr>
          <w:rFonts w:ascii="Times New Roman" w:hAnsi="Times New Roman" w:cs="Times New Roman"/>
          <w:i/>
          <w:sz w:val="24"/>
          <w:szCs w:val="24"/>
        </w:rPr>
        <w:t>De staat van informatie</w:t>
      </w:r>
      <w:r w:rsidRPr="00D147A7">
        <w:rPr>
          <w:rFonts w:ascii="Times New Roman" w:hAnsi="Times New Roman" w:cs="Times New Roman"/>
          <w:sz w:val="24"/>
          <w:szCs w:val="24"/>
        </w:rPr>
        <w:t>, Ver</w:t>
      </w:r>
      <w:r w:rsidR="00531850">
        <w:rPr>
          <w:rFonts w:ascii="Times New Roman" w:hAnsi="Times New Roman" w:cs="Times New Roman"/>
          <w:sz w:val="24"/>
          <w:szCs w:val="24"/>
        </w:rPr>
        <w:t>-</w:t>
      </w:r>
      <w:r w:rsidRPr="00D147A7">
        <w:rPr>
          <w:rFonts w:ascii="Times New Roman" w:hAnsi="Times New Roman" w:cs="Times New Roman"/>
          <w:sz w:val="24"/>
          <w:szCs w:val="24"/>
        </w:rPr>
        <w:t>kenningen van de Wetenschappelijke Raad voor het Regeringsbeleid, 25, Amsterdam, Am</w:t>
      </w:r>
      <w:r w:rsidR="00531850">
        <w:rPr>
          <w:rFonts w:ascii="Times New Roman" w:hAnsi="Times New Roman" w:cs="Times New Roman"/>
          <w:sz w:val="24"/>
          <w:szCs w:val="24"/>
        </w:rPr>
        <w:t>-</w:t>
      </w:r>
      <w:r w:rsidRPr="00D147A7">
        <w:rPr>
          <w:rFonts w:ascii="Times New Roman" w:hAnsi="Times New Roman" w:cs="Times New Roman"/>
          <w:sz w:val="24"/>
          <w:szCs w:val="24"/>
        </w:rPr>
        <w:t>sterdam University Press, 2011, p. 349-394 (</w:t>
      </w:r>
      <w:hyperlink r:id="rId194" w:history="1">
        <w:r w:rsidR="00531850" w:rsidRPr="00ED5FE6">
          <w:rPr>
            <w:rStyle w:val="Hyperlink"/>
            <w:rFonts w:ascii="Times New Roman" w:hAnsi="Times New Roman" w:cs="Times New Roman"/>
            <w:sz w:val="24"/>
            <w:szCs w:val="24"/>
          </w:rPr>
          <w:t>www.oapen.org/download?type=document&amp; docid=375125</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KINGMA, S.M., ‘Informed consent bij medische behandelingen’, </w:t>
      </w:r>
      <w:r w:rsidRPr="00D147A7">
        <w:rPr>
          <w:rFonts w:ascii="Times New Roman" w:hAnsi="Times New Roman" w:cs="Times New Roman"/>
          <w:i/>
          <w:sz w:val="24"/>
          <w:szCs w:val="24"/>
        </w:rPr>
        <w:t>B.B.</w:t>
      </w:r>
      <w:r w:rsidRPr="00D147A7">
        <w:rPr>
          <w:rFonts w:ascii="Times New Roman" w:hAnsi="Times New Roman" w:cs="Times New Roman"/>
          <w:sz w:val="24"/>
          <w:szCs w:val="24"/>
        </w:rPr>
        <w:t>, 2006, 26, p. 257-260.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LEIJNSE, B.P.H., ‘Wetsvoorstel 31 466 in de Eerste Kamer: kanttekeningen bij argumenten voor een landelijk EPD’, </w:t>
      </w:r>
      <w:r w:rsidRPr="00D147A7">
        <w:rPr>
          <w:rFonts w:ascii="Times New Roman" w:hAnsi="Times New Roman" w:cs="Times New Roman"/>
          <w:i/>
          <w:sz w:val="24"/>
          <w:szCs w:val="24"/>
        </w:rPr>
        <w:t>P&amp;I</w:t>
      </w:r>
      <w:r w:rsidRPr="00D147A7">
        <w:rPr>
          <w:rFonts w:ascii="Times New Roman" w:hAnsi="Times New Roman" w:cs="Times New Roman"/>
          <w:sz w:val="24"/>
          <w:szCs w:val="24"/>
        </w:rPr>
        <w:t>, 12/6 (2009), p. 264-272 (nr. 229).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LIEM, S.L., ‘De lange weg naar een elektronisch patiëntendossier’, </w:t>
      </w:r>
      <w:r w:rsidRPr="00D147A7">
        <w:rPr>
          <w:rFonts w:ascii="Times New Roman" w:hAnsi="Times New Roman" w:cs="Times New Roman"/>
          <w:i/>
          <w:sz w:val="24"/>
          <w:szCs w:val="24"/>
        </w:rPr>
        <w:t>N.T.T.</w:t>
      </w:r>
      <w:r w:rsidRPr="00D147A7">
        <w:rPr>
          <w:rFonts w:ascii="Times New Roman" w:hAnsi="Times New Roman" w:cs="Times New Roman"/>
          <w:sz w:val="24"/>
          <w:szCs w:val="24"/>
        </w:rPr>
        <w:t>, 113 (2006), p. 36-38.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LUNSING, C.A.E., ‘Elektronisch Patiëntendossier: wezenlijk voor de toegankelijkheid van dossiergegevens’, </w:t>
      </w:r>
      <w:r w:rsidRPr="00D147A7">
        <w:rPr>
          <w:rFonts w:ascii="Times New Roman" w:hAnsi="Times New Roman" w:cs="Times New Roman"/>
          <w:i/>
          <w:sz w:val="24"/>
          <w:szCs w:val="24"/>
        </w:rPr>
        <w:t>NTMA</w:t>
      </w:r>
      <w:r w:rsidRPr="00D147A7">
        <w:rPr>
          <w:rFonts w:ascii="Times New Roman" w:hAnsi="Times New Roman" w:cs="Times New Roman"/>
          <w:sz w:val="24"/>
          <w:szCs w:val="24"/>
        </w:rPr>
        <w:t>, 116 (2004), p. 6-7 (</w:t>
      </w:r>
      <w:hyperlink r:id="rId195" w:history="1">
        <w:r w:rsidR="00531850" w:rsidRPr="00ED5FE6">
          <w:rPr>
            <w:rStyle w:val="Hyperlink"/>
            <w:rFonts w:ascii="Times New Roman" w:hAnsi="Times New Roman" w:cs="Times New Roman"/>
            <w:sz w:val="24"/>
            <w:szCs w:val="24"/>
          </w:rPr>
          <w:t>http://www.nvma.nl/nl/publicaties/ntma116/2-epd-wezenlijk.pdf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MAASSEN, H., ‘‘We moeten slimmer gaan werken.’ Neuroloog Bas Bloem over de kracht van e-health en netwerken’, </w:t>
      </w:r>
      <w:r w:rsidRPr="00D147A7">
        <w:rPr>
          <w:rFonts w:ascii="Times New Roman" w:hAnsi="Times New Roman" w:cs="Times New Roman"/>
          <w:i/>
          <w:sz w:val="24"/>
          <w:szCs w:val="24"/>
        </w:rPr>
        <w:t>M.C.</w:t>
      </w:r>
      <w:r w:rsidRPr="00D147A7">
        <w:rPr>
          <w:rFonts w:ascii="Times New Roman" w:hAnsi="Times New Roman" w:cs="Times New Roman"/>
          <w:sz w:val="24"/>
          <w:szCs w:val="24"/>
        </w:rPr>
        <w:t>, 66/37 (2011), p. 2185-2188.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MARKENSTEIN, L.F., ‘Juridische hordes op de route naar een elektronisch patiëntendossier (EPD) in de zorg; een inventarisatie van de stand van zaken’, </w:t>
      </w:r>
      <w:r w:rsidRPr="00D147A7">
        <w:rPr>
          <w:rFonts w:ascii="Times New Roman" w:hAnsi="Times New Roman" w:cs="Times New Roman"/>
          <w:i/>
          <w:sz w:val="24"/>
          <w:szCs w:val="24"/>
        </w:rPr>
        <w:t>T.G.</w:t>
      </w:r>
      <w:r w:rsidRPr="00D147A7">
        <w:rPr>
          <w:rFonts w:ascii="Times New Roman" w:hAnsi="Times New Roman" w:cs="Times New Roman"/>
          <w:sz w:val="24"/>
          <w:szCs w:val="24"/>
        </w:rPr>
        <w:t>, 2005, p. 368-382.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MOMMERS, L., ‘Het elektronisch patiëntendossier: de overheid als koppelbaas’, </w:t>
      </w:r>
      <w:r w:rsidRPr="00D147A7">
        <w:rPr>
          <w:rFonts w:ascii="Times New Roman" w:hAnsi="Times New Roman" w:cs="Times New Roman"/>
          <w:i/>
          <w:sz w:val="24"/>
          <w:szCs w:val="24"/>
        </w:rPr>
        <w:t>T.I.</w:t>
      </w:r>
      <w:r w:rsidRPr="00D147A7">
        <w:rPr>
          <w:rFonts w:ascii="Times New Roman" w:hAnsi="Times New Roman" w:cs="Times New Roman"/>
          <w:sz w:val="24"/>
          <w:szCs w:val="24"/>
        </w:rPr>
        <w:t>, 2008, 3, p. 119-123.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Nictiz, ‘Onvoldoende financiële garanties voortzetting infrastructuur’, s.l., 2011 (</w:t>
      </w:r>
      <w:hyperlink w:history="1">
        <w:r w:rsidR="00037667" w:rsidRPr="00D147A7">
          <w:rPr>
            <w:rStyle w:val="Hyperlink"/>
            <w:rFonts w:ascii="Times New Roman" w:hAnsi="Times New Roman" w:cs="Times New Roman"/>
            <w:sz w:val="24"/>
            <w:szCs w:val="24"/>
          </w:rPr>
          <w:t>http://www. nictiz.nl/page/Nieuws?mod%5BNictiz_News_Module%5D%5Bn%5D=2406</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Nictiz; OZIS; </w:t>
      </w:r>
      <w:r w:rsidRPr="00D147A7">
        <w:rPr>
          <w:rFonts w:ascii="Times New Roman" w:hAnsi="Times New Roman" w:cs="Times New Roman"/>
          <w:i/>
          <w:sz w:val="24"/>
          <w:szCs w:val="24"/>
        </w:rPr>
        <w:t>Medisch Recept Aanvraagbericht. EDIFACT-implementatiehandleiding</w:t>
      </w:r>
      <w:r w:rsidRPr="00D147A7">
        <w:rPr>
          <w:rFonts w:ascii="Times New Roman" w:hAnsi="Times New Roman" w:cs="Times New Roman"/>
          <w:sz w:val="24"/>
          <w:szCs w:val="24"/>
        </w:rPr>
        <w:t>, Den Haag, 2008³, 111p. (</w:t>
      </w:r>
      <w:hyperlink r:id="rId196" w:history="1">
        <w:r w:rsidRPr="00D147A7">
          <w:rPr>
            <w:rStyle w:val="Hyperlink"/>
            <w:rFonts w:ascii="Times New Roman" w:hAnsi="Times New Roman" w:cs="Times New Roman"/>
            <w:sz w:val="24"/>
            <w:szCs w:val="24"/>
          </w:rPr>
          <w:t>http://www.nictiz.nl/module/360/335/Implementatiehandleiding_OZIS-MEDREC_3-2H_BSN_def_Aflever-pdf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NIEUWENHUIJZEN KRUSEMAN, A.C.; NOUWT, J.; WIGERSMA, L.; ‘De KNMG over eHealth’, </w:t>
      </w:r>
      <w:r w:rsidRPr="00D147A7">
        <w:rPr>
          <w:rFonts w:ascii="Times New Roman" w:hAnsi="Times New Roman" w:cs="Times New Roman"/>
          <w:i/>
          <w:sz w:val="24"/>
          <w:szCs w:val="24"/>
        </w:rPr>
        <w:t>Bijblijven</w:t>
      </w:r>
      <w:r w:rsidRPr="00D147A7">
        <w:rPr>
          <w:rFonts w:ascii="Times New Roman" w:hAnsi="Times New Roman" w:cs="Times New Roman"/>
          <w:sz w:val="24"/>
          <w:szCs w:val="24"/>
        </w:rPr>
        <w:t>, 27/8 (2011), p. 49-50.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NOUWT, S., ‘Regionale uitwisseling van patiëntgegevens’, NOUWT, S.; PLOEM, M.C.; </w:t>
      </w:r>
      <w:r w:rsidRPr="00D147A7">
        <w:rPr>
          <w:rFonts w:ascii="Times New Roman" w:hAnsi="Times New Roman" w:cs="Times New Roman"/>
          <w:i/>
          <w:sz w:val="24"/>
          <w:szCs w:val="24"/>
        </w:rPr>
        <w:t>Ge</w:t>
      </w:r>
      <w:r w:rsidR="00531850">
        <w:rPr>
          <w:rFonts w:ascii="Times New Roman" w:hAnsi="Times New Roman" w:cs="Times New Roman"/>
          <w:i/>
          <w:sz w:val="24"/>
          <w:szCs w:val="24"/>
        </w:rPr>
        <w:t>-</w:t>
      </w:r>
      <w:r w:rsidRPr="00D147A7">
        <w:rPr>
          <w:rFonts w:ascii="Times New Roman" w:hAnsi="Times New Roman" w:cs="Times New Roman"/>
          <w:i/>
          <w:sz w:val="24"/>
          <w:szCs w:val="24"/>
        </w:rPr>
        <w:t>zondheidsrecht en ICT</w:t>
      </w:r>
      <w:r w:rsidRPr="00D147A7">
        <w:rPr>
          <w:rFonts w:ascii="Times New Roman" w:hAnsi="Times New Roman" w:cs="Times New Roman"/>
          <w:sz w:val="24"/>
          <w:szCs w:val="24"/>
        </w:rPr>
        <w:t>, ICT en Recht, 7, Den Haag, Sdu Uitgevers, 2012, p. 19-37.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PLOEM, M.C., ‘Naar een landelijk EPD: kanttekeningen bij wetsvoorstel 31 466’, </w:t>
      </w:r>
      <w:r w:rsidRPr="00D147A7">
        <w:rPr>
          <w:rFonts w:ascii="Times New Roman" w:hAnsi="Times New Roman" w:cs="Times New Roman"/>
          <w:i/>
          <w:sz w:val="24"/>
          <w:szCs w:val="24"/>
        </w:rPr>
        <w:t>T.G.</w:t>
      </w:r>
      <w:r w:rsidRPr="00D147A7">
        <w:rPr>
          <w:rFonts w:ascii="Times New Roman" w:hAnsi="Times New Roman" w:cs="Times New Roman"/>
          <w:sz w:val="24"/>
          <w:szCs w:val="24"/>
        </w:rPr>
        <w:t>, 2010, 4, p. 264-284.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PLOEM, M.C., ‘Juridische aandachtspunten bij telezorg’, NOUWT, S.; PLOEM, M.C.; </w:t>
      </w:r>
      <w:r w:rsidRPr="00D147A7">
        <w:rPr>
          <w:rFonts w:ascii="Times New Roman" w:hAnsi="Times New Roman" w:cs="Times New Roman"/>
          <w:i/>
          <w:sz w:val="24"/>
          <w:szCs w:val="24"/>
        </w:rPr>
        <w:t>Ge</w:t>
      </w:r>
      <w:r w:rsidR="00531850">
        <w:rPr>
          <w:rFonts w:ascii="Times New Roman" w:hAnsi="Times New Roman" w:cs="Times New Roman"/>
          <w:i/>
          <w:sz w:val="24"/>
          <w:szCs w:val="24"/>
        </w:rPr>
        <w:t>-</w:t>
      </w:r>
      <w:r w:rsidRPr="00D147A7">
        <w:rPr>
          <w:rFonts w:ascii="Times New Roman" w:hAnsi="Times New Roman" w:cs="Times New Roman"/>
          <w:i/>
          <w:sz w:val="24"/>
          <w:szCs w:val="24"/>
        </w:rPr>
        <w:t>zondheidsrecht en ICT</w:t>
      </w:r>
      <w:r w:rsidRPr="00D147A7">
        <w:rPr>
          <w:rFonts w:ascii="Times New Roman" w:hAnsi="Times New Roman" w:cs="Times New Roman"/>
          <w:sz w:val="24"/>
          <w:szCs w:val="24"/>
        </w:rPr>
        <w:t>, ICT en Recht, 7, Den Haag, Sdu Uitgevers, 2012, p. 115-130.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PLOEM, M.C., ‘(Thuis)zorg op afstand in juridisch perspectief’, </w:t>
      </w:r>
      <w:r w:rsidRPr="00D147A7">
        <w:rPr>
          <w:rFonts w:ascii="Times New Roman" w:hAnsi="Times New Roman" w:cs="Times New Roman"/>
          <w:i/>
          <w:sz w:val="24"/>
          <w:szCs w:val="24"/>
        </w:rPr>
        <w:t>T.G.</w:t>
      </w:r>
      <w:r w:rsidRPr="00D147A7">
        <w:rPr>
          <w:rFonts w:ascii="Times New Roman" w:hAnsi="Times New Roman" w:cs="Times New Roman"/>
          <w:sz w:val="24"/>
          <w:szCs w:val="24"/>
        </w:rPr>
        <w:t>, 31/5 (2008), p. 312-327.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PLOEM, M.C.; HENDRIKS, A.C.; ‘Kritische uitingen over individuele zorgverleners op het internet: waar ligt de grens?’, </w:t>
      </w:r>
      <w:r w:rsidRPr="00D147A7">
        <w:rPr>
          <w:rFonts w:ascii="Times New Roman" w:hAnsi="Times New Roman" w:cs="Times New Roman"/>
          <w:i/>
          <w:sz w:val="24"/>
          <w:szCs w:val="24"/>
        </w:rPr>
        <w:t>T.G.</w:t>
      </w:r>
      <w:r w:rsidRPr="00D147A7">
        <w:rPr>
          <w:rFonts w:ascii="Times New Roman" w:hAnsi="Times New Roman" w:cs="Times New Roman"/>
          <w:sz w:val="24"/>
          <w:szCs w:val="24"/>
        </w:rPr>
        <w:t>, 34/1 (2011), p. 4-17.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PLOEM, M.C.; ZWAANSWIJK, M.; WIESMAN, F.J.; VERHEIJ, F.J.; FRIELE, R.D.; GE</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VERS, J.K.M.; </w:t>
      </w:r>
      <w:r w:rsidRPr="00D147A7">
        <w:rPr>
          <w:rFonts w:ascii="Times New Roman" w:hAnsi="Times New Roman" w:cs="Times New Roman"/>
          <w:i/>
          <w:sz w:val="24"/>
          <w:szCs w:val="24"/>
        </w:rPr>
        <w:t>Vertrouwen van zorgverleners in elektronische informatie-uitwisseling en het landelijk EPD. Een juridische en sociaal-wetenschappelijke studie naar de positie van zorg</w:t>
      </w:r>
      <w:r w:rsidR="00531850">
        <w:rPr>
          <w:rFonts w:ascii="Times New Roman" w:hAnsi="Times New Roman" w:cs="Times New Roman"/>
          <w:i/>
          <w:sz w:val="24"/>
          <w:szCs w:val="24"/>
        </w:rPr>
        <w:t>-</w:t>
      </w:r>
      <w:r w:rsidRPr="00D147A7">
        <w:rPr>
          <w:rFonts w:ascii="Times New Roman" w:hAnsi="Times New Roman" w:cs="Times New Roman"/>
          <w:i/>
          <w:sz w:val="24"/>
          <w:szCs w:val="24"/>
        </w:rPr>
        <w:t>verleners</w:t>
      </w:r>
      <w:r w:rsidRPr="00D147A7">
        <w:rPr>
          <w:rFonts w:ascii="Times New Roman" w:hAnsi="Times New Roman" w:cs="Times New Roman"/>
          <w:sz w:val="24"/>
          <w:szCs w:val="24"/>
        </w:rPr>
        <w:t>, Amsterdam-Utrecht, AMC/NIVEL, 2011, 88p. (</w:t>
      </w:r>
      <w:hyperlink r:id="rId197" w:history="1">
        <w:r w:rsidR="00531850" w:rsidRPr="00ED5FE6">
          <w:rPr>
            <w:rStyle w:val="Hyperlink"/>
            <w:rFonts w:ascii="Times New Roman" w:hAnsi="Times New Roman" w:cs="Times New Roman"/>
            <w:sz w:val="24"/>
            <w:szCs w:val="24"/>
          </w:rPr>
          <w:t>http://www.nivel.nl/sites/default/ files/bestanden/Rapport-vertrouwen-in-landelijk-epd.pdf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PRINS, J.E.J., ‘Het burgerservicenummer en de strijd tegen identiteitsfraude’,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2003, 1, p. 2-3.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Programmacommissie Informatie- en Communicatietechnologie in de Zorg, </w:t>
      </w:r>
      <w:r w:rsidRPr="00D147A7">
        <w:rPr>
          <w:rFonts w:ascii="Times New Roman" w:hAnsi="Times New Roman" w:cs="Times New Roman"/>
          <w:i/>
          <w:sz w:val="24"/>
          <w:szCs w:val="24"/>
        </w:rPr>
        <w:t>Eindevaluatie ZonMw programma. ‘Informatie- en Communicatietechnologie in de Zorg 1996-2006’ (ICZ)</w:t>
      </w:r>
      <w:r w:rsidRPr="00D147A7">
        <w:rPr>
          <w:rFonts w:ascii="Times New Roman" w:hAnsi="Times New Roman" w:cs="Times New Roman"/>
          <w:sz w:val="24"/>
          <w:szCs w:val="24"/>
        </w:rPr>
        <w:t>, Den Haag, ZonMw,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RENDERING, J.A., </w:t>
      </w:r>
      <w:r w:rsidRPr="00D147A7">
        <w:rPr>
          <w:rFonts w:ascii="Times New Roman" w:hAnsi="Times New Roman" w:cs="Times New Roman"/>
          <w:i/>
          <w:sz w:val="24"/>
          <w:szCs w:val="24"/>
        </w:rPr>
        <w:t>Patiënt en recht in de apotheek</w:t>
      </w:r>
      <w:r w:rsidRPr="00D147A7">
        <w:rPr>
          <w:rFonts w:ascii="Times New Roman" w:hAnsi="Times New Roman" w:cs="Times New Roman"/>
          <w:sz w:val="24"/>
          <w:szCs w:val="24"/>
        </w:rPr>
        <w:t xml:space="preserve">, Houten, Bohn Stafleu van Loghum, 2009, 113p.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SALVERDA, J., ‘CBP verbiedt gebruik burgerservicenummer door archiefinstellingen’ in: BIEMANS, J.; YAP, R.; ‘De Wet bescherming persoonsgegevens: een vloek of een zegen?’, </w:t>
      </w:r>
      <w:r w:rsidRPr="00D147A7">
        <w:rPr>
          <w:rFonts w:ascii="Times New Roman" w:hAnsi="Times New Roman" w:cs="Times New Roman"/>
          <w:i/>
          <w:sz w:val="24"/>
          <w:szCs w:val="24"/>
        </w:rPr>
        <w:t>Archievenblad</w:t>
      </w:r>
      <w:r w:rsidRPr="00D147A7">
        <w:rPr>
          <w:rFonts w:ascii="Times New Roman" w:hAnsi="Times New Roman" w:cs="Times New Roman"/>
          <w:sz w:val="24"/>
          <w:szCs w:val="24"/>
        </w:rPr>
        <w:t>, 113/5 (2009), p. 20-23.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SCHEER, P., ‘Terug naar pen en papier’, </w:t>
      </w:r>
      <w:r w:rsidRPr="00D147A7">
        <w:rPr>
          <w:rFonts w:ascii="Times New Roman" w:hAnsi="Times New Roman" w:cs="Times New Roman"/>
          <w:i/>
          <w:sz w:val="24"/>
          <w:szCs w:val="24"/>
        </w:rPr>
        <w:t>Forum</w:t>
      </w:r>
      <w:r w:rsidRPr="00D147A7">
        <w:rPr>
          <w:rFonts w:ascii="Times New Roman" w:hAnsi="Times New Roman" w:cs="Times New Roman"/>
          <w:sz w:val="24"/>
          <w:szCs w:val="24"/>
        </w:rPr>
        <w:t>, 2011, 8, p. 19-21.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SCHELLEVIS, J., ‘Landelijk EPD blijft actief zonder wet’, s.l., 13 april 2011 (</w:t>
      </w:r>
      <w:hyperlink w:history="1">
        <w:r w:rsidR="00037667" w:rsidRPr="00D147A7">
          <w:rPr>
            <w:rStyle w:val="Hyperlink"/>
            <w:rFonts w:ascii="Times New Roman" w:hAnsi="Times New Roman" w:cs="Times New Roman"/>
            <w:sz w:val="24"/>
            <w:szCs w:val="24"/>
          </w:rPr>
          <w:t>http:// tweakers.net/nieuws/73822/landelijk-epd-blijft-actief-zonder-wet.html</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SCHIPHOLT, I.L., ‘Artsen afficheren zich op internet. Websites om patiënten te informeren’, </w:t>
      </w:r>
      <w:r w:rsidRPr="00D147A7">
        <w:rPr>
          <w:rFonts w:ascii="Times New Roman" w:hAnsi="Times New Roman" w:cs="Times New Roman"/>
          <w:i/>
          <w:sz w:val="24"/>
          <w:szCs w:val="24"/>
        </w:rPr>
        <w:t>M.C.</w:t>
      </w:r>
      <w:r w:rsidRPr="00D147A7">
        <w:rPr>
          <w:rFonts w:ascii="Times New Roman" w:hAnsi="Times New Roman" w:cs="Times New Roman"/>
          <w:sz w:val="24"/>
          <w:szCs w:val="24"/>
        </w:rPr>
        <w:t>, 65/26 (2010), p. 1290-1291.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SIEGERS, P.; VOGELS, O.; ‘Webspreekuur is goed en snel. Digitaal consult brengt wacht</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tijden polipatiënten omlaag’, </w:t>
      </w:r>
      <w:r w:rsidRPr="00D147A7">
        <w:rPr>
          <w:rFonts w:ascii="Times New Roman" w:hAnsi="Times New Roman" w:cs="Times New Roman"/>
          <w:i/>
          <w:sz w:val="24"/>
          <w:szCs w:val="24"/>
        </w:rPr>
        <w:t>M.C.</w:t>
      </w:r>
      <w:r w:rsidRPr="00D147A7">
        <w:rPr>
          <w:rFonts w:ascii="Times New Roman" w:hAnsi="Times New Roman" w:cs="Times New Roman"/>
          <w:sz w:val="24"/>
          <w:szCs w:val="24"/>
        </w:rPr>
        <w:t>, 64/44 (2009), p. 1830-1831.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SPAINK, K., </w:t>
      </w:r>
      <w:r w:rsidRPr="00D147A7">
        <w:rPr>
          <w:rFonts w:ascii="Times New Roman" w:hAnsi="Times New Roman" w:cs="Times New Roman"/>
          <w:i/>
          <w:sz w:val="24"/>
          <w:szCs w:val="24"/>
        </w:rPr>
        <w:t>Medische geheimen. Risico’s van het elektronisch Patiëntendossier</w:t>
      </w:r>
      <w:r w:rsidRPr="00D147A7">
        <w:rPr>
          <w:rFonts w:ascii="Times New Roman" w:hAnsi="Times New Roman" w:cs="Times New Roman"/>
          <w:sz w:val="24"/>
          <w:szCs w:val="24"/>
        </w:rPr>
        <w:t>, Amster</w:t>
      </w:r>
      <w:r w:rsidR="00531850">
        <w:rPr>
          <w:rFonts w:ascii="Times New Roman" w:hAnsi="Times New Roman" w:cs="Times New Roman"/>
          <w:sz w:val="24"/>
          <w:szCs w:val="24"/>
        </w:rPr>
        <w:t>-</w:t>
      </w:r>
      <w:r w:rsidRPr="00D147A7">
        <w:rPr>
          <w:rFonts w:ascii="Times New Roman" w:hAnsi="Times New Roman" w:cs="Times New Roman"/>
          <w:sz w:val="24"/>
          <w:szCs w:val="24"/>
        </w:rPr>
        <w:t>dam, Nijgh &amp; Van Ditmar, 2005, 77p.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SPRENGER, M.; VAN ES, E.; </w:t>
      </w:r>
      <w:r w:rsidRPr="00D147A7">
        <w:rPr>
          <w:rFonts w:ascii="Times New Roman" w:hAnsi="Times New Roman" w:cs="Times New Roman"/>
          <w:i/>
          <w:sz w:val="24"/>
          <w:szCs w:val="24"/>
        </w:rPr>
        <w:t>E-Health Monitor 2010 Volumes. Elektronische communicatie van patiëntengegevens in Nederland, overzicht en volume</w:t>
      </w:r>
      <w:r w:rsidRPr="00D147A7">
        <w:rPr>
          <w:rFonts w:ascii="Times New Roman" w:hAnsi="Times New Roman" w:cs="Times New Roman"/>
          <w:sz w:val="24"/>
          <w:szCs w:val="24"/>
        </w:rPr>
        <w:t>, Den Haag, Nictiz, 2010, 21p. (</w:t>
      </w:r>
      <w:hyperlink r:id="rId198" w:history="1">
        <w:r w:rsidR="00531850" w:rsidRPr="00ED5FE6">
          <w:rPr>
            <w:rStyle w:val="Hyperlink"/>
            <w:rFonts w:ascii="Times New Roman" w:hAnsi="Times New Roman" w:cs="Times New Roman"/>
            <w:sz w:val="24"/>
            <w:szCs w:val="24"/>
          </w:rPr>
          <w:t>https://www.nictiz.nl/module/360/75/10023RP_e-health_monitor_2010_volumes.pdf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STEGWEE, R., ‘Keuzes bij standaardisering in de zorg met HL7’, </w:t>
      </w:r>
      <w:r w:rsidRPr="00D147A7">
        <w:rPr>
          <w:rFonts w:ascii="Times New Roman" w:hAnsi="Times New Roman" w:cs="Times New Roman"/>
          <w:i/>
          <w:sz w:val="24"/>
          <w:szCs w:val="24"/>
        </w:rPr>
        <w:t>&lt;!Element</w:t>
      </w:r>
      <w:r w:rsidRPr="00D147A7">
        <w:rPr>
          <w:rFonts w:ascii="Times New Roman" w:hAnsi="Times New Roman" w:cs="Times New Roman"/>
          <w:sz w:val="24"/>
          <w:szCs w:val="24"/>
        </w:rPr>
        <w:t>, 17/1 (2011), p. 4-7 (</w:t>
      </w:r>
      <w:hyperlink r:id="rId199" w:history="1">
        <w:r w:rsidRPr="00D147A7">
          <w:rPr>
            <w:rStyle w:val="Hyperlink"/>
            <w:rFonts w:ascii="Times New Roman" w:hAnsi="Times New Roman" w:cs="Times New Roman"/>
            <w:sz w:val="24"/>
            <w:szCs w:val="24"/>
          </w:rPr>
          <w:t>http://doc.utwente.nl/78666/1/keuzes_bij_standaardisering_in_de_zorg.pdf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THOLE, E.P.M.; WARLAM, I.M.; SIGTERMAN, T.D.; ‘Operatie landelijk EPD mislukt. Wat nu?’,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xml:space="preserve">, 2011, 2, p. 43-49.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TIEMS, S.F., ‘Het elektronisch patiëntendossier: aansprakelijkheid als het misgaat’, </w:t>
      </w:r>
      <w:r w:rsidRPr="00D147A7">
        <w:rPr>
          <w:rFonts w:ascii="Times New Roman" w:hAnsi="Times New Roman" w:cs="Times New Roman"/>
          <w:i/>
          <w:sz w:val="24"/>
          <w:szCs w:val="24"/>
        </w:rPr>
        <w:t>Com</w:t>
      </w:r>
      <w:r w:rsidR="00531850">
        <w:rPr>
          <w:rFonts w:ascii="Times New Roman" w:hAnsi="Times New Roman" w:cs="Times New Roman"/>
          <w:i/>
          <w:sz w:val="24"/>
          <w:szCs w:val="24"/>
        </w:rPr>
        <w:t>-</w:t>
      </w:r>
      <w:r w:rsidRPr="00D147A7">
        <w:rPr>
          <w:rFonts w:ascii="Times New Roman" w:hAnsi="Times New Roman" w:cs="Times New Roman"/>
          <w:i/>
          <w:sz w:val="24"/>
          <w:szCs w:val="24"/>
        </w:rPr>
        <w:t>puterr.</w:t>
      </w:r>
      <w:r w:rsidRPr="00D147A7">
        <w:rPr>
          <w:rFonts w:ascii="Times New Roman" w:hAnsi="Times New Roman" w:cs="Times New Roman"/>
          <w:sz w:val="24"/>
          <w:szCs w:val="24"/>
        </w:rPr>
        <w:t>, 2011, 6, p. 311-319 (nr. 155).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TIEMS, S.F., ‘Civiele aansprakelijkheid bij elektronische transmurale gegevensuitwisseling’, NOUWT, S.; PLOEM, M.C.; </w:t>
      </w:r>
      <w:r w:rsidRPr="00D147A7">
        <w:rPr>
          <w:rFonts w:ascii="Times New Roman" w:hAnsi="Times New Roman" w:cs="Times New Roman"/>
          <w:i/>
          <w:sz w:val="24"/>
          <w:szCs w:val="24"/>
        </w:rPr>
        <w:t>Gezondheidsrecht en ICT</w:t>
      </w:r>
      <w:r w:rsidRPr="00D147A7">
        <w:rPr>
          <w:rFonts w:ascii="Times New Roman" w:hAnsi="Times New Roman" w:cs="Times New Roman"/>
          <w:sz w:val="24"/>
          <w:szCs w:val="24"/>
        </w:rPr>
        <w:t>, ICT en Recht, 7, Den Haag, Sdu Uit</w:t>
      </w:r>
      <w:r w:rsidR="00531850">
        <w:rPr>
          <w:rFonts w:ascii="Times New Roman" w:hAnsi="Times New Roman" w:cs="Times New Roman"/>
          <w:sz w:val="24"/>
          <w:szCs w:val="24"/>
        </w:rPr>
        <w:t>-</w:t>
      </w:r>
      <w:r w:rsidRPr="00D147A7">
        <w:rPr>
          <w:rFonts w:ascii="Times New Roman" w:hAnsi="Times New Roman" w:cs="Times New Roman"/>
          <w:sz w:val="24"/>
          <w:szCs w:val="24"/>
        </w:rPr>
        <w:t>gevers, 2012, p. 65-79.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VALGAEREN, E.; LEITNER, L.; ‘Smartphones en privacy: vrienden, vijanden of ergens tus</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senin?’, </w:t>
      </w:r>
      <w:r w:rsidRPr="00D147A7">
        <w:rPr>
          <w:rFonts w:ascii="Times New Roman" w:hAnsi="Times New Roman" w:cs="Times New Roman"/>
          <w:i/>
          <w:sz w:val="24"/>
          <w:szCs w:val="24"/>
        </w:rPr>
        <w:t>Computerr.</w:t>
      </w:r>
      <w:r w:rsidRPr="00D147A7">
        <w:rPr>
          <w:rFonts w:ascii="Times New Roman" w:hAnsi="Times New Roman" w:cs="Times New Roman"/>
          <w:sz w:val="24"/>
          <w:szCs w:val="24"/>
        </w:rPr>
        <w:t>, 2012, 1, p. 2-9.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DEN BRINK-MUINEN, A., </w:t>
      </w:r>
      <w:r w:rsidRPr="00D147A7">
        <w:rPr>
          <w:rFonts w:ascii="Times New Roman" w:hAnsi="Times New Roman" w:cs="Times New Roman"/>
          <w:i/>
          <w:sz w:val="24"/>
          <w:szCs w:val="24"/>
        </w:rPr>
        <w:t>Behoeften en wensen van chronisch zieken ten aanzien van een patiëntenportal</w:t>
      </w:r>
      <w:r w:rsidRPr="00D147A7">
        <w:rPr>
          <w:rFonts w:ascii="Times New Roman" w:hAnsi="Times New Roman" w:cs="Times New Roman"/>
          <w:sz w:val="24"/>
          <w:szCs w:val="24"/>
        </w:rPr>
        <w:t>, s.l., NIVEL, 2007, 3p. (</w:t>
      </w:r>
      <w:hyperlink r:id="rId200" w:history="1">
        <w:r w:rsidR="00531850" w:rsidRPr="00ED5FE6">
          <w:rPr>
            <w:rStyle w:val="Hyperlink"/>
            <w:rFonts w:ascii="Times New Roman" w:hAnsi="Times New Roman" w:cs="Times New Roman"/>
            <w:sz w:val="24"/>
            <w:szCs w:val="24"/>
          </w:rPr>
          <w:t>http://www.nivel.nl/sites/default/files/bestanden/ NPCF-factsheet-patportal_PO.pdf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DER MAAT, M.; REITSMA-VAN ROOIJEN, M.; DE JONG, J.; </w:t>
      </w:r>
      <w:r w:rsidRPr="00D147A7">
        <w:rPr>
          <w:rFonts w:ascii="Times New Roman" w:hAnsi="Times New Roman" w:cs="Times New Roman"/>
          <w:i/>
          <w:sz w:val="24"/>
          <w:szCs w:val="24"/>
        </w:rPr>
        <w:t>Vooral mensen met een slechte gezondheid maken bezwaar ten het landelijk EPD</w:t>
      </w:r>
      <w:r w:rsidRPr="00D147A7">
        <w:rPr>
          <w:rFonts w:ascii="Times New Roman" w:hAnsi="Times New Roman" w:cs="Times New Roman"/>
          <w:sz w:val="24"/>
          <w:szCs w:val="24"/>
        </w:rPr>
        <w:t>, s.l., 2010, 4p (</w:t>
      </w:r>
      <w:hyperlink w:history="1">
        <w:r w:rsidR="00531850" w:rsidRPr="00ED5FE6">
          <w:rPr>
            <w:rStyle w:val="Hyperlink"/>
            <w:rFonts w:ascii="Times New Roman" w:hAnsi="Times New Roman" w:cs="Times New Roman"/>
            <w:sz w:val="24"/>
            <w:szCs w:val="24"/>
          </w:rPr>
          <w:t>http://www. nivel.nl/sites/default/files/bestanden/Factsheet-mensen-met-slechte-gezondheid-bezwaar-EPD .pdf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DER WEL, J., ‘Beveiliging van gezondheidsinformatie’, NOUWT, S.; PLOEM, M.C.; </w:t>
      </w:r>
      <w:r w:rsidRPr="00D147A7">
        <w:rPr>
          <w:rFonts w:ascii="Times New Roman" w:hAnsi="Times New Roman" w:cs="Times New Roman"/>
          <w:i/>
          <w:sz w:val="24"/>
          <w:szCs w:val="24"/>
        </w:rPr>
        <w:t>Gezondheidsrecht en ICT</w:t>
      </w:r>
      <w:r w:rsidRPr="00D147A7">
        <w:rPr>
          <w:rFonts w:ascii="Times New Roman" w:hAnsi="Times New Roman" w:cs="Times New Roman"/>
          <w:sz w:val="24"/>
          <w:szCs w:val="24"/>
        </w:rPr>
        <w:t>, ICT en Recht, 7, Den Haag, Sdu Uitgevers, 2012, p. 39-51.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VAN DIJK, C.H., ‘Toepassing van de theorie van verlies van een kans bij medische aanspra</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kelijkheid’, KASTELEIN, W.R.; SLUIJTERS, B.; </w:t>
      </w:r>
      <w:r w:rsidRPr="00D147A7">
        <w:rPr>
          <w:rFonts w:ascii="Times New Roman" w:hAnsi="Times New Roman" w:cs="Times New Roman"/>
          <w:i/>
          <w:sz w:val="24"/>
          <w:szCs w:val="24"/>
        </w:rPr>
        <w:t>Medische aansprakelijkheid</w:t>
      </w:r>
      <w:r w:rsidRPr="00D147A7">
        <w:rPr>
          <w:rFonts w:ascii="Times New Roman" w:hAnsi="Times New Roman" w:cs="Times New Roman"/>
          <w:sz w:val="24"/>
          <w:szCs w:val="24"/>
        </w:rPr>
        <w:t>, Den Haag, Koninklijke Vermande, 2003, p. 27-43.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DUIVENBODEN, J., ‘Van plannen maken naar aanpakken’, </w:t>
      </w:r>
      <w:r w:rsidRPr="00D147A7">
        <w:rPr>
          <w:rFonts w:ascii="Times New Roman" w:hAnsi="Times New Roman" w:cs="Times New Roman"/>
          <w:i/>
          <w:sz w:val="24"/>
          <w:szCs w:val="24"/>
        </w:rPr>
        <w:t>NTMA</w:t>
      </w:r>
      <w:r w:rsidRPr="00D147A7">
        <w:rPr>
          <w:rFonts w:ascii="Times New Roman" w:hAnsi="Times New Roman" w:cs="Times New Roman"/>
          <w:sz w:val="24"/>
          <w:szCs w:val="24"/>
        </w:rPr>
        <w:t>, 119 (2005), p. 36-40 (</w:t>
      </w:r>
      <w:hyperlink r:id="rId201" w:history="1">
        <w:r w:rsidRPr="00D147A7">
          <w:rPr>
            <w:rStyle w:val="Hyperlink"/>
            <w:rFonts w:ascii="Times New Roman" w:hAnsi="Times New Roman" w:cs="Times New Roman"/>
            <w:sz w:val="24"/>
            <w:szCs w:val="24"/>
          </w:rPr>
          <w:t>http://www.nvma.nl/nl/publicaties/ntma119/10-vanPlannenMaken.pdf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MEERSBERGEN, D., ‘Het e-consult’, NOUWT, S.; PLOEM, M.C. (reds.); </w:t>
      </w:r>
      <w:r w:rsidRPr="00D147A7">
        <w:rPr>
          <w:rFonts w:ascii="Times New Roman" w:hAnsi="Times New Roman" w:cs="Times New Roman"/>
          <w:i/>
          <w:sz w:val="24"/>
          <w:szCs w:val="24"/>
        </w:rPr>
        <w:t>Gezond</w:t>
      </w:r>
      <w:r w:rsidR="00531850">
        <w:rPr>
          <w:rFonts w:ascii="Times New Roman" w:hAnsi="Times New Roman" w:cs="Times New Roman"/>
          <w:i/>
          <w:sz w:val="24"/>
          <w:szCs w:val="24"/>
        </w:rPr>
        <w:t>-</w:t>
      </w:r>
      <w:r w:rsidRPr="00D147A7">
        <w:rPr>
          <w:rFonts w:ascii="Times New Roman" w:hAnsi="Times New Roman" w:cs="Times New Roman"/>
          <w:i/>
          <w:sz w:val="24"/>
          <w:szCs w:val="24"/>
        </w:rPr>
        <w:t>heidsrecht en ICT</w:t>
      </w:r>
      <w:r w:rsidRPr="00D147A7">
        <w:rPr>
          <w:rFonts w:ascii="Times New Roman" w:hAnsi="Times New Roman" w:cs="Times New Roman"/>
          <w:sz w:val="24"/>
          <w:szCs w:val="24"/>
        </w:rPr>
        <w:t>, ICT en Recht, 7, Den Haag, Sdu Uitgevers, 2012, p. 97-113</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RIJEN, A.J.G.; DE LINT, M.W.; OTTES, L.; </w:t>
      </w:r>
      <w:r w:rsidRPr="00D147A7">
        <w:rPr>
          <w:rFonts w:ascii="Times New Roman" w:hAnsi="Times New Roman" w:cs="Times New Roman"/>
          <w:i/>
          <w:sz w:val="24"/>
          <w:szCs w:val="24"/>
        </w:rPr>
        <w:t>Inzicht in e-health</w:t>
      </w:r>
      <w:r w:rsidRPr="00D147A7">
        <w:rPr>
          <w:rFonts w:ascii="Times New Roman" w:hAnsi="Times New Roman" w:cs="Times New Roman"/>
          <w:sz w:val="24"/>
          <w:szCs w:val="24"/>
        </w:rPr>
        <w:t>, Zoetermeer, Raad voor de Volksgezondheid en Zorg, 2002, 204p. (</w:t>
      </w:r>
      <w:hyperlink r:id="rId202" w:history="1">
        <w:r w:rsidR="00531850" w:rsidRPr="00ED5FE6">
          <w:rPr>
            <w:rStyle w:val="Hyperlink"/>
            <w:rFonts w:ascii="Times New Roman" w:hAnsi="Times New Roman" w:cs="Times New Roman"/>
            <w:sz w:val="24"/>
            <w:szCs w:val="24"/>
          </w:rPr>
          <w:t>http://rvz.net/uploads/docs/ Achtergrondstudie_-_E-health_in_zicht.pdf</w:t>
        </w:r>
      </w:hyperlink>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RIJEN, A.J.G.; OTTES, L.; ‘De meerwaarde van e-health’, </w:t>
      </w:r>
      <w:r w:rsidRPr="00D147A7">
        <w:rPr>
          <w:rFonts w:ascii="Times New Roman" w:hAnsi="Times New Roman" w:cs="Times New Roman"/>
          <w:i/>
          <w:sz w:val="24"/>
          <w:szCs w:val="24"/>
        </w:rPr>
        <w:t>M.C.</w:t>
      </w:r>
      <w:r w:rsidRPr="00D147A7">
        <w:rPr>
          <w:rFonts w:ascii="Times New Roman" w:hAnsi="Times New Roman" w:cs="Times New Roman"/>
          <w:sz w:val="24"/>
          <w:szCs w:val="24"/>
        </w:rPr>
        <w:t>, 57/17 (2002), p. 679-681.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ROSSUM, R., </w:t>
      </w:r>
      <w:r w:rsidRPr="00D147A7">
        <w:rPr>
          <w:rFonts w:ascii="Times New Roman" w:hAnsi="Times New Roman" w:cs="Times New Roman"/>
          <w:i/>
          <w:sz w:val="24"/>
          <w:szCs w:val="24"/>
        </w:rPr>
        <w:t>Risico-analyse van het Landelijk Schakelpunt, hart van de informatie</w:t>
      </w:r>
      <w:r w:rsidR="00531850">
        <w:rPr>
          <w:rFonts w:ascii="Times New Roman" w:hAnsi="Times New Roman" w:cs="Times New Roman"/>
          <w:i/>
          <w:sz w:val="24"/>
          <w:szCs w:val="24"/>
        </w:rPr>
        <w:t>-</w:t>
      </w:r>
      <w:r w:rsidRPr="00D147A7">
        <w:rPr>
          <w:rFonts w:ascii="Times New Roman" w:hAnsi="Times New Roman" w:cs="Times New Roman"/>
          <w:i/>
          <w:sz w:val="24"/>
          <w:szCs w:val="24"/>
        </w:rPr>
        <w:t>voorziening in de zorg</w:t>
      </w:r>
      <w:r w:rsidRPr="00D147A7">
        <w:rPr>
          <w:rFonts w:ascii="Times New Roman" w:hAnsi="Times New Roman" w:cs="Times New Roman"/>
          <w:sz w:val="24"/>
          <w:szCs w:val="24"/>
        </w:rPr>
        <w:t>, onuitgegeven masterpaper, Informatiekunde – specialisatie Informa</w:t>
      </w:r>
      <w:r w:rsidR="00531850">
        <w:rPr>
          <w:rFonts w:ascii="Times New Roman" w:hAnsi="Times New Roman" w:cs="Times New Roman"/>
          <w:sz w:val="24"/>
          <w:szCs w:val="24"/>
        </w:rPr>
        <w:t>-</w:t>
      </w:r>
      <w:r w:rsidRPr="00D147A7">
        <w:rPr>
          <w:rFonts w:ascii="Times New Roman" w:hAnsi="Times New Roman" w:cs="Times New Roman"/>
          <w:sz w:val="24"/>
          <w:szCs w:val="24"/>
        </w:rPr>
        <w:t>tion Security, Radboud Universiteit Nijmegen, promotores dr. Martijn Oostdijk en dr. Perry Groot, 2007, 146p. (</w:t>
      </w:r>
      <w:hyperlink r:id="rId203" w:history="1">
        <w:r w:rsidRPr="00D147A7">
          <w:rPr>
            <w:rStyle w:val="Hyperlink"/>
            <w:rFonts w:ascii="Times New Roman" w:hAnsi="Times New Roman" w:cs="Times New Roman"/>
            <w:sz w:val="24"/>
            <w:szCs w:val="24"/>
          </w:rPr>
          <w:t>www.ru.nl/</w:t>
        </w:r>
      </w:hyperlink>
      <w:r w:rsidRPr="00D147A7">
        <w:rPr>
          <w:rFonts w:ascii="Times New Roman" w:hAnsi="Times New Roman" w:cs="Times New Roman"/>
          <w:sz w:val="24"/>
          <w:szCs w:val="24"/>
        </w:rPr>
        <w: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en-US"/>
        </w:rPr>
        <w:t xml:space="preserve">VAN ‘T NOORDENDE, </w:t>
      </w:r>
      <w:r w:rsidRPr="00D147A7">
        <w:rPr>
          <w:rFonts w:ascii="Times New Roman" w:hAnsi="Times New Roman" w:cs="Times New Roman"/>
          <w:i/>
          <w:sz w:val="24"/>
          <w:szCs w:val="24"/>
          <w:lang w:val="en-US"/>
        </w:rPr>
        <w:t xml:space="preserve">Frequently Asked Questions. </w:t>
      </w:r>
      <w:r w:rsidRPr="00D147A7">
        <w:rPr>
          <w:rFonts w:ascii="Times New Roman" w:hAnsi="Times New Roman" w:cs="Times New Roman"/>
          <w:i/>
          <w:sz w:val="24"/>
          <w:szCs w:val="24"/>
        </w:rPr>
        <w:t>Feit en fictie over de EPD doorstart</w:t>
      </w:r>
      <w:r w:rsidRPr="00D147A7">
        <w:rPr>
          <w:rFonts w:ascii="Times New Roman" w:hAnsi="Times New Roman" w:cs="Times New Roman"/>
          <w:sz w:val="24"/>
          <w:szCs w:val="24"/>
        </w:rPr>
        <w:t>, Amsterdam, 2011 (</w:t>
      </w:r>
      <w:hyperlink r:id="rId204" w:history="1">
        <w:r w:rsidRPr="00D147A7">
          <w:rPr>
            <w:rStyle w:val="Hyperlink"/>
            <w:rFonts w:ascii="Times New Roman" w:hAnsi="Times New Roman" w:cs="Times New Roman"/>
            <w:sz w:val="24"/>
            <w:szCs w:val="24"/>
          </w:rPr>
          <w:t>http://staff.science.uva.nl/~noordend/epd/faq1.html</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VAN VEEN, E.B., ‘BSN en EPD, grote operaties’, </w:t>
      </w:r>
      <w:r w:rsidRPr="00D147A7">
        <w:rPr>
          <w:rFonts w:ascii="Times New Roman" w:hAnsi="Times New Roman" w:cs="Times New Roman"/>
          <w:i/>
          <w:sz w:val="24"/>
          <w:szCs w:val="24"/>
        </w:rPr>
        <w:t>T.G.</w:t>
      </w:r>
      <w:r w:rsidRPr="00D147A7">
        <w:rPr>
          <w:rFonts w:ascii="Times New Roman" w:hAnsi="Times New Roman" w:cs="Times New Roman"/>
          <w:sz w:val="24"/>
          <w:szCs w:val="24"/>
        </w:rPr>
        <w:t xml:space="preserve">, 32/5 (2009), p. 331.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WEGDAM, M., </w:t>
      </w:r>
      <w:r w:rsidRPr="00D147A7">
        <w:rPr>
          <w:rFonts w:ascii="Times New Roman" w:hAnsi="Times New Roman" w:cs="Times New Roman"/>
          <w:i/>
          <w:sz w:val="24"/>
          <w:szCs w:val="24"/>
        </w:rPr>
        <w:t>e-identity: zorgeloze identificatie van zorgconsumenten</w:t>
      </w:r>
      <w:r w:rsidRPr="00D147A7">
        <w:rPr>
          <w:rFonts w:ascii="Times New Roman" w:hAnsi="Times New Roman" w:cs="Times New Roman"/>
          <w:sz w:val="24"/>
          <w:szCs w:val="24"/>
        </w:rPr>
        <w:t>, Den Haag, Nictiz, 2010, 7p. (</w:t>
      </w:r>
      <w:hyperlink r:id="rId205" w:history="1">
        <w:r w:rsidRPr="00D147A7">
          <w:rPr>
            <w:rStyle w:val="Hyperlink"/>
            <w:rFonts w:ascii="Times New Roman" w:hAnsi="Times New Roman" w:cs="Times New Roman"/>
            <w:sz w:val="24"/>
            <w:szCs w:val="24"/>
          </w:rPr>
          <w:t>http://www.nictiz.nl/module/360/73/10002KA_Kennisartikel_e-Identity.pdf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WOLTERINK, G.K.; POPKEN, J.; SPRENGER, M. (reds.); </w:t>
      </w:r>
      <w:r w:rsidRPr="00D147A7">
        <w:rPr>
          <w:rFonts w:ascii="Times New Roman" w:hAnsi="Times New Roman" w:cs="Times New Roman"/>
          <w:i/>
          <w:sz w:val="24"/>
          <w:szCs w:val="24"/>
        </w:rPr>
        <w:t>White Paper Regionale informa</w:t>
      </w:r>
      <w:r w:rsidR="00531850">
        <w:rPr>
          <w:rFonts w:ascii="Times New Roman" w:hAnsi="Times New Roman" w:cs="Times New Roman"/>
          <w:i/>
          <w:sz w:val="24"/>
          <w:szCs w:val="24"/>
        </w:rPr>
        <w:t>-</w:t>
      </w:r>
      <w:r w:rsidRPr="00D147A7">
        <w:rPr>
          <w:rFonts w:ascii="Times New Roman" w:hAnsi="Times New Roman" w:cs="Times New Roman"/>
          <w:i/>
          <w:sz w:val="24"/>
          <w:szCs w:val="24"/>
        </w:rPr>
        <w:t>tievoorziening voor de zorg: regionale en landelijke ontwikkelingen in samenhang</w:t>
      </w:r>
      <w:r w:rsidRPr="00D147A7">
        <w:rPr>
          <w:rFonts w:ascii="Times New Roman" w:hAnsi="Times New Roman" w:cs="Times New Roman"/>
          <w:sz w:val="24"/>
          <w:szCs w:val="24"/>
        </w:rPr>
        <w:t>, Leid</w:t>
      </w:r>
      <w:r w:rsidR="00531850">
        <w:rPr>
          <w:rFonts w:ascii="Times New Roman" w:hAnsi="Times New Roman" w:cs="Times New Roman"/>
          <w:sz w:val="24"/>
          <w:szCs w:val="24"/>
        </w:rPr>
        <w:t>-</w:t>
      </w:r>
      <w:r w:rsidRPr="00D147A7">
        <w:rPr>
          <w:rFonts w:ascii="Times New Roman" w:hAnsi="Times New Roman" w:cs="Times New Roman"/>
          <w:sz w:val="24"/>
          <w:szCs w:val="24"/>
        </w:rPr>
        <w:t>schendam, Nictiz, 2008, 45p. (</w:t>
      </w:r>
      <w:hyperlink r:id="rId206" w:history="1">
        <w:r w:rsidR="00531850" w:rsidRPr="00ED5FE6">
          <w:rPr>
            <w:rStyle w:val="Hyperlink"/>
            <w:rFonts w:ascii="Times New Roman" w:hAnsi="Times New Roman" w:cs="Times New Roman"/>
            <w:sz w:val="24"/>
            <w:szCs w:val="24"/>
          </w:rPr>
          <w:t>http://www.squarewise.com/downloads/publicaties/ Squarewise-White-Paper-Electronisch-Patient-Dossier.pdf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NOUWT, S., </w:t>
      </w:r>
      <w:r w:rsidRPr="00D147A7">
        <w:rPr>
          <w:rFonts w:ascii="Times New Roman" w:hAnsi="Times New Roman" w:cs="Times New Roman"/>
          <w:i/>
          <w:sz w:val="24"/>
          <w:szCs w:val="24"/>
        </w:rPr>
        <w:t>Beveiliging van het EPD</w:t>
      </w:r>
      <w:r w:rsidRPr="00D147A7">
        <w:rPr>
          <w:rFonts w:ascii="Times New Roman" w:hAnsi="Times New Roman" w:cs="Times New Roman"/>
          <w:sz w:val="24"/>
          <w:szCs w:val="24"/>
        </w:rPr>
        <w:t>, reeks Rapportage van het Juridisch Laboratorium, Den Haag, ZonMw, 2002, 65p.</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2.5 Websites</w:t>
      </w:r>
    </w:p>
    <w:p w:rsidR="00531850" w:rsidRDefault="00531850" w:rsidP="009931C7">
      <w:pPr>
        <w:pStyle w:val="Geenafstand"/>
      </w:pPr>
    </w:p>
    <w:p w:rsidR="00037667" w:rsidRPr="00D147A7" w:rsidRDefault="002E7E12" w:rsidP="009931C7">
      <w:pPr>
        <w:pStyle w:val="Geenafstand"/>
        <w:rPr>
          <w:rFonts w:ascii="Times New Roman" w:hAnsi="Times New Roman" w:cs="Times New Roman"/>
          <w:sz w:val="24"/>
          <w:szCs w:val="24"/>
        </w:rPr>
      </w:pPr>
      <w:hyperlink r:id="rId207" w:history="1">
        <w:r w:rsidR="00037667" w:rsidRPr="00D147A7">
          <w:rPr>
            <w:rStyle w:val="Hyperlink"/>
            <w:rFonts w:ascii="Times New Roman" w:hAnsi="Times New Roman" w:cs="Times New Roman"/>
            <w:sz w:val="24"/>
            <w:szCs w:val="24"/>
          </w:rPr>
          <w:t>http://d1sx0yagqoiea4.cloudfront.net/</w:t>
        </w:r>
      </w:hyperlink>
      <w:r w:rsidR="00037667" w:rsidRPr="00D147A7">
        <w:rPr>
          <w:rFonts w:ascii="Times New Roman" w:hAnsi="Times New Roman" w:cs="Times New Roman"/>
          <w:sz w:val="24"/>
          <w:szCs w:val="24"/>
        </w:rPr>
        <w:t xml:space="preserve"> (</w:t>
      </w:r>
      <w:r w:rsidR="009931C7" w:rsidRPr="00D147A7">
        <w:rPr>
          <w:rFonts w:ascii="Times New Roman" w:hAnsi="Times New Roman" w:cs="Times New Roman"/>
          <w:sz w:val="24"/>
          <w:szCs w:val="24"/>
        </w:rPr>
        <w:t>laatst geraadpleegd op 23 juli 201</w:t>
      </w:r>
      <w:r w:rsidR="00037667" w:rsidRPr="00D147A7">
        <w:rPr>
          <w:rFonts w:ascii="Times New Roman" w:hAnsi="Times New Roman" w:cs="Times New Roman"/>
          <w:sz w:val="24"/>
          <w:szCs w:val="24"/>
        </w:rPr>
        <w:t>2).</w:t>
      </w:r>
    </w:p>
    <w:p w:rsidR="009931C7" w:rsidRPr="00D147A7" w:rsidRDefault="002E7E12" w:rsidP="009931C7">
      <w:pPr>
        <w:pStyle w:val="Geenafstand"/>
        <w:rPr>
          <w:rFonts w:ascii="Times New Roman" w:hAnsi="Times New Roman" w:cs="Times New Roman"/>
          <w:sz w:val="24"/>
          <w:szCs w:val="24"/>
        </w:rPr>
      </w:pPr>
      <w:hyperlink r:id="rId208" w:history="1">
        <w:r w:rsidR="00037667" w:rsidRPr="00D147A7">
          <w:rPr>
            <w:rStyle w:val="Hyperlink"/>
            <w:rFonts w:ascii="Times New Roman" w:hAnsi="Times New Roman" w:cs="Times New Roman"/>
            <w:sz w:val="24"/>
            <w:szCs w:val="24"/>
          </w:rPr>
          <w:t>http://doc.utwente.nl</w:t>
        </w:r>
      </w:hyperlink>
      <w:r w:rsidR="0003766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09" w:history="1">
        <w:r w:rsidR="00037667" w:rsidRPr="00D147A7">
          <w:rPr>
            <w:rStyle w:val="Hyperlink"/>
            <w:rFonts w:ascii="Times New Roman" w:hAnsi="Times New Roman" w:cs="Times New Roman"/>
            <w:sz w:val="24"/>
            <w:szCs w:val="24"/>
          </w:rPr>
          <w:t>http://ecbj.home.xs4all.nl/jdagboek.html</w:t>
        </w:r>
      </w:hyperlink>
      <w:r w:rsidR="00037667" w:rsidRPr="00D147A7">
        <w:rPr>
          <w:rFonts w:ascii="Times New Roman" w:hAnsi="Times New Roman" w:cs="Times New Roman"/>
          <w:sz w:val="24"/>
          <w:szCs w:val="24"/>
        </w:rPr>
        <w:t xml:space="preserve"> (</w:t>
      </w:r>
      <w:r w:rsidR="009931C7" w:rsidRPr="00D147A7">
        <w:rPr>
          <w:rFonts w:ascii="Times New Roman" w:hAnsi="Times New Roman" w:cs="Times New Roman"/>
          <w:sz w:val="24"/>
          <w:szCs w:val="24"/>
        </w:rPr>
        <w:t>laatst geraadpleegd op 23 juli 201</w:t>
      </w:r>
      <w:r w:rsidR="00037667" w:rsidRPr="00D147A7">
        <w:rPr>
          <w:rFonts w:ascii="Times New Roman" w:hAnsi="Times New Roman" w:cs="Times New Roman"/>
          <w:sz w:val="24"/>
          <w:szCs w:val="24"/>
        </w:rPr>
        <w:t>2).</w:t>
      </w:r>
    </w:p>
    <w:p w:rsidR="009931C7" w:rsidRPr="00D147A7" w:rsidRDefault="002E7E12" w:rsidP="009931C7">
      <w:pPr>
        <w:pStyle w:val="Geenafstand"/>
        <w:jc w:val="both"/>
        <w:rPr>
          <w:rFonts w:ascii="Times New Roman" w:hAnsi="Times New Roman" w:cs="Times New Roman"/>
          <w:sz w:val="24"/>
          <w:szCs w:val="24"/>
        </w:rPr>
      </w:pPr>
      <w:hyperlink r:id="rId210" w:history="1">
        <w:r w:rsidR="009931C7" w:rsidRPr="00D147A7">
          <w:rPr>
            <w:rStyle w:val="Hyperlink"/>
            <w:rFonts w:ascii="Times New Roman" w:hAnsi="Times New Roman" w:cs="Times New Roman"/>
            <w:sz w:val="24"/>
            <w:szCs w:val="24"/>
          </w:rPr>
          <w:t>http://epd-nee.nl/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11" w:history="1">
        <w:r w:rsidR="009931C7" w:rsidRPr="00D147A7">
          <w:rPr>
            <w:rStyle w:val="Hyperlink"/>
            <w:rFonts w:ascii="Times New Roman" w:hAnsi="Times New Roman" w:cs="Times New Roman"/>
            <w:sz w:val="24"/>
            <w:szCs w:val="24"/>
          </w:rPr>
          <w:t>https://gclindenholt.patientportaal.nl/index.html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12" w:history="1">
        <w:r w:rsidR="009931C7" w:rsidRPr="00D147A7">
          <w:rPr>
            <w:rStyle w:val="Hyperlink"/>
            <w:rFonts w:ascii="Times New Roman" w:hAnsi="Times New Roman" w:cs="Times New Roman"/>
            <w:sz w:val="24"/>
            <w:szCs w:val="24"/>
          </w:rPr>
          <w:t>https://htc.azm.nl/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13" w:history="1">
        <w:r w:rsidR="009931C7" w:rsidRPr="00D147A7">
          <w:rPr>
            <w:rStyle w:val="Hyperlink"/>
            <w:rFonts w:ascii="Times New Roman" w:hAnsi="Times New Roman" w:cs="Times New Roman"/>
            <w:sz w:val="24"/>
            <w:szCs w:val="24"/>
          </w:rPr>
          <w:t>http://knmg.artsennet.nl/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Style w:val="Hyperlink"/>
          <w:rFonts w:ascii="Times New Roman" w:hAnsi="Times New Roman" w:cs="Times New Roman"/>
          <w:sz w:val="24"/>
          <w:szCs w:val="24"/>
        </w:rPr>
      </w:pPr>
      <w:hyperlink r:id="rId214" w:history="1">
        <w:r w:rsidR="00037667" w:rsidRPr="00D147A7">
          <w:rPr>
            <w:rStyle w:val="Hyperlink"/>
            <w:rFonts w:ascii="Times New Roman" w:hAnsi="Times New Roman" w:cs="Times New Roman"/>
            <w:sz w:val="24"/>
            <w:szCs w:val="24"/>
          </w:rPr>
          <w:t>http://rvz.net/</w:t>
        </w:r>
      </w:hyperlink>
      <w:r w:rsidR="00037667"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215" w:history="1">
        <w:r w:rsidR="00037667" w:rsidRPr="00D147A7">
          <w:rPr>
            <w:rStyle w:val="Hyperlink"/>
            <w:rFonts w:ascii="Times New Roman" w:hAnsi="Times New Roman" w:cs="Times New Roman"/>
            <w:sz w:val="24"/>
            <w:szCs w:val="24"/>
          </w:rPr>
          <w:t>http://staff.science.uva.nl/~noordend/epd/faq1.html</w:t>
        </w:r>
      </w:hyperlink>
      <w:r w:rsidR="00037667" w:rsidRPr="00D147A7">
        <w:rPr>
          <w:rFonts w:ascii="Times New Roman" w:hAnsi="Times New Roman" w:cs="Times New Roman"/>
          <w:sz w:val="24"/>
          <w:szCs w:val="24"/>
        </w:rPr>
        <w:t xml:space="preserve"> (</w:t>
      </w:r>
      <w:r w:rsidR="009931C7" w:rsidRPr="00D147A7">
        <w:rPr>
          <w:rFonts w:ascii="Times New Roman" w:hAnsi="Times New Roman" w:cs="Times New Roman"/>
          <w:sz w:val="24"/>
          <w:szCs w:val="24"/>
        </w:rPr>
        <w:t>laatst geraadpleegd op 23 juli 201</w:t>
      </w:r>
      <w:r w:rsidR="00037667" w:rsidRPr="00D147A7">
        <w:rPr>
          <w:rFonts w:ascii="Times New Roman" w:hAnsi="Times New Roman" w:cs="Times New Roman"/>
          <w:sz w:val="24"/>
          <w:szCs w:val="24"/>
        </w:rPr>
        <w:t>2).</w:t>
      </w:r>
    </w:p>
    <w:p w:rsidR="00037667" w:rsidRPr="00D147A7" w:rsidRDefault="002E7E12" w:rsidP="009931C7">
      <w:pPr>
        <w:pStyle w:val="Geenafstand"/>
        <w:rPr>
          <w:rFonts w:ascii="Times New Roman" w:hAnsi="Times New Roman" w:cs="Times New Roman"/>
          <w:color w:val="0000FF" w:themeColor="hyperlink"/>
          <w:sz w:val="24"/>
          <w:szCs w:val="24"/>
          <w:u w:val="single"/>
        </w:rPr>
      </w:pPr>
      <w:hyperlink r:id="rId216" w:history="1">
        <w:r w:rsidR="00037667" w:rsidRPr="00D147A7">
          <w:rPr>
            <w:rStyle w:val="Hyperlink"/>
            <w:rFonts w:ascii="Times New Roman" w:hAnsi="Times New Roman" w:cs="Times New Roman"/>
            <w:sz w:val="24"/>
            <w:szCs w:val="24"/>
          </w:rPr>
          <w:t>http://tweakers.net/</w:t>
        </w:r>
      </w:hyperlink>
      <w:r w:rsidR="0003766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17" w:history="1">
        <w:r w:rsidR="009931C7" w:rsidRPr="00D147A7">
          <w:rPr>
            <w:rStyle w:val="Hyperlink"/>
            <w:rFonts w:ascii="Times New Roman" w:hAnsi="Times New Roman" w:cs="Times New Roman"/>
            <w:sz w:val="24"/>
            <w:szCs w:val="24"/>
          </w:rPr>
          <w:t>http://vhn.artsennet.nl/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Style w:val="Hyperlink"/>
          <w:rFonts w:ascii="Times New Roman" w:hAnsi="Times New Roman" w:cs="Times New Roman"/>
          <w:sz w:val="24"/>
          <w:szCs w:val="24"/>
        </w:rPr>
      </w:pPr>
      <w:hyperlink r:id="rId218" w:history="1">
        <w:r w:rsidR="009931C7" w:rsidRPr="00D147A7">
          <w:rPr>
            <w:rStyle w:val="Hyperlink"/>
            <w:rFonts w:ascii="Times New Roman" w:hAnsi="Times New Roman" w:cs="Times New Roman"/>
            <w:sz w:val="24"/>
            <w:szCs w:val="24"/>
          </w:rPr>
          <w:t>http://www.burgerservicenummer.nl/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19" w:history="1">
        <w:r w:rsidR="00037667" w:rsidRPr="00D147A7">
          <w:rPr>
            <w:rStyle w:val="Hyperlink"/>
            <w:rFonts w:ascii="Times New Roman" w:hAnsi="Times New Roman" w:cs="Times New Roman"/>
            <w:sz w:val="24"/>
            <w:szCs w:val="24"/>
          </w:rPr>
          <w:t>http://www.cbpweb.nl/</w:t>
        </w:r>
      </w:hyperlink>
      <w:r w:rsidR="009931C7" w:rsidRPr="00D147A7">
        <w:rPr>
          <w:rFonts w:ascii="Times New Roman" w:hAnsi="Times New Roman" w:cs="Times New Roman"/>
          <w:sz w:val="24"/>
          <w:szCs w:val="24"/>
        </w:rPr>
        <w:t>.</w:t>
      </w:r>
      <w:r w:rsidR="00037667" w:rsidRPr="00D147A7">
        <w:rPr>
          <w:rFonts w:ascii="Times New Roman" w:hAnsi="Times New Roman" w:cs="Times New Roman"/>
          <w:sz w:val="24"/>
          <w:szCs w:val="24"/>
        </w:rPr>
        <w:t xml:space="preserve"> </w:t>
      </w:r>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20" w:history="1">
        <w:r w:rsidR="009931C7" w:rsidRPr="00D147A7">
          <w:rPr>
            <w:rStyle w:val="Hyperlink"/>
            <w:rFonts w:ascii="Times New Roman" w:hAnsi="Times New Roman" w:cs="Times New Roman"/>
            <w:sz w:val="24"/>
            <w:szCs w:val="24"/>
          </w:rPr>
          <w:t>http://www.cbs.nl/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21" w:history="1">
        <w:r w:rsidR="00037667" w:rsidRPr="00D147A7">
          <w:rPr>
            <w:rStyle w:val="Hyperlink"/>
            <w:rFonts w:ascii="Times New Roman" w:hAnsi="Times New Roman" w:cs="Times New Roman"/>
            <w:sz w:val="24"/>
            <w:szCs w:val="24"/>
          </w:rPr>
          <w:t>http://www.chipsoft.nl/</w:t>
        </w:r>
      </w:hyperlink>
      <w:r w:rsidR="009931C7" w:rsidRPr="00D147A7">
        <w:rPr>
          <w:rFonts w:ascii="Times New Roman" w:hAnsi="Times New Roman" w:cs="Times New Roman"/>
          <w:sz w:val="24"/>
          <w:szCs w:val="24"/>
        </w:rPr>
        <w:t>.</w:t>
      </w:r>
      <w:r w:rsidR="00037667" w:rsidRPr="00D147A7">
        <w:rPr>
          <w:rFonts w:ascii="Times New Roman" w:hAnsi="Times New Roman" w:cs="Times New Roman"/>
          <w:sz w:val="24"/>
          <w:szCs w:val="24"/>
        </w:rPr>
        <w:t xml:space="preserve"> </w:t>
      </w:r>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22" w:history="1">
        <w:r w:rsidR="009931C7" w:rsidRPr="00D147A7">
          <w:rPr>
            <w:rStyle w:val="Hyperlink"/>
            <w:rFonts w:ascii="Times New Roman" w:hAnsi="Times New Roman" w:cs="Times New Roman"/>
            <w:sz w:val="24"/>
            <w:szCs w:val="24"/>
          </w:rPr>
          <w:t>http://www.cibg.nl/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23" w:history="1">
        <w:r w:rsidR="009931C7" w:rsidRPr="00D147A7">
          <w:rPr>
            <w:rStyle w:val="Hyperlink"/>
            <w:rFonts w:ascii="Times New Roman" w:hAnsi="Times New Roman" w:cs="Times New Roman"/>
            <w:sz w:val="24"/>
            <w:szCs w:val="24"/>
          </w:rPr>
          <w:t>http://www.cs.ru.nl/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24" w:history="1">
        <w:r w:rsidR="009931C7" w:rsidRPr="00D147A7">
          <w:rPr>
            <w:rStyle w:val="Hyperlink"/>
            <w:rFonts w:ascii="Times New Roman" w:hAnsi="Times New Roman" w:cs="Times New Roman"/>
            <w:sz w:val="24"/>
            <w:szCs w:val="24"/>
          </w:rPr>
          <w:t>http://www.diamuraal.nl/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25" w:history="1">
        <w:r w:rsidR="009931C7" w:rsidRPr="00D147A7">
          <w:rPr>
            <w:rStyle w:val="Hyperlink"/>
            <w:rFonts w:ascii="Times New Roman" w:hAnsi="Times New Roman" w:cs="Times New Roman"/>
            <w:sz w:val="24"/>
            <w:szCs w:val="24"/>
          </w:rPr>
          <w:t>http://www.digid.nl/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26" w:history="1">
        <w:r w:rsidR="009931C7" w:rsidRPr="00D147A7">
          <w:rPr>
            <w:rStyle w:val="Hyperlink"/>
            <w:rFonts w:ascii="Times New Roman" w:hAnsi="Times New Roman" w:cs="Times New Roman"/>
            <w:sz w:val="24"/>
            <w:szCs w:val="24"/>
          </w:rPr>
          <w:t>https://www.digitaalmedischdagboek.nl/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27" w:history="1">
        <w:r w:rsidR="009931C7" w:rsidRPr="00D147A7">
          <w:rPr>
            <w:rStyle w:val="Hyperlink"/>
            <w:rFonts w:ascii="Times New Roman" w:hAnsi="Times New Roman" w:cs="Times New Roman"/>
            <w:sz w:val="24"/>
            <w:szCs w:val="24"/>
          </w:rPr>
          <w:t>http://www.eerstekamer.nl/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28" w:history="1">
        <w:r w:rsidR="009931C7" w:rsidRPr="00D147A7">
          <w:rPr>
            <w:rStyle w:val="Hyperlink"/>
            <w:rFonts w:ascii="Times New Roman" w:hAnsi="Times New Roman" w:cs="Times New Roman"/>
            <w:sz w:val="24"/>
            <w:szCs w:val="24"/>
          </w:rPr>
          <w:t>http://ehealth-strategies.eu/</w:t>
        </w:r>
      </w:hyperlink>
      <w:r w:rsidR="009931C7"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229" w:history="1">
        <w:r w:rsidR="009931C7" w:rsidRPr="00D147A7">
          <w:rPr>
            <w:rStyle w:val="Hyperlink"/>
            <w:rFonts w:ascii="Times New Roman" w:hAnsi="Times New Roman" w:cs="Times New Roman"/>
            <w:sz w:val="24"/>
            <w:szCs w:val="24"/>
          </w:rPr>
          <w:t>http://www.eurofa-zorg.nl/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30" w:history="1">
        <w:r w:rsidR="009931C7" w:rsidRPr="00D147A7">
          <w:rPr>
            <w:rStyle w:val="Hyperlink"/>
            <w:rFonts w:ascii="Times New Roman" w:hAnsi="Times New Roman" w:cs="Times New Roman"/>
            <w:sz w:val="24"/>
            <w:szCs w:val="24"/>
          </w:rPr>
          <w:t>http://www.europa-nu.nl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Style w:val="Hyperlink"/>
          <w:rFonts w:ascii="Times New Roman" w:hAnsi="Times New Roman" w:cs="Times New Roman"/>
          <w:sz w:val="24"/>
          <w:szCs w:val="24"/>
        </w:rPr>
      </w:pPr>
      <w:hyperlink r:id="rId231" w:history="1">
        <w:r w:rsidR="009931C7" w:rsidRPr="00D147A7">
          <w:rPr>
            <w:rStyle w:val="Hyperlink"/>
            <w:rFonts w:ascii="Times New Roman" w:hAnsi="Times New Roman" w:cs="Times New Roman"/>
            <w:sz w:val="24"/>
            <w:szCs w:val="24"/>
          </w:rPr>
          <w:t>http://www.farmedvisie.nl</w:t>
        </w:r>
      </w:hyperlink>
      <w:r w:rsidR="009931C7" w:rsidRPr="00D147A7">
        <w:rPr>
          <w:rFonts w:ascii="Times New Roman" w:hAnsi="Times New Roman" w:cs="Times New Roman"/>
          <w:sz w:val="24"/>
          <w:szCs w:val="24"/>
        </w:rPr>
        <w:t xml:space="preserve">. </w:t>
      </w:r>
      <w:r w:rsidR="009931C7" w:rsidRPr="00D147A7">
        <w:rPr>
          <w:rStyle w:val="Hyperlink"/>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32" w:history="1">
        <w:r w:rsidR="009931C7" w:rsidRPr="00D147A7">
          <w:rPr>
            <w:rStyle w:val="Hyperlink"/>
            <w:rFonts w:ascii="Times New Roman" w:hAnsi="Times New Roman" w:cs="Times New Roman"/>
            <w:sz w:val="24"/>
            <w:szCs w:val="24"/>
          </w:rPr>
          <w:t>http://www.hemobase.net</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33" w:history="1">
        <w:r w:rsidR="009931C7" w:rsidRPr="00D147A7">
          <w:rPr>
            <w:rStyle w:val="Hyperlink"/>
            <w:rFonts w:ascii="Times New Roman" w:hAnsi="Times New Roman" w:cs="Times New Roman"/>
            <w:sz w:val="24"/>
            <w:szCs w:val="24"/>
          </w:rPr>
          <w:t>http://www.huisartscentraal.nl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4" w:history="1">
        <w:r w:rsidR="009931C7" w:rsidRPr="00D147A7">
          <w:rPr>
            <w:rStyle w:val="Hyperlink"/>
            <w:rFonts w:ascii="Times New Roman" w:hAnsi="Times New Roman" w:cs="Times New Roman"/>
            <w:sz w:val="24"/>
            <w:szCs w:val="24"/>
          </w:rPr>
          <w:t>http://www.infoEPD.nl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5" w:history="1">
        <w:r w:rsidR="009931C7" w:rsidRPr="00D147A7">
          <w:rPr>
            <w:rStyle w:val="Hyperlink"/>
            <w:rFonts w:ascii="Times New Roman" w:hAnsi="Times New Roman" w:cs="Times New Roman"/>
            <w:sz w:val="24"/>
            <w:szCs w:val="24"/>
          </w:rPr>
          <w:t>http://www.isala.nl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6" w:history="1">
        <w:r w:rsidR="009931C7" w:rsidRPr="00D147A7">
          <w:rPr>
            <w:rStyle w:val="Hyperlink"/>
            <w:rFonts w:ascii="Times New Roman" w:hAnsi="Times New Roman" w:cs="Times New Roman"/>
            <w:sz w:val="24"/>
            <w:szCs w:val="24"/>
          </w:rPr>
          <w:t>http://mijn.kempenhaeghe.nl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7" w:history="1">
        <w:r w:rsidR="009931C7" w:rsidRPr="00D147A7">
          <w:rPr>
            <w:rStyle w:val="Hyperlink"/>
            <w:rFonts w:ascii="Times New Roman" w:hAnsi="Times New Roman" w:cs="Times New Roman"/>
            <w:sz w:val="24"/>
            <w:szCs w:val="24"/>
          </w:rPr>
          <w:t>http://www.kring-apotheek.nl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8" w:history="1">
        <w:r w:rsidR="009931C7" w:rsidRPr="00D147A7">
          <w:rPr>
            <w:rStyle w:val="Hyperlink"/>
            <w:rFonts w:ascii="Times New Roman" w:hAnsi="Times New Roman" w:cs="Times New Roman"/>
            <w:sz w:val="24"/>
            <w:szCs w:val="24"/>
          </w:rPr>
          <w:t>http://www.mckesson.nl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39" w:history="1">
        <w:r w:rsidR="009931C7" w:rsidRPr="00D147A7">
          <w:rPr>
            <w:rStyle w:val="Hyperlink"/>
            <w:rFonts w:ascii="Times New Roman" w:hAnsi="Times New Roman" w:cs="Times New Roman"/>
            <w:sz w:val="24"/>
            <w:szCs w:val="24"/>
          </w:rPr>
          <w:t>http://www.medikeeper.nl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0" w:history="1">
        <w:r w:rsidR="009931C7" w:rsidRPr="00D147A7">
          <w:rPr>
            <w:rStyle w:val="Hyperlink"/>
            <w:rFonts w:ascii="Times New Roman" w:hAnsi="Times New Roman" w:cs="Times New Roman"/>
            <w:sz w:val="24"/>
            <w:szCs w:val="24"/>
          </w:rPr>
          <w:t>http://www.medilog.nl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1" w:history="1">
        <w:r w:rsidR="009931C7" w:rsidRPr="00D147A7">
          <w:rPr>
            <w:rStyle w:val="Hyperlink"/>
            <w:rFonts w:ascii="Times New Roman" w:hAnsi="Times New Roman" w:cs="Times New Roman"/>
            <w:sz w:val="24"/>
            <w:szCs w:val="24"/>
          </w:rPr>
          <w:t>http://www.medischegegevens.nl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2" w:history="1">
        <w:r w:rsidR="009931C7" w:rsidRPr="00D147A7">
          <w:rPr>
            <w:rStyle w:val="Hyperlink"/>
            <w:rFonts w:ascii="Times New Roman" w:hAnsi="Times New Roman" w:cs="Times New Roman"/>
            <w:sz w:val="24"/>
            <w:szCs w:val="24"/>
          </w:rPr>
          <w:t>http://www.medlook.nl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3" w:history="1">
        <w:r w:rsidR="009931C7" w:rsidRPr="00D147A7">
          <w:rPr>
            <w:rStyle w:val="Hyperlink"/>
            <w:rFonts w:ascii="Times New Roman" w:hAnsi="Times New Roman" w:cs="Times New Roman"/>
            <w:sz w:val="24"/>
            <w:szCs w:val="24"/>
          </w:rPr>
          <w:t>http://www.mijndvn.nl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44" w:history="1">
        <w:r w:rsidR="009931C7" w:rsidRPr="00D147A7">
          <w:rPr>
            <w:rStyle w:val="Hyperlink"/>
            <w:rFonts w:ascii="Times New Roman" w:hAnsi="Times New Roman" w:cs="Times New Roman"/>
            <w:sz w:val="24"/>
            <w:szCs w:val="24"/>
          </w:rPr>
          <w:t>http://www.mijn-epd.nl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5" w:history="1">
        <w:r w:rsidR="009931C7" w:rsidRPr="00D147A7">
          <w:rPr>
            <w:rStyle w:val="Hyperlink"/>
            <w:rFonts w:ascii="Times New Roman" w:hAnsi="Times New Roman" w:cs="Times New Roman"/>
            <w:sz w:val="24"/>
            <w:szCs w:val="24"/>
          </w:rPr>
          <w:t>http://www.mijnflevoziekenhuis.nl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6" w:history="1">
        <w:r w:rsidR="009931C7" w:rsidRPr="00D147A7">
          <w:rPr>
            <w:rStyle w:val="Hyperlink"/>
            <w:rFonts w:ascii="Times New Roman" w:hAnsi="Times New Roman" w:cs="Times New Roman"/>
            <w:sz w:val="24"/>
            <w:szCs w:val="24"/>
          </w:rPr>
          <w:t>http://www.mijngezondheid.net</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7" w:history="1">
        <w:r w:rsidR="009931C7" w:rsidRPr="00D147A7">
          <w:rPr>
            <w:rStyle w:val="Hyperlink"/>
            <w:rFonts w:ascii="Times New Roman" w:hAnsi="Times New Roman" w:cs="Times New Roman"/>
            <w:sz w:val="24"/>
            <w:szCs w:val="24"/>
          </w:rPr>
          <w:t>http://www.mijnmediq.nl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48" w:history="1">
        <w:r w:rsidR="009931C7" w:rsidRPr="00D147A7">
          <w:rPr>
            <w:rStyle w:val="Hyperlink"/>
            <w:rFonts w:ascii="Times New Roman" w:hAnsi="Times New Roman" w:cs="Times New Roman"/>
            <w:sz w:val="24"/>
            <w:szCs w:val="24"/>
          </w:rPr>
          <w:t>http://www.mijnoverheid.nl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49" w:history="1">
        <w:r w:rsidR="009931C7" w:rsidRPr="00D147A7">
          <w:rPr>
            <w:rStyle w:val="Hyperlink"/>
            <w:rFonts w:ascii="Times New Roman" w:hAnsi="Times New Roman" w:cs="Times New Roman"/>
            <w:sz w:val="24"/>
            <w:szCs w:val="24"/>
          </w:rPr>
          <w:t>http://www.mijnreinier.nl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50" w:history="1">
        <w:r w:rsidR="009931C7" w:rsidRPr="00D147A7">
          <w:rPr>
            <w:rStyle w:val="Hyperlink"/>
            <w:rFonts w:ascii="Times New Roman" w:hAnsi="Times New Roman" w:cs="Times New Roman"/>
            <w:sz w:val="24"/>
            <w:szCs w:val="24"/>
          </w:rPr>
          <w:t>http://www.mikagroot.nl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51" w:history="1">
        <w:r w:rsidR="009931C7" w:rsidRPr="00D147A7">
          <w:rPr>
            <w:rStyle w:val="Hyperlink"/>
            <w:rFonts w:ascii="Times New Roman" w:hAnsi="Times New Roman" w:cs="Times New Roman"/>
            <w:sz w:val="24"/>
            <w:szCs w:val="24"/>
          </w:rPr>
          <w:t>http://www.mimedication.com</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sz w:val="24"/>
          <w:szCs w:val="24"/>
          <w:u w:val="single"/>
        </w:rPr>
      </w:pPr>
      <w:hyperlink r:id="rId252" w:history="1">
        <w:r w:rsidR="00037667" w:rsidRPr="00D147A7">
          <w:rPr>
            <w:rStyle w:val="Hyperlink"/>
            <w:rFonts w:ascii="Times New Roman" w:hAnsi="Times New Roman" w:cs="Times New Roman"/>
            <w:sz w:val="24"/>
            <w:szCs w:val="24"/>
          </w:rPr>
          <w:t>http://www.minvws.nl/dossiers/elektronisch-patientendossier/</w:t>
        </w:r>
      </w:hyperlink>
      <w:r w:rsidR="00037667" w:rsidRPr="00D147A7">
        <w:rPr>
          <w:rFonts w:ascii="Times New Roman" w:hAnsi="Times New Roman" w:cs="Times New Roman"/>
          <w:sz w:val="24"/>
          <w:szCs w:val="24"/>
        </w:rPr>
        <w:t xml:space="preserve"> (i.e. de </w:t>
      </w:r>
      <w:r w:rsidR="009931C7" w:rsidRPr="00D147A7">
        <w:rPr>
          <w:rFonts w:ascii="Times New Roman" w:hAnsi="Times New Roman" w:cs="Times New Roman"/>
          <w:sz w:val="24"/>
          <w:szCs w:val="24"/>
        </w:rPr>
        <w:t>website ‘Invoering EPD’ van het ministerie van Volksgezondheid en Nictiz)</w:t>
      </w:r>
      <w:r w:rsidR="0003766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53" w:history="1">
        <w:r w:rsidR="009931C7" w:rsidRPr="00D147A7">
          <w:rPr>
            <w:rStyle w:val="Hyperlink"/>
            <w:rFonts w:ascii="Times New Roman" w:hAnsi="Times New Roman" w:cs="Times New Roman"/>
            <w:sz w:val="24"/>
            <w:szCs w:val="24"/>
          </w:rPr>
          <w:t>https://www.nictiz.nl/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54" w:history="1">
        <w:r w:rsidR="009931C7" w:rsidRPr="00D147A7">
          <w:rPr>
            <w:rStyle w:val="Hyperlink"/>
            <w:rFonts w:ascii="Times New Roman" w:hAnsi="Times New Roman" w:cs="Times New Roman"/>
            <w:sz w:val="24"/>
            <w:szCs w:val="24"/>
          </w:rPr>
          <w:t>http://www.nivel.nl/</w:t>
        </w:r>
      </w:hyperlink>
      <w:r w:rsidR="009931C7"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255" w:history="1">
        <w:r w:rsidR="009931C7" w:rsidRPr="00D147A7">
          <w:rPr>
            <w:rStyle w:val="Hyperlink"/>
            <w:rFonts w:ascii="Times New Roman" w:hAnsi="Times New Roman" w:cs="Times New Roman"/>
            <w:sz w:val="24"/>
            <w:szCs w:val="24"/>
          </w:rPr>
          <w:t>http://www.nu.nl/</w:t>
        </w:r>
      </w:hyperlink>
      <w:r w:rsidR="009931C7"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256" w:history="1">
        <w:r w:rsidR="009931C7" w:rsidRPr="00D147A7">
          <w:rPr>
            <w:rStyle w:val="Hyperlink"/>
            <w:rFonts w:ascii="Times New Roman" w:hAnsi="Times New Roman" w:cs="Times New Roman"/>
            <w:sz w:val="24"/>
            <w:szCs w:val="24"/>
          </w:rPr>
          <w:t>http://www.nvma.nl/</w:t>
        </w:r>
      </w:hyperlink>
      <w:r w:rsidR="009931C7"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257" w:history="1">
        <w:r w:rsidR="009931C7" w:rsidRPr="00D147A7">
          <w:rPr>
            <w:rStyle w:val="Hyperlink"/>
            <w:rFonts w:ascii="Times New Roman" w:hAnsi="Times New Roman" w:cs="Times New Roman"/>
            <w:sz w:val="24"/>
            <w:szCs w:val="24"/>
          </w:rPr>
          <w:t>http://www.oapen.org/</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58" w:history="1">
        <w:r w:rsidR="009931C7" w:rsidRPr="00D147A7">
          <w:rPr>
            <w:rStyle w:val="Hyperlink"/>
            <w:rFonts w:ascii="Times New Roman" w:hAnsi="Times New Roman" w:cs="Times New Roman"/>
            <w:sz w:val="24"/>
            <w:szCs w:val="24"/>
          </w:rPr>
          <w:t>http://www.ozis.nl/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59" w:history="1">
        <w:r w:rsidR="009931C7" w:rsidRPr="00D147A7">
          <w:rPr>
            <w:rStyle w:val="Hyperlink"/>
            <w:rFonts w:ascii="Times New Roman" w:hAnsi="Times New Roman" w:cs="Times New Roman"/>
            <w:sz w:val="24"/>
            <w:szCs w:val="24"/>
          </w:rPr>
          <w:t>http://www.parkinsonnet.nl/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0" w:history="1">
        <w:r w:rsidR="009931C7" w:rsidRPr="00D147A7">
          <w:rPr>
            <w:rStyle w:val="Hyperlink"/>
            <w:rFonts w:ascii="Times New Roman" w:hAnsi="Times New Roman" w:cs="Times New Roman"/>
            <w:sz w:val="24"/>
            <w:szCs w:val="24"/>
          </w:rPr>
          <w:t>http://www.patient1.nl/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color w:val="0000FF" w:themeColor="hyperlink"/>
          <w:sz w:val="24"/>
          <w:szCs w:val="24"/>
          <w:u w:val="single"/>
        </w:rPr>
      </w:pPr>
      <w:hyperlink r:id="rId261" w:history="1">
        <w:r w:rsidR="009931C7" w:rsidRPr="00D147A7">
          <w:rPr>
            <w:rStyle w:val="Hyperlink"/>
            <w:rFonts w:ascii="Times New Roman" w:hAnsi="Times New Roman" w:cs="Times New Roman"/>
            <w:sz w:val="24"/>
            <w:szCs w:val="24"/>
          </w:rPr>
          <w:t>http://www.pazio.nl/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2" w:history="1">
        <w:r w:rsidR="009931C7" w:rsidRPr="00D147A7">
          <w:rPr>
            <w:rStyle w:val="Hyperlink"/>
            <w:rFonts w:ascii="Times New Roman" w:hAnsi="Times New Roman" w:cs="Times New Roman"/>
            <w:sz w:val="24"/>
            <w:szCs w:val="24"/>
          </w:rPr>
          <w:t>http://www.pharmapartners.nl/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3" w:history="1">
        <w:r w:rsidR="009931C7" w:rsidRPr="00D147A7">
          <w:rPr>
            <w:rStyle w:val="Hyperlink"/>
            <w:rFonts w:ascii="Times New Roman" w:hAnsi="Times New Roman" w:cs="Times New Roman"/>
            <w:sz w:val="24"/>
            <w:szCs w:val="24"/>
          </w:rPr>
          <w:t>http://www.pkioverheid.nl/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4" w:history="1">
        <w:r w:rsidR="009931C7" w:rsidRPr="00D147A7">
          <w:rPr>
            <w:rStyle w:val="Hyperlink"/>
            <w:rFonts w:ascii="Times New Roman" w:hAnsi="Times New Roman" w:cs="Times New Roman"/>
            <w:sz w:val="24"/>
            <w:szCs w:val="24"/>
          </w:rPr>
          <w:t>http://www.portavita.nl/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5" w:history="1">
        <w:r w:rsidR="009931C7" w:rsidRPr="00D147A7">
          <w:rPr>
            <w:rStyle w:val="Hyperlink"/>
            <w:rFonts w:ascii="Times New Roman" w:hAnsi="Times New Roman" w:cs="Times New Roman"/>
            <w:sz w:val="24"/>
            <w:szCs w:val="24"/>
          </w:rPr>
          <w:t>http://www.promedico.nl/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66" w:history="1">
        <w:r w:rsidR="009931C7" w:rsidRPr="00D147A7">
          <w:rPr>
            <w:rStyle w:val="Hyperlink"/>
            <w:rFonts w:ascii="Times New Roman" w:hAnsi="Times New Roman" w:cs="Times New Roman"/>
            <w:sz w:val="24"/>
            <w:szCs w:val="24"/>
          </w:rPr>
          <w:t>http://www.puntp.nl/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67" w:history="1">
        <w:r w:rsidR="009931C7" w:rsidRPr="00D147A7">
          <w:rPr>
            <w:rStyle w:val="Hyperlink"/>
            <w:rFonts w:ascii="Times New Roman" w:hAnsi="Times New Roman" w:cs="Times New Roman"/>
            <w:sz w:val="24"/>
            <w:szCs w:val="24"/>
          </w:rPr>
          <w:t>http://www.rijksbegroting.nl/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68" w:history="1">
        <w:r w:rsidR="009931C7" w:rsidRPr="00D147A7">
          <w:rPr>
            <w:rStyle w:val="Hyperlink"/>
            <w:rFonts w:ascii="Times New Roman" w:hAnsi="Times New Roman" w:cs="Times New Roman"/>
            <w:sz w:val="24"/>
            <w:szCs w:val="24"/>
          </w:rPr>
          <w:t>http://www.rijksoverheid.nl/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Style w:val="Hyperlink"/>
          <w:rFonts w:ascii="Times New Roman" w:hAnsi="Times New Roman" w:cs="Times New Roman"/>
          <w:sz w:val="24"/>
          <w:szCs w:val="24"/>
        </w:rPr>
      </w:pPr>
      <w:hyperlink r:id="rId269" w:history="1">
        <w:r w:rsidR="009931C7" w:rsidRPr="00D147A7">
          <w:rPr>
            <w:rStyle w:val="Hyperlink"/>
            <w:rFonts w:ascii="Times New Roman" w:hAnsi="Times New Roman" w:cs="Times New Roman"/>
            <w:sz w:val="24"/>
            <w:szCs w:val="24"/>
          </w:rPr>
          <w:t>http://www.ru.nl/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rPr>
          <w:rFonts w:ascii="Times New Roman" w:hAnsi="Times New Roman" w:cs="Times New Roman"/>
          <w:sz w:val="24"/>
          <w:szCs w:val="24"/>
        </w:rPr>
      </w:pPr>
      <w:hyperlink r:id="rId270" w:history="1">
        <w:r w:rsidR="009931C7" w:rsidRPr="00D147A7">
          <w:rPr>
            <w:rStyle w:val="Hyperlink"/>
            <w:rFonts w:ascii="Times New Roman" w:hAnsi="Times New Roman" w:cs="Times New Roman"/>
            <w:sz w:val="24"/>
            <w:szCs w:val="24"/>
          </w:rPr>
          <w:t>http://www.tweedekamer.nl/</w:t>
        </w:r>
      </w:hyperlink>
      <w:r w:rsidR="009931C7" w:rsidRPr="00D147A7">
        <w:rPr>
          <w:rFonts w:ascii="Times New Roman" w:hAnsi="Times New Roman" w:cs="Times New Roman"/>
          <w:sz w:val="24"/>
          <w:szCs w:val="24"/>
        </w:rPr>
        <w:t>.</w:t>
      </w:r>
    </w:p>
    <w:p w:rsidR="009931C7" w:rsidRPr="00D147A7" w:rsidRDefault="002E7E12" w:rsidP="009931C7">
      <w:pPr>
        <w:pStyle w:val="Geenafstand"/>
        <w:jc w:val="both"/>
        <w:rPr>
          <w:rFonts w:ascii="Times New Roman" w:hAnsi="Times New Roman" w:cs="Times New Roman"/>
          <w:sz w:val="24"/>
          <w:szCs w:val="24"/>
        </w:rPr>
      </w:pPr>
      <w:hyperlink r:id="rId271" w:history="1">
        <w:r w:rsidR="009931C7" w:rsidRPr="00D147A7">
          <w:rPr>
            <w:rStyle w:val="Hyperlink"/>
            <w:rFonts w:ascii="Times New Roman" w:hAnsi="Times New Roman" w:cs="Times New Roman"/>
            <w:sz w:val="24"/>
            <w:szCs w:val="24"/>
          </w:rPr>
          <w:t>http://www.vitalhealthsoftware.nl/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2" w:history="1">
        <w:r w:rsidR="009931C7" w:rsidRPr="00D147A7">
          <w:rPr>
            <w:rStyle w:val="Hyperlink"/>
            <w:rFonts w:ascii="Times New Roman" w:hAnsi="Times New Roman" w:cs="Times New Roman"/>
            <w:sz w:val="24"/>
            <w:szCs w:val="24"/>
          </w:rPr>
          <w:t>http://www.umcg.nl/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3" w:history="1">
        <w:r w:rsidR="009931C7" w:rsidRPr="00D147A7">
          <w:rPr>
            <w:rStyle w:val="Hyperlink"/>
            <w:rFonts w:ascii="Times New Roman" w:hAnsi="Times New Roman" w:cs="Times New Roman"/>
            <w:sz w:val="24"/>
            <w:szCs w:val="24"/>
          </w:rPr>
          <w:t>http://www.umcn.nl/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4" w:history="1">
        <w:r w:rsidR="009931C7" w:rsidRPr="00D147A7">
          <w:rPr>
            <w:rStyle w:val="Hyperlink"/>
            <w:rFonts w:ascii="Times New Roman" w:hAnsi="Times New Roman" w:cs="Times New Roman"/>
            <w:sz w:val="24"/>
            <w:szCs w:val="24"/>
          </w:rPr>
          <w:t>http://www.umcutrecht.nl/</w:t>
        </w:r>
      </w:hyperlink>
      <w:r w:rsidR="009931C7" w:rsidRPr="00D147A7">
        <w:rPr>
          <w:rFonts w:ascii="Times New Roman" w:hAnsi="Times New Roman" w:cs="Times New Roman"/>
          <w:sz w:val="24"/>
          <w:szCs w:val="24"/>
        </w:rPr>
        <w:t xml:space="preserve"> </w:t>
      </w:r>
      <w:r w:rsidR="00037667" w:rsidRPr="00D147A7">
        <w:rPr>
          <w:rFonts w:ascii="Times New Roman" w:hAnsi="Times New Roman" w:cs="Times New Roman"/>
          <w:sz w:val="24"/>
          <w:szCs w:val="24"/>
        </w:rPr>
        <w:t xml:space="preserve">(en </w:t>
      </w:r>
      <w:hyperlink r:id="rId275" w:history="1">
        <w:r w:rsidR="00037667" w:rsidRPr="00D147A7">
          <w:rPr>
            <w:rStyle w:val="Hyperlink"/>
            <w:rFonts w:ascii="Times New Roman" w:hAnsi="Times New Roman" w:cs="Times New Roman"/>
            <w:sz w:val="24"/>
            <w:szCs w:val="24"/>
          </w:rPr>
          <w:t>http://www.umcutrecht.nl/subsité/eczeemportaal</w:t>
        </w:r>
      </w:hyperlink>
      <w:r w:rsidR="0003766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6" w:history="1">
        <w:r w:rsidR="009931C7" w:rsidRPr="00D147A7">
          <w:rPr>
            <w:rStyle w:val="Hyperlink"/>
            <w:rFonts w:ascii="Times New Roman" w:hAnsi="Times New Roman" w:cs="Times New Roman"/>
            <w:sz w:val="24"/>
            <w:szCs w:val="24"/>
          </w:rPr>
          <w:t>http://www.zorgatlas.nl/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7" w:history="1">
        <w:r w:rsidR="009931C7" w:rsidRPr="00D147A7">
          <w:rPr>
            <w:rStyle w:val="Hyperlink"/>
            <w:rFonts w:ascii="Times New Roman" w:hAnsi="Times New Roman" w:cs="Times New Roman"/>
            <w:sz w:val="24"/>
            <w:szCs w:val="24"/>
          </w:rPr>
          <w:t>http://www.zorgmail.nl/</w:t>
        </w:r>
      </w:hyperlink>
      <w:r w:rsidR="009931C7" w:rsidRPr="00D147A7">
        <w:rPr>
          <w:rFonts w:ascii="Times New Roman" w:hAnsi="Times New Roman" w:cs="Times New Roman"/>
          <w:sz w:val="24"/>
          <w:szCs w:val="24"/>
        </w:rPr>
        <w:t xml:space="preserve">. </w:t>
      </w:r>
    </w:p>
    <w:p w:rsidR="009931C7" w:rsidRPr="00D147A7" w:rsidRDefault="002E7E12" w:rsidP="009931C7">
      <w:pPr>
        <w:pStyle w:val="Geenafstand"/>
        <w:jc w:val="both"/>
        <w:rPr>
          <w:rFonts w:ascii="Times New Roman" w:hAnsi="Times New Roman" w:cs="Times New Roman"/>
          <w:sz w:val="24"/>
          <w:szCs w:val="24"/>
        </w:rPr>
      </w:pPr>
      <w:hyperlink r:id="rId278" w:history="1">
        <w:r w:rsidR="009931C7" w:rsidRPr="00D147A7">
          <w:rPr>
            <w:rStyle w:val="Hyperlink"/>
            <w:rFonts w:ascii="Times New Roman" w:hAnsi="Times New Roman" w:cs="Times New Roman"/>
            <w:sz w:val="24"/>
            <w:szCs w:val="24"/>
          </w:rPr>
          <w:t>http://www.zorgportaalrijnmond.nl/</w:t>
        </w:r>
      </w:hyperlink>
      <w:r w:rsidR="009931C7" w:rsidRPr="00D147A7">
        <w:rPr>
          <w:rFonts w:ascii="Times New Roman" w:hAnsi="Times New Roman" w:cs="Times New Roman"/>
          <w:sz w:val="24"/>
          <w:szCs w:val="24"/>
        </w:rPr>
        <w:t xml:space="preserve">. </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ind w:firstLine="708"/>
        <w:jc w:val="both"/>
        <w:rPr>
          <w:rFonts w:ascii="Times New Roman" w:hAnsi="Times New Roman" w:cs="Times New Roman"/>
          <w:b/>
          <w:smallCaps/>
          <w:sz w:val="24"/>
          <w:szCs w:val="24"/>
        </w:rPr>
      </w:pPr>
      <w:r w:rsidRPr="00D147A7">
        <w:rPr>
          <w:rFonts w:ascii="Times New Roman" w:hAnsi="Times New Roman" w:cs="Times New Roman"/>
          <w:b/>
          <w:smallCaps/>
          <w:sz w:val="24"/>
          <w:szCs w:val="24"/>
        </w:rPr>
        <w:t>2.5.3 Frankrijk</w:t>
      </w:r>
    </w:p>
    <w:p w:rsidR="009931C7" w:rsidRPr="00D147A7" w:rsidRDefault="009931C7" w:rsidP="009931C7">
      <w:pPr>
        <w:pStyle w:val="Geenafstand"/>
        <w:jc w:val="both"/>
        <w:rPr>
          <w:rFonts w:ascii="Times New Roman" w:hAnsi="Times New Roman" w:cs="Times New Roman"/>
          <w:sz w:val="24"/>
          <w:szCs w:val="24"/>
        </w:rPr>
      </w:pPr>
    </w:p>
    <w:p w:rsidR="009931C7" w:rsidRPr="00404B84"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b/>
          <w:smallCaps/>
          <w:sz w:val="24"/>
          <w:szCs w:val="24"/>
        </w:rPr>
        <w:t>2.5.</w:t>
      </w:r>
      <w:r w:rsidR="00404B84">
        <w:rPr>
          <w:rFonts w:ascii="Times New Roman" w:hAnsi="Times New Roman" w:cs="Times New Roman"/>
          <w:b/>
          <w:sz w:val="24"/>
          <w:szCs w:val="24"/>
        </w:rPr>
        <w:t>3.1 Wetgeving</w:t>
      </w:r>
    </w:p>
    <w:p w:rsidR="00531850" w:rsidRDefault="00531850"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nr. 78-17 van 6 januari 1978 betreffende informatica, bestanden en vrijheden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 januari 1978).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nr. 98-271 van 9 april 1998 betreffende de kaart van de beroepsbeoefenaar in de ge</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zondheidszorg en ter wijziging van de </w:t>
      </w:r>
      <w:r w:rsidRPr="00D147A7">
        <w:rPr>
          <w:rFonts w:ascii="Times New Roman" w:hAnsi="Times New Roman" w:cs="Times New Roman"/>
          <w:i/>
          <w:sz w:val="24"/>
          <w:szCs w:val="24"/>
        </w:rPr>
        <w:t>code de la sécurité social</w:t>
      </w:r>
      <w:r w:rsidRPr="00D147A7">
        <w:rPr>
          <w:rFonts w:ascii="Times New Roman" w:hAnsi="Times New Roman" w:cs="Times New Roman"/>
          <w:sz w:val="24"/>
          <w:szCs w:val="24"/>
        </w:rPr>
        <w:t xml:space="preserve"> en de </w:t>
      </w:r>
      <w:r w:rsidRPr="00D147A7">
        <w:rPr>
          <w:rFonts w:ascii="Times New Roman" w:hAnsi="Times New Roman" w:cs="Times New Roman"/>
          <w:i/>
          <w:sz w:val="24"/>
          <w:szCs w:val="24"/>
        </w:rPr>
        <w:t>code de la santé pu</w:t>
      </w:r>
      <w:r w:rsidR="00531850">
        <w:rPr>
          <w:rFonts w:ascii="Times New Roman" w:hAnsi="Times New Roman" w:cs="Times New Roman"/>
          <w:i/>
          <w:sz w:val="24"/>
          <w:szCs w:val="24"/>
        </w:rPr>
        <w:t>-</w:t>
      </w:r>
      <w:r w:rsidRPr="00D147A7">
        <w:rPr>
          <w:rFonts w:ascii="Times New Roman" w:hAnsi="Times New Roman" w:cs="Times New Roman"/>
          <w:i/>
          <w:sz w:val="24"/>
          <w:szCs w:val="24"/>
        </w:rPr>
        <w:t>blique</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87, 12 april 1998).</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nr. 2002-303 van 4 maart 2002 betreffende de rechten van patiënten en de kwaliteit van gezondheidssystemen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5 maart 2002).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nr. 2004-810 van 13 augustus 2004 betreffende de ziekteverzekering I (</w:t>
      </w:r>
      <w:r w:rsidRPr="00D147A7">
        <w:rPr>
          <w:rFonts w:ascii="Times New Roman" w:hAnsi="Times New Roman" w:cs="Times New Roman"/>
          <w:i/>
          <w:sz w:val="24"/>
          <w:szCs w:val="24"/>
        </w:rPr>
        <w:t>JORF</w:t>
      </w:r>
      <w:r w:rsidRPr="00D147A7">
        <w:rPr>
          <w:rFonts w:ascii="Times New Roman" w:hAnsi="Times New Roman" w:cs="Times New Roman"/>
          <w:sz w:val="24"/>
          <w:szCs w:val="24"/>
        </w:rPr>
        <w:t>, 190, 17 augustus 2004).</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Verordening van 11 april 2005 houdende de goedkeuring van de overeenkomst tot samen</w:t>
      </w:r>
      <w:r w:rsidR="008D439D">
        <w:rPr>
          <w:rFonts w:ascii="Times New Roman" w:hAnsi="Times New Roman" w:cs="Times New Roman"/>
          <w:sz w:val="24"/>
          <w:szCs w:val="24"/>
        </w:rPr>
        <w:t>s</w:t>
      </w:r>
      <w:r w:rsidRPr="00D147A7">
        <w:rPr>
          <w:rFonts w:ascii="Times New Roman" w:hAnsi="Times New Roman" w:cs="Times New Roman"/>
          <w:sz w:val="24"/>
          <w:szCs w:val="24"/>
        </w:rPr>
        <w:t>tel</w:t>
      </w:r>
      <w:r w:rsidR="00531850">
        <w:rPr>
          <w:rFonts w:ascii="Times New Roman" w:hAnsi="Times New Roman" w:cs="Times New Roman"/>
          <w:sz w:val="24"/>
          <w:szCs w:val="24"/>
        </w:rPr>
        <w:t>-</w:t>
      </w:r>
      <w:r w:rsidRPr="00D147A7">
        <w:rPr>
          <w:rFonts w:ascii="Times New Roman" w:hAnsi="Times New Roman" w:cs="Times New Roman"/>
          <w:sz w:val="24"/>
          <w:szCs w:val="24"/>
        </w:rPr>
        <w:t>ling van een organisatie van openbaar belang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85, 12 april 2005).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nr. 2005-370 van 22 april 2005 betreffende de rechten van patiënten en aan het levens</w:t>
      </w:r>
      <w:r w:rsidR="00531850">
        <w:rPr>
          <w:rFonts w:ascii="Times New Roman" w:hAnsi="Times New Roman" w:cs="Times New Roman"/>
          <w:sz w:val="24"/>
          <w:szCs w:val="24"/>
        </w:rPr>
        <w:t>-</w:t>
      </w:r>
      <w:r w:rsidRPr="00D147A7">
        <w:rPr>
          <w:rFonts w:ascii="Times New Roman" w:hAnsi="Times New Roman" w:cs="Times New Roman"/>
          <w:sz w:val="24"/>
          <w:szCs w:val="24"/>
        </w:rPr>
        <w:t>einde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95, 23 april 2005).</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2006-6 van 4 januari 2006 betreffende de bewaring van gezondheidsgegevens en ter wijziging van de </w:t>
      </w:r>
      <w:r w:rsidRPr="00D147A7">
        <w:rPr>
          <w:rFonts w:ascii="Times New Roman" w:hAnsi="Times New Roman" w:cs="Times New Roman"/>
          <w:i/>
          <w:sz w:val="24"/>
          <w:szCs w:val="24"/>
        </w:rPr>
        <w:t>code de la santé publique</w:t>
      </w:r>
      <w:r w:rsidRPr="00D147A7">
        <w:rPr>
          <w:rFonts w:ascii="Times New Roman" w:hAnsi="Times New Roman" w:cs="Times New Roman"/>
          <w:sz w:val="24"/>
          <w:szCs w:val="24"/>
        </w:rPr>
        <w:t xml:space="preserve"> (regelgevende bepalingen)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4, 5 januari 2006).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Wet nr. 2007-127 van 30 januari 2007 tot bekrachtiging van beschikking nr. 2005-1040 van 26 augustus 2005 met betrekking tot de organisatie van bepaalde beroepen in de gezondheids</w:t>
      </w:r>
      <w:r w:rsidR="00531850">
        <w:rPr>
          <w:rFonts w:ascii="Times New Roman" w:hAnsi="Times New Roman" w:cs="Times New Roman"/>
          <w:sz w:val="24"/>
          <w:szCs w:val="24"/>
        </w:rPr>
        <w:t>-</w:t>
      </w:r>
      <w:r w:rsidRPr="00D147A7">
        <w:rPr>
          <w:rFonts w:ascii="Times New Roman" w:hAnsi="Times New Roman" w:cs="Times New Roman"/>
          <w:sz w:val="24"/>
          <w:szCs w:val="24"/>
        </w:rPr>
        <w:t xml:space="preserve">zorg en ter bestraffing van het onrechtmatig voeren van titels en het illegaal uitoefenen van deze beroepen en ter wijziging van de </w:t>
      </w:r>
      <w:r w:rsidRPr="00D147A7">
        <w:rPr>
          <w:rFonts w:ascii="Times New Roman" w:hAnsi="Times New Roman" w:cs="Times New Roman"/>
          <w:i/>
          <w:sz w:val="24"/>
          <w:szCs w:val="24"/>
        </w:rPr>
        <w:t>code de la santé publique</w:t>
      </w:r>
      <w:r w:rsidRPr="00D147A7">
        <w:rPr>
          <w:rFonts w:ascii="Times New Roman" w:hAnsi="Times New Roman" w:cs="Times New Roman"/>
          <w:sz w:val="24"/>
          <w:szCs w:val="24"/>
        </w:rPr>
        <w:t xml:space="preserve"> I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27, 1 februari 2007).</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Verordening van 15 december 2008 houdende de benoeming van de administratieve raad en de oriënteringscommissie van de organisatie van openbaar belang, «</w:t>
      </w:r>
      <w:r w:rsidRPr="00D147A7">
        <w:rPr>
          <w:rFonts w:ascii="Times New Roman" w:hAnsi="Times New Roman" w:cs="Times New Roman"/>
          <w:i/>
          <w:sz w:val="24"/>
          <w:szCs w:val="24"/>
        </w:rPr>
        <w:t>Groupement de préfigu</w:t>
      </w:r>
      <w:r w:rsidR="00531850">
        <w:rPr>
          <w:rFonts w:ascii="Times New Roman" w:hAnsi="Times New Roman" w:cs="Times New Roman"/>
          <w:i/>
          <w:sz w:val="24"/>
          <w:szCs w:val="24"/>
        </w:rPr>
        <w:t>-</w:t>
      </w:r>
      <w:r w:rsidRPr="00D147A7">
        <w:rPr>
          <w:rFonts w:ascii="Times New Roman" w:hAnsi="Times New Roman" w:cs="Times New Roman"/>
          <w:i/>
          <w:sz w:val="24"/>
          <w:szCs w:val="24"/>
        </w:rPr>
        <w:t>ration du dossier médical personnel</w:t>
      </w:r>
      <w:r w:rsidRPr="00D147A7">
        <w:rPr>
          <w:rFonts w:ascii="Times New Roman" w:hAnsi="Times New Roman" w:cs="Times New Roman"/>
          <w:sz w:val="24"/>
          <w:szCs w:val="24"/>
        </w:rPr>
        <w:t>» genaamd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19, 23 januari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Wet nr. 2009-879 van 21 juli 2009 houdende ziekenhuishervorming en betreffende patiënten, gezondheid en verzorgingsgebieden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167, 22 juli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Verordening van 8 september 2009 houdende goedkeuring van de overeenkomst over de samenstelling van een onderneming van openbaar belang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213, 15 september 2009), gewijzigd door de verordening van 28 november 2009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277, 29 november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Verordening van 28 november 2009 houdende goedkeuring van de ontbinding van de organi</w:t>
      </w:r>
      <w:r w:rsidR="008D439D">
        <w:rPr>
          <w:rFonts w:ascii="Times New Roman" w:hAnsi="Times New Roman" w:cs="Times New Roman"/>
          <w:sz w:val="24"/>
          <w:szCs w:val="24"/>
        </w:rPr>
        <w:t>-</w:t>
      </w:r>
      <w:r w:rsidRPr="00D147A7">
        <w:rPr>
          <w:rFonts w:ascii="Times New Roman" w:hAnsi="Times New Roman" w:cs="Times New Roman"/>
          <w:sz w:val="24"/>
          <w:szCs w:val="24"/>
        </w:rPr>
        <w:t>satie van openbaar belang «</w:t>
      </w:r>
      <w:r w:rsidRPr="00D147A7">
        <w:rPr>
          <w:rFonts w:ascii="Times New Roman" w:hAnsi="Times New Roman" w:cs="Times New Roman"/>
          <w:i/>
          <w:sz w:val="24"/>
          <w:szCs w:val="24"/>
        </w:rPr>
        <w:t>Carte de professionnel de santé</w:t>
      </w:r>
      <w:r w:rsidRPr="00D147A7">
        <w:rPr>
          <w:rFonts w:ascii="Times New Roman" w:hAnsi="Times New Roman" w:cs="Times New Roman"/>
          <w:sz w:val="24"/>
          <w:szCs w:val="24"/>
        </w:rPr>
        <w:t xml:space="preserve">» en overdracht van de goederen, rechten en verplichtingen aan het </w:t>
      </w:r>
      <w:r w:rsidRPr="00D147A7">
        <w:rPr>
          <w:rFonts w:ascii="Times New Roman" w:hAnsi="Times New Roman" w:cs="Times New Roman"/>
          <w:i/>
          <w:sz w:val="24"/>
          <w:szCs w:val="24"/>
        </w:rPr>
        <w:t>Agence des systèmes d’information partagées de santé</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277, 29 november 2009).</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Verordening van 9 december 2009 ter regeling van de toekenningsbedingen door  ASIP Santé van financieringen gericht op het aanmoedigen van de ontwikkeling van gedeelde zorginfor</w:t>
      </w:r>
      <w:r w:rsidR="008D439D">
        <w:rPr>
          <w:rFonts w:ascii="Times New Roman" w:hAnsi="Times New Roman" w:cs="Times New Roman"/>
          <w:sz w:val="24"/>
          <w:szCs w:val="24"/>
        </w:rPr>
        <w:t>-</w:t>
      </w:r>
      <w:r w:rsidRPr="00D147A7">
        <w:rPr>
          <w:rFonts w:ascii="Times New Roman" w:hAnsi="Times New Roman" w:cs="Times New Roman"/>
          <w:sz w:val="24"/>
          <w:szCs w:val="24"/>
        </w:rPr>
        <w:t>matiesystemen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294, 19 december 2009).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2010-336 van 31 maart 2010 houdende de oprichting van de </w:t>
      </w:r>
      <w:r w:rsidRPr="00D147A7">
        <w:rPr>
          <w:rFonts w:ascii="Times New Roman" w:hAnsi="Times New Roman" w:cs="Times New Roman"/>
          <w:i/>
          <w:sz w:val="24"/>
          <w:szCs w:val="24"/>
        </w:rPr>
        <w:t>Agences Régionales de Santé</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2010-337 van 31 maart 2010 met betrekking tot de toezichtsraad van de </w:t>
      </w:r>
      <w:r w:rsidRPr="00D147A7">
        <w:rPr>
          <w:rFonts w:ascii="Times New Roman" w:hAnsi="Times New Roman" w:cs="Times New Roman"/>
          <w:i/>
          <w:sz w:val="24"/>
          <w:szCs w:val="24"/>
        </w:rPr>
        <w:t>Agence Régionale de Santé</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2010-339 van 31 maart 2010 met betrekking tot het financiële regime van de </w:t>
      </w:r>
      <w:r w:rsidRPr="00D147A7">
        <w:rPr>
          <w:rFonts w:ascii="Times New Roman" w:hAnsi="Times New Roman" w:cs="Times New Roman"/>
          <w:i/>
          <w:sz w:val="24"/>
          <w:szCs w:val="24"/>
        </w:rPr>
        <w:t>Agen</w:t>
      </w:r>
      <w:r w:rsidR="008D439D">
        <w:rPr>
          <w:rFonts w:ascii="Times New Roman" w:hAnsi="Times New Roman" w:cs="Times New Roman"/>
          <w:i/>
          <w:sz w:val="24"/>
          <w:szCs w:val="24"/>
        </w:rPr>
        <w:t>-</w:t>
      </w:r>
      <w:r w:rsidRPr="00D147A7">
        <w:rPr>
          <w:rFonts w:ascii="Times New Roman" w:hAnsi="Times New Roman" w:cs="Times New Roman"/>
          <w:i/>
          <w:sz w:val="24"/>
          <w:szCs w:val="24"/>
        </w:rPr>
        <w:t>ces Régionales de Santé</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nr. 2010-346 van 31 maart 2010 betreffende de comités voor de coördinatie van poli</w:t>
      </w:r>
      <w:r w:rsidR="008D439D">
        <w:rPr>
          <w:rFonts w:ascii="Times New Roman" w:hAnsi="Times New Roman" w:cs="Times New Roman"/>
          <w:sz w:val="24"/>
          <w:szCs w:val="24"/>
        </w:rPr>
        <w:t>-</w:t>
      </w:r>
      <w:r w:rsidRPr="00D147A7">
        <w:rPr>
          <w:rFonts w:ascii="Times New Roman" w:hAnsi="Times New Roman" w:cs="Times New Roman"/>
          <w:sz w:val="24"/>
          <w:szCs w:val="24"/>
        </w:rPr>
        <w:t>tiek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nr. 2010-347 van 31 maart 2010 betreffende de samenstelling en de wijze waarop de conferenties over verzorgingsgebieden functioneren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nr. 2010-348 van 31 maart 2010 betreffende de regionale conferentie over gezondheid en autonomie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77, 1 april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Besluit nr. 2010-514 van 18 mei 2010 betreffende het regionaal gezondheidsproject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115, 20 mei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2010-786 van 8 juli 2010 betreffende de nationale besturing van de </w:t>
      </w:r>
      <w:r w:rsidRPr="00D147A7">
        <w:rPr>
          <w:rFonts w:ascii="Times New Roman" w:hAnsi="Times New Roman" w:cs="Times New Roman"/>
          <w:i/>
          <w:sz w:val="24"/>
          <w:szCs w:val="24"/>
        </w:rPr>
        <w:t>Agences Ré</w:t>
      </w:r>
      <w:r w:rsidR="008D439D">
        <w:rPr>
          <w:rFonts w:ascii="Times New Roman" w:hAnsi="Times New Roman" w:cs="Times New Roman"/>
          <w:i/>
          <w:sz w:val="24"/>
          <w:szCs w:val="24"/>
        </w:rPr>
        <w:t>-</w:t>
      </w:r>
      <w:r w:rsidRPr="00D147A7">
        <w:rPr>
          <w:rFonts w:ascii="Times New Roman" w:hAnsi="Times New Roman" w:cs="Times New Roman"/>
          <w:i/>
          <w:sz w:val="24"/>
          <w:szCs w:val="24"/>
        </w:rPr>
        <w:t>gionales de Santé</w:t>
      </w:r>
      <w:r w:rsidRPr="00D147A7">
        <w:rPr>
          <w:rFonts w:ascii="Times New Roman" w:hAnsi="Times New Roman" w:cs="Times New Roman"/>
          <w:sz w:val="24"/>
          <w:szCs w:val="24"/>
        </w:rPr>
        <w:t xml:space="preserv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159, 11 juli 2010).</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Besluit nr. 2011-496 van 5 mei 2011 houdende oprichting van een </w:t>
      </w:r>
      <w:r w:rsidRPr="00D147A7">
        <w:rPr>
          <w:rFonts w:ascii="Times New Roman" w:hAnsi="Times New Roman" w:cs="Times New Roman"/>
          <w:i/>
          <w:sz w:val="24"/>
          <w:szCs w:val="24"/>
        </w:rPr>
        <w:t>délégation à la stratégie des systèmes d’information de santé</w:t>
      </w:r>
      <w:r w:rsidRPr="00D147A7">
        <w:rPr>
          <w:rFonts w:ascii="Times New Roman" w:hAnsi="Times New Roman" w:cs="Times New Roman"/>
          <w:sz w:val="24"/>
          <w:szCs w:val="24"/>
        </w:rPr>
        <w:t xml:space="preserve"> nabij de ministers die bevoegd zijn voor volksgezond</w:t>
      </w:r>
      <w:r w:rsidR="008D439D">
        <w:rPr>
          <w:rFonts w:ascii="Times New Roman" w:hAnsi="Times New Roman" w:cs="Times New Roman"/>
          <w:sz w:val="24"/>
          <w:szCs w:val="24"/>
        </w:rPr>
        <w:t>-</w:t>
      </w:r>
      <w:r w:rsidRPr="00D147A7">
        <w:rPr>
          <w:rFonts w:ascii="Times New Roman" w:hAnsi="Times New Roman" w:cs="Times New Roman"/>
          <w:sz w:val="24"/>
          <w:szCs w:val="24"/>
        </w:rPr>
        <w:t>heid, sociale zekerheid, solidariteit en sociale cohesie (</w:t>
      </w:r>
      <w:r w:rsidRPr="00D147A7">
        <w:rPr>
          <w:rFonts w:ascii="Times New Roman" w:hAnsi="Times New Roman" w:cs="Times New Roman"/>
          <w:i/>
          <w:sz w:val="24"/>
          <w:szCs w:val="24"/>
        </w:rPr>
        <w:t>JORF</w:t>
      </w:r>
      <w:r w:rsidRPr="00D147A7">
        <w:rPr>
          <w:rFonts w:ascii="Times New Roman" w:hAnsi="Times New Roman" w:cs="Times New Roman"/>
          <w:sz w:val="24"/>
          <w:szCs w:val="24"/>
        </w:rPr>
        <w:t xml:space="preserve"> 105, 6 mei 2011).</w:t>
      </w:r>
    </w:p>
    <w:p w:rsidR="009931C7" w:rsidRPr="00D147A7" w:rsidRDefault="009931C7" w:rsidP="009931C7">
      <w:pPr>
        <w:pStyle w:val="Geenafstand"/>
        <w:jc w:val="both"/>
        <w:rPr>
          <w:rFonts w:ascii="Times New Roman" w:hAnsi="Times New Roman" w:cs="Times New Roman"/>
          <w:sz w:val="24"/>
          <w:szCs w:val="24"/>
        </w:rPr>
      </w:pPr>
    </w:p>
    <w:p w:rsidR="009931C7" w:rsidRPr="00D147A7" w:rsidRDefault="009931C7" w:rsidP="009931C7">
      <w:pPr>
        <w:pStyle w:val="Geenafstand"/>
        <w:jc w:val="both"/>
        <w:rPr>
          <w:rFonts w:ascii="Times New Roman" w:hAnsi="Times New Roman" w:cs="Times New Roman"/>
          <w:b/>
          <w:sz w:val="24"/>
          <w:szCs w:val="24"/>
        </w:rPr>
      </w:pPr>
      <w:r w:rsidRPr="00D147A7">
        <w:rPr>
          <w:rFonts w:ascii="Times New Roman" w:hAnsi="Times New Roman" w:cs="Times New Roman"/>
          <w:sz w:val="24"/>
          <w:szCs w:val="24"/>
        </w:rPr>
        <w:tab/>
      </w:r>
      <w:r w:rsidRPr="00D147A7">
        <w:rPr>
          <w:rFonts w:ascii="Times New Roman" w:hAnsi="Times New Roman" w:cs="Times New Roman"/>
          <w:sz w:val="24"/>
          <w:szCs w:val="24"/>
        </w:rPr>
        <w:tab/>
      </w:r>
      <w:r w:rsidRPr="00D147A7">
        <w:rPr>
          <w:rFonts w:ascii="Times New Roman" w:hAnsi="Times New Roman" w:cs="Times New Roman"/>
          <w:b/>
          <w:smallCaps/>
          <w:sz w:val="24"/>
          <w:szCs w:val="24"/>
        </w:rPr>
        <w:t>2.5.</w:t>
      </w:r>
      <w:r w:rsidRPr="00D147A7">
        <w:rPr>
          <w:rFonts w:ascii="Times New Roman" w:hAnsi="Times New Roman" w:cs="Times New Roman"/>
          <w:b/>
          <w:sz w:val="24"/>
          <w:szCs w:val="24"/>
        </w:rPr>
        <w:t>3.2 Rechtsleer en literatuur</w:t>
      </w:r>
    </w:p>
    <w:p w:rsidR="008D439D" w:rsidRDefault="008D439D" w:rsidP="009931C7">
      <w:pPr>
        <w:pStyle w:val="Geenafstand"/>
        <w:jc w:val="both"/>
        <w:rPr>
          <w:rFonts w:ascii="Times New Roman" w:hAnsi="Times New Roman" w:cs="Times New Roman"/>
          <w:sz w:val="24"/>
          <w:szCs w:val="24"/>
          <w:lang w:val="fr-BE"/>
        </w:rPr>
      </w:pP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‘Attribution du marché de l’hébergement du DMP’, s.l., 2010 (</w:t>
      </w:r>
      <w:hyperlink r:id="rId279" w:history="1">
        <w:r w:rsidR="008D439D" w:rsidRPr="00ED5FE6">
          <w:rPr>
            <w:rStyle w:val="Hyperlink"/>
            <w:rFonts w:ascii="Times New Roman" w:hAnsi="Times New Roman" w:cs="Times New Roman"/>
            <w:sz w:val="24"/>
            <w:szCs w:val="24"/>
            <w:lang w:val="fr-BE"/>
          </w:rPr>
          <w:t>http://esante.gouv.fr/actus/ dmp/attribution-du-marche-de-l-hebergement-du-dmp</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‘Cadre d’Interoperabilité des Systèmes d’Information de Santé (CI-SIS)’, s.l., 2012 (</w:t>
      </w:r>
      <w:hyperlink w:history="1">
        <w:r w:rsidR="008D439D" w:rsidRPr="00ED5FE6">
          <w:rPr>
            <w:rStyle w:val="Hyperlink"/>
            <w:rFonts w:ascii="Times New Roman" w:hAnsi="Times New Roman" w:cs="Times New Roman"/>
            <w:sz w:val="24"/>
            <w:szCs w:val="24"/>
            <w:lang w:val="fr-BE"/>
          </w:rPr>
          <w:t>http:// esante.gouv.fr/services/referentiels/referentiels-d-interoperabilite/cadre-d-interoperabilite-des-systemes-d-inform</w:t>
        </w:r>
      </w:hyperlink>
      <w:r w:rsidRPr="00D147A7">
        <w:rPr>
          <w:rFonts w:ascii="Times New Roman" w:hAnsi="Times New Roman" w:cs="Times New Roman"/>
          <w:sz w:val="24"/>
          <w:szCs w:val="24"/>
          <w:lang w:val="fr-BE"/>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‘DMP: un projet structurant pour la e-santé en France’, s.l., 2010 (</w:t>
      </w:r>
      <w:hyperlink r:id="rId280" w:history="1">
        <w:r w:rsidR="00037667" w:rsidRPr="00D147A7">
          <w:rPr>
            <w:rStyle w:val="Hyperlink"/>
            <w:rFonts w:ascii="Times New Roman" w:hAnsi="Times New Roman" w:cs="Times New Roman"/>
            <w:sz w:val="24"/>
            <w:szCs w:val="24"/>
            <w:lang w:val="fr-BE"/>
          </w:rPr>
          <w:t>http://esante.gouv.fr/actus/ dmp/dmp-un-projet-structurant-pour-la-e-sante-en-france</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‘Dossier de conception de l’Identifiant National de Santé calculé (INS-C)’, s.l., 2012 (</w:t>
      </w:r>
      <w:hyperlink w:history="1">
        <w:r w:rsidR="008D439D" w:rsidRPr="00ED5FE6">
          <w:rPr>
            <w:rStyle w:val="Hyperlink"/>
            <w:rFonts w:ascii="Times New Roman" w:hAnsi="Times New Roman" w:cs="Times New Roman"/>
            <w:sz w:val="24"/>
            <w:szCs w:val="24"/>
            <w:lang w:val="fr-BE"/>
          </w:rPr>
          <w:t>http:// esante.gouv.fr/services/referentiels/identification/dossier-de-conception-de-l-identifiant-national-de-sante-calcul</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‘Dossier pharmaceutique: une information-patient partagée entre officines’, </w:t>
      </w:r>
      <w:r w:rsidRPr="00D147A7">
        <w:rPr>
          <w:rFonts w:ascii="Times New Roman" w:hAnsi="Times New Roman" w:cs="Times New Roman"/>
          <w:i/>
          <w:sz w:val="24"/>
          <w:szCs w:val="24"/>
          <w:lang w:val="fr-BE"/>
        </w:rPr>
        <w:t>Revue préscrire</w:t>
      </w:r>
      <w:r w:rsidRPr="00D147A7">
        <w:rPr>
          <w:rFonts w:ascii="Times New Roman" w:hAnsi="Times New Roman" w:cs="Times New Roman"/>
          <w:sz w:val="24"/>
          <w:szCs w:val="24"/>
          <w:lang w:val="fr-BE"/>
        </w:rPr>
        <w:t>, 319/30 (2010), p. 378-380.</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i/>
          <w:sz w:val="24"/>
          <w:szCs w:val="24"/>
          <w:lang w:val="fr-BE"/>
        </w:rPr>
        <w:t>État des lieux et perspectives de plate-formes régionales de services. Programme de relance du DMP et des systèmes d'information de santé</w:t>
      </w:r>
      <w:r w:rsidRPr="00D147A7">
        <w:rPr>
          <w:rFonts w:ascii="Times New Roman" w:hAnsi="Times New Roman" w:cs="Times New Roman"/>
          <w:sz w:val="24"/>
          <w:szCs w:val="24"/>
          <w:lang w:val="fr-BE"/>
        </w:rPr>
        <w:t>, Parijs, Mission de Préfiguration de l’Agence des Systèmes d’Information Partagés de Santé, 2009, 70p.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lastRenderedPageBreak/>
        <w:t>‘Ethique: le dossier médical personnel en question’, s.l., 2008 (</w:t>
      </w:r>
      <w:hyperlink r:id="rId281" w:history="1">
        <w:r w:rsidR="00C2188C" w:rsidRPr="00EA26DD">
          <w:rPr>
            <w:rStyle w:val="Hyperlink"/>
            <w:rFonts w:ascii="Times New Roman" w:hAnsi="Times New Roman" w:cs="Times New Roman"/>
            <w:sz w:val="24"/>
            <w:szCs w:val="24"/>
            <w:lang w:val="fr-BE"/>
          </w:rPr>
          <w:t>http://www.vie-publique.fr/ actualite/alaune/ethique-dossier-medical-personnel-question.html</w:t>
        </w:r>
      </w:hyperlink>
      <w:r w:rsidRPr="00D147A7">
        <w:rPr>
          <w:rFonts w:ascii="Times New Roman" w:hAnsi="Times New Roman" w:cs="Times New Roman"/>
          <w:sz w:val="24"/>
          <w:szCs w:val="24"/>
          <w:lang w:val="fr-BE"/>
        </w:rPr>
        <w:t>, laatst geraad</w:t>
      </w:r>
      <w:r w:rsidR="00037667" w:rsidRPr="00D147A7">
        <w:rPr>
          <w:rFonts w:ascii="Times New Roman" w:hAnsi="Times New Roman" w:cs="Times New Roman"/>
          <w:sz w:val="24"/>
          <w:szCs w:val="24"/>
          <w:lang w:val="fr-BE"/>
        </w:rPr>
        <w:t>-</w:t>
      </w:r>
      <w:r w:rsidRPr="00D147A7">
        <w:rPr>
          <w:rFonts w:ascii="Times New Roman" w:hAnsi="Times New Roman" w:cs="Times New Roman"/>
          <w:sz w:val="24"/>
          <w:szCs w:val="24"/>
          <w:lang w:val="fr-BE"/>
        </w:rPr>
        <w:t>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‘Hôpital 2012: la majorité des projets SI-PDS ne seront pas achieves avant 2013’, s.l., 25 mei 2012 (</w:t>
      </w:r>
      <w:hyperlink r:id="rId282" w:history="1">
        <w:r w:rsidRPr="00D147A7">
          <w:rPr>
            <w:rStyle w:val="Hyperlink"/>
            <w:rFonts w:ascii="Times New Roman" w:hAnsi="Times New Roman" w:cs="Times New Roman"/>
            <w:sz w:val="24"/>
            <w:szCs w:val="24"/>
            <w:lang w:val="fr-BE"/>
          </w:rPr>
          <w:t>http://www.ticsante.com/show.php?page=story&amp;id=1252</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i/>
          <w:sz w:val="24"/>
          <w:szCs w:val="24"/>
          <w:lang w:val="fr-BE"/>
        </w:rPr>
        <w:t>Investissement hospitalier, du plan hôpital 2007 au Plan Hôpital 2012: actes de la conféren</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ce, 13 février 2007</w:t>
      </w:r>
      <w:r w:rsidRPr="00D147A7">
        <w:rPr>
          <w:rFonts w:ascii="Times New Roman" w:hAnsi="Times New Roman" w:cs="Times New Roman"/>
          <w:sz w:val="24"/>
          <w:szCs w:val="24"/>
          <w:lang w:val="fr-BE"/>
        </w:rPr>
        <w:t xml:space="preserve">, Parijs, Ministère de la santé et des solidarities, 2007, 34p. </w:t>
      </w:r>
      <w:r w:rsidRPr="00D147A7">
        <w:rPr>
          <w:rFonts w:ascii="Times New Roman" w:hAnsi="Times New Roman" w:cs="Times New Roman"/>
          <w:sz w:val="24"/>
          <w:szCs w:val="24"/>
        </w:rPr>
        <w:t>(</w:t>
      </w:r>
      <w:hyperlink w:history="1">
        <w:r w:rsidR="008D439D" w:rsidRPr="00ED5FE6">
          <w:rPr>
            <w:rStyle w:val="Hyperlink"/>
            <w:rFonts w:ascii="Times New Roman" w:hAnsi="Times New Roman" w:cs="Times New Roman"/>
            <w:sz w:val="24"/>
            <w:szCs w:val="24"/>
          </w:rPr>
          <w:t>http://fulltext. bdsp.ehesp.fr/Ministere/Publications/2007/ISO20024340.pdf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‘L’accès web «Patients» du Dossier Médical Personnel (DMP) obtient le label ‘2011, Année des patients et de leurs droits’’, Parijs, 2011, (</w:t>
      </w:r>
      <w:hyperlink r:id="rId283" w:history="1">
        <w:r w:rsidR="008D439D" w:rsidRPr="00ED5FE6">
          <w:rPr>
            <w:rStyle w:val="Hyperlink"/>
            <w:rFonts w:ascii="Times New Roman" w:hAnsi="Times New Roman" w:cs="Times New Roman"/>
            <w:sz w:val="24"/>
            <w:szCs w:val="24"/>
            <w:lang w:val="fr-BE"/>
          </w:rPr>
          <w:t>http://esante.gouv.fr/asip-sante/espace-presse/ communiques-de-presse/l-acces-web-patients-du-dossier-medical-personnel-dmp</w:t>
        </w:r>
      </w:hyperlink>
      <w:r w:rsidRPr="00D147A7">
        <w:rPr>
          <w:rFonts w:ascii="Times New Roman" w:hAnsi="Times New Roman" w:cs="Times New Roman"/>
          <w:sz w:val="24"/>
          <w:szCs w:val="24"/>
          <w:lang w:val="fr-BE"/>
        </w:rPr>
        <w:t>, laatst ge</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‘L’Asip attribue l’hébergement du DMP au consortium Atos Origin-La Poste’, s.l., 2010 (</w:t>
      </w:r>
      <w:hyperlink r:id="rId284" w:history="1">
        <w:r w:rsidR="008D439D" w:rsidRPr="00ED5FE6">
          <w:rPr>
            <w:rStyle w:val="Hyperlink"/>
            <w:rFonts w:ascii="Times New Roman" w:hAnsi="Times New Roman" w:cs="Times New Roman"/>
            <w:sz w:val="24"/>
            <w:szCs w:val="24"/>
            <w:lang w:val="fr-BE"/>
          </w:rPr>
          <w:t>http://www.ticsante.com/show.php?page=mstory&amp;jeton=nSnNt7Di0O_Zc26w4UMhtw</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‘L’ASIP Santé, hôte des réunions de trois comités de standardisation IHE International’, s.l., 2012 (</w:t>
      </w:r>
      <w:hyperlink r:id="rId285" w:history="1">
        <w:r w:rsidR="008D439D" w:rsidRPr="00ED5FE6">
          <w:rPr>
            <w:rStyle w:val="Hyperlink"/>
            <w:rFonts w:ascii="Times New Roman" w:hAnsi="Times New Roman" w:cs="Times New Roman"/>
            <w:sz w:val="24"/>
            <w:szCs w:val="24"/>
            <w:lang w:val="fr-BE"/>
          </w:rPr>
          <w:t>http://esante.gouv.fr/actus/interoperabilite/l-asip-sante-hote-des-reunions-de-trois-comites-de-standardisation-ihe-intern</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i/>
          <w:sz w:val="24"/>
          <w:szCs w:val="24"/>
          <w:lang w:val="fr-BE"/>
        </w:rPr>
        <w:t>Le DMP au point mort. Pour la relance d'un projet d'intérêt national. Recommandations à l</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usage des décideurs de l'exécutif, des professionnels de santé et des associations de santé</w:t>
      </w:r>
      <w:r w:rsidRPr="00D147A7">
        <w:rPr>
          <w:rFonts w:ascii="Times New Roman" w:hAnsi="Times New Roman" w:cs="Times New Roman"/>
          <w:sz w:val="24"/>
          <w:szCs w:val="24"/>
          <w:lang w:val="fr-BE"/>
        </w:rPr>
        <w:t>, Neuilly sur Seine, LESSIS, 2007, 11p.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‘Le dossier médical personnel... partagé’, </w:t>
      </w:r>
      <w:r w:rsidRPr="00D147A7">
        <w:rPr>
          <w:rFonts w:ascii="Times New Roman" w:hAnsi="Times New Roman" w:cs="Times New Roman"/>
          <w:i/>
          <w:sz w:val="24"/>
          <w:szCs w:val="24"/>
          <w:lang w:val="fr-BE"/>
        </w:rPr>
        <w:t>Cahiers hospitaliers</w:t>
      </w:r>
      <w:r w:rsidRPr="00D147A7">
        <w:rPr>
          <w:rFonts w:ascii="Times New Roman" w:hAnsi="Times New Roman" w:cs="Times New Roman"/>
          <w:sz w:val="24"/>
          <w:szCs w:val="24"/>
          <w:lang w:val="fr-BE"/>
        </w:rPr>
        <w:t>, 206 (2004), p. 16-17.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‘Le marché de l’hébergement du DMP définetivement attribute, la procedure d’agrémenbt peut commencer’, s.l., 2010 (</w:t>
      </w:r>
      <w:hyperlink r:id="rId286" w:history="1">
        <w:r w:rsidRPr="00D147A7">
          <w:rPr>
            <w:rStyle w:val="Hyperlink"/>
            <w:rFonts w:ascii="Times New Roman" w:hAnsi="Times New Roman" w:cs="Times New Roman"/>
            <w:sz w:val="24"/>
            <w:szCs w:val="24"/>
            <w:lang w:val="fr-BE"/>
          </w:rPr>
          <w:t>http://www.ticsante.com/show.php?id=576&amp;page=story</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‘Le projet DMP’, s.l.n.d. (</w:t>
      </w:r>
      <w:hyperlink r:id="rId287" w:history="1">
        <w:r w:rsidRPr="00D147A7">
          <w:rPr>
            <w:rStyle w:val="Hyperlink"/>
            <w:rFonts w:ascii="Times New Roman" w:hAnsi="Times New Roman" w:cs="Times New Roman"/>
            <w:sz w:val="24"/>
            <w:szCs w:val="24"/>
          </w:rPr>
          <w:t>http://www.dmp.gouv.fr/web/dmp/actualite-dmp/le-projet-dmp</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‘Les grandes étapes du déploiement du DMP’, s.l.n.d. (</w:t>
      </w:r>
      <w:hyperlink r:id="rId288" w:history="1">
        <w:r w:rsidR="00037667" w:rsidRPr="00D147A7">
          <w:rPr>
            <w:rStyle w:val="Hyperlink"/>
            <w:rFonts w:ascii="Times New Roman" w:hAnsi="Times New Roman" w:cs="Times New Roman"/>
            <w:sz w:val="24"/>
            <w:szCs w:val="24"/>
            <w:lang w:val="fr-BE"/>
          </w:rPr>
          <w:t>http://www.dmp.gouv.fr/web/dmp/ actualite-dmp/le-deploiement-du-dmp/les-grandes-etapes</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‘L’identifiant national de santé: une mise en œuvre progressive’, s.l., 2010 (</w:t>
      </w:r>
      <w:hyperlink w:history="1">
        <w:r w:rsidR="008D439D" w:rsidRPr="00ED5FE6">
          <w:rPr>
            <w:rStyle w:val="Hyperlink"/>
            <w:rFonts w:ascii="Times New Roman" w:hAnsi="Times New Roman" w:cs="Times New Roman"/>
            <w:sz w:val="24"/>
            <w:szCs w:val="24"/>
            <w:lang w:val="fr-BE"/>
          </w:rPr>
          <w:t>http://esante. gouv.fr/actus/interoperabilite/l-identifiant-national-de-sante-une-mise-en-œuvre-progressive</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‘Plan de relance du Dossier médical personnel (DMP)’, s.l., 2008 (</w:t>
      </w:r>
      <w:hyperlink r:id="rId289" w:history="1">
        <w:r w:rsidR="008D439D" w:rsidRPr="00ED5FE6">
          <w:rPr>
            <w:rStyle w:val="Hyperlink"/>
            <w:rFonts w:ascii="Times New Roman" w:hAnsi="Times New Roman" w:cs="Times New Roman"/>
            <w:sz w:val="24"/>
            <w:szCs w:val="24"/>
            <w:lang w:val="fr-BE"/>
          </w:rPr>
          <w:t>http://www.sante.gouv.fr/ plan-de-relance-du-dossier-medical-personnel-dmp.html</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‘Plus de 39.000 DMP créés en dix mois’, Parijs, 26 oktober 2011 (</w:t>
      </w:r>
      <w:hyperlink r:id="rId290" w:history="1">
        <w:r w:rsidR="008D439D" w:rsidRPr="00ED5FE6">
          <w:rPr>
            <w:rStyle w:val="Hyperlink"/>
            <w:rFonts w:ascii="Times New Roman" w:hAnsi="Times New Roman" w:cs="Times New Roman"/>
            <w:sz w:val="24"/>
            <w:szCs w:val="24"/>
          </w:rPr>
          <w:t>http://www.ticsante.com/ show.php?page=story&amp;id=1089</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‘Près de 16.000 DMP ont été créés en six mois’, Parijs, 1 augustus 2011 (</w:t>
      </w:r>
      <w:hyperlink w:history="1">
        <w:r w:rsidR="008D439D" w:rsidRPr="00ED5FE6">
          <w:rPr>
            <w:rStyle w:val="Hyperlink"/>
            <w:rFonts w:ascii="Times New Roman" w:hAnsi="Times New Roman" w:cs="Times New Roman"/>
            <w:sz w:val="24"/>
            <w:szCs w:val="24"/>
          </w:rPr>
          <w:t>http://www.ticsante. com/show.php?page=story&amp;id=1023&amp;story=1023</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i/>
          <w:sz w:val="24"/>
          <w:szCs w:val="24"/>
          <w:lang w:val="fr-BE"/>
        </w:rPr>
        <w:t xml:space="preserve">Programme de relance du DMP et des systèmes d'information partagés de santé </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 xml:space="preserve"> Orienta</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tions stratégiques et principes de mise en oeuvre</w:t>
      </w:r>
      <w:r w:rsidRPr="00D147A7">
        <w:rPr>
          <w:rFonts w:ascii="Times New Roman" w:hAnsi="Times New Roman" w:cs="Times New Roman"/>
          <w:sz w:val="24"/>
          <w:szCs w:val="24"/>
          <w:lang w:val="fr-BE"/>
        </w:rPr>
        <w:t>, Parijs, Ministère de la Solidarité de la Santé et de la Protection Sociale (M.S.S.P.S.). Agences des Systèmes d’Information Partagés de Santé, 2009, 112p.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i/>
          <w:sz w:val="24"/>
          <w:szCs w:val="24"/>
          <w:lang w:val="fr-BE"/>
        </w:rPr>
        <w:t>Programme de relance du DPM et des systèmes d'information partagés de santé: 9 avril 2009</w:t>
      </w:r>
      <w:r w:rsidRPr="00D147A7">
        <w:rPr>
          <w:rFonts w:ascii="Times New Roman" w:hAnsi="Times New Roman" w:cs="Times New Roman"/>
          <w:sz w:val="24"/>
          <w:szCs w:val="24"/>
          <w:lang w:val="fr-BE"/>
        </w:rPr>
        <w:t>, Parijs, Ministère de la santé et des sports, 2009, 10p.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‘Quelques problématiques juridiques au sujet du dossier médical personnel’, </w:t>
      </w:r>
      <w:r w:rsidRPr="00D147A7">
        <w:rPr>
          <w:rFonts w:ascii="Times New Roman" w:hAnsi="Times New Roman" w:cs="Times New Roman"/>
          <w:i/>
          <w:sz w:val="24"/>
          <w:szCs w:val="24"/>
          <w:lang w:val="fr-BE"/>
        </w:rPr>
        <w:t>Le bulletin juri</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dique du praticien hospitalier</w:t>
      </w:r>
      <w:r w:rsidRPr="00D147A7">
        <w:rPr>
          <w:rFonts w:ascii="Times New Roman" w:hAnsi="Times New Roman" w:cs="Times New Roman"/>
          <w:sz w:val="24"/>
          <w:szCs w:val="24"/>
          <w:lang w:val="fr-BE"/>
        </w:rPr>
        <w:t>, 87 (2006), p. 20-22.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lastRenderedPageBreak/>
        <w:t xml:space="preserve">ARTMANN, J.; GIEST, S.; DUMORTIER, J.; </w:t>
      </w:r>
      <w:r w:rsidRPr="00D147A7">
        <w:rPr>
          <w:rFonts w:ascii="Times New Roman" w:hAnsi="Times New Roman" w:cs="Times New Roman"/>
          <w:i/>
          <w:sz w:val="24"/>
          <w:szCs w:val="24"/>
        </w:rPr>
        <w:t>Country Brief: France</w:t>
      </w:r>
      <w:r w:rsidRPr="00D147A7">
        <w:rPr>
          <w:rFonts w:ascii="Times New Roman" w:hAnsi="Times New Roman" w:cs="Times New Roman"/>
          <w:sz w:val="24"/>
          <w:szCs w:val="24"/>
        </w:rPr>
        <w:t>, s.l., Directoraat-gene</w:t>
      </w:r>
      <w:r w:rsidR="008D439D">
        <w:rPr>
          <w:rFonts w:ascii="Times New Roman" w:hAnsi="Times New Roman" w:cs="Times New Roman"/>
          <w:sz w:val="24"/>
          <w:szCs w:val="24"/>
        </w:rPr>
        <w:t>-</w:t>
      </w:r>
      <w:r w:rsidRPr="00D147A7">
        <w:rPr>
          <w:rFonts w:ascii="Times New Roman" w:hAnsi="Times New Roman" w:cs="Times New Roman"/>
          <w:sz w:val="24"/>
          <w:szCs w:val="24"/>
        </w:rPr>
        <w:t>raal Informatiemaatschappij en Media van de Europese Commissie, 2010, 43p. (</w:t>
      </w:r>
      <w:hyperlink w:history="1">
        <w:r w:rsidR="008D439D" w:rsidRPr="00ED5FE6">
          <w:rPr>
            <w:rStyle w:val="Hyperlink"/>
            <w:rFonts w:ascii="Times New Roman" w:hAnsi="Times New Roman" w:cs="Times New Roman"/>
            <w:sz w:val="24"/>
            <w:szCs w:val="24"/>
          </w:rPr>
          <w:t>http://ehealth -strategies.eu/database/documents/France_CountryBrief_eHStrategies.pdf</w:t>
        </w:r>
      </w:hyperlink>
      <w:r w:rsidRPr="00D147A7">
        <w:rPr>
          <w:rFonts w:ascii="Times New Roman" w:hAnsi="Times New Roman" w:cs="Times New Roman"/>
          <w:sz w:val="24"/>
          <w:szCs w:val="24"/>
        </w:rPr>
        <w:t>, laatst geraad</w:t>
      </w:r>
      <w:r w:rsidR="008D439D">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Dossier de presse. Le DMP, au service de la coördination des soins</w:t>
      </w:r>
      <w:r w:rsidRPr="00D147A7">
        <w:rPr>
          <w:rFonts w:ascii="Times New Roman" w:hAnsi="Times New Roman" w:cs="Times New Roman"/>
          <w:sz w:val="24"/>
          <w:szCs w:val="24"/>
          <w:lang w:val="fr-BE"/>
        </w:rPr>
        <w:t xml:space="preserve">, s.l., 2011, 30p. </w:t>
      </w:r>
      <w:r w:rsidRPr="00D147A7">
        <w:rPr>
          <w:rFonts w:ascii="Times New Roman" w:hAnsi="Times New Roman" w:cs="Times New Roman"/>
          <w:sz w:val="24"/>
          <w:szCs w:val="24"/>
        </w:rPr>
        <w:t>(</w:t>
      </w:r>
      <w:hyperlink r:id="rId291" w:history="1">
        <w:r w:rsidR="00037667" w:rsidRPr="00D147A7">
          <w:rPr>
            <w:rStyle w:val="Hyperlink"/>
            <w:rFonts w:ascii="Times New Roman" w:hAnsi="Times New Roman" w:cs="Times New Roman"/>
            <w:sz w:val="24"/>
            <w:szCs w:val="24"/>
          </w:rPr>
          <w:t>esante.gouv.fr/dmp_presse/presse/dossier_01.pdf</w:t>
        </w:r>
      </w:hyperlink>
      <w:r w:rsidR="00037667" w:rsidRPr="00D147A7">
        <w:rPr>
          <w:rFonts w:ascii="Times New Roman" w:hAnsi="Times New Roman" w:cs="Times New Roman"/>
          <w:sz w:val="24"/>
          <w:szCs w:val="24"/>
        </w:rPr>
        <w:t xml:space="preserve">, </w:t>
      </w:r>
      <w:r w:rsidRPr="00D147A7">
        <w:rPr>
          <w:rFonts w:ascii="Times New Roman" w:hAnsi="Times New Roman" w:cs="Times New Roman"/>
          <w:sz w:val="24"/>
          <w:szCs w:val="24"/>
        </w:rPr>
        <w:t>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Le programme Identifiant National de Santé. Journée internationale de l’dentito-vigilance</w:t>
      </w:r>
      <w:r w:rsidRPr="00D147A7">
        <w:rPr>
          <w:rFonts w:ascii="Times New Roman" w:hAnsi="Times New Roman" w:cs="Times New Roman"/>
          <w:sz w:val="24"/>
          <w:szCs w:val="24"/>
          <w:lang w:val="fr-BE"/>
        </w:rPr>
        <w:t xml:space="preserve">, s.l., 2010, 21p. </w:t>
      </w:r>
      <w:r w:rsidRPr="00D147A7">
        <w:rPr>
          <w:rFonts w:ascii="Times New Roman" w:hAnsi="Times New Roman" w:cs="Times New Roman"/>
          <w:sz w:val="24"/>
          <w:szCs w:val="24"/>
        </w:rPr>
        <w:t>(</w:t>
      </w:r>
      <w:hyperlink r:id="rId292" w:history="1">
        <w:r w:rsidR="008D439D" w:rsidRPr="00ED5FE6">
          <w:rPr>
            <w:rStyle w:val="Hyperlink"/>
            <w:rFonts w:ascii="Times New Roman" w:hAnsi="Times New Roman" w:cs="Times New Roman"/>
            <w:sz w:val="24"/>
            <w:szCs w:val="24"/>
          </w:rPr>
          <w:t>http://www.identito-vigilance.org/presentations/01_F-LAW-DUNE _Programme-INS.pdf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Une nouvelle étape dans la mise en œuvre du dossier médical personnel (DMP)</w:t>
      </w:r>
      <w:r w:rsidRPr="00D147A7">
        <w:rPr>
          <w:rFonts w:ascii="Times New Roman" w:hAnsi="Times New Roman" w:cs="Times New Roman"/>
          <w:sz w:val="24"/>
          <w:szCs w:val="24"/>
          <w:lang w:val="fr-BE"/>
        </w:rPr>
        <w:t>, Parijs, 2010 (</w:t>
      </w:r>
      <w:hyperlink r:id="rId293" w:history="1">
        <w:r w:rsidRPr="00D147A7">
          <w:rPr>
            <w:rStyle w:val="Hyperlink"/>
            <w:rFonts w:ascii="Times New Roman" w:hAnsi="Times New Roman" w:cs="Times New Roman"/>
            <w:sz w:val="24"/>
            <w:szCs w:val="24"/>
            <w:lang w:val="fr-BE"/>
          </w:rPr>
          <w:t>http://esante.gouv.fr/sites/default/files/CP_notification_hebergeur18022010.pdf</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Une première étape pour un identifiant national adapté à l’échange et au par</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tage de données de santé</w:t>
      </w:r>
      <w:r w:rsidRPr="00D147A7">
        <w:rPr>
          <w:rFonts w:ascii="Times New Roman" w:hAnsi="Times New Roman" w:cs="Times New Roman"/>
          <w:sz w:val="24"/>
          <w:szCs w:val="24"/>
          <w:lang w:val="fr-BE"/>
        </w:rPr>
        <w:t xml:space="preserve">, Parijs, 2010, 1p. </w:t>
      </w:r>
      <w:r w:rsidRPr="00D147A7">
        <w:rPr>
          <w:rFonts w:ascii="Times New Roman" w:hAnsi="Times New Roman" w:cs="Times New Roman"/>
          <w:sz w:val="24"/>
          <w:szCs w:val="24"/>
        </w:rPr>
        <w:t>(</w:t>
      </w:r>
      <w:hyperlink r:id="rId294" w:history="1">
        <w:r w:rsidR="008D439D" w:rsidRPr="00ED5FE6">
          <w:rPr>
            <w:rStyle w:val="Hyperlink"/>
            <w:rFonts w:ascii="Times New Roman" w:hAnsi="Times New Roman" w:cs="Times New Roman"/>
            <w:sz w:val="24"/>
            <w:szCs w:val="24"/>
          </w:rPr>
          <w:t>http://esante.gouv.fr/sites/default/files/CP_INS_ ConventionASIP_CNDA_090610.pdf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Guide pratique du projet DMP en établissements de santé</w:t>
      </w:r>
      <w:r w:rsidRPr="00D147A7">
        <w:rPr>
          <w:rFonts w:ascii="Times New Roman" w:hAnsi="Times New Roman" w:cs="Times New Roman"/>
          <w:sz w:val="24"/>
          <w:szCs w:val="24"/>
          <w:lang w:val="fr-BE"/>
        </w:rPr>
        <w:t xml:space="preserve">, Parijs, 2012², 83p. </w:t>
      </w:r>
      <w:r w:rsidRPr="00D147A7">
        <w:rPr>
          <w:rFonts w:ascii="Times New Roman" w:hAnsi="Times New Roman" w:cs="Times New Roman"/>
          <w:sz w:val="24"/>
          <w:szCs w:val="24"/>
        </w:rPr>
        <w:t>(</w:t>
      </w:r>
      <w:hyperlink r:id="rId295" w:history="1">
        <w:r w:rsidR="008D439D" w:rsidRPr="00ED5FE6">
          <w:rPr>
            <w:rStyle w:val="Hyperlink"/>
            <w:rFonts w:ascii="Times New Roman" w:hAnsi="Times New Roman" w:cs="Times New Roman"/>
            <w:sz w:val="24"/>
            <w:szCs w:val="24"/>
          </w:rPr>
          <w:t>http://www.dmp.gouv.fr/web/dmp/documents/guide-pratique-du-projet-dmp-en-es</w:t>
        </w:r>
      </w:hyperlink>
      <w:r w:rsidRPr="00D147A7">
        <w:rPr>
          <w:rFonts w:ascii="Times New Roman" w:hAnsi="Times New Roman" w:cs="Times New Roman"/>
          <w:sz w:val="24"/>
          <w:szCs w:val="24"/>
        </w:rPr>
        <w:t>, laatst ge</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 xml:space="preserve">raadpleegd op 23 juli 2012). </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ASIP Santé, </w:t>
      </w:r>
      <w:r w:rsidRPr="00D147A7">
        <w:rPr>
          <w:rFonts w:ascii="Times New Roman" w:hAnsi="Times New Roman" w:cs="Times New Roman"/>
          <w:i/>
          <w:sz w:val="24"/>
          <w:szCs w:val="24"/>
          <w:lang w:val="fr-BE"/>
        </w:rPr>
        <w:t>Rapport d’Activité 2010. Agir ensemble pour soigner mieux</w:t>
      </w:r>
      <w:r w:rsidRPr="00D147A7">
        <w:rPr>
          <w:rFonts w:ascii="Times New Roman" w:hAnsi="Times New Roman" w:cs="Times New Roman"/>
          <w:sz w:val="24"/>
          <w:szCs w:val="24"/>
          <w:lang w:val="fr-BE"/>
        </w:rPr>
        <w:t xml:space="preserve">, Parijs, 2010, 80p. </w:t>
      </w:r>
      <w:r w:rsidRPr="00D147A7">
        <w:rPr>
          <w:rFonts w:ascii="Times New Roman" w:hAnsi="Times New Roman" w:cs="Times New Roman"/>
          <w:sz w:val="24"/>
          <w:szCs w:val="24"/>
        </w:rPr>
        <w:t>(</w:t>
      </w:r>
      <w:hyperlink r:id="rId296" w:history="1">
        <w:r w:rsidR="008D439D" w:rsidRPr="00ED5FE6">
          <w:rPr>
            <w:rStyle w:val="Hyperlink"/>
            <w:rFonts w:ascii="Times New Roman" w:hAnsi="Times New Roman" w:cs="Times New Roman"/>
            <w:sz w:val="24"/>
            <w:szCs w:val="24"/>
          </w:rPr>
          <w:t>http://esante.gouv.fr/sites/default/files/ASIP_RA2010.pdf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BACHELOT-NARQUIN, R.; WOERTH, E.; </w:t>
      </w:r>
      <w:r w:rsidRPr="00D147A7">
        <w:rPr>
          <w:rFonts w:ascii="Times New Roman" w:hAnsi="Times New Roman" w:cs="Times New Roman"/>
          <w:i/>
          <w:sz w:val="24"/>
          <w:szCs w:val="24"/>
          <w:lang w:val="fr-BE"/>
        </w:rPr>
        <w:t>Remise au Gouvernement du rapport sur le dossier médical personnel</w:t>
      </w:r>
      <w:r w:rsidRPr="00D147A7">
        <w:rPr>
          <w:rFonts w:ascii="Times New Roman" w:hAnsi="Times New Roman" w:cs="Times New Roman"/>
          <w:sz w:val="24"/>
          <w:szCs w:val="24"/>
          <w:lang w:val="fr-BE"/>
        </w:rPr>
        <w:t xml:space="preserve">, Communiqué de Presse, 158, Parijs, 2007, 2p.  </w:t>
      </w:r>
      <w:r w:rsidRPr="00D147A7">
        <w:rPr>
          <w:rFonts w:ascii="Times New Roman" w:hAnsi="Times New Roman" w:cs="Times New Roman"/>
          <w:sz w:val="24"/>
          <w:szCs w:val="24"/>
        </w:rPr>
        <w:t>(</w:t>
      </w:r>
      <w:hyperlink w:history="1">
        <w:r w:rsidR="008D439D" w:rsidRPr="00ED5FE6">
          <w:rPr>
            <w:rStyle w:val="Hyperlink"/>
            <w:rFonts w:ascii="Times New Roman" w:hAnsi="Times New Roman" w:cs="Times New Roman"/>
            <w:sz w:val="24"/>
            <w:szCs w:val="24"/>
          </w:rPr>
          <w:t>http://pubminefi. diffusion.finances.gouv.fr/pub/document/18/2573.doc</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BALLET, P., ‘Où en est la procédure d’agrément des hébergeurs de données de santé à carac</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tère personnel?’,</w:t>
      </w:r>
      <w:r w:rsidRPr="00D147A7">
        <w:rPr>
          <w:rFonts w:ascii="Times New Roman" w:hAnsi="Times New Roman" w:cs="Times New Roman"/>
          <w:i/>
          <w:sz w:val="24"/>
          <w:szCs w:val="24"/>
          <w:lang w:val="fr-BE"/>
        </w:rPr>
        <w:t xml:space="preserve"> G.P.</w:t>
      </w:r>
      <w:r w:rsidRPr="00D147A7">
        <w:rPr>
          <w:rFonts w:ascii="Times New Roman" w:hAnsi="Times New Roman" w:cs="Times New Roman"/>
          <w:sz w:val="24"/>
          <w:szCs w:val="24"/>
          <w:lang w:val="fr-BE"/>
        </w:rPr>
        <w:t>, 109 (2007), p. 20-21.</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BANGA, B.; GERVAIS, J.B.; DUGAST, P.; ‘La pharmacie informatisée. Dossier’, </w:t>
      </w:r>
      <w:r w:rsidRPr="00D147A7">
        <w:rPr>
          <w:rFonts w:ascii="Times New Roman" w:hAnsi="Times New Roman" w:cs="Times New Roman"/>
          <w:i/>
          <w:sz w:val="24"/>
          <w:szCs w:val="24"/>
          <w:lang w:val="fr-BE"/>
        </w:rPr>
        <w:t>Décision santé – le pharmacien hôpital</w:t>
      </w:r>
      <w:r w:rsidRPr="00D147A7">
        <w:rPr>
          <w:rFonts w:ascii="Times New Roman" w:hAnsi="Times New Roman" w:cs="Times New Roman"/>
          <w:sz w:val="24"/>
          <w:szCs w:val="24"/>
          <w:lang w:val="fr-BE"/>
        </w:rPr>
        <w:t>, 255 (2009), p. 6-12.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BESSON, E., </w:t>
      </w:r>
      <w:r w:rsidRPr="00D147A7">
        <w:rPr>
          <w:rFonts w:ascii="Times New Roman" w:hAnsi="Times New Roman" w:cs="Times New Roman"/>
          <w:i/>
          <w:sz w:val="24"/>
          <w:szCs w:val="24"/>
          <w:lang w:val="fr-BE"/>
        </w:rPr>
        <w:t>France numérique 2012. Plan de développement de l’économie numérique</w:t>
      </w:r>
      <w:r w:rsidRPr="00D147A7">
        <w:rPr>
          <w:rFonts w:ascii="Times New Roman" w:hAnsi="Times New Roman" w:cs="Times New Roman"/>
          <w:sz w:val="24"/>
          <w:szCs w:val="24"/>
          <w:lang w:val="fr-BE"/>
        </w:rPr>
        <w:t>, Parijs, 2008, 79p.</w:t>
      </w:r>
      <w:r w:rsidRPr="00D147A7">
        <w:rPr>
          <w:rFonts w:ascii="Times New Roman" w:hAnsi="Times New Roman" w:cs="Times New Roman"/>
          <w:color w:val="00B0F0"/>
          <w:sz w:val="24"/>
          <w:szCs w:val="24"/>
          <w:lang w:val="fr-BE"/>
        </w:rPr>
        <w:t xml:space="preserve"> </w:t>
      </w:r>
      <w:r w:rsidRPr="00D147A7">
        <w:rPr>
          <w:rFonts w:ascii="Times New Roman" w:hAnsi="Times New Roman" w:cs="Times New Roman"/>
          <w:sz w:val="24"/>
          <w:szCs w:val="24"/>
        </w:rPr>
        <w:t>(</w:t>
      </w:r>
      <w:hyperlink r:id="rId297" w:history="1">
        <w:r w:rsidR="008D439D" w:rsidRPr="00ED5FE6">
          <w:rPr>
            <w:rStyle w:val="Hyperlink"/>
            <w:rFonts w:ascii="Times New Roman" w:hAnsi="Times New Roman" w:cs="Times New Roman"/>
            <w:sz w:val="24"/>
            <w:szCs w:val="24"/>
          </w:rPr>
          <w:t>http://www.ladocumentationfrancaise.fr/var/storage/rapports-publics/ 084000664/0000.pdf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BICLET, P. (red.), </w:t>
      </w:r>
      <w:r w:rsidRPr="00D147A7">
        <w:rPr>
          <w:rFonts w:ascii="Times New Roman" w:hAnsi="Times New Roman" w:cs="Times New Roman"/>
          <w:i/>
          <w:sz w:val="24"/>
          <w:szCs w:val="24"/>
          <w:lang w:val="fr-BE"/>
        </w:rPr>
        <w:t>Premier rapport d’activité du comité d’Agrément des hébergeurs: 2006-2011</w:t>
      </w:r>
      <w:r w:rsidRPr="00D147A7">
        <w:rPr>
          <w:rFonts w:ascii="Times New Roman" w:hAnsi="Times New Roman" w:cs="Times New Roman"/>
          <w:sz w:val="24"/>
          <w:szCs w:val="24"/>
          <w:lang w:val="fr-BE"/>
        </w:rPr>
        <w:t xml:space="preserve">, Comité d’agrément des hébergeurs de données de santé, Parijs, 2011, 58p. </w:t>
      </w:r>
      <w:r w:rsidRPr="00D147A7">
        <w:rPr>
          <w:rFonts w:ascii="Times New Roman" w:hAnsi="Times New Roman" w:cs="Times New Roman"/>
          <w:sz w:val="24"/>
          <w:szCs w:val="24"/>
        </w:rPr>
        <w:t>(</w:t>
      </w:r>
      <w:hyperlink w:history="1">
        <w:r w:rsidR="00037667" w:rsidRPr="00D147A7">
          <w:rPr>
            <w:rStyle w:val="Hyperlink"/>
            <w:rFonts w:ascii="Times New Roman" w:hAnsi="Times New Roman" w:cs="Times New Roman"/>
            <w:sz w:val="24"/>
            <w:szCs w:val="24"/>
          </w:rPr>
          <w:t>http:// esante.gouv.fr/sites/default/files/Rapport%20CAH%204.08.11%20VF.pdf</w:t>
        </w:r>
      </w:hyperlink>
      <w:r w:rsidRPr="00D147A7">
        <w:rPr>
          <w:rFonts w:ascii="Times New Roman" w:hAnsi="Times New Roman" w:cs="Times New Roman"/>
          <w:sz w:val="24"/>
          <w:szCs w:val="24"/>
        </w:rPr>
        <w:t>, laatst geraad</w:t>
      </w:r>
      <w:r w:rsidR="00037667" w:rsidRPr="00D147A7">
        <w:rPr>
          <w:rFonts w:ascii="Times New Roman" w:hAnsi="Times New Roman" w:cs="Times New Roman"/>
          <w:sz w:val="24"/>
          <w:szCs w:val="24"/>
        </w:rPr>
        <w:t>-</w:t>
      </w:r>
      <w:r w:rsidRPr="00D147A7">
        <w:rPr>
          <w:rFonts w:ascii="Times New Roman" w:hAnsi="Times New Roman" w:cs="Times New Roman"/>
          <w:sz w:val="24"/>
          <w:szCs w:val="24"/>
        </w:rPr>
        <w:t>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BLED, A.S., ‘Dossier médical: le DMP relance l'informatique médicale’, </w:t>
      </w:r>
      <w:r w:rsidRPr="00D147A7">
        <w:rPr>
          <w:rFonts w:ascii="Times New Roman" w:hAnsi="Times New Roman" w:cs="Times New Roman"/>
          <w:i/>
          <w:sz w:val="24"/>
          <w:szCs w:val="24"/>
          <w:lang w:val="fr-BE"/>
        </w:rPr>
        <w:t>Imact médicine</w:t>
      </w:r>
      <w:r w:rsidRPr="00D147A7">
        <w:rPr>
          <w:rFonts w:ascii="Times New Roman" w:hAnsi="Times New Roman" w:cs="Times New Roman"/>
          <w:sz w:val="24"/>
          <w:szCs w:val="24"/>
          <w:lang w:val="fr-BE"/>
        </w:rPr>
        <w:t>, 90 (2004), p. 56-57.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BOARETTO, Y.; GAGNEUX, M.; CHOLLEY, F.; DUMAS, P.; ROMENTEAU, P.; </w:t>
      </w:r>
      <w:r w:rsidRPr="00D147A7">
        <w:rPr>
          <w:rFonts w:ascii="Times New Roman" w:hAnsi="Times New Roman" w:cs="Times New Roman"/>
          <w:i/>
          <w:sz w:val="24"/>
          <w:szCs w:val="24"/>
          <w:lang w:val="fr-BE"/>
        </w:rPr>
        <w:t>Le dossier médical personnalisé (DMP)</w:t>
      </w:r>
      <w:r w:rsidRPr="00D147A7">
        <w:rPr>
          <w:rFonts w:ascii="Times New Roman" w:hAnsi="Times New Roman" w:cs="Times New Roman"/>
          <w:sz w:val="24"/>
          <w:szCs w:val="24"/>
          <w:lang w:val="fr-BE"/>
        </w:rPr>
        <w:t>, Parijs, La Documentation française, 2007, 85p.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BOULIN, C., </w:t>
      </w:r>
      <w:r w:rsidRPr="00D147A7">
        <w:rPr>
          <w:rFonts w:ascii="Times New Roman" w:hAnsi="Times New Roman" w:cs="Times New Roman"/>
          <w:i/>
          <w:sz w:val="24"/>
          <w:szCs w:val="24"/>
          <w:lang w:val="fr-BE"/>
        </w:rPr>
        <w:t>DMP. Le dispositif d’accompagnement</w:t>
      </w:r>
      <w:r w:rsidRPr="00D147A7">
        <w:rPr>
          <w:rFonts w:ascii="Times New Roman" w:hAnsi="Times New Roman" w:cs="Times New Roman"/>
          <w:sz w:val="24"/>
          <w:szCs w:val="24"/>
          <w:lang w:val="fr-BE"/>
        </w:rPr>
        <w:t>, s.l.n.d., 25p. (</w:t>
      </w:r>
      <w:hyperlink w:history="1">
        <w:r w:rsidR="008D439D" w:rsidRPr="00ED5FE6">
          <w:rPr>
            <w:rStyle w:val="Hyperlink"/>
            <w:rFonts w:ascii="Times New Roman" w:hAnsi="Times New Roman" w:cs="Times New Roman"/>
            <w:sz w:val="24"/>
            <w:szCs w:val="24"/>
            <w:lang w:val="fr-BE"/>
          </w:rPr>
          <w:t>http://www.simulateur. dmp.gouv.fr/DMP%20%20le%20dispositif%20d'accompagnement.pdf</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BOURRELLIS, C., ‘Le dossier de soins informatisé’, </w:t>
      </w:r>
      <w:r w:rsidRPr="00D147A7">
        <w:rPr>
          <w:rFonts w:ascii="Times New Roman" w:hAnsi="Times New Roman" w:cs="Times New Roman"/>
          <w:i/>
          <w:sz w:val="24"/>
          <w:szCs w:val="24"/>
          <w:lang w:val="fr-BE"/>
        </w:rPr>
        <w:t>Revue de l’infirmière</w:t>
      </w:r>
      <w:r w:rsidRPr="00D147A7">
        <w:rPr>
          <w:rFonts w:ascii="Times New Roman" w:hAnsi="Times New Roman" w:cs="Times New Roman"/>
          <w:sz w:val="24"/>
          <w:szCs w:val="24"/>
          <w:lang w:val="fr-BE"/>
        </w:rPr>
        <w:t>, 160 (2010), p. 32-34.</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BRAC DE LA PERRIÈRE, M.; FERRÉ, E.; ‘L’hébergement de données de santé: des textes à la pratique...’, </w:t>
      </w:r>
      <w:r w:rsidRPr="00D147A7">
        <w:rPr>
          <w:rFonts w:ascii="Times New Roman" w:hAnsi="Times New Roman" w:cs="Times New Roman"/>
          <w:i/>
          <w:sz w:val="24"/>
          <w:szCs w:val="24"/>
          <w:lang w:val="fr-BE"/>
        </w:rPr>
        <w:t>G.P.</w:t>
      </w:r>
      <w:r w:rsidRPr="00D147A7">
        <w:rPr>
          <w:rFonts w:ascii="Times New Roman" w:hAnsi="Times New Roman" w:cs="Times New Roman"/>
          <w:sz w:val="24"/>
          <w:szCs w:val="24"/>
          <w:lang w:val="fr-BE"/>
        </w:rPr>
        <w:t xml:space="preserve">, 204 (2011), p. 21.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BRECHAT, P.H.; RYMER, R.; GRENOUILLEAU, M.C.; JOURDAIN, A.; ‘Éléments pour un premier bilan et des perspectives du plan hôpital 2007’, </w:t>
      </w:r>
      <w:r w:rsidRPr="00D147A7">
        <w:rPr>
          <w:rFonts w:ascii="Times New Roman" w:hAnsi="Times New Roman" w:cs="Times New Roman"/>
          <w:i/>
          <w:sz w:val="24"/>
          <w:szCs w:val="24"/>
          <w:lang w:val="fr-BE"/>
        </w:rPr>
        <w:t>Santé Publique</w:t>
      </w:r>
      <w:r w:rsidRPr="00D147A7">
        <w:rPr>
          <w:rFonts w:ascii="Times New Roman" w:hAnsi="Times New Roman" w:cs="Times New Roman"/>
          <w:sz w:val="24"/>
          <w:szCs w:val="24"/>
          <w:lang w:val="fr-BE"/>
        </w:rPr>
        <w:t>, 20/6 (2008), p. 611-621 (</w:t>
      </w:r>
      <w:hyperlink r:id="rId298" w:history="1">
        <w:r w:rsidRPr="00D147A7">
          <w:rPr>
            <w:rStyle w:val="Hyperlink"/>
            <w:rFonts w:ascii="Times New Roman" w:hAnsi="Times New Roman" w:cs="Times New Roman"/>
            <w:sz w:val="24"/>
            <w:szCs w:val="24"/>
            <w:lang w:val="fr-BE"/>
          </w:rPr>
          <w:t>http://fulltext.bdsp.ehesp.fr/Sfsp/SantePublique/2008/6/611_621.pdf</w:t>
        </w:r>
      </w:hyperlink>
      <w:r w:rsidRPr="00D147A7">
        <w:rPr>
          <w:rFonts w:ascii="Times New Roman" w:hAnsi="Times New Roman" w:cs="Times New Roman"/>
          <w:sz w:val="24"/>
          <w:szCs w:val="24"/>
          <w:lang w:val="fr-BE"/>
        </w:rPr>
        <w:t>, laatst geraad</w:t>
      </w:r>
      <w:r w:rsidR="00037667" w:rsidRPr="00D147A7">
        <w:rPr>
          <w:rFonts w:ascii="Times New Roman" w:hAnsi="Times New Roman" w:cs="Times New Roman"/>
          <w:sz w:val="24"/>
          <w:szCs w:val="24"/>
          <w:lang w:val="fr-BE"/>
        </w:rPr>
        <w:t>-</w:t>
      </w:r>
      <w:r w:rsidRPr="00D147A7">
        <w:rPr>
          <w:rFonts w:ascii="Times New Roman" w:hAnsi="Times New Roman" w:cs="Times New Roman"/>
          <w:sz w:val="24"/>
          <w:szCs w:val="24"/>
          <w:lang w:val="fr-BE"/>
        </w:rPr>
        <w:t>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lastRenderedPageBreak/>
        <w:t xml:space="preserve">CERETTI, A.M.; ALBERTINI, L.; </w:t>
      </w:r>
      <w:r w:rsidRPr="00D147A7">
        <w:rPr>
          <w:rFonts w:ascii="Times New Roman" w:hAnsi="Times New Roman" w:cs="Times New Roman"/>
          <w:i/>
          <w:sz w:val="24"/>
          <w:szCs w:val="24"/>
          <w:lang w:val="fr-BE"/>
        </w:rPr>
        <w:t>Bilan et propositions de réformes de la loi du 4 mars 2002 relative aux droits des maladies et à la qualité du système de santé</w:t>
      </w:r>
      <w:r w:rsidRPr="00D147A7">
        <w:rPr>
          <w:rFonts w:ascii="Times New Roman" w:hAnsi="Times New Roman" w:cs="Times New Roman"/>
          <w:sz w:val="24"/>
          <w:szCs w:val="24"/>
          <w:lang w:val="fr-BE"/>
        </w:rPr>
        <w:t xml:space="preserve">, Parijs, Ministère du travail, de l’emploi et de la santé, 2011, 310p. </w:t>
      </w:r>
      <w:r w:rsidRPr="00D147A7">
        <w:rPr>
          <w:rFonts w:ascii="Times New Roman" w:hAnsi="Times New Roman" w:cs="Times New Roman"/>
          <w:sz w:val="24"/>
          <w:szCs w:val="24"/>
        </w:rPr>
        <w:t>(</w:t>
      </w:r>
      <w:hyperlink r:id="rId299" w:history="1">
        <w:r w:rsidR="008D439D" w:rsidRPr="00ED5FE6">
          <w:rPr>
            <w:rStyle w:val="Hyperlink"/>
            <w:rFonts w:ascii="Times New Roman" w:hAnsi="Times New Roman" w:cs="Times New Roman"/>
            <w:sz w:val="24"/>
            <w:szCs w:val="24"/>
          </w:rPr>
          <w:t>http://www.ladocumentationfrancaise.fr/var/ storage/rapports-publics/114000096/0000.pdf</w:t>
        </w:r>
      </w:hyperlink>
      <w:r w:rsidRPr="00D147A7">
        <w:rPr>
          <w:rFonts w:ascii="Times New Roman" w:hAnsi="Times New Roman" w:cs="Times New Roman"/>
          <w:sz w:val="24"/>
          <w:szCs w:val="24"/>
        </w:rPr>
        <w:t xml:space="preserve">, laatst geraadpleegd op 23 juli 2012).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CHEMTOB-CONCÉ, M.C., ‘Dossier médical personnel et dossier pharmaceutique’, </w:t>
      </w:r>
      <w:r w:rsidRPr="00D147A7">
        <w:rPr>
          <w:rFonts w:ascii="Times New Roman" w:hAnsi="Times New Roman" w:cs="Times New Roman"/>
          <w:i/>
          <w:sz w:val="24"/>
          <w:szCs w:val="24"/>
          <w:lang w:val="fr-BE"/>
        </w:rPr>
        <w:t>G.P.</w:t>
      </w:r>
      <w:r w:rsidRPr="00D147A7">
        <w:rPr>
          <w:rFonts w:ascii="Times New Roman" w:hAnsi="Times New Roman" w:cs="Times New Roman"/>
          <w:sz w:val="24"/>
          <w:szCs w:val="24"/>
          <w:lang w:val="fr-BE"/>
        </w:rPr>
        <w:t>, 174 (2007), p. 2-5.</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CHEVILLARD, M., </w:t>
      </w:r>
      <w:r w:rsidRPr="00D147A7">
        <w:rPr>
          <w:rFonts w:ascii="Times New Roman" w:hAnsi="Times New Roman" w:cs="Times New Roman"/>
          <w:i/>
          <w:sz w:val="24"/>
          <w:szCs w:val="24"/>
          <w:lang w:val="fr-BE"/>
        </w:rPr>
        <w:t>Le droit au masquage par le patient dans le cadre du Dossier Médical en France</w:t>
      </w:r>
      <w:r w:rsidRPr="00D147A7">
        <w:rPr>
          <w:rFonts w:ascii="Times New Roman" w:hAnsi="Times New Roman" w:cs="Times New Roman"/>
          <w:sz w:val="24"/>
          <w:szCs w:val="24"/>
          <w:lang w:val="fr-BE"/>
        </w:rPr>
        <w:t>, onuitgeg. doctoraatsverhandeling, Universiteit Paris IV – Pierre et Marie Curie, Faculté Pierre et Marie Curie, promotor: dr. J.F. Renard, Parijs, 2007, 172p.</w:t>
      </w:r>
    </w:p>
    <w:p w:rsidR="009931C7" w:rsidRPr="00D147A7" w:rsidRDefault="009931C7" w:rsidP="009931C7">
      <w:pPr>
        <w:pStyle w:val="Geenafstand"/>
        <w:jc w:val="both"/>
        <w:rPr>
          <w:rFonts w:ascii="Times New Roman" w:hAnsi="Times New Roman" w:cs="Times New Roman"/>
          <w:color w:val="0000FF"/>
          <w:sz w:val="24"/>
          <w:szCs w:val="24"/>
          <w:u w:val="single"/>
        </w:rPr>
      </w:pPr>
      <w:r w:rsidRPr="00D147A7">
        <w:rPr>
          <w:rFonts w:ascii="Times New Roman" w:hAnsi="Times New Roman" w:cs="Times New Roman"/>
          <w:sz w:val="24"/>
          <w:szCs w:val="24"/>
          <w:lang w:val="fr-BE"/>
        </w:rPr>
        <w:t xml:space="preserve">CNIL, </w:t>
      </w:r>
      <w:r w:rsidRPr="00D147A7">
        <w:rPr>
          <w:rFonts w:ascii="Times New Roman" w:hAnsi="Times New Roman" w:cs="Times New Roman"/>
          <w:i/>
          <w:sz w:val="24"/>
          <w:szCs w:val="24"/>
          <w:lang w:val="fr-BE"/>
        </w:rPr>
        <w:t>Guide professionnels de santé</w:t>
      </w:r>
      <w:r w:rsidRPr="00D147A7">
        <w:rPr>
          <w:rFonts w:ascii="Times New Roman" w:hAnsi="Times New Roman" w:cs="Times New Roman"/>
          <w:sz w:val="24"/>
          <w:szCs w:val="24"/>
          <w:lang w:val="fr-BE"/>
        </w:rPr>
        <w:t xml:space="preserve">, Les Guides de la CNIL, Parijs, 2011, 72p. </w:t>
      </w:r>
      <w:r w:rsidRPr="00D147A7">
        <w:rPr>
          <w:rFonts w:ascii="Times New Roman" w:hAnsi="Times New Roman" w:cs="Times New Roman"/>
          <w:sz w:val="24"/>
          <w:szCs w:val="24"/>
        </w:rPr>
        <w:t>(</w:t>
      </w:r>
      <w:hyperlink w:history="1">
        <w:r w:rsidR="008D439D" w:rsidRPr="00ED5FE6">
          <w:rPr>
            <w:rStyle w:val="Hyperlink"/>
            <w:rFonts w:ascii="Times New Roman" w:hAnsi="Times New Roman" w:cs="Times New Roman"/>
            <w:sz w:val="24"/>
            <w:szCs w:val="24"/>
          </w:rPr>
          <w:t>http:// www.cnil.fr/fileadmin/documents/Guides_pratiques/CNIL-Guide_professionnels_de_sante. 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COUDREAU, D., ‘Hébergeur de données médicales, un nouvel acteur de la régulation des soins?’, </w:t>
      </w:r>
      <w:r w:rsidRPr="00D147A7">
        <w:rPr>
          <w:rFonts w:ascii="Times New Roman" w:hAnsi="Times New Roman" w:cs="Times New Roman"/>
          <w:i/>
          <w:sz w:val="24"/>
          <w:szCs w:val="24"/>
          <w:lang w:val="fr-BE"/>
        </w:rPr>
        <w:t>T.S.</w:t>
      </w:r>
      <w:r w:rsidRPr="00D147A7">
        <w:rPr>
          <w:rFonts w:ascii="Times New Roman" w:hAnsi="Times New Roman" w:cs="Times New Roman"/>
          <w:sz w:val="24"/>
          <w:szCs w:val="24"/>
          <w:lang w:val="fr-BE"/>
        </w:rPr>
        <w:t>, 10/1 (2006), p. 51-57.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COUVREUR, C., ‘Projet de dossier médical personnel et cadre national d’interopérabilité’, </w:t>
      </w:r>
      <w:r w:rsidRPr="00D147A7">
        <w:rPr>
          <w:rFonts w:ascii="Times New Roman" w:hAnsi="Times New Roman" w:cs="Times New Roman"/>
          <w:i/>
          <w:sz w:val="24"/>
          <w:szCs w:val="24"/>
          <w:lang w:val="fr-BE"/>
        </w:rPr>
        <w:t>R.H.F.</w:t>
      </w:r>
      <w:r w:rsidRPr="00D147A7">
        <w:rPr>
          <w:rFonts w:ascii="Times New Roman" w:hAnsi="Times New Roman" w:cs="Times New Roman"/>
          <w:sz w:val="24"/>
          <w:szCs w:val="24"/>
          <w:lang w:val="fr-BE"/>
        </w:rPr>
        <w:t>, 536 (2010), p. 60-62.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DE LARD, B., ‘La télémédecine: le souci de la sécurisation des pratiques’, </w:t>
      </w:r>
      <w:r w:rsidRPr="00D147A7">
        <w:rPr>
          <w:rFonts w:ascii="Times New Roman" w:hAnsi="Times New Roman" w:cs="Times New Roman"/>
          <w:i/>
          <w:sz w:val="24"/>
          <w:szCs w:val="24"/>
          <w:lang w:val="fr-BE"/>
        </w:rPr>
        <w:t>A.J.S.</w:t>
      </w:r>
      <w:r w:rsidRPr="00D147A7">
        <w:rPr>
          <w:rFonts w:ascii="Times New Roman" w:hAnsi="Times New Roman" w:cs="Times New Roman"/>
          <w:sz w:val="24"/>
          <w:szCs w:val="24"/>
          <w:lang w:val="fr-BE"/>
        </w:rPr>
        <w:t>, 71 (2010), p. 20-22.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DE LARD, B., ‘Les outils des agences régionales de santé’, </w:t>
      </w:r>
      <w:r w:rsidRPr="00D147A7">
        <w:rPr>
          <w:rFonts w:ascii="Times New Roman" w:hAnsi="Times New Roman" w:cs="Times New Roman"/>
          <w:i/>
          <w:sz w:val="24"/>
          <w:szCs w:val="24"/>
          <w:lang w:val="fr-BE"/>
        </w:rPr>
        <w:t>A.J.S.</w:t>
      </w:r>
      <w:r w:rsidRPr="00D147A7">
        <w:rPr>
          <w:rFonts w:ascii="Times New Roman" w:hAnsi="Times New Roman" w:cs="Times New Roman"/>
          <w:sz w:val="24"/>
          <w:szCs w:val="24"/>
          <w:lang w:val="fr-BE"/>
        </w:rPr>
        <w:t>, 66 (2009), p. 14-17.</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DE LARD, B., ‘Participation des établissements au nouveau piltoge régional de la santé (ARS): Faire jouer la représentativité sur tous les fronts’, </w:t>
      </w:r>
      <w:r w:rsidRPr="00D147A7">
        <w:rPr>
          <w:rFonts w:ascii="Times New Roman" w:hAnsi="Times New Roman" w:cs="Times New Roman"/>
          <w:i/>
          <w:sz w:val="24"/>
          <w:szCs w:val="24"/>
          <w:lang w:val="fr-BE"/>
        </w:rPr>
        <w:t>A.J.S.</w:t>
      </w:r>
      <w:r w:rsidRPr="00D147A7">
        <w:rPr>
          <w:rFonts w:ascii="Times New Roman" w:hAnsi="Times New Roman" w:cs="Times New Roman"/>
          <w:sz w:val="24"/>
          <w:szCs w:val="24"/>
          <w:lang w:val="fr-BE"/>
        </w:rPr>
        <w:t>, 71 (2010), p. 14-16.</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DELCROS, E.; FENIES, M.; LE LUDEC, T.; ‘Plan hospital 2012: dossier’, </w:t>
      </w:r>
      <w:r w:rsidRPr="00D147A7">
        <w:rPr>
          <w:rFonts w:ascii="Times New Roman" w:hAnsi="Times New Roman" w:cs="Times New Roman"/>
          <w:i/>
          <w:sz w:val="24"/>
          <w:szCs w:val="24"/>
          <w:lang w:val="fr-BE"/>
        </w:rPr>
        <w:t>La revue de l’ARHIF</w:t>
      </w:r>
      <w:r w:rsidRPr="00D147A7">
        <w:rPr>
          <w:rFonts w:ascii="Times New Roman" w:hAnsi="Times New Roman" w:cs="Times New Roman"/>
          <w:sz w:val="24"/>
          <w:szCs w:val="24"/>
          <w:lang w:val="fr-BE"/>
        </w:rPr>
        <w:t>, 2008, 10, p. 12-17. (</w:t>
      </w:r>
      <w:hyperlink r:id="rId300" w:history="1">
        <w:r w:rsidR="00037667" w:rsidRPr="00D147A7">
          <w:rPr>
            <w:rStyle w:val="Hyperlink"/>
            <w:rFonts w:ascii="Times New Roman" w:hAnsi="Times New Roman" w:cs="Times New Roman"/>
            <w:sz w:val="24"/>
            <w:szCs w:val="24"/>
            <w:lang w:val="fr-BE"/>
          </w:rPr>
          <w:t>http://www.parhtage.sante.fr/re7/idf/doc.nsf/VDoc/ 092FF26CEB51228BC125753E0030B263/$FILE/ARHIF%20NUMERO%2010.pdf</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DOOR, J.P., </w:t>
      </w:r>
      <w:r w:rsidRPr="00D147A7">
        <w:rPr>
          <w:rFonts w:ascii="Times New Roman" w:hAnsi="Times New Roman" w:cs="Times New Roman"/>
          <w:i/>
          <w:sz w:val="24"/>
          <w:szCs w:val="24"/>
          <w:lang w:val="fr-BE"/>
        </w:rPr>
        <w:t>Rapport d’information sur le dossier médical personnel</w:t>
      </w:r>
      <w:r w:rsidRPr="00D147A7">
        <w:rPr>
          <w:rFonts w:ascii="Times New Roman" w:hAnsi="Times New Roman" w:cs="Times New Roman"/>
          <w:sz w:val="24"/>
          <w:szCs w:val="24"/>
          <w:lang w:val="fr-BE"/>
        </w:rPr>
        <w:t>, Rapport d’information, 659, Parijs, Assemblée Nationale, 2008, 179p.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DUMONT, V., ‘Controverses autour de l’échange électronique de données de santé. La ques</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tion de l’identifiant du patient’, VETOIS, J. (red.), </w:t>
      </w:r>
      <w:r w:rsidRPr="00D147A7">
        <w:rPr>
          <w:rFonts w:ascii="Times New Roman" w:hAnsi="Times New Roman" w:cs="Times New Roman"/>
          <w:i/>
          <w:sz w:val="24"/>
          <w:szCs w:val="24"/>
          <w:lang w:val="fr-BE"/>
        </w:rPr>
        <w:t>Technologie de l’information, culture et société. Colloque: les libertés à l’épreuve de l’informatique</w:t>
      </w:r>
      <w:r w:rsidRPr="00D147A7">
        <w:rPr>
          <w:rFonts w:ascii="Times New Roman" w:hAnsi="Times New Roman" w:cs="Times New Roman"/>
          <w:sz w:val="24"/>
          <w:szCs w:val="24"/>
          <w:lang w:val="fr-BE"/>
        </w:rPr>
        <w:t>, Terminal, nr. 108-109, Parijs, L’Harmattan, 2011, p. 125-138.</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DURRIEU-DIEBOLT, C., ‘Le dossier médical personnel: un nouvel outil de coordination’, </w:t>
      </w:r>
      <w:r w:rsidRPr="00D147A7">
        <w:rPr>
          <w:rFonts w:ascii="Times New Roman" w:hAnsi="Times New Roman" w:cs="Times New Roman"/>
          <w:i/>
          <w:sz w:val="24"/>
          <w:szCs w:val="24"/>
          <w:lang w:val="fr-BE"/>
        </w:rPr>
        <w:t>B.J.S.P.</w:t>
      </w:r>
      <w:r w:rsidRPr="00D147A7">
        <w:rPr>
          <w:rFonts w:ascii="Times New Roman" w:hAnsi="Times New Roman" w:cs="Times New Roman"/>
          <w:sz w:val="24"/>
          <w:szCs w:val="24"/>
          <w:lang w:val="fr-BE"/>
        </w:rPr>
        <w:t>, 79 (2005), p. 7-11.</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FAGNIEZ, P.L., </w:t>
      </w:r>
      <w:r w:rsidRPr="00D147A7">
        <w:rPr>
          <w:rFonts w:ascii="Times New Roman" w:hAnsi="Times New Roman" w:cs="Times New Roman"/>
          <w:i/>
          <w:sz w:val="24"/>
          <w:szCs w:val="24"/>
          <w:lang w:val="fr-BE"/>
        </w:rPr>
        <w:t>Le masquage d'informations par le patient dans son DMP</w:t>
      </w:r>
      <w:r w:rsidRPr="00D147A7">
        <w:rPr>
          <w:rFonts w:ascii="Times New Roman" w:hAnsi="Times New Roman" w:cs="Times New Roman"/>
          <w:sz w:val="24"/>
          <w:szCs w:val="24"/>
          <w:lang w:val="fr-BE"/>
        </w:rPr>
        <w:t>, Parijs, La Docu</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mentation française, 2007, 15p. </w:t>
      </w:r>
      <w:r w:rsidRPr="00D147A7">
        <w:rPr>
          <w:rFonts w:ascii="Times New Roman" w:hAnsi="Times New Roman" w:cs="Times New Roman"/>
          <w:sz w:val="24"/>
          <w:szCs w:val="24"/>
        </w:rPr>
        <w:t>(</w:t>
      </w:r>
      <w:hyperlink r:id="rId301" w:history="1">
        <w:r w:rsidR="008D439D" w:rsidRPr="00ED5FE6">
          <w:rPr>
            <w:rStyle w:val="Hyperlink"/>
            <w:rFonts w:ascii="Times New Roman" w:hAnsi="Times New Roman" w:cs="Times New Roman"/>
            <w:sz w:val="24"/>
            <w:szCs w:val="24"/>
          </w:rPr>
          <w:t>http://www.ladocumentationfrancaise.fr/var/storage/rapports -publics/074000115/0000.pdf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FARDO, C., ‘Coopération entre professionnels de santé: quels geains pour la qualité des soins?’, </w:t>
      </w:r>
      <w:r w:rsidRPr="00D147A7">
        <w:rPr>
          <w:rFonts w:ascii="Times New Roman" w:hAnsi="Times New Roman" w:cs="Times New Roman"/>
          <w:i/>
          <w:sz w:val="24"/>
          <w:szCs w:val="24"/>
          <w:lang w:val="fr-BE"/>
        </w:rPr>
        <w:t>A.J.S.</w:t>
      </w:r>
      <w:r w:rsidRPr="00D147A7">
        <w:rPr>
          <w:rFonts w:ascii="Times New Roman" w:hAnsi="Times New Roman" w:cs="Times New Roman"/>
          <w:sz w:val="24"/>
          <w:szCs w:val="24"/>
          <w:lang w:val="fr-BE"/>
        </w:rPr>
        <w:t>, 71 (2010), p. 23-26.</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FERRAUD-CIANDET, N., </w:t>
      </w:r>
      <w:r w:rsidRPr="00D147A7">
        <w:rPr>
          <w:rFonts w:ascii="Times New Roman" w:hAnsi="Times New Roman" w:cs="Times New Roman"/>
          <w:i/>
          <w:sz w:val="24"/>
          <w:szCs w:val="24"/>
          <w:lang w:val="fr-BE"/>
        </w:rPr>
        <w:t>Droit de la télésanté et de la télémédecine: à jour du décret du 19 décembre sur la télémédecine</w:t>
      </w:r>
      <w:r w:rsidRPr="00D147A7">
        <w:rPr>
          <w:rFonts w:ascii="Times New Roman" w:hAnsi="Times New Roman" w:cs="Times New Roman"/>
          <w:sz w:val="24"/>
          <w:szCs w:val="24"/>
          <w:lang w:val="fr-BE"/>
        </w:rPr>
        <w:t xml:space="preserve">, Droit professionnel, Parijs, Editions Heures de France, 2011, 158p.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FIESCHI, M., </w:t>
      </w:r>
      <w:r w:rsidRPr="00D147A7">
        <w:rPr>
          <w:rFonts w:ascii="Times New Roman" w:hAnsi="Times New Roman" w:cs="Times New Roman"/>
          <w:i/>
          <w:sz w:val="24"/>
          <w:szCs w:val="24"/>
          <w:lang w:val="fr-BE"/>
        </w:rPr>
        <w:t>La gouvernance de l’interoperabilité sémantique est au cœur du développe</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ment des systèmes d’information en santé</w:t>
      </w:r>
      <w:r w:rsidRPr="00D147A7">
        <w:rPr>
          <w:rFonts w:ascii="Times New Roman" w:hAnsi="Times New Roman" w:cs="Times New Roman"/>
          <w:sz w:val="24"/>
          <w:szCs w:val="24"/>
          <w:lang w:val="fr-BE"/>
        </w:rPr>
        <w:t>, Marseille, 2009, 66p. (</w:t>
      </w:r>
      <w:hyperlink w:history="1">
        <w:r w:rsidR="008D439D" w:rsidRPr="00ED5FE6">
          <w:rPr>
            <w:rStyle w:val="Hyperlink"/>
            <w:rFonts w:ascii="Times New Roman" w:hAnsi="Times New Roman" w:cs="Times New Roman"/>
            <w:sz w:val="24"/>
            <w:szCs w:val="24"/>
            <w:lang w:val="fr-BE"/>
          </w:rPr>
          <w:t>http://cybertim.timone. univ-mrs.fr/enseignement/doc-enseignement/informatique/Rapport%20minist09/ docpeda_fichier</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FONTENELLE, N., ‘Dossier médical personnel : Tout savoir, mieux soigner’, </w:t>
      </w:r>
      <w:r w:rsidRPr="00D147A7">
        <w:rPr>
          <w:rFonts w:ascii="Times New Roman" w:hAnsi="Times New Roman" w:cs="Times New Roman"/>
          <w:i/>
          <w:sz w:val="24"/>
          <w:szCs w:val="24"/>
          <w:lang w:val="fr-BE"/>
        </w:rPr>
        <w:t>Le moniteur des pharmacies et des laboratoires</w:t>
      </w:r>
      <w:r w:rsidRPr="00D147A7">
        <w:rPr>
          <w:rFonts w:ascii="Times New Roman" w:hAnsi="Times New Roman" w:cs="Times New Roman"/>
          <w:sz w:val="24"/>
          <w:szCs w:val="24"/>
          <w:lang w:val="fr-BE"/>
        </w:rPr>
        <w:t>, 2551 (2004), p. 22-28.</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FORGERON, J.F.; SEGUINOT, V.; ‘Le dossier médical personnel: l’activité d’hébergeur de données de santé’, </w:t>
      </w:r>
      <w:r w:rsidRPr="00D147A7">
        <w:rPr>
          <w:rFonts w:ascii="Times New Roman" w:hAnsi="Times New Roman" w:cs="Times New Roman"/>
          <w:i/>
          <w:sz w:val="24"/>
          <w:szCs w:val="24"/>
          <w:lang w:val="fr-BE"/>
        </w:rPr>
        <w:t>G.P.</w:t>
      </w:r>
      <w:r w:rsidRPr="00D147A7">
        <w:rPr>
          <w:rFonts w:ascii="Times New Roman" w:hAnsi="Times New Roman" w:cs="Times New Roman"/>
          <w:sz w:val="24"/>
          <w:szCs w:val="24"/>
          <w:lang w:val="fr-BE"/>
        </w:rPr>
        <w:t>, 26 (2006), p. 10.</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lastRenderedPageBreak/>
        <w:t xml:space="preserve">FRANCO, L., </w:t>
      </w:r>
      <w:r w:rsidRPr="00D147A7">
        <w:rPr>
          <w:rFonts w:ascii="Times New Roman" w:hAnsi="Times New Roman" w:cs="Times New Roman"/>
          <w:i/>
          <w:sz w:val="24"/>
          <w:szCs w:val="24"/>
          <w:lang w:val="fr-BE"/>
        </w:rPr>
        <w:t>Le retour sur investissement du deploiement du Dossier Patient Informatisé</w:t>
      </w:r>
      <w:r w:rsidRPr="00D147A7">
        <w:rPr>
          <w:rFonts w:ascii="Times New Roman" w:hAnsi="Times New Roman" w:cs="Times New Roman"/>
          <w:sz w:val="24"/>
          <w:szCs w:val="24"/>
          <w:lang w:val="fr-BE"/>
        </w:rPr>
        <w:t>, Mémoire EHESP de Directeir d’Hôpital, Rennes, EHESP, 2009, 64p.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GAGNEUX, M. (red.), </w:t>
      </w:r>
      <w:r w:rsidRPr="00D147A7">
        <w:rPr>
          <w:rFonts w:ascii="Times New Roman" w:hAnsi="Times New Roman" w:cs="Times New Roman"/>
          <w:i/>
          <w:sz w:val="24"/>
          <w:szCs w:val="24"/>
          <w:lang w:val="fr-BE"/>
        </w:rPr>
        <w:t>Mission de relance du projet de Dossier médical personnel. Recom</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mandations à la ministre de la Santé, de la Jeunesse, des Sports et de la Via associative pour un dossier patient virtuel et partagé et une stratégie nationale des systèmes d’information de santé</w:t>
      </w:r>
      <w:r w:rsidRPr="00D147A7">
        <w:rPr>
          <w:rFonts w:ascii="Times New Roman" w:hAnsi="Times New Roman" w:cs="Times New Roman"/>
          <w:sz w:val="24"/>
          <w:szCs w:val="24"/>
          <w:lang w:val="fr-BE"/>
        </w:rPr>
        <w:t xml:space="preserve">, Parijs, 2008, 118p.  </w:t>
      </w:r>
      <w:r w:rsidRPr="00D147A7">
        <w:rPr>
          <w:rFonts w:ascii="Times New Roman" w:hAnsi="Times New Roman" w:cs="Times New Roman"/>
          <w:sz w:val="24"/>
          <w:szCs w:val="24"/>
        </w:rPr>
        <w:t>(</w:t>
      </w:r>
      <w:hyperlink r:id="rId302" w:history="1">
        <w:r w:rsidR="008D439D" w:rsidRPr="00ED5FE6">
          <w:rPr>
            <w:rStyle w:val="Hyperlink"/>
            <w:rFonts w:ascii="Times New Roman" w:hAnsi="Times New Roman" w:cs="Times New Roman"/>
            <w:sz w:val="24"/>
            <w:szCs w:val="24"/>
          </w:rPr>
          <w:t>http://www.sante.gouv.fr/IMG/pdf/Rapport_DMP_mission_ Gagneux.pdf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GAGNEUX, M., </w:t>
      </w:r>
      <w:r w:rsidRPr="00D147A7">
        <w:rPr>
          <w:rFonts w:ascii="Times New Roman" w:hAnsi="Times New Roman" w:cs="Times New Roman"/>
          <w:i/>
          <w:sz w:val="24"/>
          <w:szCs w:val="24"/>
          <w:lang w:val="fr-BE"/>
        </w:rPr>
        <w:t>Refonder la gouvernance de la politique d’informatisation du système de santé</w:t>
      </w:r>
      <w:r w:rsidRPr="00D147A7">
        <w:rPr>
          <w:rFonts w:ascii="Times New Roman" w:hAnsi="Times New Roman" w:cs="Times New Roman"/>
          <w:sz w:val="24"/>
          <w:szCs w:val="24"/>
          <w:lang w:val="fr-BE"/>
        </w:rPr>
        <w:t>, Parijs, La Documentation française, 2009, 38p.</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GIP DMP, </w:t>
      </w:r>
      <w:r w:rsidRPr="00D147A7">
        <w:rPr>
          <w:rFonts w:ascii="Times New Roman" w:hAnsi="Times New Roman" w:cs="Times New Roman"/>
          <w:i/>
          <w:sz w:val="24"/>
          <w:szCs w:val="24"/>
          <w:lang w:val="fr-BE"/>
        </w:rPr>
        <w:t>Programme Identifiant National de Santé. Algorithme de calcul de l’INS-C</w:t>
      </w:r>
      <w:r w:rsidRPr="00D147A7">
        <w:rPr>
          <w:rFonts w:ascii="Times New Roman" w:hAnsi="Times New Roman" w:cs="Times New Roman"/>
          <w:sz w:val="24"/>
          <w:szCs w:val="24"/>
          <w:lang w:val="fr-BE"/>
        </w:rPr>
        <w:t xml:space="preserve">, Parijs, 2009, 8p. </w:t>
      </w:r>
      <w:r w:rsidRPr="00D147A7">
        <w:rPr>
          <w:rFonts w:ascii="Times New Roman" w:hAnsi="Times New Roman" w:cs="Times New Roman"/>
          <w:sz w:val="24"/>
          <w:szCs w:val="24"/>
        </w:rPr>
        <w:t>(</w:t>
      </w:r>
      <w:hyperlink r:id="rId303" w:history="1">
        <w:r w:rsidR="008D439D" w:rsidRPr="00ED5FE6">
          <w:rPr>
            <w:rStyle w:val="Hyperlink"/>
            <w:rFonts w:ascii="Times New Roman" w:hAnsi="Times New Roman" w:cs="Times New Roman"/>
            <w:sz w:val="24"/>
            <w:szCs w:val="24"/>
          </w:rPr>
          <w:t>http://www.i-med.fr/IMG/pdf/Dossier_de_conception_INS-C_-_Algorithme_de_ calcul_v0.0.1.pdf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GIP DMP, </w:t>
      </w:r>
      <w:r w:rsidRPr="00D147A7">
        <w:rPr>
          <w:rFonts w:ascii="Times New Roman" w:hAnsi="Times New Roman" w:cs="Times New Roman"/>
          <w:i/>
          <w:sz w:val="24"/>
          <w:szCs w:val="24"/>
          <w:lang w:val="fr-BE"/>
        </w:rPr>
        <w:t>Programme Identifiant National de Santé. Dossier de Conception de l’INS-C</w:t>
      </w:r>
      <w:r w:rsidRPr="00D147A7">
        <w:rPr>
          <w:rFonts w:ascii="Times New Roman" w:hAnsi="Times New Roman" w:cs="Times New Roman"/>
          <w:sz w:val="24"/>
          <w:szCs w:val="24"/>
          <w:lang w:val="fr-BE"/>
        </w:rPr>
        <w:t xml:space="preserve">, Parijs, 2009, 12p. </w:t>
      </w:r>
      <w:r w:rsidRPr="00D147A7">
        <w:rPr>
          <w:rFonts w:ascii="Times New Roman" w:hAnsi="Times New Roman" w:cs="Times New Roman"/>
          <w:sz w:val="24"/>
          <w:szCs w:val="24"/>
        </w:rPr>
        <w:t>(</w:t>
      </w:r>
      <w:hyperlink r:id="rId304" w:history="1">
        <w:r w:rsidR="00037667" w:rsidRPr="00D147A7">
          <w:rPr>
            <w:rStyle w:val="Hyperlink"/>
            <w:rFonts w:ascii="Times New Roman" w:hAnsi="Times New Roman" w:cs="Times New Roman"/>
            <w:sz w:val="24"/>
            <w:szCs w:val="24"/>
          </w:rPr>
          <w:t>http://www.i-med.fr/IMG/pdf/Dossier_de_conception_INS-C_-_v0.0.1. 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HERAIL, T., ‘Passage et continuité des soins grâce au dossier patient informatisé’, </w:t>
      </w:r>
      <w:r w:rsidRPr="00D147A7">
        <w:rPr>
          <w:rFonts w:ascii="Times New Roman" w:hAnsi="Times New Roman" w:cs="Times New Roman"/>
          <w:i/>
          <w:sz w:val="24"/>
          <w:szCs w:val="24"/>
          <w:lang w:val="fr-BE"/>
        </w:rPr>
        <w:t>Soins psy</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chiatrie</w:t>
      </w:r>
      <w:r w:rsidRPr="00D147A7">
        <w:rPr>
          <w:rFonts w:ascii="Times New Roman" w:hAnsi="Times New Roman" w:cs="Times New Roman"/>
          <w:sz w:val="24"/>
          <w:szCs w:val="24"/>
          <w:lang w:val="fr-BE"/>
        </w:rPr>
        <w:t>, 241 (2005), p. 34-36.</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Inspection Générale de Finances (IGF); Inspection Générale des Affaires Sociales (IGAS); Conseil Général des Technologiesde l’ Information (CGTI); </w:t>
      </w:r>
      <w:r w:rsidRPr="00D147A7">
        <w:rPr>
          <w:rFonts w:ascii="Times New Roman" w:hAnsi="Times New Roman" w:cs="Times New Roman"/>
          <w:i/>
          <w:sz w:val="24"/>
          <w:szCs w:val="24"/>
          <w:lang w:val="fr-BE"/>
        </w:rPr>
        <w:t>Le rapport sur le dossier médical personnel (DMP)</w:t>
      </w:r>
      <w:r w:rsidRPr="00D147A7">
        <w:rPr>
          <w:rFonts w:ascii="Times New Roman" w:hAnsi="Times New Roman" w:cs="Times New Roman"/>
          <w:sz w:val="24"/>
          <w:szCs w:val="24"/>
          <w:lang w:val="fr-BE"/>
        </w:rPr>
        <w:t xml:space="preserve">, Parijs, 2007, 66p. </w:t>
      </w:r>
      <w:r w:rsidRPr="00D147A7">
        <w:rPr>
          <w:rFonts w:ascii="Times New Roman" w:hAnsi="Times New Roman" w:cs="Times New Roman"/>
          <w:sz w:val="24"/>
          <w:szCs w:val="24"/>
        </w:rPr>
        <w:t>(</w:t>
      </w:r>
      <w:hyperlink r:id="rId305" w:history="1">
        <w:r w:rsidR="008D439D" w:rsidRPr="00ED5FE6">
          <w:rPr>
            <w:rStyle w:val="Hyperlink"/>
            <w:rFonts w:ascii="Times New Roman" w:hAnsi="Times New Roman" w:cs="Times New Roman"/>
            <w:sz w:val="24"/>
            <w:szCs w:val="24"/>
          </w:rPr>
          <w:t>http://www.sante.gouv.fr/le-rapport-sur-le-dossier-medical-personnel-dmp.html</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HONNORE, L., </w:t>
      </w:r>
      <w:r w:rsidRPr="00D147A7">
        <w:rPr>
          <w:rFonts w:ascii="Times New Roman" w:hAnsi="Times New Roman" w:cs="Times New Roman"/>
          <w:i/>
          <w:sz w:val="24"/>
          <w:szCs w:val="24"/>
          <w:lang w:val="fr-BE"/>
        </w:rPr>
        <w:t>Archives sociales, archives médicales, archives scientifiques: La pratique française</w:t>
      </w:r>
      <w:r w:rsidRPr="00D147A7">
        <w:rPr>
          <w:rFonts w:ascii="Times New Roman" w:hAnsi="Times New Roman" w:cs="Times New Roman"/>
          <w:sz w:val="24"/>
          <w:szCs w:val="24"/>
          <w:lang w:val="fr-BE"/>
        </w:rPr>
        <w:t>, Miscellanea Archivistica Studia, 166, Brussel, Algemeen Rijksarchief en Rijks</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archief in de Provinciën, 2005, 61p.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LAHALLE, D.; SLOSSE, D.; LE TAILLANDIER DE BABORY, V.; DEGOULET, P.; ‘Sys</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tèmes d'information hospitaliers. Hôpital 2012: mode d'emploi’, </w:t>
      </w:r>
      <w:r w:rsidRPr="00D147A7">
        <w:rPr>
          <w:rFonts w:ascii="Times New Roman" w:hAnsi="Times New Roman" w:cs="Times New Roman"/>
          <w:i/>
          <w:sz w:val="24"/>
          <w:szCs w:val="24"/>
          <w:lang w:val="fr-BE"/>
        </w:rPr>
        <w:t>Décision Santé</w:t>
      </w:r>
      <w:r w:rsidRPr="00D147A7">
        <w:rPr>
          <w:rFonts w:ascii="Times New Roman" w:hAnsi="Times New Roman" w:cs="Times New Roman"/>
          <w:sz w:val="24"/>
          <w:szCs w:val="24"/>
          <w:lang w:val="fr-BE"/>
        </w:rPr>
        <w:t>, 235 (2007), 14p.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LASBORDES, P., </w:t>
      </w:r>
      <w:r w:rsidRPr="00D147A7">
        <w:rPr>
          <w:rFonts w:ascii="Times New Roman" w:hAnsi="Times New Roman" w:cs="Times New Roman"/>
          <w:i/>
          <w:sz w:val="24"/>
          <w:szCs w:val="24"/>
          <w:lang w:val="fr-BE"/>
        </w:rPr>
        <w:t>Le dossier médical personnel (DMP): quel bilan d’étape pour quelles perspectives?</w:t>
      </w:r>
      <w:r w:rsidRPr="00D147A7">
        <w:rPr>
          <w:rFonts w:ascii="Times New Roman" w:hAnsi="Times New Roman" w:cs="Times New Roman"/>
          <w:sz w:val="24"/>
          <w:szCs w:val="24"/>
          <w:lang w:val="fr-BE"/>
        </w:rPr>
        <w:t>, Rapport de l’Assemblée nationale, 1847, Parijs, Assemblée Nationale, 2009, 110p.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LE GAL, C., ‘Le dossier pharmaceutique: un outil technique de santé publique’, </w:t>
      </w:r>
      <w:r w:rsidRPr="00D147A7">
        <w:rPr>
          <w:rFonts w:ascii="Times New Roman" w:hAnsi="Times New Roman" w:cs="Times New Roman"/>
          <w:i/>
          <w:sz w:val="24"/>
          <w:szCs w:val="24"/>
          <w:lang w:val="fr-BE"/>
        </w:rPr>
        <w:t>R.D.S.S.</w:t>
      </w:r>
      <w:r w:rsidRPr="00D147A7">
        <w:rPr>
          <w:rFonts w:ascii="Times New Roman" w:hAnsi="Times New Roman" w:cs="Times New Roman"/>
          <w:sz w:val="24"/>
          <w:szCs w:val="24"/>
          <w:lang w:val="fr-BE"/>
        </w:rPr>
        <w:t>, 2009, 2, p. 301-316.</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LE HYARIC, A., </w:t>
      </w:r>
      <w:r w:rsidRPr="00D147A7">
        <w:rPr>
          <w:rFonts w:ascii="Times New Roman" w:hAnsi="Times New Roman" w:cs="Times New Roman"/>
          <w:i/>
          <w:sz w:val="24"/>
          <w:szCs w:val="24"/>
          <w:lang w:val="fr-BE"/>
        </w:rPr>
        <w:t>Plan «Hôpital 2007». Le contexte, les objectifs, les réalisations</w:t>
      </w:r>
      <w:r w:rsidRPr="00D147A7">
        <w:rPr>
          <w:rFonts w:ascii="Times New Roman" w:hAnsi="Times New Roman" w:cs="Times New Roman"/>
          <w:sz w:val="24"/>
          <w:szCs w:val="24"/>
          <w:lang w:val="fr-BE"/>
        </w:rPr>
        <w:t>, Montereau, 2006 (</w:t>
      </w:r>
      <w:hyperlink r:id="rId306" w:history="1">
        <w:r w:rsidRPr="00D147A7">
          <w:rPr>
            <w:rStyle w:val="Hyperlink"/>
            <w:rFonts w:ascii="Times New Roman" w:hAnsi="Times New Roman" w:cs="Times New Roman"/>
            <w:sz w:val="24"/>
            <w:szCs w:val="24"/>
            <w:lang w:val="fr-BE"/>
          </w:rPr>
          <w:t>http://rnrsms.ac-creteil.fr/idf/formation/stage06/reformes2.htm</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rPr>
        <w:t xml:space="preserve">LOBEL, E., </w:t>
      </w:r>
      <w:r w:rsidRPr="00D147A7">
        <w:rPr>
          <w:rFonts w:ascii="Times New Roman" w:hAnsi="Times New Roman" w:cs="Times New Roman"/>
          <w:i/>
          <w:sz w:val="24"/>
          <w:szCs w:val="24"/>
        </w:rPr>
        <w:t>Présentation du DMP</w:t>
      </w:r>
      <w:r w:rsidRPr="00D147A7">
        <w:rPr>
          <w:rFonts w:ascii="Times New Roman" w:hAnsi="Times New Roman" w:cs="Times New Roman"/>
          <w:sz w:val="24"/>
          <w:szCs w:val="24"/>
        </w:rPr>
        <w:t>, s.l.n.d. (</w:t>
      </w:r>
      <w:hyperlink r:id="rId307" w:history="1">
        <w:r w:rsidRPr="00D147A7">
          <w:rPr>
            <w:rStyle w:val="Hyperlink"/>
            <w:rFonts w:ascii="Times New Roman" w:hAnsi="Times New Roman" w:cs="Times New Roman"/>
            <w:sz w:val="24"/>
            <w:szCs w:val="24"/>
          </w:rPr>
          <w:t>http://www.simulateur.dmp.gouv.fr/</w:t>
        </w:r>
      </w:hyperlink>
      <w:r w:rsidRPr="00D147A7">
        <w:rPr>
          <w:rFonts w:ascii="Times New Roman" w:hAnsi="Times New Roman" w:cs="Times New Roman"/>
          <w:sz w:val="24"/>
          <w:szCs w:val="24"/>
        </w:rPr>
        <w:t>, laatst ge</w:t>
      </w:r>
      <w:r w:rsidR="008D439D">
        <w:rPr>
          <w:rFonts w:ascii="Times New Roman" w:hAnsi="Times New Roman" w:cs="Times New Roman"/>
          <w:sz w:val="24"/>
          <w:szCs w:val="24"/>
        </w:rPr>
        <w:t>-</w:t>
      </w:r>
      <w:r w:rsidRPr="00D147A7">
        <w:rPr>
          <w:rFonts w:ascii="Times New Roman" w:hAnsi="Times New Roman" w:cs="Times New Roman"/>
          <w:sz w:val="24"/>
          <w:szCs w:val="24"/>
        </w:rPr>
        <w:t>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MATTKE, S., ‘Suivi et amélioration de la qualité technique des soins médicaux’, JOHNSTON, D.J. (red.), </w:t>
      </w:r>
      <w:r w:rsidRPr="00D147A7">
        <w:rPr>
          <w:rFonts w:ascii="Times New Roman" w:hAnsi="Times New Roman" w:cs="Times New Roman"/>
          <w:i/>
          <w:sz w:val="24"/>
          <w:szCs w:val="24"/>
          <w:lang w:val="fr-BE"/>
        </w:rPr>
        <w:t>Le Projet de l’OCDE sur la santé vers des systèmes de santé plus performants: études thématiques</w:t>
      </w:r>
      <w:r w:rsidRPr="00D147A7">
        <w:rPr>
          <w:rFonts w:ascii="Times New Roman" w:hAnsi="Times New Roman" w:cs="Times New Roman"/>
          <w:sz w:val="24"/>
          <w:szCs w:val="24"/>
          <w:lang w:val="fr-BE"/>
        </w:rPr>
        <w:t>, Parijs, OCDE, 2004, 376p.</w:t>
      </w:r>
    </w:p>
    <w:p w:rsidR="009931C7" w:rsidRPr="00D147A7" w:rsidRDefault="009931C7" w:rsidP="009931C7">
      <w:pPr>
        <w:pStyle w:val="Geenafstand"/>
        <w:jc w:val="both"/>
        <w:rPr>
          <w:rFonts w:ascii="Times New Roman" w:hAnsi="Times New Roman" w:cs="Times New Roman"/>
          <w:sz w:val="24"/>
          <w:szCs w:val="24"/>
          <w:lang w:val="en-US"/>
        </w:rPr>
      </w:pPr>
      <w:r w:rsidRPr="00D147A7">
        <w:rPr>
          <w:rFonts w:ascii="Times New Roman" w:hAnsi="Times New Roman" w:cs="Times New Roman"/>
          <w:sz w:val="24"/>
          <w:szCs w:val="24"/>
          <w:lang w:val="en-US"/>
        </w:rPr>
        <w:t>MCDONALD, C.J.; HUFF, S.M.; SUICO, J.G.; HILL, G.; LEAVELLE, D.; ALLER, R.; FORREY, A.; MERCER, K.; DEMOOR, G.; HOOK, J.; WILLIAMS, W.; CASE, J.; MALO</w:t>
      </w:r>
      <w:r w:rsidR="008D439D">
        <w:rPr>
          <w:rFonts w:ascii="Times New Roman" w:hAnsi="Times New Roman" w:cs="Times New Roman"/>
          <w:sz w:val="24"/>
          <w:szCs w:val="24"/>
          <w:lang w:val="en-US"/>
        </w:rPr>
        <w:t>-</w:t>
      </w:r>
      <w:r w:rsidRPr="00D147A7">
        <w:rPr>
          <w:rFonts w:ascii="Times New Roman" w:hAnsi="Times New Roman" w:cs="Times New Roman"/>
          <w:sz w:val="24"/>
          <w:szCs w:val="24"/>
          <w:lang w:val="en-US"/>
        </w:rPr>
        <w:t>NEY, P.; ‘LOINC, a universal standard for identifying laboratory observations: a 5-year up</w:t>
      </w:r>
      <w:r w:rsidR="008D439D">
        <w:rPr>
          <w:rFonts w:ascii="Times New Roman" w:hAnsi="Times New Roman" w:cs="Times New Roman"/>
          <w:sz w:val="24"/>
          <w:szCs w:val="24"/>
          <w:lang w:val="en-US"/>
        </w:rPr>
        <w:t>-</w:t>
      </w:r>
      <w:r w:rsidRPr="00D147A7">
        <w:rPr>
          <w:rFonts w:ascii="Times New Roman" w:hAnsi="Times New Roman" w:cs="Times New Roman"/>
          <w:sz w:val="24"/>
          <w:szCs w:val="24"/>
          <w:lang w:val="en-US"/>
        </w:rPr>
        <w:t xml:space="preserve">date’, </w:t>
      </w:r>
      <w:r w:rsidRPr="00D147A7">
        <w:rPr>
          <w:rFonts w:ascii="Times New Roman" w:hAnsi="Times New Roman" w:cs="Times New Roman"/>
          <w:i/>
          <w:sz w:val="24"/>
          <w:szCs w:val="24"/>
          <w:lang w:val="en-US"/>
        </w:rPr>
        <w:t>Clinical Chemistry</w:t>
      </w:r>
      <w:r w:rsidRPr="00D147A7">
        <w:rPr>
          <w:rFonts w:ascii="Times New Roman" w:hAnsi="Times New Roman" w:cs="Times New Roman"/>
          <w:sz w:val="24"/>
          <w:szCs w:val="24"/>
          <w:lang w:val="en-US"/>
        </w:rPr>
        <w:t>, 49/4 (2003), p. 624-633.</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MILTGEN, C., ‘Systèmes et échanges d’informations de santé. Quel management, quelle sé</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curité?’, </w:t>
      </w:r>
      <w:r w:rsidRPr="00D147A7">
        <w:rPr>
          <w:rFonts w:ascii="Times New Roman" w:hAnsi="Times New Roman" w:cs="Times New Roman"/>
          <w:i/>
          <w:sz w:val="24"/>
          <w:szCs w:val="24"/>
          <w:lang w:val="fr-BE"/>
        </w:rPr>
        <w:t>R.H.F.</w:t>
      </w:r>
      <w:r w:rsidRPr="00D147A7">
        <w:rPr>
          <w:rFonts w:ascii="Times New Roman" w:hAnsi="Times New Roman" w:cs="Times New Roman"/>
          <w:sz w:val="24"/>
          <w:szCs w:val="24"/>
          <w:lang w:val="fr-BE"/>
        </w:rPr>
        <w:t>, 527 (2009), p. 70-74.</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MOATTI, A., ‘Le dossier médical personnel’, </w:t>
      </w:r>
      <w:r w:rsidRPr="00D147A7">
        <w:rPr>
          <w:rFonts w:ascii="Times New Roman" w:hAnsi="Times New Roman" w:cs="Times New Roman"/>
          <w:i/>
          <w:sz w:val="24"/>
          <w:szCs w:val="24"/>
          <w:lang w:val="fr-BE"/>
        </w:rPr>
        <w:t>Regards sur l’actualité</w:t>
      </w:r>
      <w:r w:rsidRPr="00D147A7">
        <w:rPr>
          <w:rFonts w:ascii="Times New Roman" w:hAnsi="Times New Roman" w:cs="Times New Roman"/>
          <w:sz w:val="24"/>
          <w:szCs w:val="24"/>
          <w:lang w:val="fr-BE"/>
        </w:rPr>
        <w:t>, 304 (2004), p. 45-51.</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MONNIER, A., </w:t>
      </w:r>
      <w:r w:rsidRPr="00D147A7">
        <w:rPr>
          <w:rFonts w:ascii="Times New Roman" w:hAnsi="Times New Roman" w:cs="Times New Roman"/>
          <w:i/>
          <w:sz w:val="24"/>
          <w:szCs w:val="24"/>
          <w:lang w:val="fr-BE"/>
        </w:rPr>
        <w:t>Réunion des éditeurs «DMP Compatibles». Déploiement du DMP: retours d’expérience</w:t>
      </w:r>
      <w:r w:rsidRPr="00D147A7">
        <w:rPr>
          <w:rFonts w:ascii="Times New Roman" w:hAnsi="Times New Roman" w:cs="Times New Roman"/>
          <w:sz w:val="24"/>
          <w:szCs w:val="24"/>
          <w:lang w:val="fr-BE"/>
        </w:rPr>
        <w:t>, 23 april 2012, p. 6 (</w:t>
      </w:r>
      <w:hyperlink r:id="rId308" w:history="1">
        <w:r w:rsidR="008D439D" w:rsidRPr="00ED5FE6">
          <w:rPr>
            <w:rStyle w:val="Hyperlink"/>
            <w:rFonts w:ascii="Times New Roman" w:hAnsi="Times New Roman" w:cs="Times New Roman"/>
            <w:sz w:val="24"/>
            <w:szCs w:val="24"/>
            <w:lang w:val="fr-BE"/>
          </w:rPr>
          <w:t>http://esante.gouv.fr/travaux-d-experts/20120423-deploiement-du-dmp-retours-d-experience</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lastRenderedPageBreak/>
        <w:t xml:space="preserve">MORVAN, O., ‘L’e-dossier médical personnel: est-ce que j’ai le choix?’, </w:t>
      </w:r>
      <w:r w:rsidRPr="00D147A7">
        <w:rPr>
          <w:rFonts w:ascii="Times New Roman" w:hAnsi="Times New Roman" w:cs="Times New Roman"/>
          <w:i/>
          <w:sz w:val="24"/>
          <w:szCs w:val="24"/>
          <w:lang w:val="fr-BE"/>
        </w:rPr>
        <w:t>Vie sociale et trai</w:t>
      </w:r>
      <w:r w:rsidR="008D439D">
        <w:rPr>
          <w:rFonts w:ascii="Times New Roman" w:hAnsi="Times New Roman" w:cs="Times New Roman"/>
          <w:i/>
          <w:sz w:val="24"/>
          <w:szCs w:val="24"/>
          <w:lang w:val="fr-BE"/>
        </w:rPr>
        <w:t>-</w:t>
      </w:r>
      <w:r w:rsidRPr="00D147A7">
        <w:rPr>
          <w:rFonts w:ascii="Times New Roman" w:hAnsi="Times New Roman" w:cs="Times New Roman"/>
          <w:i/>
          <w:sz w:val="24"/>
          <w:szCs w:val="24"/>
          <w:lang w:val="fr-BE"/>
        </w:rPr>
        <w:t>tements</w:t>
      </w:r>
      <w:r w:rsidRPr="00D147A7">
        <w:rPr>
          <w:rFonts w:ascii="Times New Roman" w:hAnsi="Times New Roman" w:cs="Times New Roman"/>
          <w:sz w:val="24"/>
          <w:szCs w:val="24"/>
          <w:lang w:val="fr-BE"/>
        </w:rPr>
        <w:t>, 84 (2005), p. 38-44.</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NABET, N.; OLIVIER, P.; COURREGES, C.; ‘L’ARS: pilote de la politique de santé régio</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nale. Les agences régionales de santé, un an après’, </w:t>
      </w:r>
      <w:r w:rsidRPr="00D147A7">
        <w:rPr>
          <w:rFonts w:ascii="Times New Roman" w:hAnsi="Times New Roman" w:cs="Times New Roman"/>
          <w:i/>
          <w:sz w:val="24"/>
          <w:szCs w:val="24"/>
          <w:lang w:val="fr-BE"/>
        </w:rPr>
        <w:t>A.D.S.P.</w:t>
      </w:r>
      <w:r w:rsidRPr="00D147A7">
        <w:rPr>
          <w:rFonts w:ascii="Times New Roman" w:hAnsi="Times New Roman" w:cs="Times New Roman"/>
          <w:sz w:val="24"/>
          <w:szCs w:val="24"/>
          <w:lang w:val="fr-BE"/>
        </w:rPr>
        <w:t>, 74 (2011), p. 22-34  (</w:t>
      </w:r>
      <w:hyperlink w:history="1">
        <w:r w:rsidR="008D439D" w:rsidRPr="00ED5FE6">
          <w:rPr>
            <w:rStyle w:val="Hyperlink"/>
            <w:rFonts w:ascii="Times New Roman" w:hAnsi="Times New Roman" w:cs="Times New Roman"/>
            <w:sz w:val="24"/>
            <w:szCs w:val="24"/>
            <w:lang w:val="fr-BE"/>
          </w:rPr>
          <w:t>http:// fulltext.bdsp.ehesp.fr/Hcsp/ADSP/74/ad742234.pdf</w:t>
        </w:r>
      </w:hyperlink>
      <w:r w:rsidRPr="00D147A7">
        <w:rPr>
          <w:rFonts w:ascii="Times New Roman" w:hAnsi="Times New Roman" w:cs="Times New Roman"/>
          <w:sz w:val="24"/>
          <w:szCs w:val="24"/>
          <w:lang w:val="fr-BE"/>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NGOUYOMBO, B., </w:t>
      </w:r>
      <w:r w:rsidRPr="00D147A7">
        <w:rPr>
          <w:rFonts w:ascii="Times New Roman" w:hAnsi="Times New Roman" w:cs="Times New Roman"/>
          <w:i/>
          <w:sz w:val="24"/>
          <w:szCs w:val="24"/>
          <w:lang w:val="fr-BE"/>
        </w:rPr>
        <w:t>Réussir le DMP</w:t>
      </w:r>
      <w:r w:rsidRPr="00D147A7">
        <w:rPr>
          <w:rFonts w:ascii="Times New Roman" w:hAnsi="Times New Roman" w:cs="Times New Roman"/>
          <w:sz w:val="24"/>
          <w:szCs w:val="24"/>
          <w:lang w:val="fr-BE"/>
        </w:rPr>
        <w:t>, Parijs, Institut Montaigne, 2010, 8p.</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PIERRU, F., ‘L'e-Santé sauvera-t-elle le système de santé? Retour sur les errements du dos</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sier médical personnel’, </w:t>
      </w:r>
      <w:r w:rsidRPr="00D147A7">
        <w:rPr>
          <w:rFonts w:ascii="Times New Roman" w:hAnsi="Times New Roman" w:cs="Times New Roman"/>
          <w:i/>
          <w:sz w:val="24"/>
          <w:szCs w:val="24"/>
          <w:lang w:val="fr-BE"/>
        </w:rPr>
        <w:t>Regards sur l’actualité</w:t>
      </w:r>
      <w:r w:rsidRPr="00D147A7">
        <w:rPr>
          <w:rFonts w:ascii="Times New Roman" w:hAnsi="Times New Roman" w:cs="Times New Roman"/>
          <w:sz w:val="24"/>
          <w:szCs w:val="24"/>
          <w:lang w:val="fr-BE"/>
        </w:rPr>
        <w:t>, 370 (2011), p. 54-66.</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QUANTIN, C., ‘L'identifiant et le chaînage de l'information’, </w:t>
      </w:r>
      <w:r w:rsidRPr="00D147A7">
        <w:rPr>
          <w:rFonts w:ascii="Times New Roman" w:hAnsi="Times New Roman" w:cs="Times New Roman"/>
          <w:i/>
          <w:sz w:val="24"/>
          <w:szCs w:val="24"/>
          <w:lang w:val="fr-BE"/>
        </w:rPr>
        <w:t>A.D.S.P.</w:t>
      </w:r>
      <w:r w:rsidRPr="00D147A7">
        <w:rPr>
          <w:rFonts w:ascii="Times New Roman" w:hAnsi="Times New Roman" w:cs="Times New Roman"/>
          <w:sz w:val="24"/>
          <w:szCs w:val="24"/>
          <w:lang w:val="fr-BE"/>
        </w:rPr>
        <w:t>, 58 (2007), p. 50-52</w:t>
      </w:r>
      <w:r w:rsidR="008D439D">
        <w:rPr>
          <w:rFonts w:ascii="Times New Roman" w:hAnsi="Times New Roman" w:cs="Times New Roman"/>
          <w:sz w:val="24"/>
          <w:szCs w:val="24"/>
          <w:lang w:val="fr-BE"/>
        </w:rPr>
        <w:t>.</w:t>
      </w:r>
    </w:p>
    <w:p w:rsidR="009931C7" w:rsidRPr="00D147A7" w:rsidRDefault="009931C7" w:rsidP="009931C7">
      <w:pPr>
        <w:pStyle w:val="Geenafstand"/>
        <w:jc w:val="both"/>
        <w:rPr>
          <w:rFonts w:ascii="Times New Roman" w:hAnsi="Times New Roman" w:cs="Times New Roman"/>
          <w:sz w:val="24"/>
          <w:szCs w:val="24"/>
        </w:rPr>
      </w:pPr>
      <w:r w:rsidRPr="00D147A7">
        <w:rPr>
          <w:rFonts w:ascii="Times New Roman" w:hAnsi="Times New Roman" w:cs="Times New Roman"/>
          <w:sz w:val="24"/>
          <w:szCs w:val="24"/>
          <w:lang w:val="fr-BE"/>
        </w:rPr>
        <w:t xml:space="preserve">RAULT, R., </w:t>
      </w:r>
      <w:r w:rsidRPr="00D147A7">
        <w:rPr>
          <w:rFonts w:ascii="Times New Roman" w:hAnsi="Times New Roman" w:cs="Times New Roman"/>
          <w:i/>
          <w:sz w:val="24"/>
          <w:szCs w:val="24"/>
          <w:lang w:val="fr-BE"/>
        </w:rPr>
        <w:t>La mise en ligne des données de santé – le cas du dossier médical personnel</w:t>
      </w:r>
      <w:r w:rsidRPr="00D147A7">
        <w:rPr>
          <w:rFonts w:ascii="Times New Roman" w:hAnsi="Times New Roman" w:cs="Times New Roman"/>
          <w:sz w:val="24"/>
          <w:szCs w:val="24"/>
          <w:lang w:val="fr-BE"/>
        </w:rPr>
        <w:t>, on</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uitgeg. meesterproef, faculteit Rechtsgeleerdheid, DESS Droit du Multimédia et de l’Informa</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tique, Universiteit van Parijs II, promotor prof. dr. </w:t>
      </w:r>
      <w:r w:rsidRPr="00D147A7">
        <w:rPr>
          <w:rFonts w:ascii="Times New Roman" w:hAnsi="Times New Roman" w:cs="Times New Roman"/>
          <w:sz w:val="24"/>
          <w:szCs w:val="24"/>
        </w:rPr>
        <w:t>A. Lepage, 2005, p. 26-30 (</w:t>
      </w:r>
      <w:hyperlink w:history="1">
        <w:r w:rsidR="008D439D" w:rsidRPr="00ED5FE6">
          <w:rPr>
            <w:rStyle w:val="Hyperlink"/>
            <w:rFonts w:ascii="Times New Roman" w:hAnsi="Times New Roman" w:cs="Times New Roman"/>
            <w:sz w:val="24"/>
            <w:szCs w:val="24"/>
          </w:rPr>
          <w:t>http://www. afcdp.net/IMG/pdf/Memoire_DMP_Raphael_Rault.pdf</w:t>
        </w:r>
      </w:hyperlink>
      <w:r w:rsidRPr="00D147A7">
        <w:rPr>
          <w:rFonts w:ascii="Times New Roman" w:hAnsi="Times New Roman" w:cs="Times New Roman"/>
          <w:sz w:val="24"/>
          <w:szCs w:val="24"/>
        </w:rPr>
        <w:t>, laatst geraadpleegd op 23 juli 2012).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ROUSSET, G., ‘Le dossier pharmaceutique, une expérience originale d'informatisation en santé’, </w:t>
      </w:r>
      <w:r w:rsidRPr="00D147A7">
        <w:rPr>
          <w:rFonts w:ascii="Times New Roman" w:hAnsi="Times New Roman" w:cs="Times New Roman"/>
          <w:i/>
          <w:sz w:val="24"/>
          <w:szCs w:val="24"/>
          <w:lang w:val="fr-BE"/>
        </w:rPr>
        <w:t>G.P.</w:t>
      </w:r>
      <w:r w:rsidRPr="00D147A7">
        <w:rPr>
          <w:rFonts w:ascii="Times New Roman" w:hAnsi="Times New Roman" w:cs="Times New Roman"/>
          <w:sz w:val="24"/>
          <w:szCs w:val="24"/>
          <w:lang w:val="fr-BE"/>
        </w:rPr>
        <w:t xml:space="preserve">, 328 (2009), p. 39. </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SEUNEVEL, M., ‘Le projet de DMP doit être redéfini en 2008’, </w:t>
      </w:r>
      <w:r w:rsidRPr="00D147A7">
        <w:rPr>
          <w:rFonts w:ascii="Times New Roman" w:hAnsi="Times New Roman" w:cs="Times New Roman"/>
          <w:i/>
          <w:sz w:val="24"/>
          <w:szCs w:val="24"/>
          <w:lang w:val="fr-BE"/>
        </w:rPr>
        <w:t>G.S.S.</w:t>
      </w:r>
      <w:r w:rsidRPr="00D147A7">
        <w:rPr>
          <w:rFonts w:ascii="Times New Roman" w:hAnsi="Times New Roman" w:cs="Times New Roman"/>
          <w:sz w:val="24"/>
          <w:szCs w:val="24"/>
          <w:lang w:val="fr-BE"/>
        </w:rPr>
        <w:t>, 38 (2008), p. 32-33.</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SILBER, D., ‘L’e-Santé est-elle source d’économies?’, </w:t>
      </w:r>
      <w:r w:rsidRPr="00D147A7">
        <w:rPr>
          <w:rFonts w:ascii="Times New Roman" w:hAnsi="Times New Roman" w:cs="Times New Roman"/>
          <w:i/>
          <w:sz w:val="24"/>
          <w:szCs w:val="24"/>
          <w:lang w:val="fr-BE"/>
        </w:rPr>
        <w:t>T.S.</w:t>
      </w:r>
      <w:r w:rsidRPr="00D147A7">
        <w:rPr>
          <w:rFonts w:ascii="Times New Roman" w:hAnsi="Times New Roman" w:cs="Times New Roman"/>
          <w:sz w:val="24"/>
          <w:szCs w:val="24"/>
          <w:lang w:val="fr-BE"/>
        </w:rPr>
        <w:t>, 9/4 (2005), p. 75-82.</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SIWEK, P., ‘Maîtrise les coûts de santé : le DMP. Le projet de dossier médical personnel (DMP) en France’, </w:t>
      </w:r>
      <w:r w:rsidRPr="00D147A7">
        <w:rPr>
          <w:rFonts w:ascii="Times New Roman" w:hAnsi="Times New Roman" w:cs="Times New Roman"/>
          <w:i/>
          <w:sz w:val="24"/>
          <w:szCs w:val="24"/>
          <w:lang w:val="fr-BE"/>
        </w:rPr>
        <w:t>Futuribles</w:t>
      </w:r>
      <w:r w:rsidRPr="00D147A7">
        <w:rPr>
          <w:rFonts w:ascii="Times New Roman" w:hAnsi="Times New Roman" w:cs="Times New Roman"/>
          <w:sz w:val="24"/>
          <w:szCs w:val="24"/>
          <w:lang w:val="fr-BE"/>
        </w:rPr>
        <w:t>, 330 (2007), p. 63-70.</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TEXIER, B., ‘Dossier médical personnel: un traitement par étapes’, </w:t>
      </w:r>
      <w:r w:rsidRPr="00D147A7">
        <w:rPr>
          <w:rFonts w:ascii="Times New Roman" w:hAnsi="Times New Roman" w:cs="Times New Roman"/>
          <w:i/>
          <w:sz w:val="24"/>
          <w:szCs w:val="24"/>
          <w:lang w:val="fr-BE"/>
        </w:rPr>
        <w:t>Archimag</w:t>
      </w:r>
      <w:r w:rsidRPr="00D147A7">
        <w:rPr>
          <w:rFonts w:ascii="Times New Roman" w:hAnsi="Times New Roman" w:cs="Times New Roman"/>
          <w:sz w:val="24"/>
          <w:szCs w:val="24"/>
          <w:lang w:val="fr-BE"/>
        </w:rPr>
        <w:t>, 203 (2007), p. 19-26.</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THONNET, M., ‘L’e-santé, une mise en oeuvre prometteuse et délicate’, </w:t>
      </w:r>
      <w:r w:rsidRPr="00D147A7">
        <w:rPr>
          <w:rFonts w:ascii="Times New Roman" w:hAnsi="Times New Roman" w:cs="Times New Roman"/>
          <w:i/>
          <w:sz w:val="24"/>
          <w:szCs w:val="24"/>
          <w:lang w:val="fr-BE"/>
        </w:rPr>
        <w:t>T.S.</w:t>
      </w:r>
      <w:r w:rsidRPr="00D147A7">
        <w:rPr>
          <w:rFonts w:ascii="Times New Roman" w:hAnsi="Times New Roman" w:cs="Times New Roman"/>
          <w:sz w:val="24"/>
          <w:szCs w:val="24"/>
          <w:lang w:val="fr-BE"/>
        </w:rPr>
        <w:t>, 9/4 (2005), p. 61-75</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TROMBERT PAVIOT, B.; COURIS, C.M.; COURAY TARGE, S.; RODRIGUES, J.M.; COLIN, C.; SCHOTT, A.M.; ‘Qualité et utilité d’un identifiant patient anonyme et unique pour le chainage des séjours hospitaliers dans les bases de données médicoéconomiques fran</w:t>
      </w:r>
      <w:r w:rsidR="008D439D">
        <w:rPr>
          <w:rFonts w:ascii="Times New Roman" w:hAnsi="Times New Roman" w:cs="Times New Roman"/>
          <w:sz w:val="24"/>
          <w:szCs w:val="24"/>
          <w:lang w:val="fr-BE"/>
        </w:rPr>
        <w:t>-</w:t>
      </w:r>
      <w:r w:rsidRPr="00D147A7">
        <w:rPr>
          <w:rFonts w:ascii="Times New Roman" w:hAnsi="Times New Roman" w:cs="Times New Roman"/>
          <w:sz w:val="24"/>
          <w:szCs w:val="24"/>
          <w:lang w:val="fr-BE"/>
        </w:rPr>
        <w:t xml:space="preserve">çaises’, </w:t>
      </w:r>
      <w:r w:rsidRPr="00D147A7">
        <w:rPr>
          <w:rFonts w:ascii="Times New Roman" w:hAnsi="Times New Roman" w:cs="Times New Roman"/>
          <w:i/>
          <w:sz w:val="24"/>
          <w:szCs w:val="24"/>
          <w:lang w:val="fr-BE"/>
        </w:rPr>
        <w:t>R.E.S.P.</w:t>
      </w:r>
      <w:r w:rsidRPr="00D147A7">
        <w:rPr>
          <w:rFonts w:ascii="Times New Roman" w:hAnsi="Times New Roman" w:cs="Times New Roman"/>
          <w:sz w:val="24"/>
          <w:szCs w:val="24"/>
          <w:lang w:val="fr-BE"/>
        </w:rPr>
        <w:t>, 55/3 (2007), p. 203-211</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VACARIE, I., ‘L’hébergement des données de santé: entre contrat et statut’, </w:t>
      </w:r>
      <w:r w:rsidRPr="00D147A7">
        <w:rPr>
          <w:rFonts w:ascii="Times New Roman" w:hAnsi="Times New Roman" w:cs="Times New Roman"/>
          <w:i/>
          <w:sz w:val="24"/>
          <w:szCs w:val="24"/>
          <w:lang w:val="fr-BE"/>
        </w:rPr>
        <w:t>R.D.S.S.</w:t>
      </w:r>
      <w:r w:rsidRPr="00D147A7">
        <w:rPr>
          <w:rFonts w:ascii="Times New Roman" w:hAnsi="Times New Roman" w:cs="Times New Roman"/>
          <w:sz w:val="24"/>
          <w:szCs w:val="24"/>
          <w:lang w:val="fr-BE"/>
        </w:rPr>
        <w:t>, 2002, 4, p. 695-704.</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VARROUD-VIAL, M., ‘Développer la coordination et la continuité des soins en se basant sur des échanges de données standardisés’, </w:t>
      </w:r>
      <w:r w:rsidRPr="00D147A7">
        <w:rPr>
          <w:rFonts w:ascii="Times New Roman" w:hAnsi="Times New Roman" w:cs="Times New Roman"/>
          <w:i/>
          <w:sz w:val="24"/>
          <w:szCs w:val="24"/>
          <w:lang w:val="fr-BE"/>
        </w:rPr>
        <w:t>R.S.T.</w:t>
      </w:r>
      <w:r w:rsidRPr="00D147A7">
        <w:rPr>
          <w:rFonts w:ascii="Times New Roman" w:hAnsi="Times New Roman" w:cs="Times New Roman"/>
          <w:sz w:val="24"/>
          <w:szCs w:val="24"/>
          <w:lang w:val="fr-BE"/>
        </w:rPr>
        <w:t>, 34 (2010), p. 12-15.</w:t>
      </w:r>
    </w:p>
    <w:p w:rsidR="009931C7" w:rsidRPr="00D147A7" w:rsidRDefault="009931C7" w:rsidP="009931C7">
      <w:pPr>
        <w:pStyle w:val="Geenafstand"/>
        <w:jc w:val="both"/>
        <w:rPr>
          <w:rFonts w:ascii="Times New Roman" w:hAnsi="Times New Roman" w:cs="Times New Roman"/>
          <w:sz w:val="24"/>
          <w:szCs w:val="24"/>
          <w:lang w:val="fr-BE"/>
        </w:rPr>
      </w:pPr>
      <w:r w:rsidRPr="00D147A7">
        <w:rPr>
          <w:rFonts w:ascii="Times New Roman" w:hAnsi="Times New Roman" w:cs="Times New Roman"/>
          <w:sz w:val="24"/>
          <w:szCs w:val="24"/>
          <w:lang w:val="fr-BE"/>
        </w:rPr>
        <w:t xml:space="preserve">VULLIET-TAVERNIER, S., ‘La CNIL et la E-santé’, </w:t>
      </w:r>
      <w:r w:rsidRPr="00D147A7">
        <w:rPr>
          <w:rFonts w:ascii="Times New Roman" w:hAnsi="Times New Roman" w:cs="Times New Roman"/>
          <w:i/>
          <w:sz w:val="24"/>
          <w:szCs w:val="24"/>
          <w:lang w:val="fr-BE"/>
        </w:rPr>
        <w:t>M.D.</w:t>
      </w:r>
      <w:r w:rsidRPr="00D147A7">
        <w:rPr>
          <w:rFonts w:ascii="Times New Roman" w:hAnsi="Times New Roman" w:cs="Times New Roman"/>
          <w:sz w:val="24"/>
          <w:szCs w:val="24"/>
          <w:lang w:val="fr-BE"/>
        </w:rPr>
        <w:t>, 52 (2002), p. 3-4.</w:t>
      </w:r>
    </w:p>
    <w:p w:rsidR="009931C7" w:rsidRPr="00D147A7" w:rsidRDefault="009931C7" w:rsidP="009931C7">
      <w:pPr>
        <w:pStyle w:val="Geenafstand"/>
        <w:jc w:val="both"/>
        <w:rPr>
          <w:rFonts w:ascii="Times New Roman" w:hAnsi="Times New Roman" w:cs="Times New Roman"/>
          <w:sz w:val="24"/>
          <w:szCs w:val="24"/>
          <w:lang w:val="fr-BE"/>
        </w:rPr>
      </w:pPr>
    </w:p>
    <w:p w:rsidR="009931C7" w:rsidRPr="00D147A7" w:rsidRDefault="009931C7" w:rsidP="009931C7">
      <w:pPr>
        <w:pStyle w:val="Geenafstand"/>
        <w:ind w:left="708" w:firstLine="708"/>
        <w:jc w:val="both"/>
        <w:rPr>
          <w:rFonts w:ascii="Times New Roman" w:hAnsi="Times New Roman" w:cs="Times New Roman"/>
          <w:b/>
          <w:sz w:val="24"/>
          <w:szCs w:val="24"/>
          <w:lang w:val="fr-BE"/>
        </w:rPr>
      </w:pPr>
      <w:r w:rsidRPr="00D147A7">
        <w:rPr>
          <w:rFonts w:ascii="Times New Roman" w:hAnsi="Times New Roman" w:cs="Times New Roman"/>
          <w:b/>
          <w:smallCaps/>
          <w:sz w:val="24"/>
          <w:szCs w:val="24"/>
          <w:lang w:val="fr-BE"/>
        </w:rPr>
        <w:t>2.5.</w:t>
      </w:r>
      <w:r w:rsidRPr="00D147A7">
        <w:rPr>
          <w:rFonts w:ascii="Times New Roman" w:hAnsi="Times New Roman" w:cs="Times New Roman"/>
          <w:b/>
          <w:sz w:val="24"/>
          <w:szCs w:val="24"/>
          <w:lang w:val="fr-BE"/>
        </w:rPr>
        <w:t>3.3 Websites</w:t>
      </w:r>
    </w:p>
    <w:p w:rsidR="008D439D" w:rsidRPr="000B0567" w:rsidRDefault="008D439D" w:rsidP="009931C7">
      <w:pPr>
        <w:pStyle w:val="Geenafstand"/>
        <w:rPr>
          <w:lang w:val="fr-BE"/>
        </w:rPr>
      </w:pPr>
    </w:p>
    <w:p w:rsidR="009931C7" w:rsidRPr="00D147A7" w:rsidRDefault="002E7E12" w:rsidP="009931C7">
      <w:pPr>
        <w:pStyle w:val="Geenafstand"/>
        <w:rPr>
          <w:rFonts w:ascii="Times New Roman" w:hAnsi="Times New Roman" w:cs="Times New Roman"/>
          <w:sz w:val="24"/>
          <w:szCs w:val="24"/>
          <w:lang w:val="fr-BE"/>
        </w:rPr>
      </w:pPr>
      <w:hyperlink r:id="rId309" w:history="1">
        <w:r w:rsidR="00A90A91" w:rsidRPr="00D147A7">
          <w:rPr>
            <w:rStyle w:val="Hyperlink"/>
            <w:rFonts w:ascii="Times New Roman" w:hAnsi="Times New Roman" w:cs="Times New Roman"/>
            <w:sz w:val="24"/>
            <w:szCs w:val="24"/>
            <w:lang w:val="fr-BE"/>
          </w:rPr>
          <w:t>http://esante.gouv.fr/</w:t>
        </w:r>
      </w:hyperlink>
      <w:r w:rsidR="00A90A91" w:rsidRPr="00D147A7">
        <w:rPr>
          <w:rFonts w:ascii="Times New Roman" w:hAnsi="Times New Roman" w:cs="Times New Roman"/>
          <w:sz w:val="24"/>
          <w:szCs w:val="24"/>
          <w:lang w:val="fr-BE"/>
        </w:rPr>
        <w:t xml:space="preserve">. </w:t>
      </w:r>
    </w:p>
    <w:p w:rsidR="009931C7" w:rsidRPr="00D147A7" w:rsidRDefault="002E7E12" w:rsidP="009931C7">
      <w:pPr>
        <w:pStyle w:val="Geenafstand"/>
        <w:rPr>
          <w:rStyle w:val="Hyperlink"/>
          <w:rFonts w:ascii="Times New Roman" w:hAnsi="Times New Roman" w:cs="Times New Roman"/>
          <w:sz w:val="24"/>
          <w:szCs w:val="24"/>
          <w:lang w:val="fr-BE"/>
        </w:rPr>
      </w:pPr>
      <w:hyperlink r:id="rId310" w:history="1">
        <w:r w:rsidR="00A90A91" w:rsidRPr="00D147A7">
          <w:rPr>
            <w:rStyle w:val="Hyperlink"/>
            <w:rFonts w:ascii="Times New Roman" w:hAnsi="Times New Roman" w:cs="Times New Roman"/>
            <w:sz w:val="24"/>
            <w:szCs w:val="24"/>
            <w:lang w:val="fr-BE"/>
          </w:rPr>
          <w:t>http://www.cnda-vitale.fr/</w:t>
        </w:r>
      </w:hyperlink>
      <w:r w:rsidR="00A90A91" w:rsidRPr="00D147A7">
        <w:rPr>
          <w:rFonts w:ascii="Times New Roman" w:hAnsi="Times New Roman" w:cs="Times New Roman"/>
          <w:sz w:val="24"/>
          <w:szCs w:val="24"/>
          <w:lang w:val="fr-BE"/>
        </w:rPr>
        <w:t xml:space="preserve">. </w:t>
      </w:r>
    </w:p>
    <w:p w:rsidR="009931C7" w:rsidRPr="00D147A7" w:rsidRDefault="002E7E12" w:rsidP="009931C7">
      <w:pPr>
        <w:pStyle w:val="Geenafstand"/>
        <w:rPr>
          <w:rFonts w:ascii="Times New Roman" w:hAnsi="Times New Roman" w:cs="Times New Roman"/>
          <w:sz w:val="24"/>
          <w:szCs w:val="24"/>
          <w:lang w:val="fr-BE"/>
        </w:rPr>
      </w:pPr>
      <w:hyperlink r:id="rId311" w:history="1">
        <w:r w:rsidR="009931C7" w:rsidRPr="00D147A7">
          <w:rPr>
            <w:rStyle w:val="Hyperlink"/>
            <w:rFonts w:ascii="Times New Roman" w:hAnsi="Times New Roman" w:cs="Times New Roman"/>
            <w:sz w:val="24"/>
            <w:szCs w:val="24"/>
            <w:lang w:val="fr-BE"/>
          </w:rPr>
          <w:t>http://d-m-p.org</w:t>
        </w:r>
      </w:hyperlink>
      <w:r w:rsidR="009931C7" w:rsidRPr="00D147A7">
        <w:rPr>
          <w:rFonts w:ascii="Times New Roman" w:hAnsi="Times New Roman" w:cs="Times New Roman"/>
          <w:sz w:val="24"/>
          <w:szCs w:val="24"/>
          <w:lang w:val="fr-BE"/>
        </w:rPr>
        <w:t>.</w:t>
      </w:r>
    </w:p>
    <w:p w:rsidR="009931C7" w:rsidRPr="00D147A7" w:rsidRDefault="002E7E12" w:rsidP="009931C7">
      <w:pPr>
        <w:pStyle w:val="Geenafstand"/>
        <w:rPr>
          <w:rFonts w:ascii="Times New Roman" w:hAnsi="Times New Roman" w:cs="Times New Roman"/>
          <w:sz w:val="24"/>
          <w:szCs w:val="24"/>
          <w:lang w:val="fr-BE"/>
        </w:rPr>
      </w:pPr>
      <w:hyperlink r:id="rId312" w:history="1">
        <w:r w:rsidR="009931C7" w:rsidRPr="00D147A7">
          <w:rPr>
            <w:rStyle w:val="Hyperlink"/>
            <w:rFonts w:ascii="Times New Roman" w:hAnsi="Times New Roman" w:cs="Times New Roman"/>
            <w:sz w:val="24"/>
            <w:szCs w:val="24"/>
            <w:lang w:val="fr-BE"/>
          </w:rPr>
          <w:t>http://www.dmp-aquitaine.fr/</w:t>
        </w:r>
      </w:hyperlink>
      <w:r w:rsidR="009931C7" w:rsidRPr="00D147A7">
        <w:rPr>
          <w:rFonts w:ascii="Times New Roman" w:hAnsi="Times New Roman" w:cs="Times New Roman"/>
          <w:sz w:val="24"/>
          <w:szCs w:val="24"/>
          <w:lang w:val="fr-BE"/>
        </w:rPr>
        <w:t>.</w:t>
      </w:r>
    </w:p>
    <w:p w:rsidR="009931C7" w:rsidRPr="00D147A7" w:rsidRDefault="002E7E12" w:rsidP="009931C7">
      <w:pPr>
        <w:pStyle w:val="Geenafstand"/>
        <w:rPr>
          <w:rFonts w:ascii="Times New Roman" w:hAnsi="Times New Roman" w:cs="Times New Roman"/>
          <w:sz w:val="24"/>
          <w:szCs w:val="24"/>
          <w:lang w:val="fr-BE"/>
        </w:rPr>
      </w:pPr>
      <w:hyperlink r:id="rId313" w:history="1">
        <w:r w:rsidR="009931C7" w:rsidRPr="00D147A7">
          <w:rPr>
            <w:rStyle w:val="Hyperlink"/>
            <w:rFonts w:ascii="Times New Roman" w:hAnsi="Times New Roman" w:cs="Times New Roman"/>
            <w:sz w:val="24"/>
            <w:szCs w:val="24"/>
            <w:lang w:val="fr-BE"/>
          </w:rPr>
          <w:t>http://www.dmp-fc.fr/</w:t>
        </w:r>
      </w:hyperlink>
      <w:r w:rsidR="009931C7" w:rsidRPr="00D147A7">
        <w:rPr>
          <w:rFonts w:ascii="Times New Roman" w:hAnsi="Times New Roman" w:cs="Times New Roman"/>
          <w:sz w:val="24"/>
          <w:szCs w:val="24"/>
          <w:lang w:val="fr-BE"/>
        </w:rPr>
        <w:t>.</w:t>
      </w:r>
    </w:p>
    <w:p w:rsidR="009931C7" w:rsidRPr="00D147A7" w:rsidRDefault="002E7E12" w:rsidP="009931C7">
      <w:pPr>
        <w:pStyle w:val="Geenafstand"/>
        <w:rPr>
          <w:rFonts w:ascii="Times New Roman" w:hAnsi="Times New Roman" w:cs="Times New Roman"/>
          <w:sz w:val="24"/>
          <w:szCs w:val="24"/>
          <w:lang w:val="fr-BE"/>
        </w:rPr>
      </w:pPr>
      <w:hyperlink r:id="rId314" w:history="1">
        <w:r w:rsidR="009931C7" w:rsidRPr="00D147A7">
          <w:rPr>
            <w:rStyle w:val="Hyperlink"/>
            <w:rFonts w:ascii="Times New Roman" w:hAnsi="Times New Roman" w:cs="Times New Roman"/>
            <w:sz w:val="24"/>
            <w:szCs w:val="24"/>
            <w:lang w:val="fr-BE"/>
          </w:rPr>
          <w:t>http://www.dmp.gouv.fr/</w:t>
        </w:r>
      </w:hyperlink>
      <w:r w:rsidR="009931C7" w:rsidRPr="00D147A7">
        <w:rPr>
          <w:rFonts w:ascii="Times New Roman" w:hAnsi="Times New Roman" w:cs="Times New Roman"/>
          <w:sz w:val="24"/>
          <w:szCs w:val="24"/>
          <w:lang w:val="fr-BE"/>
        </w:rPr>
        <w:t>.</w:t>
      </w:r>
    </w:p>
    <w:p w:rsidR="009931C7" w:rsidRPr="00D147A7" w:rsidRDefault="002E7E12" w:rsidP="009931C7">
      <w:pPr>
        <w:pStyle w:val="Geenafstand"/>
        <w:rPr>
          <w:rFonts w:ascii="Times New Roman" w:hAnsi="Times New Roman" w:cs="Times New Roman"/>
          <w:sz w:val="24"/>
          <w:szCs w:val="24"/>
          <w:lang w:val="fr-BE"/>
        </w:rPr>
      </w:pPr>
      <w:hyperlink r:id="rId315" w:history="1">
        <w:r w:rsidR="00A90A91" w:rsidRPr="00D147A7">
          <w:rPr>
            <w:rStyle w:val="Hyperlink"/>
            <w:rFonts w:ascii="Times New Roman" w:hAnsi="Times New Roman" w:cs="Times New Roman"/>
            <w:sz w:val="24"/>
            <w:szCs w:val="24"/>
            <w:lang w:val="fr-BE"/>
          </w:rPr>
          <w:t>http://esanté.gouv.fr/</w:t>
        </w:r>
      </w:hyperlink>
      <w:r w:rsidR="00A90A91" w:rsidRPr="00D147A7">
        <w:rPr>
          <w:rFonts w:ascii="Times New Roman" w:hAnsi="Times New Roman" w:cs="Times New Roman"/>
          <w:sz w:val="24"/>
          <w:szCs w:val="24"/>
          <w:lang w:val="fr-BE"/>
        </w:rPr>
        <w:t xml:space="preserve">. </w:t>
      </w:r>
    </w:p>
    <w:p w:rsidR="009931C7" w:rsidRPr="00D147A7" w:rsidRDefault="002E7E12" w:rsidP="009931C7">
      <w:pPr>
        <w:pStyle w:val="Geenafstand"/>
        <w:rPr>
          <w:rFonts w:ascii="Times New Roman" w:hAnsi="Times New Roman" w:cs="Times New Roman"/>
          <w:sz w:val="24"/>
          <w:szCs w:val="24"/>
          <w:lang w:val="fr-BE"/>
        </w:rPr>
      </w:pPr>
      <w:hyperlink r:id="rId316" w:history="1">
        <w:r w:rsidR="009931C7" w:rsidRPr="00D147A7">
          <w:rPr>
            <w:rStyle w:val="Hyperlink"/>
            <w:rFonts w:ascii="Times New Roman" w:hAnsi="Times New Roman" w:cs="Times New Roman"/>
            <w:sz w:val="24"/>
            <w:szCs w:val="24"/>
            <w:lang w:val="fr-BE"/>
          </w:rPr>
          <w:t>http://www.esante-picardie.com/</w:t>
        </w:r>
      </w:hyperlink>
      <w:r w:rsidR="009931C7" w:rsidRPr="00D147A7">
        <w:rPr>
          <w:rFonts w:ascii="Times New Roman" w:hAnsi="Times New Roman" w:cs="Times New Roman"/>
          <w:sz w:val="24"/>
          <w:szCs w:val="24"/>
          <w:lang w:val="fr-BE"/>
        </w:rPr>
        <w:t>.</w:t>
      </w:r>
    </w:p>
    <w:p w:rsidR="009931C7" w:rsidRPr="00D147A7" w:rsidRDefault="002E7E12" w:rsidP="009931C7">
      <w:pPr>
        <w:pStyle w:val="Geenafstand"/>
        <w:rPr>
          <w:rFonts w:ascii="Times New Roman" w:hAnsi="Times New Roman" w:cs="Times New Roman"/>
          <w:sz w:val="24"/>
          <w:szCs w:val="24"/>
        </w:rPr>
      </w:pPr>
      <w:hyperlink r:id="rId317" w:history="1">
        <w:r w:rsidR="009931C7" w:rsidRPr="00D147A7">
          <w:rPr>
            <w:rStyle w:val="Hyperlink"/>
            <w:rFonts w:ascii="Times New Roman" w:hAnsi="Times New Roman" w:cs="Times New Roman"/>
            <w:sz w:val="24"/>
            <w:szCs w:val="24"/>
          </w:rPr>
          <w:t>http://www.handipole.org/spip.php?article1802</w:t>
        </w:r>
      </w:hyperlink>
      <w:r w:rsidR="009931C7" w:rsidRPr="00D147A7">
        <w:rPr>
          <w:rFonts w:ascii="Times New Roman" w:hAnsi="Times New Roman" w:cs="Times New Roman"/>
          <w:sz w:val="24"/>
          <w:szCs w:val="24"/>
        </w:rPr>
        <w:t xml:space="preserve"> </w:t>
      </w:r>
      <w:r w:rsidR="009931C7" w:rsidRPr="00D147A7">
        <w:rPr>
          <w:rStyle w:val="Hyperlink"/>
          <w:rFonts w:ascii="Times New Roman" w:hAnsi="Times New Roman" w:cs="Times New Roman"/>
          <w:color w:val="auto"/>
          <w:sz w:val="24"/>
          <w:szCs w:val="24"/>
          <w:u w:val="none"/>
        </w:rPr>
        <w:t>(</w:t>
      </w:r>
      <w:r w:rsidR="009931C7" w:rsidRPr="00D147A7">
        <w:rPr>
          <w:rFonts w:ascii="Times New Roman" w:hAnsi="Times New Roman" w:cs="Times New Roman"/>
          <w:sz w:val="24"/>
          <w:szCs w:val="24"/>
        </w:rPr>
        <w:t>laatst geraadpleegd op 23 juli 2012)</w:t>
      </w:r>
      <w:r w:rsidR="00A90A91" w:rsidRPr="00D147A7">
        <w:rPr>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318" w:history="1">
        <w:r w:rsidR="009931C7" w:rsidRPr="00D147A7">
          <w:rPr>
            <w:rStyle w:val="Hyperlink"/>
            <w:rFonts w:ascii="Times New Roman" w:hAnsi="Times New Roman" w:cs="Times New Roman"/>
            <w:sz w:val="24"/>
            <w:szCs w:val="24"/>
          </w:rPr>
          <w:t>http://www.i-med.fr/</w:t>
        </w:r>
      </w:hyperlink>
      <w:r w:rsidR="009931C7" w:rsidRPr="00D147A7">
        <w:rPr>
          <w:rStyle w:val="Hyperlink"/>
          <w:rFonts w:ascii="Times New Roman" w:hAnsi="Times New Roman" w:cs="Times New Roman"/>
          <w:sz w:val="24"/>
          <w:szCs w:val="24"/>
        </w:rPr>
        <w:t>.</w:t>
      </w:r>
    </w:p>
    <w:p w:rsidR="009931C7" w:rsidRPr="00D147A7" w:rsidRDefault="002E7E12" w:rsidP="009931C7">
      <w:pPr>
        <w:pStyle w:val="Geenafstand"/>
        <w:rPr>
          <w:rFonts w:ascii="Times New Roman" w:hAnsi="Times New Roman" w:cs="Times New Roman"/>
          <w:sz w:val="24"/>
          <w:szCs w:val="24"/>
        </w:rPr>
      </w:pPr>
      <w:hyperlink r:id="rId319" w:history="1">
        <w:r w:rsidR="009931C7" w:rsidRPr="00D147A7">
          <w:rPr>
            <w:rStyle w:val="Hyperlink"/>
            <w:rFonts w:ascii="Times New Roman" w:hAnsi="Times New Roman" w:cs="Times New Roman"/>
            <w:sz w:val="24"/>
            <w:szCs w:val="24"/>
          </w:rPr>
          <w:t>http://www.sante-alsace.org/cms</w:t>
        </w:r>
      </w:hyperlink>
      <w:r w:rsidR="009931C7" w:rsidRPr="00D147A7">
        <w:rPr>
          <w:rFonts w:ascii="Times New Roman" w:hAnsi="Times New Roman" w:cs="Times New Roman"/>
          <w:sz w:val="24"/>
          <w:szCs w:val="24"/>
        </w:rPr>
        <w:t>.</w:t>
      </w:r>
    </w:p>
    <w:p w:rsidR="009931C7" w:rsidRPr="00D147A7" w:rsidRDefault="009931C7">
      <w:pPr>
        <w:widowControl/>
        <w:suppressAutoHyphens w:val="0"/>
        <w:spacing w:after="200" w:line="276" w:lineRule="auto"/>
        <w:rPr>
          <w:smallCaps/>
          <w:kern w:val="0"/>
          <w:lang w:eastAsia="en-US" w:bidi="ar-SA"/>
        </w:rPr>
      </w:pPr>
      <w:r w:rsidRPr="00D147A7">
        <w:rPr>
          <w:smallCaps/>
        </w:rPr>
        <w:br w:type="page"/>
      </w:r>
    </w:p>
    <w:p w:rsidR="00426625" w:rsidRPr="00D147A7" w:rsidRDefault="00426625" w:rsidP="00426625">
      <w:pPr>
        <w:widowControl/>
        <w:suppressAutoHyphens w:val="0"/>
        <w:spacing w:line="240" w:lineRule="atLeast"/>
        <w:jc w:val="center"/>
        <w:rPr>
          <w:b/>
          <w:smallCaps/>
          <w:kern w:val="0"/>
          <w:sz w:val="32"/>
          <w:szCs w:val="32"/>
          <w:lang w:val="nl-NL" w:eastAsia="en-US" w:bidi="ar-SA"/>
        </w:rPr>
      </w:pPr>
      <w:r w:rsidRPr="00D147A7">
        <w:rPr>
          <w:b/>
          <w:smallCaps/>
          <w:kern w:val="0"/>
          <w:sz w:val="32"/>
          <w:szCs w:val="32"/>
          <w:lang w:val="nl-NL" w:eastAsia="en-US" w:bidi="ar-SA"/>
        </w:rPr>
        <w:lastRenderedPageBreak/>
        <w:t>Deel 3: Bewaring</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In deel 1 kwam de dossierplicht van zorgverleners reeds aan bod. Daarin bleek dat het opte</w:t>
      </w:r>
      <w:r w:rsidR="00C2188C">
        <w:rPr>
          <w:kern w:val="0"/>
          <w:lang w:val="nl-NL" w:eastAsia="en-US" w:bidi="ar-SA"/>
        </w:rPr>
        <w:t>-</w:t>
      </w:r>
      <w:r w:rsidRPr="00D147A7">
        <w:rPr>
          <w:kern w:val="0"/>
          <w:lang w:val="nl-NL" w:eastAsia="en-US" w:bidi="ar-SA"/>
        </w:rPr>
        <w:t xml:space="preserve">kenen van gezondheidsgegevens in een patiëntendossier </w:t>
      </w:r>
      <w:r w:rsidR="00C2188C">
        <w:rPr>
          <w:kern w:val="0"/>
          <w:lang w:val="nl-NL" w:eastAsia="en-US" w:bidi="ar-SA"/>
        </w:rPr>
        <w:t>geen enkel nut heeft</w:t>
      </w:r>
      <w:r w:rsidRPr="00D147A7">
        <w:rPr>
          <w:kern w:val="0"/>
          <w:lang w:val="nl-NL" w:eastAsia="en-US" w:bidi="ar-SA"/>
        </w:rPr>
        <w:t xml:space="preserve"> als de</w:t>
      </w:r>
      <w:r w:rsidR="00C2188C">
        <w:rPr>
          <w:kern w:val="0"/>
          <w:lang w:val="nl-NL" w:eastAsia="en-US" w:bidi="ar-SA"/>
        </w:rPr>
        <w:t>ze</w:t>
      </w:r>
      <w:r w:rsidRPr="00D147A7">
        <w:rPr>
          <w:kern w:val="0"/>
          <w:lang w:val="nl-NL" w:eastAsia="en-US" w:bidi="ar-SA"/>
        </w:rPr>
        <w:t xml:space="preserve"> dossiers </w:t>
      </w:r>
      <w:r w:rsidR="00C2188C">
        <w:rPr>
          <w:kern w:val="0"/>
          <w:lang w:val="nl-NL" w:eastAsia="en-US" w:bidi="ar-SA"/>
        </w:rPr>
        <w:t xml:space="preserve">vervolgens </w:t>
      </w:r>
      <w:r w:rsidRPr="00D147A7">
        <w:rPr>
          <w:kern w:val="0"/>
          <w:lang w:val="nl-NL" w:eastAsia="en-US" w:bidi="ar-SA"/>
        </w:rPr>
        <w:t xml:space="preserve">niet goed </w:t>
      </w:r>
      <w:r w:rsidR="00C2188C" w:rsidRPr="00D147A7">
        <w:rPr>
          <w:kern w:val="0"/>
          <w:lang w:val="nl-NL" w:eastAsia="en-US" w:bidi="ar-SA"/>
        </w:rPr>
        <w:t xml:space="preserve">worden </w:t>
      </w:r>
      <w:r w:rsidRPr="00D147A7">
        <w:rPr>
          <w:kern w:val="0"/>
          <w:lang w:val="nl-NL" w:eastAsia="en-US" w:bidi="ar-SA"/>
        </w:rPr>
        <w:t>bewaard. Daarom wordt in dit deel verder ingegaan op het twee</w:t>
      </w:r>
      <w:r w:rsidR="00C2188C">
        <w:rPr>
          <w:kern w:val="0"/>
          <w:lang w:val="nl-NL" w:eastAsia="en-US" w:bidi="ar-SA"/>
        </w:rPr>
        <w:t>-</w:t>
      </w:r>
      <w:r w:rsidRPr="00D147A7">
        <w:rPr>
          <w:kern w:val="0"/>
          <w:lang w:val="nl-NL" w:eastAsia="en-US" w:bidi="ar-SA"/>
        </w:rPr>
        <w:t xml:space="preserve">de luik van de dossierplicht: de bewaring. Passeren respectievelijk de revue: de archiefzorg en het archiefbeheer, de bewaarplaats en de </w:t>
      </w:r>
      <w:r w:rsidR="00C2188C">
        <w:rPr>
          <w:kern w:val="0"/>
          <w:lang w:val="nl-NL" w:eastAsia="en-US" w:bidi="ar-SA"/>
        </w:rPr>
        <w:t xml:space="preserve">(wettelijke) </w:t>
      </w:r>
      <w:r w:rsidRPr="00D147A7">
        <w:rPr>
          <w:kern w:val="0"/>
          <w:lang w:val="nl-NL" w:eastAsia="en-US" w:bidi="ar-SA"/>
        </w:rPr>
        <w:t>bewaartermijnen voor patiëntendossiers.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In een eerste </w:t>
      </w:r>
      <w:r w:rsidR="00A94AE6">
        <w:rPr>
          <w:kern w:val="0"/>
          <w:lang w:val="nl-NL" w:eastAsia="en-US" w:bidi="ar-SA"/>
        </w:rPr>
        <w:t>hoofdstuk</w:t>
      </w:r>
      <w:r w:rsidRPr="00D147A7">
        <w:rPr>
          <w:kern w:val="0"/>
          <w:lang w:val="nl-NL" w:eastAsia="en-US" w:bidi="ar-SA"/>
        </w:rPr>
        <w:t xml:space="preserve"> wordt onderzocht bij wie de verantwoordelijkheid berust voor de ar</w:t>
      </w:r>
      <w:r w:rsidR="00A94AE6">
        <w:rPr>
          <w:kern w:val="0"/>
          <w:lang w:val="nl-NL" w:eastAsia="en-US" w:bidi="ar-SA"/>
        </w:rPr>
        <w:t>-</w:t>
      </w:r>
      <w:r w:rsidRPr="00D147A7">
        <w:rPr>
          <w:kern w:val="0"/>
          <w:lang w:val="nl-NL" w:eastAsia="en-US" w:bidi="ar-SA"/>
        </w:rPr>
        <w:t xml:space="preserve">chiefzorg en het archiefbeheer van dynamische en semi-dynamische </w:t>
      </w:r>
      <w:r w:rsidR="00A94AE6" w:rsidRPr="00D147A7">
        <w:rPr>
          <w:kern w:val="0"/>
          <w:lang w:val="nl-NL" w:eastAsia="en-US" w:bidi="ar-SA"/>
        </w:rPr>
        <w:t>patiëntendossiers</w:t>
      </w:r>
      <w:r w:rsidRPr="00D147A7">
        <w:rPr>
          <w:kern w:val="0"/>
          <w:lang w:val="nl-NL" w:eastAsia="en-US" w:bidi="ar-SA"/>
        </w:rPr>
        <w:t xml:space="preserve"> (</w:t>
      </w:r>
      <w:r w:rsidR="00A94AE6">
        <w:rPr>
          <w:kern w:val="0"/>
          <w:lang w:val="nl-NL" w:eastAsia="en-US" w:bidi="ar-SA"/>
        </w:rPr>
        <w:t>i</w:t>
      </w:r>
      <w:r w:rsidRPr="00D147A7">
        <w:rPr>
          <w:kern w:val="0"/>
          <w:lang w:val="nl-NL" w:eastAsia="en-US" w:bidi="ar-SA"/>
        </w:rPr>
        <w:t>.</w:t>
      </w:r>
      <w:r w:rsidR="00A94AE6">
        <w:rPr>
          <w:kern w:val="0"/>
          <w:lang w:val="nl-NL" w:eastAsia="en-US" w:bidi="ar-SA"/>
        </w:rPr>
        <w:t>e</w:t>
      </w:r>
      <w:r w:rsidRPr="00D147A7">
        <w:rPr>
          <w:kern w:val="0"/>
          <w:lang w:val="nl-NL" w:eastAsia="en-US" w:bidi="ar-SA"/>
        </w:rPr>
        <w:t xml:space="preserve">. </w:t>
      </w:r>
      <w:r w:rsidR="00A94AE6">
        <w:rPr>
          <w:kern w:val="0"/>
          <w:lang w:val="nl-NL" w:eastAsia="en-US" w:bidi="ar-SA"/>
        </w:rPr>
        <w:t>de dossiers</w:t>
      </w:r>
      <w:r w:rsidRPr="00D147A7">
        <w:rPr>
          <w:kern w:val="0"/>
          <w:lang w:val="nl-NL" w:eastAsia="en-US" w:bidi="ar-SA"/>
        </w:rPr>
        <w:t xml:space="preserve"> </w:t>
      </w:r>
      <w:r w:rsidR="00A94AE6">
        <w:rPr>
          <w:kern w:val="0"/>
          <w:lang w:val="nl-NL" w:eastAsia="en-US" w:bidi="ar-SA"/>
        </w:rPr>
        <w:t>waarvan de door de wetgever opgelegde bewaartermijn nog niet verstreken is</w:t>
      </w:r>
      <w:r w:rsidRPr="00D147A7">
        <w:rPr>
          <w:kern w:val="0"/>
          <w:lang w:val="nl-NL" w:eastAsia="en-US" w:bidi="ar-SA"/>
        </w:rPr>
        <w:t xml:space="preserve">). Het archiefbeheer wordt in archivistische kringen omschreven als </w:t>
      </w:r>
      <w:r w:rsidRPr="00D147A7">
        <w:rPr>
          <w:i/>
          <w:kern w:val="0"/>
          <w:lang w:val="nl-NL" w:eastAsia="en-US" w:bidi="ar-SA"/>
        </w:rPr>
        <w:t>het geheel van normen, plan</w:t>
      </w:r>
      <w:r w:rsidR="00A94AE6">
        <w:rPr>
          <w:i/>
          <w:kern w:val="0"/>
          <w:lang w:val="nl-NL" w:eastAsia="en-US" w:bidi="ar-SA"/>
        </w:rPr>
        <w:t>-</w:t>
      </w:r>
      <w:r w:rsidRPr="00D147A7">
        <w:rPr>
          <w:i/>
          <w:kern w:val="0"/>
          <w:lang w:val="nl-NL" w:eastAsia="en-US" w:bidi="ar-SA"/>
        </w:rPr>
        <w:t>nen, procedures en activiteiten gericht op de archiefvorming, de archiefbewerking, het beheer van de archiefdepots, de daarin berustende archiefbescheiden en het beschikbaar stellen daarvan.</w:t>
      </w:r>
      <w:r w:rsidRPr="00D147A7">
        <w:rPr>
          <w:kern w:val="0"/>
          <w:vertAlign w:val="superscript"/>
          <w:lang w:val="nl-NL" w:eastAsia="nl-BE" w:bidi="ar-SA"/>
        </w:rPr>
        <w:footnoteReference w:id="721"/>
      </w:r>
      <w:r w:rsidRPr="00D147A7">
        <w:rPr>
          <w:kern w:val="0"/>
          <w:lang w:val="nl-NL" w:eastAsia="nl-BE" w:bidi="ar-SA"/>
        </w:rPr>
        <w:t xml:space="preserve"> De beheerder van een archief moet </w:t>
      </w:r>
      <w:r w:rsidR="00A94AE6">
        <w:rPr>
          <w:kern w:val="0"/>
          <w:lang w:val="nl-NL" w:eastAsia="nl-BE" w:bidi="ar-SA"/>
        </w:rPr>
        <w:t xml:space="preserve">dus </w:t>
      </w:r>
      <w:r w:rsidRPr="00D147A7">
        <w:rPr>
          <w:kern w:val="0"/>
          <w:lang w:val="nl-NL" w:eastAsia="nl-BE" w:bidi="ar-SA"/>
        </w:rPr>
        <w:t>alle fasen van het archiveringsproces or</w:t>
      </w:r>
      <w:r w:rsidR="00A94AE6">
        <w:rPr>
          <w:kern w:val="0"/>
          <w:lang w:val="nl-NL" w:eastAsia="nl-BE" w:bidi="ar-SA"/>
        </w:rPr>
        <w:t>-</w:t>
      </w:r>
      <w:r w:rsidRPr="00D147A7">
        <w:rPr>
          <w:kern w:val="0"/>
          <w:lang w:val="nl-NL" w:eastAsia="nl-BE" w:bidi="ar-SA"/>
        </w:rPr>
        <w:t xml:space="preserve">ganiseren </w:t>
      </w:r>
      <w:r w:rsidR="00A94AE6">
        <w:rPr>
          <w:kern w:val="0"/>
          <w:lang w:val="nl-NL" w:eastAsia="nl-BE" w:bidi="ar-SA"/>
        </w:rPr>
        <w:t>é</w:t>
      </w:r>
      <w:r w:rsidRPr="00D147A7">
        <w:rPr>
          <w:kern w:val="0"/>
          <w:lang w:val="nl-NL" w:eastAsia="nl-BE" w:bidi="ar-SA"/>
        </w:rPr>
        <w:t>n uitvoeren. Met archiefzorg wordt</w:t>
      </w:r>
      <w:r w:rsidRPr="00D147A7">
        <w:rPr>
          <w:kern w:val="0"/>
          <w:lang w:val="nl-NL" w:eastAsia="en-US" w:bidi="ar-SA"/>
        </w:rPr>
        <w:t xml:space="preserve"> </w:t>
      </w:r>
      <w:r w:rsidRPr="00D147A7">
        <w:rPr>
          <w:i/>
          <w:kern w:val="0"/>
          <w:lang w:val="nl-NL" w:eastAsia="nl-BE" w:bidi="ar-SA"/>
        </w:rPr>
        <w:t>de bestuurlijke verantwoordelijkheid voor het archiefbeheer</w:t>
      </w:r>
      <w:r w:rsidRPr="00D147A7">
        <w:rPr>
          <w:kern w:val="0"/>
          <w:lang w:val="nl-NL" w:eastAsia="nl-BE" w:bidi="ar-SA"/>
        </w:rPr>
        <w:t xml:space="preserve"> bedoeld.</w:t>
      </w:r>
      <w:r w:rsidRPr="00D147A7">
        <w:rPr>
          <w:kern w:val="0"/>
          <w:vertAlign w:val="superscript"/>
          <w:lang w:val="nl-NL" w:eastAsia="nl-BE" w:bidi="ar-SA"/>
        </w:rPr>
        <w:footnoteReference w:id="722"/>
      </w:r>
      <w:r w:rsidRPr="00D147A7">
        <w:rPr>
          <w:kern w:val="0"/>
          <w:lang w:val="nl-NL" w:eastAsia="nl-BE" w:bidi="ar-SA"/>
        </w:rPr>
        <w:t xml:space="preserve"> Zorgdragers moeten dus </w:t>
      </w:r>
      <w:r w:rsidR="00A94AE6">
        <w:rPr>
          <w:kern w:val="0"/>
          <w:lang w:val="nl-NL" w:eastAsia="nl-BE" w:bidi="ar-SA"/>
        </w:rPr>
        <w:t>alle</w:t>
      </w:r>
      <w:r w:rsidRPr="00D147A7">
        <w:rPr>
          <w:kern w:val="0"/>
          <w:lang w:val="nl-NL" w:eastAsia="nl-BE" w:bidi="ar-SA"/>
        </w:rPr>
        <w:t xml:space="preserve"> nodige maatregelen treffen </w:t>
      </w:r>
      <w:r w:rsidR="00A94AE6">
        <w:rPr>
          <w:kern w:val="0"/>
          <w:lang w:val="nl-NL" w:eastAsia="nl-BE" w:bidi="ar-SA"/>
        </w:rPr>
        <w:t>die de</w:t>
      </w:r>
      <w:r w:rsidRPr="00D147A7">
        <w:rPr>
          <w:kern w:val="0"/>
          <w:lang w:val="nl-NL" w:eastAsia="nl-BE" w:bidi="ar-SA"/>
        </w:rPr>
        <w:t xml:space="preserve"> ar</w:t>
      </w:r>
      <w:r w:rsidR="00A94AE6">
        <w:rPr>
          <w:kern w:val="0"/>
          <w:lang w:val="nl-NL" w:eastAsia="nl-BE" w:bidi="ar-SA"/>
        </w:rPr>
        <w:t>-</w:t>
      </w:r>
      <w:r w:rsidRPr="00D147A7">
        <w:rPr>
          <w:kern w:val="0"/>
          <w:lang w:val="nl-NL" w:eastAsia="nl-BE" w:bidi="ar-SA"/>
        </w:rPr>
        <w:t>chiefbeheerder in staat stel</w:t>
      </w:r>
      <w:r w:rsidR="00A94AE6">
        <w:rPr>
          <w:kern w:val="0"/>
          <w:lang w:val="nl-NL" w:eastAsia="nl-BE" w:bidi="ar-SA"/>
        </w:rPr>
        <w:t>len</w:t>
      </w:r>
      <w:r w:rsidRPr="00D147A7">
        <w:rPr>
          <w:kern w:val="0"/>
          <w:lang w:val="nl-NL" w:eastAsia="nl-BE" w:bidi="ar-SA"/>
        </w:rPr>
        <w:t xml:space="preserve"> </w:t>
      </w:r>
      <w:r w:rsidR="00A94AE6">
        <w:rPr>
          <w:kern w:val="0"/>
          <w:lang w:val="nl-NL" w:eastAsia="nl-BE" w:bidi="ar-SA"/>
        </w:rPr>
        <w:t>om de</w:t>
      </w:r>
      <w:r w:rsidRPr="00D147A7">
        <w:rPr>
          <w:kern w:val="0"/>
          <w:lang w:val="nl-NL" w:eastAsia="nl-BE" w:bidi="ar-SA"/>
        </w:rPr>
        <w:t xml:space="preserve"> archiefbescheiden op adequate wijze te bewaren. Meer concreet moeten zorgdragers speciaal ingerichte ruimtes voorzien, goed opgeleide personeels</w:t>
      </w:r>
      <w:r w:rsidR="00A94AE6">
        <w:rPr>
          <w:kern w:val="0"/>
          <w:lang w:val="nl-NL" w:eastAsia="nl-BE" w:bidi="ar-SA"/>
        </w:rPr>
        <w:t>-</w:t>
      </w:r>
      <w:r w:rsidRPr="00D147A7">
        <w:rPr>
          <w:kern w:val="0"/>
          <w:lang w:val="nl-NL" w:eastAsia="nl-BE" w:bidi="ar-SA"/>
        </w:rPr>
        <w:t xml:space="preserve">leden aanstellen, ervoor zorgen dat de nodige financiële middelen verkregen worden </w:t>
      </w:r>
      <w:r w:rsidR="00A94AE6">
        <w:rPr>
          <w:kern w:val="0"/>
          <w:lang w:val="nl-NL" w:eastAsia="nl-BE" w:bidi="ar-SA"/>
        </w:rPr>
        <w:t>(</w:t>
      </w:r>
      <w:r w:rsidRPr="00D147A7">
        <w:rPr>
          <w:kern w:val="0"/>
          <w:lang w:val="nl-NL" w:eastAsia="nl-BE" w:bidi="ar-SA"/>
        </w:rPr>
        <w:t xml:space="preserve">bij de instantie die bevoegd is </w:t>
      </w:r>
      <w:r w:rsidR="00A94AE6">
        <w:rPr>
          <w:kern w:val="0"/>
          <w:lang w:val="nl-NL" w:eastAsia="nl-BE" w:bidi="ar-SA"/>
        </w:rPr>
        <w:t>voor</w:t>
      </w:r>
      <w:r w:rsidRPr="00D147A7">
        <w:rPr>
          <w:kern w:val="0"/>
          <w:lang w:val="nl-NL" w:eastAsia="nl-BE" w:bidi="ar-SA"/>
        </w:rPr>
        <w:t xml:space="preserve"> het vaststellen van de begroting</w:t>
      </w:r>
      <w:r w:rsidR="00A94AE6">
        <w:rPr>
          <w:kern w:val="0"/>
          <w:lang w:val="nl-NL" w:eastAsia="nl-BE" w:bidi="ar-SA"/>
        </w:rPr>
        <w:t>)</w:t>
      </w:r>
      <w:r w:rsidRPr="00D147A7">
        <w:rPr>
          <w:kern w:val="0"/>
          <w:lang w:val="nl-NL" w:eastAsia="nl-BE" w:bidi="ar-SA"/>
        </w:rPr>
        <w:t xml:space="preserve">, alsmede voorschriften voor het archiefbeheer </w:t>
      </w:r>
      <w:r w:rsidR="00A94AE6">
        <w:rPr>
          <w:kern w:val="0"/>
          <w:lang w:val="nl-NL" w:eastAsia="nl-BE" w:bidi="ar-SA"/>
        </w:rPr>
        <w:t>op</w:t>
      </w:r>
      <w:r w:rsidRPr="00D147A7">
        <w:rPr>
          <w:kern w:val="0"/>
          <w:lang w:val="nl-NL" w:eastAsia="nl-BE" w:bidi="ar-SA"/>
        </w:rPr>
        <w:t>stellen.</w:t>
      </w:r>
      <w:r w:rsidRPr="00D147A7">
        <w:rPr>
          <w:kern w:val="0"/>
          <w:vertAlign w:val="superscript"/>
          <w:lang w:val="nl-NL" w:eastAsia="nl-BE" w:bidi="ar-SA"/>
        </w:rPr>
        <w:footnoteReference w:id="723"/>
      </w:r>
    </w:p>
    <w:p w:rsidR="00426625" w:rsidRPr="00D147A7" w:rsidRDefault="00426625" w:rsidP="00426625">
      <w:pPr>
        <w:widowControl/>
        <w:suppressAutoHyphens w:val="0"/>
        <w:spacing w:line="240" w:lineRule="atLeast"/>
        <w:jc w:val="both"/>
        <w:rPr>
          <w:kern w:val="0"/>
          <w:lang w:val="nl-NL" w:eastAsia="en-US" w:bidi="ar-SA"/>
        </w:rPr>
      </w:pPr>
    </w:p>
    <w:tbl>
      <w:tblPr>
        <w:tblStyle w:val="Tabelraster1"/>
        <w:tblW w:w="0" w:type="auto"/>
        <w:tblLook w:val="04A0" w:firstRow="1" w:lastRow="0" w:firstColumn="1" w:lastColumn="0" w:noHBand="0" w:noVBand="1"/>
      </w:tblPr>
      <w:tblGrid>
        <w:gridCol w:w="9212"/>
      </w:tblGrid>
      <w:tr w:rsidR="00426625" w:rsidRPr="00D147A7" w:rsidTr="004721B1">
        <w:tc>
          <w:tcPr>
            <w:tcW w:w="9212" w:type="dxa"/>
          </w:tcPr>
          <w:p w:rsidR="00426625" w:rsidRPr="00D147A7" w:rsidRDefault="00426625" w:rsidP="00426625">
            <w:pPr>
              <w:widowControl/>
              <w:suppressAutoHyphens w:val="0"/>
              <w:spacing w:line="240" w:lineRule="atLeast"/>
              <w:jc w:val="both"/>
              <w:rPr>
                <w:b/>
                <w:smallCaps/>
                <w:kern w:val="0"/>
                <w:lang w:val="nl-NL" w:eastAsia="en-US" w:bidi="ar-SA"/>
              </w:rPr>
            </w:pPr>
            <w:r w:rsidRPr="00D147A7">
              <w:rPr>
                <w:b/>
                <w:smallCaps/>
                <w:kern w:val="0"/>
                <w:lang w:val="nl-NL" w:eastAsia="en-US" w:bidi="ar-SA"/>
              </w:rPr>
              <w:t>Relevante wetgeving</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nl-NL" w:eastAsia="en-US" w:bidi="ar-SA"/>
              </w:rPr>
              <w:t>België:</w:t>
            </w:r>
            <w:r w:rsidRPr="00D147A7">
              <w:rPr>
                <w:kern w:val="0"/>
                <w:lang w:val="nl-NL" w:eastAsia="en-US" w:bidi="ar-SA"/>
              </w:rPr>
              <w:t xml:space="preserve"> art. 13, 1° Ziekenhuiswet (1); art. 1, 3° en art. N1, B, 3, h) van het KB van 21 september 2004; art. 18, 1° Ziekenhuiswet (2); art. 10, 3° van het MB van 1 maart 2010</w:t>
            </w:r>
          </w:p>
        </w:tc>
      </w:tr>
      <w:tr w:rsidR="00426625" w:rsidRPr="002E7E12" w:rsidTr="004721B1">
        <w:tc>
          <w:tcPr>
            <w:tcW w:w="9212" w:type="dxa"/>
          </w:tcPr>
          <w:p w:rsidR="00426625" w:rsidRPr="00D147A7" w:rsidRDefault="00426625" w:rsidP="00426625">
            <w:pPr>
              <w:widowControl/>
              <w:suppressAutoHyphens w:val="0"/>
              <w:spacing w:line="240" w:lineRule="atLeast"/>
              <w:jc w:val="both"/>
              <w:rPr>
                <w:kern w:val="0"/>
                <w:lang w:val="en-US" w:eastAsia="en-US" w:bidi="ar-SA"/>
              </w:rPr>
            </w:pPr>
            <w:r w:rsidRPr="00D147A7">
              <w:rPr>
                <w:b/>
                <w:kern w:val="0"/>
                <w:lang w:val="en-US" w:eastAsia="en-US" w:bidi="ar-SA"/>
              </w:rPr>
              <w:t>Nederland:</w:t>
            </w:r>
            <w:r w:rsidRPr="00D147A7">
              <w:rPr>
                <w:kern w:val="0"/>
                <w:lang w:val="en-US" w:eastAsia="en-US" w:bidi="ar-SA"/>
              </w:rPr>
              <w:t xml:space="preserve"> art. 454 § 3 WGBO; art. 1, d Wbp; art. 20 § 1 Wcz</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en-US" w:eastAsia="en-US" w:bidi="ar-SA"/>
              </w:rPr>
              <w:t>Frankrijk:</w:t>
            </w:r>
            <w:r w:rsidRPr="00D147A7">
              <w:rPr>
                <w:kern w:val="0"/>
                <w:lang w:val="en-US" w:eastAsia="en-US" w:bidi="ar-SA"/>
              </w:rPr>
              <w:t xml:space="preserve"> art. L. 6113-7, art. R. 1112-7, art. </w:t>
            </w:r>
            <w:r w:rsidRPr="00D147A7">
              <w:rPr>
                <w:kern w:val="0"/>
                <w:lang w:val="nl-NL" w:eastAsia="en-US" w:bidi="ar-SA"/>
              </w:rPr>
              <w:t>R. 4127-45 en art. R. 4127-96 CSP</w:t>
            </w:r>
          </w:p>
        </w:tc>
      </w:tr>
    </w:tbl>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Het tweede hoofdstuk is gewijd aan de bewaarplaats van patiëntendossiers. Waar moeten deze dossier volgens de vigerende wetgeving </w:t>
      </w:r>
      <w:r w:rsidR="00A94AE6" w:rsidRPr="00D147A7">
        <w:rPr>
          <w:kern w:val="0"/>
          <w:lang w:val="nl-NL" w:eastAsia="en-US" w:bidi="ar-SA"/>
        </w:rPr>
        <w:t xml:space="preserve">worden </w:t>
      </w:r>
      <w:r w:rsidRPr="00D147A7">
        <w:rPr>
          <w:kern w:val="0"/>
          <w:lang w:val="nl-NL" w:eastAsia="en-US" w:bidi="ar-SA"/>
        </w:rPr>
        <w:t xml:space="preserve">bewaard? Moeten ze in </w:t>
      </w:r>
      <w:r w:rsidR="00A94AE6">
        <w:rPr>
          <w:kern w:val="0"/>
          <w:lang w:val="nl-NL" w:eastAsia="en-US" w:bidi="ar-SA"/>
        </w:rPr>
        <w:t xml:space="preserve">de </w:t>
      </w:r>
      <w:r w:rsidRPr="00D147A7">
        <w:rPr>
          <w:kern w:val="0"/>
          <w:lang w:val="nl-NL" w:eastAsia="en-US" w:bidi="ar-SA"/>
        </w:rPr>
        <w:t xml:space="preserve">werkvertrekken van de archiefvormende zorgverleners bewaard worden? Of is het mogelijk om de bewaring aan externe bedrijven uit te besteden? Door de aanzienlijke aangroei van </w:t>
      </w:r>
      <w:r w:rsidR="00A94AE6">
        <w:rPr>
          <w:kern w:val="0"/>
          <w:lang w:val="nl-NL" w:eastAsia="en-US" w:bidi="ar-SA"/>
        </w:rPr>
        <w:t xml:space="preserve">(papieren) </w:t>
      </w:r>
      <w:r w:rsidRPr="00D147A7">
        <w:rPr>
          <w:kern w:val="0"/>
          <w:lang w:val="nl-NL" w:eastAsia="en-US" w:bidi="ar-SA"/>
        </w:rPr>
        <w:t>medische archieven – volgens recente statistieken zou de omvang van deze archieven om de twee jaar verviervoudigen</w:t>
      </w:r>
      <w:r w:rsidRPr="00D147A7">
        <w:rPr>
          <w:kern w:val="0"/>
          <w:vertAlign w:val="superscript"/>
          <w:lang w:val="nl-NL" w:eastAsia="en-US" w:bidi="ar-SA"/>
        </w:rPr>
        <w:footnoteReference w:id="724"/>
      </w:r>
      <w:r w:rsidRPr="00D147A7">
        <w:rPr>
          <w:kern w:val="0"/>
          <w:lang w:val="nl-NL" w:eastAsia="en-US" w:bidi="ar-SA"/>
        </w:rPr>
        <w:t xml:space="preserve"> – hebben vele, zoniet alle, verzorgingsinstellingen een acuut gebrek aan opslagruimte. Hoewel overvolle archiefdepots </w:t>
      </w:r>
      <w:r w:rsidR="003C31C3">
        <w:rPr>
          <w:kern w:val="0"/>
          <w:lang w:val="nl-NL" w:eastAsia="en-US" w:bidi="ar-SA"/>
        </w:rPr>
        <w:t xml:space="preserve">wegens het </w:t>
      </w:r>
      <w:r w:rsidRPr="00D147A7">
        <w:rPr>
          <w:kern w:val="0"/>
          <w:lang w:val="nl-NL" w:eastAsia="en-US" w:bidi="ar-SA"/>
        </w:rPr>
        <w:t>toenemen</w:t>
      </w:r>
      <w:r w:rsidR="00A94AE6">
        <w:rPr>
          <w:kern w:val="0"/>
          <w:lang w:val="nl-NL" w:eastAsia="en-US" w:bidi="ar-SA"/>
        </w:rPr>
        <w:t>d</w:t>
      </w:r>
      <w:r w:rsidR="003C31C3">
        <w:rPr>
          <w:kern w:val="0"/>
          <w:lang w:val="nl-NL" w:eastAsia="en-US" w:bidi="ar-SA"/>
        </w:rPr>
        <w:t>e</w:t>
      </w:r>
      <w:r w:rsidRPr="00D147A7">
        <w:rPr>
          <w:kern w:val="0"/>
          <w:lang w:val="nl-NL" w:eastAsia="en-US" w:bidi="ar-SA"/>
        </w:rPr>
        <w:t xml:space="preserve"> </w:t>
      </w:r>
      <w:r w:rsidR="00A94AE6">
        <w:rPr>
          <w:kern w:val="0"/>
          <w:lang w:val="nl-NL" w:eastAsia="en-US" w:bidi="ar-SA"/>
        </w:rPr>
        <w:t>gebruik van</w:t>
      </w:r>
      <w:r w:rsidRPr="00D147A7">
        <w:rPr>
          <w:kern w:val="0"/>
          <w:lang w:val="nl-NL" w:eastAsia="en-US" w:bidi="ar-SA"/>
        </w:rPr>
        <w:t xml:space="preserve"> </w:t>
      </w:r>
      <w:r w:rsidR="003C31C3">
        <w:rPr>
          <w:kern w:val="0"/>
          <w:lang w:val="nl-NL" w:eastAsia="en-US" w:bidi="ar-SA"/>
        </w:rPr>
        <w:t xml:space="preserve">gedigitali-seerde en </w:t>
      </w:r>
      <w:r w:rsidR="003C31C3">
        <w:rPr>
          <w:i/>
          <w:kern w:val="0"/>
          <w:lang w:val="nl-NL" w:eastAsia="en-US" w:bidi="ar-SA"/>
        </w:rPr>
        <w:t xml:space="preserve">digital born </w:t>
      </w:r>
      <w:r w:rsidRPr="00D147A7">
        <w:rPr>
          <w:kern w:val="0"/>
          <w:lang w:val="nl-NL" w:eastAsia="en-US" w:bidi="ar-SA"/>
        </w:rPr>
        <w:t>patiëntendossiers</w:t>
      </w:r>
      <w:r w:rsidR="003C31C3">
        <w:rPr>
          <w:kern w:val="0"/>
          <w:lang w:val="nl-NL" w:eastAsia="en-US" w:bidi="ar-SA"/>
        </w:rPr>
        <w:t xml:space="preserve"> een steeds minder visueel probleem is</w:t>
      </w:r>
      <w:r w:rsidRPr="00D147A7">
        <w:rPr>
          <w:kern w:val="0"/>
          <w:lang w:val="nl-NL" w:eastAsia="en-US" w:bidi="ar-SA"/>
        </w:rPr>
        <w:t xml:space="preserve">, </w:t>
      </w:r>
      <w:r w:rsidR="003C31C3">
        <w:rPr>
          <w:kern w:val="0"/>
          <w:lang w:val="nl-NL" w:eastAsia="en-US" w:bidi="ar-SA"/>
        </w:rPr>
        <w:t>boet</w:t>
      </w:r>
      <w:r w:rsidRPr="00D147A7">
        <w:rPr>
          <w:kern w:val="0"/>
          <w:lang w:val="nl-NL" w:eastAsia="en-US" w:bidi="ar-SA"/>
        </w:rPr>
        <w:t xml:space="preserve"> het vraagstuk omtrent de uitbesteding van patiëntendossiers </w:t>
      </w:r>
      <w:r w:rsidR="003C31C3">
        <w:rPr>
          <w:kern w:val="0"/>
          <w:lang w:val="nl-NL" w:eastAsia="en-US" w:bidi="ar-SA"/>
        </w:rPr>
        <w:t>hierdoor niet aan belang in</w:t>
      </w:r>
      <w:r w:rsidRPr="00D147A7">
        <w:rPr>
          <w:kern w:val="0"/>
          <w:lang w:val="nl-NL" w:eastAsia="en-US" w:bidi="ar-SA"/>
        </w:rPr>
        <w:t xml:space="preserve">. </w:t>
      </w:r>
      <w:r w:rsidR="003C31C3">
        <w:rPr>
          <w:kern w:val="0"/>
          <w:lang w:val="nl-NL" w:eastAsia="en-US" w:bidi="ar-SA"/>
        </w:rPr>
        <w:t>V</w:t>
      </w:r>
      <w:r w:rsidRPr="00D147A7">
        <w:rPr>
          <w:kern w:val="0"/>
          <w:lang w:val="nl-NL" w:eastAsia="en-US" w:bidi="ar-SA"/>
        </w:rPr>
        <w:t>ia inter</w:t>
      </w:r>
      <w:r w:rsidR="003C31C3">
        <w:rPr>
          <w:kern w:val="0"/>
          <w:lang w:val="nl-NL" w:eastAsia="en-US" w:bidi="ar-SA"/>
        </w:rPr>
        <w:t>-</w:t>
      </w:r>
      <w:r w:rsidRPr="00D147A7">
        <w:rPr>
          <w:kern w:val="0"/>
          <w:lang w:val="nl-NL" w:eastAsia="en-US" w:bidi="ar-SA"/>
        </w:rPr>
        <w:lastRenderedPageBreak/>
        <w:t xml:space="preserve">net </w:t>
      </w:r>
      <w:r w:rsidR="003C31C3">
        <w:rPr>
          <w:kern w:val="0"/>
          <w:lang w:val="nl-NL" w:eastAsia="en-US" w:bidi="ar-SA"/>
        </w:rPr>
        <w:t xml:space="preserve">kan immers </w:t>
      </w:r>
      <w:r w:rsidRPr="00D147A7">
        <w:rPr>
          <w:kern w:val="0"/>
          <w:lang w:val="nl-NL" w:eastAsia="en-US" w:bidi="ar-SA"/>
        </w:rPr>
        <w:t xml:space="preserve">beroep </w:t>
      </w:r>
      <w:r w:rsidR="003C31C3">
        <w:rPr>
          <w:kern w:val="0"/>
          <w:lang w:val="nl-NL" w:eastAsia="en-US" w:bidi="ar-SA"/>
        </w:rPr>
        <w:t xml:space="preserve">worden gedaan </w:t>
      </w:r>
      <w:r w:rsidRPr="00D147A7">
        <w:rPr>
          <w:kern w:val="0"/>
          <w:lang w:val="nl-NL" w:eastAsia="en-US" w:bidi="ar-SA"/>
        </w:rPr>
        <w:t xml:space="preserve">op </w:t>
      </w:r>
      <w:r w:rsidRPr="00D147A7">
        <w:rPr>
          <w:i/>
          <w:kern w:val="0"/>
          <w:lang w:val="nl-NL" w:eastAsia="en-US" w:bidi="ar-SA"/>
        </w:rPr>
        <w:t>cloud computing</w:t>
      </w:r>
      <w:r w:rsidRPr="00D147A7">
        <w:rPr>
          <w:kern w:val="0"/>
          <w:lang w:val="nl-NL" w:eastAsia="en-US" w:bidi="ar-SA"/>
        </w:rPr>
        <w:t xml:space="preserve"> – i.e. informaticadiensten die van op afstand aangeboden </w:t>
      </w:r>
      <w:r w:rsidR="003C31C3" w:rsidRPr="00D147A7">
        <w:rPr>
          <w:kern w:val="0"/>
          <w:lang w:val="nl-NL" w:eastAsia="en-US" w:bidi="ar-SA"/>
        </w:rPr>
        <w:t xml:space="preserve">worden </w:t>
      </w:r>
      <w:r w:rsidRPr="00D147A7">
        <w:rPr>
          <w:kern w:val="0"/>
          <w:lang w:val="nl-NL" w:eastAsia="en-US" w:bidi="ar-SA"/>
        </w:rPr>
        <w:t xml:space="preserve">– zodat zorgverleners zich ten volle op hun </w:t>
      </w:r>
      <w:r w:rsidRPr="00D147A7">
        <w:rPr>
          <w:i/>
          <w:kern w:val="0"/>
          <w:lang w:val="nl-NL" w:eastAsia="en-US" w:bidi="ar-SA"/>
        </w:rPr>
        <w:t>core business</w:t>
      </w:r>
      <w:r w:rsidRPr="00D147A7">
        <w:rPr>
          <w:kern w:val="0"/>
          <w:lang w:val="nl-NL" w:eastAsia="en-US" w:bidi="ar-SA"/>
        </w:rPr>
        <w:t xml:space="preserve">, de zorgverlening, kunnen richten. Bovendien heeft een extern systeembeheer ook financiële voordelen. Zo kunnen de </w:t>
      </w:r>
      <w:r w:rsidR="003C31C3">
        <w:rPr>
          <w:kern w:val="0"/>
          <w:lang w:val="nl-NL" w:eastAsia="en-US" w:bidi="ar-SA"/>
        </w:rPr>
        <w:t>onderhouds</w:t>
      </w:r>
      <w:r w:rsidRPr="00D147A7">
        <w:rPr>
          <w:kern w:val="0"/>
          <w:lang w:val="nl-NL" w:eastAsia="en-US" w:bidi="ar-SA"/>
        </w:rPr>
        <w:t xml:space="preserve">kosten </w:t>
      </w:r>
      <w:r w:rsidR="003C31C3">
        <w:rPr>
          <w:kern w:val="0"/>
          <w:lang w:val="nl-NL" w:eastAsia="en-US" w:bidi="ar-SA"/>
        </w:rPr>
        <w:t>van</w:t>
      </w:r>
      <w:r w:rsidRPr="00D147A7">
        <w:rPr>
          <w:kern w:val="0"/>
          <w:lang w:val="nl-NL" w:eastAsia="en-US" w:bidi="ar-SA"/>
        </w:rPr>
        <w:t xml:space="preserve"> elektronische documentbeheersystemen met andere</w:t>
      </w:r>
      <w:r w:rsidR="003C31C3">
        <w:rPr>
          <w:kern w:val="0"/>
          <w:lang w:val="nl-NL" w:eastAsia="en-US" w:bidi="ar-SA"/>
        </w:rPr>
        <w:t xml:space="preserve"> zorgverleners en/of verzorgingsinstellingen</w:t>
      </w:r>
      <w:r w:rsidRPr="00D147A7">
        <w:rPr>
          <w:kern w:val="0"/>
          <w:lang w:val="nl-NL" w:eastAsia="en-US" w:bidi="ar-SA"/>
        </w:rPr>
        <w:t xml:space="preserve"> gedeeld worden. Laat de wet het toe om elektronische patiëntendossiers </w:t>
      </w:r>
      <w:r w:rsidR="003C31C3">
        <w:rPr>
          <w:kern w:val="0"/>
          <w:lang w:val="nl-NL" w:eastAsia="en-US" w:bidi="ar-SA"/>
        </w:rPr>
        <w:t>bij</w:t>
      </w:r>
      <w:r w:rsidRPr="00D147A7">
        <w:rPr>
          <w:kern w:val="0"/>
          <w:lang w:val="nl-NL" w:eastAsia="en-US" w:bidi="ar-SA"/>
        </w:rPr>
        <w:t xml:space="preserve"> een externe provider (of </w:t>
      </w:r>
      <w:r w:rsidRPr="00D147A7">
        <w:rPr>
          <w:i/>
          <w:kern w:val="0"/>
          <w:lang w:val="nl-NL" w:eastAsia="en-US" w:bidi="ar-SA"/>
        </w:rPr>
        <w:t>host</w:t>
      </w:r>
      <w:r w:rsidRPr="00D147A7">
        <w:rPr>
          <w:kern w:val="0"/>
          <w:lang w:val="nl-NL" w:eastAsia="en-US" w:bidi="ar-SA"/>
        </w:rPr>
        <w:t>)</w:t>
      </w:r>
      <w:r w:rsidRPr="00D147A7">
        <w:rPr>
          <w:i/>
          <w:kern w:val="0"/>
          <w:lang w:val="nl-NL" w:eastAsia="en-US" w:bidi="ar-SA"/>
        </w:rPr>
        <w:t xml:space="preserve"> </w:t>
      </w:r>
      <w:r w:rsidRPr="00D147A7">
        <w:rPr>
          <w:kern w:val="0"/>
          <w:lang w:val="nl-NL" w:eastAsia="en-US" w:bidi="ar-SA"/>
        </w:rPr>
        <w:t>te bewaren? Welke wetge</w:t>
      </w:r>
      <w:r w:rsidR="003C31C3">
        <w:rPr>
          <w:kern w:val="0"/>
          <w:lang w:val="nl-NL" w:eastAsia="en-US" w:bidi="ar-SA"/>
        </w:rPr>
        <w:t>-</w:t>
      </w:r>
      <w:r w:rsidRPr="00D147A7">
        <w:rPr>
          <w:kern w:val="0"/>
          <w:lang w:val="nl-NL" w:eastAsia="en-US" w:bidi="ar-SA"/>
        </w:rPr>
        <w:t xml:space="preserve">ving moet worden toegepast als deze </w:t>
      </w:r>
      <w:r w:rsidRPr="00D147A7">
        <w:rPr>
          <w:i/>
          <w:kern w:val="0"/>
          <w:lang w:val="nl-NL" w:eastAsia="en-US" w:bidi="ar-SA"/>
        </w:rPr>
        <w:t>host</w:t>
      </w:r>
      <w:r w:rsidRPr="00D147A7">
        <w:rPr>
          <w:kern w:val="0"/>
          <w:lang w:val="nl-NL" w:eastAsia="en-US" w:bidi="ar-SA"/>
        </w:rPr>
        <w:t xml:space="preserve"> zich in een ander land – </w:t>
      </w:r>
      <w:r w:rsidR="003C31C3">
        <w:rPr>
          <w:kern w:val="0"/>
          <w:lang w:val="nl-NL" w:eastAsia="en-US" w:bidi="ar-SA"/>
        </w:rPr>
        <w:t xml:space="preserve">mogelijk zelfs buiten de grenzen van de </w:t>
      </w:r>
      <w:r w:rsidRPr="00D147A7">
        <w:rPr>
          <w:kern w:val="0"/>
          <w:lang w:val="nl-NL" w:eastAsia="en-US" w:bidi="ar-SA"/>
        </w:rPr>
        <w:t>Europese Unie</w:t>
      </w:r>
      <w:r w:rsidRPr="00D147A7">
        <w:rPr>
          <w:kern w:val="0"/>
          <w:vertAlign w:val="superscript"/>
          <w:lang w:val="nl-NL" w:eastAsia="en-US" w:bidi="ar-SA"/>
        </w:rPr>
        <w:footnoteReference w:id="725"/>
      </w:r>
      <w:r w:rsidRPr="00D147A7">
        <w:rPr>
          <w:kern w:val="0"/>
          <w:lang w:val="nl-NL" w:eastAsia="en-US" w:bidi="ar-SA"/>
        </w:rPr>
        <w:t xml:space="preserve"> – dan de bewaargever bevindt</w:t>
      </w:r>
      <w:r w:rsidR="003C31C3">
        <w:rPr>
          <w:kern w:val="0"/>
          <w:lang w:val="nl-NL" w:eastAsia="en-US" w:bidi="ar-SA"/>
        </w:rPr>
        <w:t>?</w:t>
      </w:r>
      <w:r w:rsidRPr="00D147A7">
        <w:rPr>
          <w:kern w:val="0"/>
          <w:vertAlign w:val="superscript"/>
          <w:lang w:val="nl-NL" w:eastAsia="en-US" w:bidi="ar-SA"/>
        </w:rPr>
        <w:footnoteReference w:id="726"/>
      </w:r>
      <w:r w:rsidRPr="00D147A7">
        <w:rPr>
          <w:kern w:val="0"/>
          <w:lang w:val="nl-NL" w:eastAsia="en-US" w:bidi="ar-SA"/>
        </w:rPr>
        <w:t xml:space="preserve"> Omwille van de comple</w:t>
      </w:r>
      <w:r w:rsidR="003C31C3">
        <w:rPr>
          <w:kern w:val="0"/>
          <w:lang w:val="nl-NL" w:eastAsia="en-US" w:bidi="ar-SA"/>
        </w:rPr>
        <w:t>-</w:t>
      </w:r>
      <w:r w:rsidRPr="00D147A7">
        <w:rPr>
          <w:kern w:val="0"/>
          <w:lang w:val="nl-NL" w:eastAsia="en-US" w:bidi="ar-SA"/>
        </w:rPr>
        <w:t xml:space="preserve">xiteit van deze kwestie en het beperkte kader van </w:t>
      </w:r>
      <w:r w:rsidR="003C31C3">
        <w:rPr>
          <w:kern w:val="0"/>
          <w:lang w:val="nl-NL" w:eastAsia="en-US" w:bidi="ar-SA"/>
        </w:rPr>
        <w:t>deze</w:t>
      </w:r>
      <w:r w:rsidRPr="00D147A7">
        <w:rPr>
          <w:kern w:val="0"/>
          <w:lang w:val="nl-NL" w:eastAsia="en-US" w:bidi="ar-SA"/>
        </w:rPr>
        <w:t xml:space="preserve"> verhandeling </w:t>
      </w:r>
      <w:r w:rsidR="003C31C3">
        <w:rPr>
          <w:kern w:val="0"/>
          <w:lang w:val="nl-NL" w:eastAsia="en-US" w:bidi="ar-SA"/>
        </w:rPr>
        <w:t>wordt</w:t>
      </w:r>
      <w:r w:rsidRPr="00D147A7">
        <w:rPr>
          <w:kern w:val="0"/>
          <w:lang w:val="nl-NL" w:eastAsia="en-US" w:bidi="ar-SA"/>
        </w:rPr>
        <w:t xml:space="preserve"> dit laatste buiten beschouwing gelaten</w:t>
      </w:r>
      <w:r w:rsidR="00B30A34">
        <w:rPr>
          <w:kern w:val="0"/>
          <w:lang w:val="nl-NL" w:eastAsia="en-US" w:bidi="ar-SA"/>
        </w:rPr>
        <w:t>.</w:t>
      </w:r>
      <w:r w:rsidR="003C31C3">
        <w:rPr>
          <w:kern w:val="0"/>
          <w:lang w:val="nl-NL" w:eastAsia="en-US" w:bidi="ar-SA"/>
        </w:rPr>
        <w:t xml:space="preserve"> </w:t>
      </w:r>
      <w:r w:rsidR="00B30A34">
        <w:rPr>
          <w:kern w:val="0"/>
          <w:lang w:val="nl-NL" w:eastAsia="en-US" w:bidi="ar-SA"/>
        </w:rPr>
        <w:t>De aandacht wordt in het bijzonder op d</w:t>
      </w:r>
      <w:r w:rsidRPr="00D147A7">
        <w:rPr>
          <w:kern w:val="0"/>
          <w:lang w:val="nl-NL" w:eastAsia="en-US" w:bidi="ar-SA"/>
        </w:rPr>
        <w:t>e bewaarplaats van papieren patiëntendossiers</w:t>
      </w:r>
      <w:r w:rsidR="00B30A34">
        <w:rPr>
          <w:kern w:val="0"/>
          <w:lang w:val="nl-NL" w:eastAsia="en-US" w:bidi="ar-SA"/>
        </w:rPr>
        <w:t xml:space="preserve"> gevestigd</w:t>
      </w:r>
      <w:r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p>
    <w:tbl>
      <w:tblPr>
        <w:tblStyle w:val="Tabelraster1"/>
        <w:tblW w:w="0" w:type="auto"/>
        <w:tblLook w:val="04A0" w:firstRow="1" w:lastRow="0" w:firstColumn="1" w:lastColumn="0" w:noHBand="0" w:noVBand="1"/>
      </w:tblPr>
      <w:tblGrid>
        <w:gridCol w:w="9212"/>
      </w:tblGrid>
      <w:tr w:rsidR="00426625" w:rsidRPr="00D147A7" w:rsidTr="004721B1">
        <w:tc>
          <w:tcPr>
            <w:tcW w:w="9212" w:type="dxa"/>
          </w:tcPr>
          <w:p w:rsidR="00426625" w:rsidRPr="00D147A7" w:rsidRDefault="00426625" w:rsidP="00426625">
            <w:pPr>
              <w:widowControl/>
              <w:suppressAutoHyphens w:val="0"/>
              <w:spacing w:line="240" w:lineRule="atLeast"/>
              <w:jc w:val="both"/>
              <w:rPr>
                <w:b/>
                <w:smallCaps/>
                <w:kern w:val="0"/>
                <w:lang w:val="nl-NL" w:eastAsia="en-US" w:bidi="ar-SA"/>
              </w:rPr>
            </w:pPr>
            <w:r w:rsidRPr="00D147A7">
              <w:rPr>
                <w:b/>
                <w:smallCaps/>
                <w:kern w:val="0"/>
                <w:lang w:val="nl-NL" w:eastAsia="en-US" w:bidi="ar-SA"/>
              </w:rPr>
              <w:t>Relevante wetgeving</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eastAsia="en-US" w:bidi="ar-SA"/>
              </w:rPr>
            </w:pPr>
            <w:r w:rsidRPr="00D147A7">
              <w:rPr>
                <w:b/>
                <w:kern w:val="0"/>
                <w:lang w:eastAsia="en-US" w:bidi="ar-SA"/>
              </w:rPr>
              <w:t>België:</w:t>
            </w:r>
            <w:r w:rsidRPr="00D147A7">
              <w:rPr>
                <w:kern w:val="0"/>
                <w:lang w:eastAsia="en-US" w:bidi="ar-SA"/>
              </w:rPr>
              <w:t xml:space="preserve"> art. 15 § 1 en art. 17</w:t>
            </w:r>
            <w:r w:rsidRPr="00D147A7">
              <w:rPr>
                <w:i/>
                <w:kern w:val="0"/>
                <w:lang w:eastAsia="en-US" w:bidi="ar-SA"/>
              </w:rPr>
              <w:t>quater</w:t>
            </w:r>
            <w:r w:rsidRPr="00D147A7">
              <w:rPr>
                <w:kern w:val="0"/>
                <w:lang w:eastAsia="en-US" w:bidi="ar-SA"/>
              </w:rPr>
              <w:t xml:space="preserve"> § 1 Ziekenhuiswet (1); art. 1 § 3 van het KB van 3 mei 1999 (2); art. N1, B, 3, b) van het KB van 21 september 2004; art. 20 § 1 en art. 25 § 1 Ziekenhuiswet (2)</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nl-NL" w:eastAsia="en-US" w:bidi="ar-SA"/>
              </w:rPr>
              <w:t>Nederland:</w:t>
            </w:r>
            <w:r w:rsidRPr="00D147A7">
              <w:rPr>
                <w:kern w:val="0"/>
                <w:lang w:val="nl-NL" w:eastAsia="en-US" w:bidi="ar-SA"/>
              </w:rPr>
              <w:t xml:space="preserve"> /</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nl-NL" w:eastAsia="en-US" w:bidi="ar-SA"/>
              </w:rPr>
              <w:t>Frankrijk:</w:t>
            </w:r>
            <w:r w:rsidRPr="00D147A7">
              <w:rPr>
                <w:kern w:val="0"/>
                <w:lang w:val="nl-NL" w:eastAsia="en-US" w:bidi="ar-SA"/>
              </w:rPr>
              <w:t xml:space="preserve"> art. L. 1111-8, art. 710-2-9 en art. R. 1112-7 CSP; art. 5 van wet nr. 2008-696 van 15 juli 2008</w:t>
            </w:r>
          </w:p>
        </w:tc>
      </w:tr>
    </w:tbl>
    <w:p w:rsidR="00426625" w:rsidRPr="00D147A7" w:rsidRDefault="00426625" w:rsidP="00426625">
      <w:pPr>
        <w:widowControl/>
        <w:suppressAutoHyphens w:val="0"/>
        <w:spacing w:line="240" w:lineRule="atLeast"/>
        <w:jc w:val="both"/>
        <w:rPr>
          <w:kern w:val="0"/>
          <w:lang w:val="nl-NL" w:eastAsia="en-US" w:bidi="ar-SA"/>
        </w:rPr>
      </w:pPr>
    </w:p>
    <w:p w:rsidR="00426625" w:rsidRDefault="00426625" w:rsidP="000141CB">
      <w:pPr>
        <w:widowControl/>
        <w:suppressAutoHyphens w:val="0"/>
        <w:spacing w:line="240" w:lineRule="atLeast"/>
        <w:ind w:firstLine="1"/>
        <w:jc w:val="both"/>
        <w:rPr>
          <w:kern w:val="0"/>
          <w:lang w:val="nl-NL" w:eastAsia="en-US" w:bidi="ar-SA"/>
        </w:rPr>
      </w:pPr>
      <w:r w:rsidRPr="009B1392">
        <w:rPr>
          <w:kern w:val="0"/>
          <w:lang w:val="nl-NL" w:eastAsia="en-US" w:bidi="ar-SA"/>
        </w:rPr>
        <w:t xml:space="preserve">In </w:t>
      </w:r>
      <w:r w:rsidR="00B30A34" w:rsidRPr="009B1392">
        <w:rPr>
          <w:kern w:val="0"/>
          <w:lang w:val="nl-NL" w:eastAsia="en-US" w:bidi="ar-SA"/>
        </w:rPr>
        <w:t>het</w:t>
      </w:r>
      <w:r w:rsidRPr="009B1392">
        <w:rPr>
          <w:kern w:val="0"/>
          <w:lang w:val="nl-NL" w:eastAsia="en-US" w:bidi="ar-SA"/>
        </w:rPr>
        <w:t xml:space="preserve"> laatste </w:t>
      </w:r>
      <w:r w:rsidR="00B30A34" w:rsidRPr="009B1392">
        <w:rPr>
          <w:kern w:val="0"/>
          <w:lang w:val="nl-NL" w:eastAsia="en-US" w:bidi="ar-SA"/>
        </w:rPr>
        <w:t>hoofdstuk</w:t>
      </w:r>
      <w:r w:rsidRPr="009B1392">
        <w:rPr>
          <w:kern w:val="0"/>
          <w:lang w:val="nl-NL" w:eastAsia="en-US" w:bidi="ar-SA"/>
        </w:rPr>
        <w:t xml:space="preserve"> word</w:t>
      </w:r>
      <w:r w:rsidR="00B30A34" w:rsidRPr="009B1392">
        <w:rPr>
          <w:kern w:val="0"/>
          <w:lang w:val="nl-NL" w:eastAsia="en-US" w:bidi="ar-SA"/>
        </w:rPr>
        <w:t>en</w:t>
      </w:r>
      <w:r w:rsidRPr="009B1392">
        <w:rPr>
          <w:kern w:val="0"/>
          <w:lang w:val="nl-NL" w:eastAsia="en-US" w:bidi="ar-SA"/>
        </w:rPr>
        <w:t xml:space="preserve"> de bewaartermijnen van de verschillende soorten patiënten</w:t>
      </w:r>
      <w:r w:rsidR="00B30A34" w:rsidRPr="009B1392">
        <w:rPr>
          <w:kern w:val="0"/>
          <w:lang w:val="nl-NL" w:eastAsia="en-US" w:bidi="ar-SA"/>
        </w:rPr>
        <w:t>-</w:t>
      </w:r>
      <w:r w:rsidRPr="009B1392">
        <w:rPr>
          <w:kern w:val="0"/>
          <w:lang w:val="nl-NL" w:eastAsia="en-US" w:bidi="ar-SA"/>
        </w:rPr>
        <w:t xml:space="preserve">dossiers </w:t>
      </w:r>
      <w:r w:rsidR="00B30A34" w:rsidRPr="009B1392">
        <w:rPr>
          <w:kern w:val="0"/>
          <w:lang w:val="nl-NL" w:eastAsia="en-US" w:bidi="ar-SA"/>
        </w:rPr>
        <w:t>in kaart gebracht</w:t>
      </w:r>
      <w:r w:rsidRPr="009B1392">
        <w:rPr>
          <w:kern w:val="0"/>
          <w:lang w:val="nl-NL" w:eastAsia="en-US" w:bidi="ar-SA"/>
        </w:rPr>
        <w:t xml:space="preserve">. Een bewaartermijn is </w:t>
      </w:r>
      <w:r w:rsidR="00B30A34" w:rsidRPr="009B1392">
        <w:rPr>
          <w:kern w:val="0"/>
          <w:lang w:val="nl-NL" w:eastAsia="en-US" w:bidi="ar-SA"/>
        </w:rPr>
        <w:t>de</w:t>
      </w:r>
      <w:r w:rsidRPr="009B1392">
        <w:rPr>
          <w:kern w:val="0"/>
          <w:lang w:val="nl-NL" w:eastAsia="en-US" w:bidi="ar-SA"/>
        </w:rPr>
        <w:t xml:space="preserve"> periode tijdens dewelke archiefbescheiden </w:t>
      </w:r>
      <w:r w:rsidR="00B30A34" w:rsidRPr="009B1392">
        <w:rPr>
          <w:kern w:val="0"/>
          <w:lang w:val="nl-NL" w:eastAsia="en-US" w:bidi="ar-SA"/>
        </w:rPr>
        <w:t xml:space="preserve">wegens hun administratieve en/of juridische waarde </w:t>
      </w:r>
      <w:r w:rsidRPr="009B1392">
        <w:rPr>
          <w:kern w:val="0"/>
          <w:lang w:val="nl-NL" w:eastAsia="en-US" w:bidi="ar-SA"/>
        </w:rPr>
        <w:t xml:space="preserve">bewaard moeten worden. </w:t>
      </w:r>
      <w:r w:rsidR="00B30A34" w:rsidRPr="009B1392">
        <w:rPr>
          <w:kern w:val="0"/>
          <w:lang w:val="nl-NL" w:eastAsia="en-US" w:bidi="ar-SA"/>
        </w:rPr>
        <w:t xml:space="preserve">Voor de meeste patiëntendossiers is de bewaartermijn wettelijk vastgelegd. </w:t>
      </w:r>
      <w:r w:rsidRPr="009B1392">
        <w:rPr>
          <w:kern w:val="0"/>
          <w:lang w:val="nl-NL" w:eastAsia="en-US" w:bidi="ar-SA"/>
        </w:rPr>
        <w:t>Uit onderstaande grafiek blijkt dat er geen uni</w:t>
      </w:r>
      <w:r w:rsidR="00B30A34" w:rsidRPr="009B1392">
        <w:rPr>
          <w:kern w:val="0"/>
          <w:lang w:val="nl-NL" w:eastAsia="en-US" w:bidi="ar-SA"/>
        </w:rPr>
        <w:t>versele, noch Europese consensus heerst over de</w:t>
      </w:r>
      <w:r w:rsidRPr="009B1392">
        <w:rPr>
          <w:kern w:val="0"/>
          <w:lang w:val="nl-NL" w:eastAsia="en-US" w:bidi="ar-SA"/>
        </w:rPr>
        <w:t xml:space="preserve"> bewaartermijn </w:t>
      </w:r>
      <w:r w:rsidR="00B30A34" w:rsidRPr="009B1392">
        <w:rPr>
          <w:kern w:val="0"/>
          <w:lang w:val="nl-NL" w:eastAsia="en-US" w:bidi="ar-SA"/>
        </w:rPr>
        <w:t>van dezelfde pa-tiëntendossiers</w:t>
      </w:r>
      <w:r w:rsidRPr="009B1392">
        <w:rPr>
          <w:kern w:val="0"/>
          <w:lang w:val="nl-NL" w:eastAsia="en-US" w:bidi="ar-SA"/>
        </w:rPr>
        <w:t>. Zelfs op nationaal niveau kunnen bewaartermijnen voor de verschillende soorten patiëntendossiers erg variëren. Hoewel patiëntendossiers meerdere functies vervul</w:t>
      </w:r>
      <w:r w:rsidR="00B30A34" w:rsidRPr="009B1392">
        <w:rPr>
          <w:kern w:val="0"/>
          <w:lang w:val="nl-NL" w:eastAsia="en-US" w:bidi="ar-SA"/>
        </w:rPr>
        <w:t>-</w:t>
      </w:r>
      <w:r w:rsidRPr="009B1392">
        <w:rPr>
          <w:kern w:val="0"/>
          <w:lang w:val="nl-NL" w:eastAsia="en-US" w:bidi="ar-SA"/>
        </w:rPr>
        <w:t>len</w:t>
      </w:r>
      <w:r w:rsidRPr="009B1392">
        <w:rPr>
          <w:kern w:val="0"/>
          <w:vertAlign w:val="superscript"/>
          <w:lang w:val="nl-NL" w:eastAsia="en-US" w:bidi="ar-SA"/>
        </w:rPr>
        <w:footnoteReference w:id="727"/>
      </w:r>
      <w:r w:rsidRPr="009B1392">
        <w:rPr>
          <w:kern w:val="0"/>
          <w:lang w:val="nl-NL" w:eastAsia="en-US" w:bidi="ar-SA"/>
        </w:rPr>
        <w:t xml:space="preserve">, </w:t>
      </w:r>
      <w:r w:rsidR="00B30A34" w:rsidRPr="009B1392">
        <w:rPr>
          <w:kern w:val="0"/>
          <w:lang w:val="nl-NL" w:eastAsia="en-US" w:bidi="ar-SA"/>
        </w:rPr>
        <w:t>wordt</w:t>
      </w:r>
      <w:r w:rsidRPr="009B1392">
        <w:rPr>
          <w:kern w:val="0"/>
          <w:lang w:val="nl-NL" w:eastAsia="en-US" w:bidi="ar-SA"/>
        </w:rPr>
        <w:t xml:space="preserve"> </w:t>
      </w:r>
      <w:r w:rsidR="00B30A34" w:rsidRPr="009B1392">
        <w:rPr>
          <w:kern w:val="0"/>
          <w:lang w:val="nl-NL" w:eastAsia="en-US" w:bidi="ar-SA"/>
        </w:rPr>
        <w:t>de keuze</w:t>
      </w:r>
      <w:r w:rsidRPr="009B1392">
        <w:rPr>
          <w:kern w:val="0"/>
          <w:lang w:val="nl-NL" w:eastAsia="en-US" w:bidi="ar-SA"/>
        </w:rPr>
        <w:t xml:space="preserve"> van </w:t>
      </w:r>
      <w:r w:rsidR="00B30A34" w:rsidRPr="009B1392">
        <w:rPr>
          <w:kern w:val="0"/>
          <w:lang w:val="nl-NL" w:eastAsia="en-US" w:bidi="ar-SA"/>
        </w:rPr>
        <w:t xml:space="preserve">de </w:t>
      </w:r>
      <w:r w:rsidRPr="009B1392">
        <w:rPr>
          <w:kern w:val="0"/>
          <w:lang w:val="nl-NL" w:eastAsia="en-US" w:bidi="ar-SA"/>
        </w:rPr>
        <w:t>bewaartermijnen voor patiëntendossiers</w:t>
      </w:r>
      <w:r w:rsidR="00B30A34" w:rsidRPr="009B1392">
        <w:rPr>
          <w:kern w:val="0"/>
          <w:lang w:val="nl-NL" w:eastAsia="en-US" w:bidi="ar-SA"/>
        </w:rPr>
        <w:t xml:space="preserve"> –</w:t>
      </w:r>
      <w:r w:rsidRPr="009B1392">
        <w:rPr>
          <w:kern w:val="0"/>
          <w:lang w:val="nl-NL" w:eastAsia="en-US" w:bidi="ar-SA"/>
        </w:rPr>
        <w:t xml:space="preserve"> een uiterst delicate evenwichtsoefening </w:t>
      </w:r>
      <w:r w:rsidR="00B30A34" w:rsidRPr="009B1392">
        <w:rPr>
          <w:kern w:val="0"/>
          <w:lang w:val="nl-NL" w:eastAsia="en-US" w:bidi="ar-SA"/>
        </w:rPr>
        <w:t>–</w:t>
      </w:r>
      <w:r w:rsidRPr="009B1392">
        <w:rPr>
          <w:kern w:val="0"/>
          <w:lang w:val="nl-NL" w:eastAsia="en-US" w:bidi="ar-SA"/>
        </w:rPr>
        <w:t xml:space="preserve"> </w:t>
      </w:r>
      <w:r w:rsidR="00B30A34" w:rsidRPr="009B1392">
        <w:rPr>
          <w:kern w:val="0"/>
          <w:lang w:val="nl-NL" w:eastAsia="en-US" w:bidi="ar-SA"/>
        </w:rPr>
        <w:t>door</w:t>
      </w:r>
      <w:r w:rsidRPr="009B1392">
        <w:rPr>
          <w:kern w:val="0"/>
          <w:lang w:val="nl-NL" w:eastAsia="en-US" w:bidi="ar-SA"/>
        </w:rPr>
        <w:t xml:space="preserve"> </w:t>
      </w:r>
      <w:r w:rsidR="00B30A34" w:rsidRPr="009B1392">
        <w:rPr>
          <w:kern w:val="0"/>
          <w:lang w:val="nl-NL" w:eastAsia="en-US" w:bidi="ar-SA"/>
        </w:rPr>
        <w:t xml:space="preserve">de </w:t>
      </w:r>
      <w:r w:rsidRPr="009B1392">
        <w:rPr>
          <w:kern w:val="0"/>
          <w:lang w:val="nl-NL" w:eastAsia="en-US" w:bidi="ar-SA"/>
        </w:rPr>
        <w:t>drie voorn</w:t>
      </w:r>
      <w:r w:rsidR="00A914F1" w:rsidRPr="009B1392">
        <w:rPr>
          <w:kern w:val="0"/>
          <w:lang w:val="nl-NL" w:eastAsia="en-US" w:bidi="ar-SA"/>
        </w:rPr>
        <w:t>a</w:t>
      </w:r>
      <w:r w:rsidRPr="009B1392">
        <w:rPr>
          <w:kern w:val="0"/>
          <w:lang w:val="nl-NL" w:eastAsia="en-US" w:bidi="ar-SA"/>
        </w:rPr>
        <w:t>am</w:t>
      </w:r>
      <w:r w:rsidR="00B30A34" w:rsidRPr="009B1392">
        <w:rPr>
          <w:kern w:val="0"/>
          <w:lang w:val="nl-NL" w:eastAsia="en-US" w:bidi="ar-SA"/>
        </w:rPr>
        <w:t>st</w:t>
      </w:r>
      <w:r w:rsidRPr="009B1392">
        <w:rPr>
          <w:kern w:val="0"/>
          <w:lang w:val="nl-NL" w:eastAsia="en-US" w:bidi="ar-SA"/>
        </w:rPr>
        <w:t xml:space="preserve">e bewaardoelen </w:t>
      </w:r>
      <w:r w:rsidR="00B30A34" w:rsidRPr="009B1392">
        <w:rPr>
          <w:kern w:val="0"/>
          <w:lang w:val="nl-NL" w:eastAsia="en-US" w:bidi="ar-SA"/>
        </w:rPr>
        <w:t>bewogen</w:t>
      </w:r>
      <w:r w:rsidR="000A4883" w:rsidRPr="009B1392">
        <w:rPr>
          <w:kern w:val="0"/>
          <w:lang w:val="nl-NL" w:eastAsia="en-US" w:bidi="ar-SA"/>
        </w:rPr>
        <w:t xml:space="preserve">: </w:t>
      </w:r>
      <w:r w:rsidR="009B1392" w:rsidRPr="009B1392">
        <w:rPr>
          <w:kern w:val="0"/>
          <w:lang w:val="nl-NL" w:eastAsia="en-US" w:bidi="ar-SA"/>
        </w:rPr>
        <w:t>aan patiënten</w:t>
      </w:r>
      <w:r w:rsidRPr="009B1392">
        <w:rPr>
          <w:kern w:val="0"/>
          <w:lang w:val="nl-NL" w:eastAsia="en-US" w:bidi="ar-SA"/>
        </w:rPr>
        <w:t xml:space="preserve"> </w:t>
      </w:r>
      <w:r w:rsidR="00A914F1" w:rsidRPr="009B1392">
        <w:rPr>
          <w:kern w:val="0"/>
          <w:lang w:val="nl-NL" w:eastAsia="en-US" w:bidi="ar-SA"/>
        </w:rPr>
        <w:t xml:space="preserve">een </w:t>
      </w:r>
      <w:r w:rsidR="000A4883" w:rsidRPr="009B1392">
        <w:rPr>
          <w:kern w:val="0"/>
          <w:lang w:val="nl-NL" w:eastAsia="en-US" w:bidi="ar-SA"/>
        </w:rPr>
        <w:t>goede,</w:t>
      </w:r>
      <w:r w:rsidRPr="009B1392">
        <w:rPr>
          <w:kern w:val="0"/>
          <w:lang w:val="nl-NL" w:eastAsia="en-US" w:bidi="ar-SA"/>
        </w:rPr>
        <w:t xml:space="preserve"> coherente zorgverlening garanderen</w:t>
      </w:r>
      <w:r w:rsidR="000A4883" w:rsidRPr="009B1392">
        <w:rPr>
          <w:kern w:val="0"/>
          <w:lang w:val="nl-NL" w:eastAsia="en-US" w:bidi="ar-SA"/>
        </w:rPr>
        <w:t>;</w:t>
      </w:r>
      <w:r w:rsidRPr="009B1392">
        <w:rPr>
          <w:kern w:val="0"/>
          <w:lang w:val="nl-NL" w:eastAsia="en-US" w:bidi="ar-SA"/>
        </w:rPr>
        <w:t xml:space="preserve"> </w:t>
      </w:r>
      <w:r w:rsidR="009B1392" w:rsidRPr="009B1392">
        <w:rPr>
          <w:kern w:val="0"/>
          <w:lang w:val="nl-NL" w:eastAsia="en-US" w:bidi="ar-SA"/>
        </w:rPr>
        <w:t xml:space="preserve">verschillende soorten (al dan niet wetenschappe-lijk) </w:t>
      </w:r>
      <w:r w:rsidR="0085254A">
        <w:rPr>
          <w:kern w:val="0"/>
          <w:lang w:val="nl-NL" w:eastAsia="en-US" w:bidi="ar-SA"/>
        </w:rPr>
        <w:t xml:space="preserve">onderzoek </w:t>
      </w:r>
      <w:r w:rsidR="009B1392" w:rsidRPr="009B1392">
        <w:rPr>
          <w:kern w:val="0"/>
          <w:lang w:val="nl-NL" w:eastAsia="en-US" w:bidi="ar-SA"/>
        </w:rPr>
        <w:t xml:space="preserve">determineren door over het nodige </w:t>
      </w:r>
      <w:r w:rsidRPr="009B1392">
        <w:rPr>
          <w:kern w:val="0"/>
          <w:lang w:val="nl-NL" w:eastAsia="en-US" w:bidi="ar-SA"/>
        </w:rPr>
        <w:t xml:space="preserve">bronnenmateriaal </w:t>
      </w:r>
      <w:r w:rsidR="009B1392" w:rsidRPr="009B1392">
        <w:rPr>
          <w:kern w:val="0"/>
          <w:lang w:val="nl-NL" w:eastAsia="en-US" w:bidi="ar-SA"/>
        </w:rPr>
        <w:t xml:space="preserve">te </w:t>
      </w:r>
      <w:r w:rsidRPr="009B1392">
        <w:rPr>
          <w:kern w:val="0"/>
          <w:lang w:val="nl-NL" w:eastAsia="en-US" w:bidi="ar-SA"/>
        </w:rPr>
        <w:t>beschikken</w:t>
      </w:r>
      <w:r w:rsidR="000A4883" w:rsidRPr="009B1392">
        <w:rPr>
          <w:kern w:val="0"/>
          <w:lang w:val="nl-NL" w:eastAsia="en-US" w:bidi="ar-SA"/>
        </w:rPr>
        <w:t>;</w:t>
      </w:r>
      <w:r w:rsidRPr="009B1392">
        <w:rPr>
          <w:kern w:val="0"/>
          <w:lang w:val="nl-NL" w:eastAsia="en-US" w:bidi="ar-SA"/>
        </w:rPr>
        <w:t xml:space="preserve"> en zorg</w:t>
      </w:r>
      <w:r w:rsidR="0085254A">
        <w:rPr>
          <w:kern w:val="0"/>
          <w:lang w:val="nl-NL" w:eastAsia="en-US" w:bidi="ar-SA"/>
        </w:rPr>
        <w:t>-</w:t>
      </w:r>
      <w:r w:rsidRPr="009B1392">
        <w:rPr>
          <w:kern w:val="0"/>
          <w:lang w:val="nl-NL" w:eastAsia="en-US" w:bidi="ar-SA"/>
        </w:rPr>
        <w:t xml:space="preserve">verleners </w:t>
      </w:r>
      <w:r w:rsidR="009B1392" w:rsidRPr="009B1392">
        <w:rPr>
          <w:kern w:val="0"/>
          <w:lang w:val="nl-NL" w:eastAsia="en-US" w:bidi="ar-SA"/>
        </w:rPr>
        <w:t xml:space="preserve">juridisch indekken door </w:t>
      </w:r>
      <w:r w:rsidRPr="009B1392">
        <w:rPr>
          <w:kern w:val="0"/>
          <w:lang w:val="nl-NL" w:eastAsia="en-US" w:bidi="ar-SA"/>
        </w:rPr>
        <w:t xml:space="preserve">over bewijsmateriaal </w:t>
      </w:r>
      <w:r w:rsidR="009B1392" w:rsidRPr="009B1392">
        <w:rPr>
          <w:kern w:val="0"/>
          <w:lang w:val="nl-NL" w:eastAsia="en-US" w:bidi="ar-SA"/>
        </w:rPr>
        <w:t xml:space="preserve">te disponeren – met name voor </w:t>
      </w:r>
      <w:r w:rsidRPr="009B1392">
        <w:rPr>
          <w:kern w:val="0"/>
          <w:lang w:val="nl-NL" w:eastAsia="en-US" w:bidi="ar-SA"/>
        </w:rPr>
        <w:t>het ge</w:t>
      </w:r>
      <w:r w:rsidR="0085254A">
        <w:rPr>
          <w:kern w:val="0"/>
          <w:lang w:val="nl-NL" w:eastAsia="en-US" w:bidi="ar-SA"/>
        </w:rPr>
        <w:t>-</w:t>
      </w:r>
      <w:r w:rsidRPr="009B1392">
        <w:rPr>
          <w:kern w:val="0"/>
          <w:lang w:val="nl-NL" w:eastAsia="en-US" w:bidi="ar-SA"/>
        </w:rPr>
        <w:t xml:space="preserve">val </w:t>
      </w:r>
      <w:r w:rsidR="009B1392" w:rsidRPr="009B1392">
        <w:rPr>
          <w:kern w:val="0"/>
          <w:lang w:val="nl-NL" w:eastAsia="en-US" w:bidi="ar-SA"/>
        </w:rPr>
        <w:t xml:space="preserve">dat </w:t>
      </w:r>
      <w:r w:rsidRPr="009B1392">
        <w:rPr>
          <w:kern w:val="0"/>
          <w:lang w:val="nl-NL" w:eastAsia="en-US" w:bidi="ar-SA"/>
        </w:rPr>
        <w:t xml:space="preserve">patiënten een schadeclaim </w:t>
      </w:r>
      <w:r w:rsidR="009B1392" w:rsidRPr="009B1392">
        <w:rPr>
          <w:kern w:val="0"/>
          <w:lang w:val="nl-NL" w:eastAsia="en-US" w:bidi="ar-SA"/>
        </w:rPr>
        <w:t xml:space="preserve">zouden indienen </w:t>
      </w:r>
      <w:r w:rsidRPr="009B1392">
        <w:rPr>
          <w:kern w:val="0"/>
          <w:lang w:val="nl-NL" w:eastAsia="en-US" w:bidi="ar-SA"/>
        </w:rPr>
        <w:t xml:space="preserve">ten gevolge van een vermeende medische fout. </w:t>
      </w:r>
      <w:r w:rsidR="009B1392" w:rsidRPr="009B1392">
        <w:rPr>
          <w:kern w:val="0"/>
          <w:lang w:val="nl-NL" w:eastAsia="en-US" w:bidi="ar-SA"/>
        </w:rPr>
        <w:t>Verder</w:t>
      </w:r>
      <w:r w:rsidRPr="009B1392">
        <w:rPr>
          <w:kern w:val="0"/>
          <w:lang w:val="nl-NL" w:eastAsia="en-US" w:bidi="ar-SA"/>
        </w:rPr>
        <w:t xml:space="preserve"> wordt ook </w:t>
      </w:r>
      <w:r w:rsidR="009B1392" w:rsidRPr="009B1392">
        <w:rPr>
          <w:kern w:val="0"/>
          <w:lang w:val="nl-NL" w:eastAsia="en-US" w:bidi="ar-SA"/>
        </w:rPr>
        <w:t>afgewogen wat</w:t>
      </w:r>
      <w:r w:rsidRPr="009B1392">
        <w:rPr>
          <w:kern w:val="0"/>
          <w:lang w:val="nl-NL" w:eastAsia="en-US" w:bidi="ar-SA"/>
        </w:rPr>
        <w:t xml:space="preserve"> het </w:t>
      </w:r>
      <w:r w:rsidR="009B1392" w:rsidRPr="009B1392">
        <w:rPr>
          <w:kern w:val="0"/>
          <w:lang w:val="nl-NL" w:eastAsia="en-US" w:bidi="ar-SA"/>
        </w:rPr>
        <w:t xml:space="preserve">meest aangewezen </w:t>
      </w:r>
      <w:r w:rsidRPr="009B1392">
        <w:rPr>
          <w:kern w:val="0"/>
          <w:lang w:val="nl-NL" w:eastAsia="en-US" w:bidi="ar-SA"/>
        </w:rPr>
        <w:t>beginpunt van de verschillende bewaartermijnen</w:t>
      </w:r>
      <w:r w:rsidR="009B1392" w:rsidRPr="009B1392">
        <w:rPr>
          <w:kern w:val="0"/>
          <w:lang w:val="nl-NL" w:eastAsia="en-US" w:bidi="ar-SA"/>
        </w:rPr>
        <w:t xml:space="preserve"> is</w:t>
      </w:r>
      <w:r w:rsidRPr="009B1392">
        <w:rPr>
          <w:kern w:val="0"/>
          <w:lang w:val="nl-NL" w:eastAsia="en-US" w:bidi="ar-SA"/>
        </w:rPr>
        <w:t xml:space="preserve">. Mogelijke </w:t>
      </w:r>
      <w:r w:rsidR="009B1392" w:rsidRPr="009B1392">
        <w:rPr>
          <w:kern w:val="0"/>
          <w:lang w:val="nl-NL" w:eastAsia="en-US" w:bidi="ar-SA"/>
        </w:rPr>
        <w:t>aanvangs</w:t>
      </w:r>
      <w:r w:rsidRPr="00D147A7">
        <w:rPr>
          <w:kern w:val="0"/>
          <w:lang w:val="nl-NL" w:eastAsia="en-US" w:bidi="ar-SA"/>
        </w:rPr>
        <w:t>punten zijn het laatste contact tussen patiënt en zorg</w:t>
      </w:r>
      <w:r w:rsidR="0085254A">
        <w:rPr>
          <w:kern w:val="0"/>
          <w:lang w:val="nl-NL" w:eastAsia="en-US" w:bidi="ar-SA"/>
        </w:rPr>
        <w:t>-</w:t>
      </w:r>
      <w:r w:rsidRPr="00D147A7">
        <w:rPr>
          <w:kern w:val="0"/>
          <w:lang w:val="nl-NL" w:eastAsia="en-US" w:bidi="ar-SA"/>
        </w:rPr>
        <w:t>verlener</w:t>
      </w:r>
      <w:r w:rsidR="009B1392">
        <w:rPr>
          <w:kern w:val="0"/>
          <w:lang w:val="nl-NL" w:eastAsia="en-US" w:bidi="ar-SA"/>
        </w:rPr>
        <w:t xml:space="preserve"> (m.a.w. het uiterste tijdstip waarop een medische fout kan worden begaan)</w:t>
      </w:r>
      <w:r w:rsidRPr="00D147A7">
        <w:rPr>
          <w:kern w:val="0"/>
          <w:lang w:val="nl-NL" w:eastAsia="en-US" w:bidi="ar-SA"/>
        </w:rPr>
        <w:t>, het mo</w:t>
      </w:r>
      <w:r w:rsidR="0085254A">
        <w:rPr>
          <w:kern w:val="0"/>
          <w:lang w:val="nl-NL" w:eastAsia="en-US" w:bidi="ar-SA"/>
        </w:rPr>
        <w:t>-</w:t>
      </w:r>
      <w:r w:rsidRPr="00D147A7">
        <w:rPr>
          <w:kern w:val="0"/>
          <w:lang w:val="nl-NL" w:eastAsia="en-US" w:bidi="ar-SA"/>
        </w:rPr>
        <w:t>ment waarop een document gevormd</w:t>
      </w:r>
      <w:r w:rsidR="009B1392" w:rsidRPr="009B1392">
        <w:rPr>
          <w:kern w:val="0"/>
          <w:lang w:val="nl-NL" w:eastAsia="en-US" w:bidi="ar-SA"/>
        </w:rPr>
        <w:t xml:space="preserve"> </w:t>
      </w:r>
      <w:r w:rsidR="009B1392" w:rsidRPr="00D147A7">
        <w:rPr>
          <w:kern w:val="0"/>
          <w:lang w:val="nl-NL" w:eastAsia="en-US" w:bidi="ar-SA"/>
        </w:rPr>
        <w:t>wordt</w:t>
      </w:r>
      <w:r w:rsidRPr="00D147A7">
        <w:rPr>
          <w:kern w:val="0"/>
          <w:lang w:val="nl-NL" w:eastAsia="en-US" w:bidi="ar-SA"/>
        </w:rPr>
        <w:t>, de geboorte- of s</w:t>
      </w:r>
      <w:r w:rsidR="0085254A">
        <w:rPr>
          <w:kern w:val="0"/>
          <w:lang w:val="nl-NL" w:eastAsia="en-US" w:bidi="ar-SA"/>
        </w:rPr>
        <w:t xml:space="preserve">terftedatum van de patiënt, het </w:t>
      </w:r>
      <w:r w:rsidRPr="00D147A7">
        <w:rPr>
          <w:kern w:val="0"/>
          <w:lang w:val="nl-NL" w:eastAsia="en-US" w:bidi="ar-SA"/>
        </w:rPr>
        <w:t xml:space="preserve">moment waarop </w:t>
      </w:r>
      <w:r w:rsidR="009B1392">
        <w:rPr>
          <w:kern w:val="0"/>
          <w:lang w:val="nl-NL" w:eastAsia="en-US" w:bidi="ar-SA"/>
        </w:rPr>
        <w:t>aan de patiënt</w:t>
      </w:r>
      <w:r w:rsidRPr="00D147A7">
        <w:rPr>
          <w:kern w:val="0"/>
          <w:lang w:val="nl-NL" w:eastAsia="en-US" w:bidi="ar-SA"/>
        </w:rPr>
        <w:t xml:space="preserve"> </w:t>
      </w:r>
      <w:r w:rsidR="009B1392">
        <w:rPr>
          <w:kern w:val="0"/>
          <w:lang w:val="nl-NL" w:eastAsia="en-US" w:bidi="ar-SA"/>
        </w:rPr>
        <w:t>zorgen worden verleend</w:t>
      </w:r>
      <w:r w:rsidRPr="00D147A7">
        <w:rPr>
          <w:kern w:val="0"/>
          <w:lang w:val="nl-NL" w:eastAsia="en-US" w:bidi="ar-SA"/>
        </w:rPr>
        <w:t xml:space="preserve">, het </w:t>
      </w:r>
      <w:r w:rsidR="009B1392">
        <w:rPr>
          <w:kern w:val="0"/>
          <w:lang w:val="nl-NL" w:eastAsia="en-US" w:bidi="ar-SA"/>
        </w:rPr>
        <w:t>ogenblik</w:t>
      </w:r>
      <w:r w:rsidRPr="00D147A7">
        <w:rPr>
          <w:kern w:val="0"/>
          <w:lang w:val="nl-NL" w:eastAsia="en-US" w:bidi="ar-SA"/>
        </w:rPr>
        <w:t xml:space="preserve"> waarop de minderjarige patiënt de </w:t>
      </w:r>
      <w:r w:rsidR="009B1392">
        <w:rPr>
          <w:kern w:val="0"/>
          <w:lang w:val="nl-NL" w:eastAsia="en-US" w:bidi="ar-SA"/>
        </w:rPr>
        <w:t>meerderjarigheid</w:t>
      </w:r>
      <w:r w:rsidRPr="00D147A7">
        <w:rPr>
          <w:kern w:val="0"/>
          <w:lang w:val="nl-NL" w:eastAsia="en-US" w:bidi="ar-SA"/>
        </w:rPr>
        <w:t xml:space="preserve"> bereikt,…</w:t>
      </w:r>
    </w:p>
    <w:p w:rsidR="000141CB" w:rsidRDefault="000141CB">
      <w:pPr>
        <w:widowControl/>
        <w:suppressAutoHyphens w:val="0"/>
        <w:spacing w:after="200" w:line="276" w:lineRule="auto"/>
        <w:rPr>
          <w:kern w:val="0"/>
          <w:lang w:val="nl-NL" w:eastAsia="en-US" w:bidi="ar-SA"/>
        </w:rPr>
      </w:pPr>
      <w:r>
        <w:rPr>
          <w:kern w:val="0"/>
          <w:lang w:val="nl-NL" w:eastAsia="en-US" w:bidi="ar-SA"/>
        </w:rPr>
        <w:br w:type="page"/>
      </w:r>
    </w:p>
    <w:tbl>
      <w:tblPr>
        <w:tblStyle w:val="Tabelraster1"/>
        <w:tblW w:w="0" w:type="auto"/>
        <w:tblLook w:val="04A0" w:firstRow="1" w:lastRow="0" w:firstColumn="1" w:lastColumn="0" w:noHBand="0" w:noVBand="1"/>
      </w:tblPr>
      <w:tblGrid>
        <w:gridCol w:w="9212"/>
      </w:tblGrid>
      <w:tr w:rsidR="00426625" w:rsidRPr="00D147A7" w:rsidTr="004721B1">
        <w:tc>
          <w:tcPr>
            <w:tcW w:w="9212" w:type="dxa"/>
          </w:tcPr>
          <w:p w:rsidR="00426625" w:rsidRPr="00D147A7" w:rsidRDefault="00426625" w:rsidP="00426625">
            <w:pPr>
              <w:widowControl/>
              <w:suppressAutoHyphens w:val="0"/>
              <w:spacing w:line="240" w:lineRule="atLeast"/>
              <w:jc w:val="both"/>
              <w:rPr>
                <w:b/>
                <w:smallCaps/>
                <w:kern w:val="0"/>
                <w:lang w:val="nl-NL" w:eastAsia="en-US" w:bidi="ar-SA"/>
              </w:rPr>
            </w:pPr>
            <w:r w:rsidRPr="00D147A7">
              <w:rPr>
                <w:b/>
                <w:smallCaps/>
                <w:kern w:val="0"/>
                <w:lang w:val="nl-NL" w:eastAsia="en-US" w:bidi="ar-SA"/>
              </w:rPr>
              <w:lastRenderedPageBreak/>
              <w:t>Relevante wetgeving</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nl-NL" w:eastAsia="en-US" w:bidi="ar-SA"/>
              </w:rPr>
              <w:t>België:</w:t>
            </w:r>
            <w:r w:rsidRPr="00D147A7">
              <w:rPr>
                <w:kern w:val="0"/>
                <w:lang w:val="nl-NL" w:eastAsia="en-US" w:bidi="ar-SA"/>
              </w:rPr>
              <w:t xml:space="preserve"> art. 46 C.G.P.; art. 8 § 4 van het KB van 14 september 1984; art. 9 Privacywet; art. 1 § 3 van het KB van 3 mei 1999 (2); art. 1 § 3 van het KB van 28 december 2006</w:t>
            </w:r>
          </w:p>
        </w:tc>
      </w:tr>
      <w:tr w:rsidR="00426625" w:rsidRPr="002E7E12" w:rsidTr="004721B1">
        <w:tc>
          <w:tcPr>
            <w:tcW w:w="9212" w:type="dxa"/>
          </w:tcPr>
          <w:p w:rsidR="00426625" w:rsidRPr="00D147A7" w:rsidRDefault="00426625" w:rsidP="00426625">
            <w:pPr>
              <w:widowControl/>
              <w:suppressAutoHyphens w:val="0"/>
              <w:spacing w:line="240" w:lineRule="atLeast"/>
              <w:jc w:val="both"/>
              <w:rPr>
                <w:kern w:val="0"/>
                <w:lang w:val="en-US" w:eastAsia="en-US" w:bidi="ar-SA"/>
              </w:rPr>
            </w:pPr>
            <w:r w:rsidRPr="00D147A7">
              <w:rPr>
                <w:b/>
                <w:kern w:val="0"/>
                <w:lang w:val="en-US" w:eastAsia="en-US" w:bidi="ar-SA"/>
              </w:rPr>
              <w:t>Nederland:</w:t>
            </w:r>
            <w:r w:rsidRPr="00D147A7">
              <w:rPr>
                <w:kern w:val="0"/>
                <w:lang w:val="en-US" w:eastAsia="en-US" w:bidi="ar-SA"/>
              </w:rPr>
              <w:t xml:space="preserve"> art. 454 § 3 WGBO; art. 10 § 1 Wbp; art. 20 § 5 Wcz</w:t>
            </w:r>
          </w:p>
        </w:tc>
      </w:tr>
      <w:tr w:rsidR="00426625" w:rsidRPr="00D147A7" w:rsidTr="004721B1">
        <w:tc>
          <w:tcPr>
            <w:tcW w:w="9212" w:type="dxa"/>
          </w:tcPr>
          <w:p w:rsidR="00426625" w:rsidRPr="00D147A7" w:rsidRDefault="00426625" w:rsidP="00426625">
            <w:pPr>
              <w:widowControl/>
              <w:suppressAutoHyphens w:val="0"/>
              <w:spacing w:line="240" w:lineRule="atLeast"/>
              <w:jc w:val="both"/>
              <w:rPr>
                <w:kern w:val="0"/>
                <w:lang w:val="nl-NL" w:eastAsia="en-US" w:bidi="ar-SA"/>
              </w:rPr>
            </w:pPr>
            <w:r w:rsidRPr="00D147A7">
              <w:rPr>
                <w:b/>
                <w:kern w:val="0"/>
                <w:lang w:val="nl-NL" w:eastAsia="en-US" w:bidi="ar-SA"/>
              </w:rPr>
              <w:t>Frankrijk:</w:t>
            </w:r>
            <w:r w:rsidRPr="00D147A7">
              <w:rPr>
                <w:kern w:val="0"/>
                <w:lang w:val="nl-NL" w:eastAsia="en-US" w:bidi="ar-SA"/>
              </w:rPr>
              <w:t xml:space="preserve"> art. 1112-7 CSP</w:t>
            </w:r>
          </w:p>
        </w:tc>
      </w:tr>
    </w:tbl>
    <w:p w:rsidR="00426625" w:rsidRPr="00D147A7" w:rsidRDefault="00426625" w:rsidP="00426625">
      <w:pPr>
        <w:widowControl/>
        <w:suppressAutoHyphens w:val="0"/>
        <w:spacing w:line="240" w:lineRule="atLeast"/>
        <w:jc w:val="both"/>
        <w:rPr>
          <w:kern w:val="0"/>
          <w:lang w:val="nl-NL" w:eastAsia="en-US" w:bidi="ar-SA"/>
        </w:rPr>
      </w:pPr>
    </w:p>
    <w:p w:rsidR="002D2D48" w:rsidRPr="00D147A7" w:rsidRDefault="002D2D48"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noProof/>
          <w:kern w:val="0"/>
          <w:lang w:eastAsia="nl-BE" w:bidi="ar-SA"/>
        </w:rPr>
        <w:drawing>
          <wp:inline distT="0" distB="0" distL="0" distR="0" wp14:anchorId="64000BD6" wp14:editId="70D2FEBC">
            <wp:extent cx="6391275" cy="1990725"/>
            <wp:effectExtent l="0" t="0" r="9525" b="9525"/>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426625" w:rsidRPr="00D147A7" w:rsidRDefault="00426625" w:rsidP="00426625">
      <w:pPr>
        <w:widowControl/>
        <w:suppressAutoHyphens w:val="0"/>
        <w:spacing w:line="240" w:lineRule="atLeast"/>
        <w:jc w:val="center"/>
        <w:rPr>
          <w:kern w:val="0"/>
          <w:lang w:val="nl-NL" w:eastAsia="en-US" w:bidi="ar-SA"/>
        </w:rPr>
      </w:pPr>
      <w:r w:rsidRPr="00D147A7">
        <w:rPr>
          <w:kern w:val="0"/>
          <w:lang w:val="nl-NL" w:eastAsia="en-US" w:bidi="ar-SA"/>
        </w:rPr>
        <w:t>Grafiek 9: Vergelijking van de bewaartermijnen van patiëntendossiers in 18 landen uit de Europese Unie, Noorwegen en Zwitserland</w:t>
      </w:r>
    </w:p>
    <w:p w:rsidR="00426625" w:rsidRPr="00D147A7" w:rsidRDefault="00426625" w:rsidP="00426625">
      <w:pPr>
        <w:widowControl/>
        <w:suppressAutoHyphens w:val="0"/>
        <w:spacing w:line="240" w:lineRule="atLeast"/>
        <w:jc w:val="both"/>
        <w:rPr>
          <w:bCs/>
          <w:smallCaps/>
          <w:kern w:val="0"/>
          <w:lang w:val="nl-NL" w:eastAsia="en-US" w:bidi="ar-SA"/>
        </w:rPr>
      </w:pPr>
    </w:p>
    <w:p w:rsidR="00426625" w:rsidRPr="00D147A7" w:rsidRDefault="00426625" w:rsidP="00426625">
      <w:pPr>
        <w:widowControl/>
        <w:suppressAutoHyphens w:val="0"/>
        <w:spacing w:line="240" w:lineRule="atLeast"/>
        <w:jc w:val="both"/>
        <w:rPr>
          <w:bCs/>
          <w:smallCaps/>
          <w:kern w:val="0"/>
          <w:lang w:val="nl-NL" w:eastAsia="en-US" w:bidi="ar-SA"/>
        </w:rPr>
      </w:pPr>
    </w:p>
    <w:p w:rsidR="00426625" w:rsidRPr="00D147A7" w:rsidRDefault="00426625" w:rsidP="002D2D48">
      <w:pPr>
        <w:widowControl/>
        <w:numPr>
          <w:ilvl w:val="1"/>
          <w:numId w:val="33"/>
        </w:numPr>
        <w:suppressAutoHyphens w:val="0"/>
        <w:spacing w:after="200" w:line="240" w:lineRule="atLeast"/>
        <w:jc w:val="both"/>
        <w:rPr>
          <w:bCs/>
          <w:smallCaps/>
          <w:kern w:val="0"/>
          <w:lang w:val="nl-NL" w:eastAsia="en-US" w:bidi="ar-SA"/>
        </w:rPr>
      </w:pPr>
      <w:r w:rsidRPr="00D147A7">
        <w:rPr>
          <w:bCs/>
          <w:smallCaps/>
          <w:kern w:val="0"/>
          <w:lang w:val="nl-NL" w:eastAsia="en-US" w:bidi="ar-SA"/>
        </w:rPr>
        <w:t>België</w:t>
      </w: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1: Zorg versus beheer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 huisarts is zowel zorgdrager als beheerder van </w:t>
      </w:r>
      <w:r w:rsidR="000141CB">
        <w:rPr>
          <w:kern w:val="0"/>
          <w:lang w:val="nl-NL" w:eastAsia="en-US" w:bidi="ar-SA"/>
        </w:rPr>
        <w:t>de door hem of haar gevormde</w:t>
      </w:r>
      <w:r w:rsidRPr="00D147A7">
        <w:rPr>
          <w:kern w:val="0"/>
          <w:lang w:val="nl-NL" w:eastAsia="en-US" w:bidi="ar-SA"/>
        </w:rPr>
        <w:t xml:space="preserve"> patiënten</w:t>
      </w:r>
      <w:r w:rsidR="000141CB">
        <w:rPr>
          <w:kern w:val="0"/>
          <w:lang w:val="nl-NL" w:eastAsia="en-US" w:bidi="ar-SA"/>
        </w:rPr>
        <w:t>-</w:t>
      </w:r>
      <w:r w:rsidRPr="00D147A7">
        <w:rPr>
          <w:kern w:val="0"/>
          <w:lang w:val="nl-NL" w:eastAsia="en-US" w:bidi="ar-SA"/>
        </w:rPr>
        <w:t>dossiers. De goede bewaring van patiëntendossiers is immers één van de erkenningsnormen om de bijzondere beroepstitel van huisarts te kunnen voeren en behouden.</w:t>
      </w:r>
      <w:r w:rsidRPr="00D147A7">
        <w:rPr>
          <w:kern w:val="0"/>
          <w:vertAlign w:val="superscript"/>
          <w:lang w:val="nl-NL" w:eastAsia="en-US" w:bidi="ar-SA"/>
        </w:rPr>
        <w:footnoteReference w:id="728"/>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nl-BE" w:bidi="ar-SA"/>
        </w:rPr>
      </w:pPr>
    </w:p>
    <w:p w:rsidR="00426625" w:rsidRPr="00D147A7" w:rsidRDefault="00426625" w:rsidP="00426625">
      <w:pPr>
        <w:widowControl/>
        <w:suppressAutoHyphens w:val="0"/>
        <w:spacing w:line="240" w:lineRule="atLeast"/>
        <w:jc w:val="both"/>
        <w:rPr>
          <w:kern w:val="0"/>
          <w:lang w:val="nl-NL" w:eastAsia="nl-BE" w:bidi="ar-SA"/>
        </w:rPr>
      </w:pPr>
      <w:r w:rsidRPr="00D147A7">
        <w:rPr>
          <w:kern w:val="0"/>
          <w:lang w:val="nl-NL" w:eastAsia="nl-BE" w:bidi="ar-SA"/>
        </w:rPr>
        <w:t>Voor de meeste bewoners van RVT’s bestaan er drie dossiers: twee medische dossiers en één verpleegkundig dossier.</w:t>
      </w:r>
      <w:r w:rsidRPr="00D147A7">
        <w:rPr>
          <w:kern w:val="0"/>
          <w:vertAlign w:val="superscript"/>
          <w:lang w:val="nl-NL" w:eastAsia="nl-BE" w:bidi="ar-SA"/>
        </w:rPr>
        <w:footnoteReference w:id="729"/>
      </w:r>
      <w:r w:rsidRPr="00D147A7">
        <w:rPr>
          <w:kern w:val="0"/>
          <w:lang w:val="nl-NL" w:eastAsia="nl-BE" w:bidi="ar-SA"/>
        </w:rPr>
        <w:t xml:space="preserve"> Eén medisch en het verpleegkundig dossier </w:t>
      </w:r>
      <w:r w:rsidR="000141CB">
        <w:rPr>
          <w:kern w:val="0"/>
          <w:lang w:val="nl-NL" w:eastAsia="nl-BE" w:bidi="ar-SA"/>
        </w:rPr>
        <w:t xml:space="preserve">worden </w:t>
      </w:r>
      <w:r w:rsidRPr="00D147A7">
        <w:rPr>
          <w:kern w:val="0"/>
          <w:lang w:val="nl-NL" w:eastAsia="nl-BE" w:bidi="ar-SA"/>
        </w:rPr>
        <w:t xml:space="preserve">– samen </w:t>
      </w:r>
      <w:r w:rsidR="000141CB">
        <w:rPr>
          <w:kern w:val="0"/>
          <w:lang w:val="nl-NL" w:eastAsia="nl-BE" w:bidi="ar-SA"/>
        </w:rPr>
        <w:t xml:space="preserve">met </w:t>
      </w:r>
      <w:r w:rsidRPr="00D147A7">
        <w:rPr>
          <w:kern w:val="0"/>
          <w:lang w:val="nl-NL" w:eastAsia="nl-BE" w:bidi="ar-SA"/>
        </w:rPr>
        <w:t>het individueel verzorgingsdossier –</w:t>
      </w:r>
      <w:r w:rsidR="000141CB">
        <w:rPr>
          <w:kern w:val="0"/>
          <w:lang w:val="nl-NL" w:eastAsia="nl-BE" w:bidi="ar-SA"/>
        </w:rPr>
        <w:t xml:space="preserve"> </w:t>
      </w:r>
      <w:r w:rsidRPr="00D147A7">
        <w:rPr>
          <w:kern w:val="0"/>
          <w:lang w:val="nl-NL" w:eastAsia="nl-BE" w:bidi="ar-SA"/>
        </w:rPr>
        <w:t xml:space="preserve">in het RVT bewaard. De beheerder van </w:t>
      </w:r>
      <w:r w:rsidR="000141CB">
        <w:rPr>
          <w:kern w:val="0"/>
          <w:lang w:val="nl-NL" w:eastAsia="nl-BE" w:bidi="ar-SA"/>
        </w:rPr>
        <w:t>da</w:t>
      </w:r>
      <w:r w:rsidRPr="00D147A7">
        <w:rPr>
          <w:kern w:val="0"/>
          <w:lang w:val="nl-NL" w:eastAsia="nl-BE" w:bidi="ar-SA"/>
        </w:rPr>
        <w:t xml:space="preserve">t RVT is belast met de archiefzorg van de individuele verzorgingsdossiers. Het archiefbeheer is daarentegen een gedeelde verantwoordelijkheid. De coördinerend en raadgevend arts van de instelling moet de medische dossiers beheren, terwijl het hoofd van de verpleegkundige dienst van het RVT doorgaat als beheerder van het verpleegkundig dossier. </w:t>
      </w:r>
    </w:p>
    <w:p w:rsidR="00426625" w:rsidRPr="00D147A7" w:rsidRDefault="000141CB" w:rsidP="00426625">
      <w:pPr>
        <w:widowControl/>
        <w:suppressAutoHyphens w:val="0"/>
        <w:spacing w:line="240" w:lineRule="atLeast"/>
        <w:jc w:val="both"/>
        <w:rPr>
          <w:kern w:val="0"/>
          <w:lang w:val="nl-NL" w:eastAsia="nl-BE" w:bidi="ar-SA"/>
        </w:rPr>
      </w:pPr>
      <w:r>
        <w:rPr>
          <w:kern w:val="0"/>
          <w:lang w:val="nl-NL" w:eastAsia="nl-BE" w:bidi="ar-SA"/>
        </w:rPr>
        <w:t>Doorgaans wordt</w:t>
      </w:r>
      <w:r w:rsidR="00426625" w:rsidRPr="00D147A7">
        <w:rPr>
          <w:kern w:val="0"/>
          <w:lang w:val="nl-NL" w:eastAsia="nl-BE" w:bidi="ar-SA"/>
        </w:rPr>
        <w:t xml:space="preserve"> nog een tweede medisch dossier aangelegd en bijgehouden</w:t>
      </w:r>
      <w:r>
        <w:rPr>
          <w:kern w:val="0"/>
          <w:lang w:val="nl-NL" w:eastAsia="nl-BE" w:bidi="ar-SA"/>
        </w:rPr>
        <w:t>, dat door de behandelende (huis)arts</w:t>
      </w:r>
      <w:r w:rsidR="00426625" w:rsidRPr="00D147A7">
        <w:rPr>
          <w:kern w:val="0"/>
          <w:lang w:val="nl-NL" w:eastAsia="nl-BE" w:bidi="ar-SA"/>
        </w:rPr>
        <w:t xml:space="preserve"> wordt bijgehouden. Uit het voorgaande blijkt dat deze arts verant</w:t>
      </w:r>
      <w:r>
        <w:rPr>
          <w:kern w:val="0"/>
          <w:lang w:val="nl-NL" w:eastAsia="nl-BE" w:bidi="ar-SA"/>
        </w:rPr>
        <w:t>-</w:t>
      </w:r>
      <w:r w:rsidR="00426625" w:rsidRPr="00D147A7">
        <w:rPr>
          <w:kern w:val="0"/>
          <w:lang w:val="nl-NL" w:eastAsia="nl-BE" w:bidi="ar-SA"/>
        </w:rPr>
        <w:t>woordelijk is voor zowel de archiefzorg als het archiefbeheer van deze medische dossiers.</w:t>
      </w:r>
    </w:p>
    <w:p w:rsidR="00426625" w:rsidRPr="00D147A7" w:rsidRDefault="00426625" w:rsidP="00426625">
      <w:pPr>
        <w:widowControl/>
        <w:suppressAutoHyphens w:val="0"/>
        <w:spacing w:line="240" w:lineRule="atLeast"/>
        <w:jc w:val="both"/>
        <w:rPr>
          <w:kern w:val="0"/>
          <w:lang w:val="nl-NL" w:eastAsia="nl-BE" w:bidi="ar-SA"/>
        </w:rPr>
      </w:pPr>
    </w:p>
    <w:p w:rsidR="00426625" w:rsidRPr="00D147A7" w:rsidRDefault="00426625" w:rsidP="00426625">
      <w:pPr>
        <w:widowControl/>
        <w:suppressAutoHyphens w:val="0"/>
        <w:spacing w:line="240" w:lineRule="atLeast"/>
        <w:jc w:val="both"/>
        <w:rPr>
          <w:kern w:val="0"/>
          <w:lang w:val="nl-NL" w:eastAsia="nl-BE" w:bidi="ar-SA"/>
        </w:rPr>
      </w:pPr>
      <w:r w:rsidRPr="00D147A7">
        <w:rPr>
          <w:kern w:val="0"/>
          <w:lang w:val="nl-NL" w:eastAsia="nl-BE" w:bidi="ar-SA"/>
        </w:rPr>
        <w:t>Net als voor huisartsen is de bewaring van patiëntendossiers conform de wettelijke voor</w:t>
      </w:r>
      <w:r w:rsidR="000141CB">
        <w:rPr>
          <w:kern w:val="0"/>
          <w:lang w:val="nl-NL" w:eastAsia="nl-BE" w:bidi="ar-SA"/>
        </w:rPr>
        <w:t>-</w:t>
      </w:r>
      <w:r w:rsidRPr="00D147A7">
        <w:rPr>
          <w:kern w:val="0"/>
          <w:lang w:val="nl-NL" w:eastAsia="nl-BE" w:bidi="ar-SA"/>
        </w:rPr>
        <w:t>schriften ook één van de criteria waaraan ziekenhuizen moeten voldoen om te kunnen worden erkend.</w:t>
      </w:r>
      <w:r w:rsidRPr="00D147A7">
        <w:rPr>
          <w:kern w:val="0"/>
          <w:vertAlign w:val="superscript"/>
          <w:lang w:val="nl-NL" w:eastAsia="nl-BE" w:bidi="ar-SA"/>
        </w:rPr>
        <w:footnoteReference w:id="730"/>
      </w:r>
      <w:r w:rsidRPr="00D147A7">
        <w:rPr>
          <w:kern w:val="0"/>
          <w:lang w:val="nl-NL" w:eastAsia="nl-BE" w:bidi="ar-SA"/>
        </w:rPr>
        <w:t xml:space="preserve"> De rechtspersoon die een ziekenhuis uitbaat – waarvoor de beheerder de algemene en definitieve verantwoordelijkheid draagt – is de ‘verantwoordelijke’ voor de verwerking (</w:t>
      </w:r>
      <w:r w:rsidR="000141CB">
        <w:rPr>
          <w:kern w:val="0"/>
          <w:lang w:val="nl-NL" w:eastAsia="nl-BE" w:bidi="ar-SA"/>
        </w:rPr>
        <w:t xml:space="preserve">en dus </w:t>
      </w:r>
      <w:r w:rsidRPr="00D147A7">
        <w:rPr>
          <w:kern w:val="0"/>
          <w:lang w:val="nl-NL" w:eastAsia="nl-BE" w:bidi="ar-SA"/>
        </w:rPr>
        <w:t xml:space="preserve">ook de bewaring) van persoonsgegevens in de zin van de privacywet. De beheerder wordt </w:t>
      </w:r>
      <w:r w:rsidRPr="00D147A7">
        <w:rPr>
          <w:kern w:val="0"/>
          <w:lang w:val="nl-NL" w:eastAsia="nl-BE" w:bidi="ar-SA"/>
        </w:rPr>
        <w:lastRenderedPageBreak/>
        <w:t>verantwoordelijk gesteld voor de archiefzorg en bepaalt het bewaarbeleid van de instelling.</w:t>
      </w:r>
      <w:r w:rsidRPr="00D147A7">
        <w:rPr>
          <w:kern w:val="0"/>
          <w:vertAlign w:val="superscript"/>
          <w:lang w:val="nl-NL" w:eastAsia="nl-BE" w:bidi="ar-SA"/>
        </w:rPr>
        <w:footnoteReference w:id="731"/>
      </w:r>
      <w:r w:rsidRPr="00D147A7">
        <w:rPr>
          <w:kern w:val="0"/>
          <w:lang w:val="nl-NL" w:eastAsia="nl-BE" w:bidi="ar-SA"/>
        </w:rPr>
        <w:t xml:space="preserve"> Iedere beheerder </w:t>
      </w:r>
      <w:r w:rsidR="000141CB">
        <w:rPr>
          <w:kern w:val="0"/>
          <w:lang w:val="nl-NL" w:eastAsia="nl-BE" w:bidi="ar-SA"/>
        </w:rPr>
        <w:t>moet</w:t>
      </w:r>
      <w:r w:rsidRPr="00D147A7">
        <w:rPr>
          <w:kern w:val="0"/>
          <w:lang w:val="nl-NL" w:eastAsia="nl-BE" w:bidi="ar-SA"/>
        </w:rPr>
        <w:t xml:space="preserve"> een hoofdgeneesheer aan</w:t>
      </w:r>
      <w:r w:rsidR="000141CB">
        <w:rPr>
          <w:kern w:val="0"/>
          <w:lang w:val="nl-NL" w:eastAsia="nl-BE" w:bidi="ar-SA"/>
        </w:rPr>
        <w:t>stellen</w:t>
      </w:r>
      <w:r w:rsidRPr="00D147A7">
        <w:rPr>
          <w:kern w:val="0"/>
          <w:vertAlign w:val="superscript"/>
          <w:lang w:val="nl-NL" w:eastAsia="nl-BE" w:bidi="ar-SA"/>
        </w:rPr>
        <w:footnoteReference w:id="732"/>
      </w:r>
      <w:r w:rsidRPr="00D147A7">
        <w:rPr>
          <w:kern w:val="0"/>
          <w:lang w:val="nl-NL" w:eastAsia="nl-BE" w:bidi="ar-SA"/>
        </w:rPr>
        <w:t xml:space="preserve">, die met het archiefbeheer </w:t>
      </w:r>
      <w:r w:rsidR="000141CB" w:rsidRPr="00D147A7">
        <w:rPr>
          <w:kern w:val="0"/>
          <w:lang w:val="nl-NL" w:eastAsia="nl-BE" w:bidi="ar-SA"/>
        </w:rPr>
        <w:t xml:space="preserve">belast wordt </w:t>
      </w:r>
      <w:r w:rsidRPr="00D147A7">
        <w:rPr>
          <w:kern w:val="0"/>
          <w:lang w:val="nl-NL" w:eastAsia="nl-BE" w:bidi="ar-SA"/>
        </w:rPr>
        <w:t>en als dusdanig toezicht houdt op de archivering van de patiëntendossiers van de instel</w:t>
      </w:r>
      <w:r w:rsidR="000141CB">
        <w:rPr>
          <w:kern w:val="0"/>
          <w:lang w:val="nl-NL" w:eastAsia="nl-BE" w:bidi="ar-SA"/>
        </w:rPr>
        <w:t>-</w:t>
      </w:r>
      <w:r w:rsidRPr="00D147A7">
        <w:rPr>
          <w:kern w:val="0"/>
          <w:lang w:val="nl-NL" w:eastAsia="nl-BE" w:bidi="ar-SA"/>
        </w:rPr>
        <w:t>ling.</w:t>
      </w:r>
      <w:r w:rsidRPr="00D147A7">
        <w:rPr>
          <w:kern w:val="0"/>
          <w:vertAlign w:val="superscript"/>
          <w:lang w:val="nl-NL" w:eastAsia="nl-BE" w:bidi="ar-SA"/>
        </w:rPr>
        <w:footnoteReference w:id="733"/>
      </w:r>
      <w:r w:rsidRPr="00D147A7">
        <w:rPr>
          <w:kern w:val="0"/>
          <w:lang w:val="nl-NL" w:eastAsia="nl-BE" w:bidi="ar-SA"/>
        </w:rPr>
        <w:t xml:space="preserve"> Gezondheidsgegevens mogen immers uitsluitend onder het toezicht van een beroeps</w:t>
      </w:r>
      <w:r w:rsidR="000141CB">
        <w:rPr>
          <w:kern w:val="0"/>
          <w:lang w:val="nl-NL" w:eastAsia="nl-BE" w:bidi="ar-SA"/>
        </w:rPr>
        <w:t>-</w:t>
      </w:r>
      <w:r w:rsidRPr="00D147A7">
        <w:rPr>
          <w:kern w:val="0"/>
          <w:lang w:val="nl-NL" w:eastAsia="nl-BE" w:bidi="ar-SA"/>
        </w:rPr>
        <w:t>beoefenaar in de gezondheidszorg worden verwerkt (en bewaard).</w:t>
      </w:r>
      <w:r w:rsidRPr="00D147A7">
        <w:rPr>
          <w:kern w:val="0"/>
          <w:vertAlign w:val="superscript"/>
          <w:lang w:val="nl-NL" w:eastAsia="nl-BE" w:bidi="ar-SA"/>
        </w:rPr>
        <w:footnoteReference w:id="734"/>
      </w:r>
      <w:r w:rsidRPr="00D147A7">
        <w:rPr>
          <w:kern w:val="0"/>
          <w:lang w:val="nl-NL" w:eastAsia="nl-BE" w:bidi="ar-SA"/>
        </w:rPr>
        <w:t xml:space="preserve"> Omdat de hoofdgenees</w:t>
      </w:r>
      <w:r w:rsidR="000141CB">
        <w:rPr>
          <w:kern w:val="0"/>
          <w:lang w:val="nl-NL" w:eastAsia="nl-BE" w:bidi="ar-SA"/>
        </w:rPr>
        <w:t>-</w:t>
      </w:r>
      <w:r w:rsidRPr="00D147A7">
        <w:rPr>
          <w:kern w:val="0"/>
          <w:lang w:val="nl-NL" w:eastAsia="nl-BE" w:bidi="ar-SA"/>
        </w:rPr>
        <w:t>heer ‘slechts’ supervisie op de archivering van patiëntendossiers uitoefent, zijn en blijven de individuele artsen medeverantwoordelijk voor ‘hun’ patiëntendossiers.</w:t>
      </w:r>
      <w:r w:rsidRPr="00D147A7">
        <w:rPr>
          <w:kern w:val="0"/>
          <w:vertAlign w:val="superscript"/>
          <w:lang w:val="nl-NL" w:eastAsia="nl-BE" w:bidi="ar-SA"/>
        </w:rPr>
        <w:footnoteReference w:id="735"/>
      </w:r>
      <w:r w:rsidRPr="00D147A7">
        <w:rPr>
          <w:kern w:val="0"/>
          <w:lang w:val="nl-NL" w:eastAsia="nl-BE" w:bidi="ar-SA"/>
        </w:rPr>
        <w:t xml:space="preserve"> </w:t>
      </w:r>
      <w:r w:rsidRPr="00D147A7">
        <w:rPr>
          <w:kern w:val="0"/>
          <w:lang w:val="nl-NL" w:eastAsia="en-US" w:bidi="ar-SA"/>
        </w:rPr>
        <w:t>Dat het beheer van de verpleegkundige anamnese (of voorgeschiedenis), het verpleegplan, de verpleegplan</w:t>
      </w:r>
      <w:r w:rsidR="000141CB">
        <w:rPr>
          <w:kern w:val="0"/>
          <w:lang w:val="nl-NL" w:eastAsia="en-US" w:bidi="ar-SA"/>
        </w:rPr>
        <w:t>-</w:t>
      </w:r>
      <w:r w:rsidRPr="00D147A7">
        <w:rPr>
          <w:kern w:val="0"/>
          <w:lang w:val="nl-NL" w:eastAsia="en-US" w:bidi="ar-SA"/>
        </w:rPr>
        <w:t>ning</w:t>
      </w:r>
      <w:r w:rsidRPr="00D147A7">
        <w:rPr>
          <w:kern w:val="0"/>
          <w:vertAlign w:val="superscript"/>
          <w:lang w:val="nl-NL" w:eastAsia="en-US" w:bidi="ar-SA"/>
        </w:rPr>
        <w:footnoteReference w:id="736"/>
      </w:r>
      <w:r w:rsidRPr="00D147A7">
        <w:rPr>
          <w:kern w:val="0"/>
          <w:lang w:val="nl-NL" w:eastAsia="en-US" w:bidi="ar-SA"/>
        </w:rPr>
        <w:t xml:space="preserve">, de gestructureerde observatienota’s en </w:t>
      </w:r>
      <w:r w:rsidR="000141CB">
        <w:rPr>
          <w:kern w:val="0"/>
          <w:lang w:val="nl-NL" w:eastAsia="en-US" w:bidi="ar-SA"/>
        </w:rPr>
        <w:t xml:space="preserve">het </w:t>
      </w:r>
      <w:r w:rsidRPr="00D147A7">
        <w:rPr>
          <w:kern w:val="0"/>
          <w:lang w:val="nl-NL" w:eastAsia="en-US" w:bidi="ar-SA"/>
        </w:rPr>
        <w:t>afschrift van het verpleegkundig ontslag</w:t>
      </w:r>
      <w:r w:rsidR="000141CB">
        <w:rPr>
          <w:kern w:val="0"/>
          <w:lang w:val="nl-NL" w:eastAsia="en-US" w:bidi="ar-SA"/>
        </w:rPr>
        <w:t>-</w:t>
      </w:r>
      <w:r w:rsidRPr="00D147A7">
        <w:rPr>
          <w:kern w:val="0"/>
          <w:lang w:val="nl-NL" w:eastAsia="en-US" w:bidi="ar-SA"/>
        </w:rPr>
        <w:t>rapport onder de verantwoordelijkheid van de verpleegkundigen valt</w:t>
      </w:r>
      <w:r w:rsidRPr="00D147A7">
        <w:rPr>
          <w:kern w:val="0"/>
          <w:vertAlign w:val="superscript"/>
          <w:lang w:val="nl-NL" w:eastAsia="en-US" w:bidi="ar-SA"/>
        </w:rPr>
        <w:footnoteReference w:id="737"/>
      </w:r>
      <w:r w:rsidRPr="00D147A7">
        <w:rPr>
          <w:kern w:val="0"/>
          <w:lang w:val="nl-NL" w:eastAsia="en-US" w:bidi="ar-SA"/>
        </w:rPr>
        <w:t xml:space="preserve">, heeft geen betrekking op het archiefbeheer. </w:t>
      </w:r>
    </w:p>
    <w:p w:rsidR="00426625" w:rsidRPr="00D147A7" w:rsidRDefault="00426625" w:rsidP="00426625">
      <w:pPr>
        <w:widowControl/>
        <w:suppressAutoHyphens w:val="0"/>
        <w:spacing w:line="240" w:lineRule="atLeast"/>
        <w:jc w:val="both"/>
        <w:rPr>
          <w:kern w:val="0"/>
          <w:lang w:val="nl-NL" w:eastAsia="nl-BE" w:bidi="ar-SA"/>
        </w:rPr>
      </w:pPr>
      <w:r w:rsidRPr="00D147A7">
        <w:rPr>
          <w:kern w:val="0"/>
          <w:lang w:val="nl-NL" w:eastAsia="en-US" w:bidi="ar-SA"/>
        </w:rPr>
        <w:t>Hoewel de wetgever de O.C.M.W.-secretaris verantwoordelijk stelt voor de bewaring van de (o.a. medische) archieven</w:t>
      </w:r>
      <w:r w:rsidRPr="00D147A7">
        <w:rPr>
          <w:kern w:val="0"/>
          <w:vertAlign w:val="superscript"/>
          <w:lang w:val="nl-NL" w:eastAsia="en-US" w:bidi="ar-SA"/>
        </w:rPr>
        <w:footnoteReference w:id="738"/>
      </w:r>
      <w:r w:rsidRPr="00D147A7">
        <w:rPr>
          <w:kern w:val="0"/>
          <w:lang w:val="nl-NL" w:eastAsia="en-US" w:bidi="ar-SA"/>
        </w:rPr>
        <w:t>, is in de praktijk ook in O.C.M.W.-ziekenhuizen de hoofdgenees</w:t>
      </w:r>
      <w:r w:rsidR="000141CB">
        <w:rPr>
          <w:kern w:val="0"/>
          <w:lang w:val="nl-NL" w:eastAsia="en-US" w:bidi="ar-SA"/>
        </w:rPr>
        <w:t>-</w:t>
      </w:r>
      <w:r w:rsidRPr="00D147A7">
        <w:rPr>
          <w:kern w:val="0"/>
          <w:lang w:val="nl-NL" w:eastAsia="en-US" w:bidi="ar-SA"/>
        </w:rPr>
        <w:t>heer verantwoordelijk voor het archiefbeheer.</w:t>
      </w:r>
      <w:r w:rsidRPr="00D147A7">
        <w:rPr>
          <w:kern w:val="0"/>
          <w:vertAlign w:val="superscript"/>
          <w:lang w:val="nl-NL" w:eastAsia="en-US" w:bidi="ar-SA"/>
        </w:rPr>
        <w:footnoteReference w:id="739"/>
      </w:r>
      <w:r w:rsidRPr="00D147A7">
        <w:rPr>
          <w:kern w:val="0"/>
          <w:lang w:val="nl-NL" w:eastAsia="nl-BE" w:bidi="ar-SA"/>
        </w:rPr>
        <w:t xml:space="preserve"> De archiefzorg van deze archieven berust bij de voorzitter van de O.C.M.W.-raad.</w:t>
      </w:r>
      <w:r w:rsidRPr="00D147A7">
        <w:rPr>
          <w:kern w:val="0"/>
          <w:vertAlign w:val="superscript"/>
          <w:lang w:val="nl-NL" w:eastAsia="nl-BE" w:bidi="ar-SA"/>
        </w:rPr>
        <w:footnoteReference w:id="740"/>
      </w:r>
      <w:r w:rsidRPr="00D147A7">
        <w:rPr>
          <w:kern w:val="0"/>
          <w:lang w:val="nl-NL" w:eastAsia="nl-BE" w:bidi="ar-SA"/>
        </w:rPr>
        <w:t xml:space="preserve"> </w:t>
      </w:r>
    </w:p>
    <w:p w:rsidR="00426625" w:rsidRPr="00D147A7" w:rsidRDefault="00426625" w:rsidP="00426625">
      <w:pPr>
        <w:widowControl/>
        <w:suppressAutoHyphens w:val="0"/>
        <w:spacing w:line="240" w:lineRule="atLeast"/>
        <w:jc w:val="both"/>
        <w:rPr>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2: Bewaarplaats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Omdat de wetgever zich niet </w:t>
      </w:r>
      <w:r w:rsidR="000141CB">
        <w:rPr>
          <w:kern w:val="0"/>
          <w:lang w:val="nl-NL" w:eastAsia="en-US" w:bidi="ar-SA"/>
        </w:rPr>
        <w:t xml:space="preserve">expliciet </w:t>
      </w:r>
      <w:r w:rsidRPr="00D147A7">
        <w:rPr>
          <w:kern w:val="0"/>
          <w:lang w:val="nl-NL" w:eastAsia="en-US" w:bidi="ar-SA"/>
        </w:rPr>
        <w:t>heeft uitgesproken over de plaats waar huisartsen hun patiëntendossiers dienen te bewaren, moeten deze bescheiden in principe in de praktijk van de archiefvormer worden</w:t>
      </w:r>
      <w:r w:rsidR="000141CB" w:rsidRPr="000141CB">
        <w:rPr>
          <w:kern w:val="0"/>
          <w:lang w:val="nl-NL" w:eastAsia="en-US" w:bidi="ar-SA"/>
        </w:rPr>
        <w:t xml:space="preserve"> </w:t>
      </w:r>
      <w:r w:rsidR="000141CB" w:rsidRPr="00D147A7">
        <w:rPr>
          <w:kern w:val="0"/>
          <w:lang w:val="nl-NL" w:eastAsia="en-US" w:bidi="ar-SA"/>
        </w:rPr>
        <w:t>opgeborgen</w:t>
      </w:r>
      <w:r w:rsidRPr="00D147A7">
        <w:rPr>
          <w:kern w:val="0"/>
          <w:lang w:val="nl-NL" w:eastAsia="en-US" w:bidi="ar-SA"/>
        </w:rPr>
        <w:t>. Hoewel een principieel verbod geldt voor de verwerking (en bewaring) van persoonsgegevens die de gezondheid betreffen</w:t>
      </w:r>
      <w:r w:rsidRPr="00D147A7">
        <w:rPr>
          <w:kern w:val="0"/>
          <w:vertAlign w:val="superscript"/>
          <w:lang w:val="nl-NL" w:eastAsia="en-US" w:bidi="ar-SA"/>
        </w:rPr>
        <w:footnoteReference w:id="741"/>
      </w:r>
      <w:r w:rsidRPr="00D147A7">
        <w:rPr>
          <w:kern w:val="0"/>
          <w:lang w:val="nl-NL" w:eastAsia="en-US" w:bidi="ar-SA"/>
        </w:rPr>
        <w:t>, heeft de wetgever elf uit</w:t>
      </w:r>
      <w:r w:rsidR="000141CB">
        <w:rPr>
          <w:kern w:val="0"/>
          <w:lang w:val="nl-NL" w:eastAsia="en-US" w:bidi="ar-SA"/>
        </w:rPr>
        <w:t>-</w:t>
      </w:r>
      <w:r w:rsidRPr="00D147A7">
        <w:rPr>
          <w:kern w:val="0"/>
          <w:lang w:val="nl-NL" w:eastAsia="en-US" w:bidi="ar-SA"/>
        </w:rPr>
        <w:t>zondering voorzien.</w:t>
      </w:r>
      <w:r w:rsidRPr="00D147A7">
        <w:rPr>
          <w:kern w:val="0"/>
          <w:vertAlign w:val="superscript"/>
          <w:lang w:val="nl-NL" w:eastAsia="en-US" w:bidi="ar-SA"/>
        </w:rPr>
        <w:footnoteReference w:id="742"/>
      </w:r>
      <w:r w:rsidRPr="00D147A7">
        <w:rPr>
          <w:kern w:val="0"/>
          <w:lang w:val="nl-NL" w:eastAsia="en-US" w:bidi="ar-SA"/>
        </w:rPr>
        <w:t xml:space="preserve"> Eén daarvan </w:t>
      </w:r>
      <w:r w:rsidR="000141CB">
        <w:rPr>
          <w:kern w:val="0"/>
          <w:lang w:val="nl-NL" w:eastAsia="en-US" w:bidi="ar-SA"/>
        </w:rPr>
        <w:t>luidt</w:t>
      </w:r>
      <w:r w:rsidRPr="00D147A7">
        <w:rPr>
          <w:kern w:val="0"/>
          <w:lang w:val="nl-NL" w:eastAsia="en-US" w:bidi="ar-SA"/>
        </w:rPr>
        <w:t xml:space="preserve"> </w:t>
      </w:r>
      <w:r w:rsidRPr="00D147A7">
        <w:rPr>
          <w:i/>
          <w:kern w:val="0"/>
          <w:lang w:val="nl-NL" w:eastAsia="en-US" w:bidi="ar-SA"/>
        </w:rPr>
        <w:t>wanneer de verwerking noodzakelijk is voor doelein</w:t>
      </w:r>
      <w:r w:rsidR="000141CB">
        <w:rPr>
          <w:i/>
          <w:kern w:val="0"/>
          <w:lang w:val="nl-NL" w:eastAsia="en-US" w:bidi="ar-SA"/>
        </w:rPr>
        <w:t>-</w:t>
      </w:r>
      <w:r w:rsidRPr="00D147A7">
        <w:rPr>
          <w:i/>
          <w:kern w:val="0"/>
          <w:lang w:val="nl-NL" w:eastAsia="en-US" w:bidi="ar-SA"/>
        </w:rPr>
        <w:lastRenderedPageBreak/>
        <w:t>den van</w:t>
      </w:r>
      <w:r w:rsidRPr="00D147A7">
        <w:rPr>
          <w:kern w:val="0"/>
          <w:lang w:val="nl-NL" w:eastAsia="en-US" w:bidi="ar-SA"/>
        </w:rPr>
        <w:t xml:space="preserve"> (…) </w:t>
      </w:r>
      <w:r w:rsidRPr="00D147A7">
        <w:rPr>
          <w:i/>
          <w:kern w:val="0"/>
          <w:lang w:val="nl-NL" w:eastAsia="en-US" w:bidi="ar-SA"/>
        </w:rPr>
        <w:t>het beheer van gezondheidsdiensten handelend in het belang van de betrokkene en de gegevens worden verwerkt onder het toezicht van een beroepsbeoefenaar in de gezond</w:t>
      </w:r>
      <w:r w:rsidR="000141CB">
        <w:rPr>
          <w:i/>
          <w:kern w:val="0"/>
          <w:lang w:val="nl-NL" w:eastAsia="en-US" w:bidi="ar-SA"/>
        </w:rPr>
        <w:t>-</w:t>
      </w:r>
      <w:r w:rsidRPr="00D147A7">
        <w:rPr>
          <w:i/>
          <w:kern w:val="0"/>
          <w:lang w:val="nl-NL" w:eastAsia="en-US" w:bidi="ar-SA"/>
        </w:rPr>
        <w:t>heidszorg.</w:t>
      </w:r>
      <w:r w:rsidRPr="00D147A7">
        <w:rPr>
          <w:kern w:val="0"/>
          <w:vertAlign w:val="superscript"/>
          <w:lang w:val="nl-NL" w:eastAsia="en-US" w:bidi="ar-SA"/>
        </w:rPr>
        <w:footnoteReference w:id="743"/>
      </w:r>
      <w:r w:rsidRPr="00D147A7">
        <w:rPr>
          <w:kern w:val="0"/>
          <w:lang w:val="nl-NL" w:eastAsia="en-US" w:bidi="ar-SA"/>
        </w:rPr>
        <w:t xml:space="preserve"> De Nationale Raad van de Orde der geneesheren </w:t>
      </w:r>
      <w:r w:rsidR="000141CB">
        <w:rPr>
          <w:kern w:val="0"/>
          <w:lang w:val="nl-NL" w:eastAsia="en-US" w:bidi="ar-SA"/>
        </w:rPr>
        <w:t>ziet</w:t>
      </w:r>
      <w:r w:rsidRPr="00D147A7">
        <w:rPr>
          <w:kern w:val="0"/>
          <w:lang w:val="nl-NL" w:eastAsia="en-US" w:bidi="ar-SA"/>
        </w:rPr>
        <w:t xml:space="preserve"> er geen problemen </w:t>
      </w:r>
      <w:r w:rsidR="000141CB">
        <w:rPr>
          <w:kern w:val="0"/>
          <w:lang w:val="nl-NL" w:eastAsia="en-US" w:bidi="ar-SA"/>
        </w:rPr>
        <w:t>in</w:t>
      </w:r>
      <w:r w:rsidRPr="00D147A7">
        <w:rPr>
          <w:kern w:val="0"/>
          <w:lang w:val="nl-NL" w:eastAsia="en-US" w:bidi="ar-SA"/>
        </w:rPr>
        <w:t xml:space="preserve"> dat huisartsen de bewaring van </w:t>
      </w:r>
      <w:r w:rsidR="000141CB">
        <w:rPr>
          <w:kern w:val="0"/>
          <w:lang w:val="nl-NL" w:eastAsia="en-US" w:bidi="ar-SA"/>
        </w:rPr>
        <w:t>‘</w:t>
      </w:r>
      <w:r w:rsidRPr="00D147A7">
        <w:rPr>
          <w:kern w:val="0"/>
          <w:lang w:val="nl-NL" w:eastAsia="en-US" w:bidi="ar-SA"/>
        </w:rPr>
        <w:t>hun</w:t>
      </w:r>
      <w:r w:rsidR="000141CB">
        <w:rPr>
          <w:kern w:val="0"/>
          <w:lang w:val="nl-NL" w:eastAsia="en-US" w:bidi="ar-SA"/>
        </w:rPr>
        <w:t>’</w:t>
      </w:r>
      <w:r w:rsidRPr="00D147A7">
        <w:rPr>
          <w:kern w:val="0"/>
          <w:lang w:val="nl-NL" w:eastAsia="en-US" w:bidi="ar-SA"/>
        </w:rPr>
        <w:t xml:space="preserve"> patiëntendossiers aan een private archiveringsonderneming</w:t>
      </w:r>
      <w:r w:rsidRPr="00D147A7">
        <w:rPr>
          <w:i/>
          <w:kern w:val="0"/>
          <w:lang w:val="nl-NL" w:eastAsia="en-US" w:bidi="ar-SA"/>
        </w:rPr>
        <w:t xml:space="preserve"> </w:t>
      </w:r>
      <w:r w:rsidRPr="00D147A7">
        <w:rPr>
          <w:kern w:val="0"/>
          <w:lang w:val="nl-NL" w:eastAsia="en-US" w:bidi="ar-SA"/>
        </w:rPr>
        <w:t>– een ‘verwerker’ in de zin van de privacywet</w:t>
      </w:r>
      <w:r w:rsidRPr="00D147A7">
        <w:rPr>
          <w:kern w:val="0"/>
          <w:vertAlign w:val="superscript"/>
          <w:lang w:val="nl-NL" w:eastAsia="en-US" w:bidi="ar-SA"/>
        </w:rPr>
        <w:footnoteReference w:id="744"/>
      </w:r>
      <w:r w:rsidRPr="00D147A7">
        <w:rPr>
          <w:kern w:val="0"/>
          <w:lang w:val="nl-NL" w:eastAsia="en-US" w:bidi="ar-SA"/>
        </w:rPr>
        <w:t xml:space="preserve"> – uitbesteden, op voorwaarde dat de raadple</w:t>
      </w:r>
      <w:r w:rsidR="000141CB">
        <w:rPr>
          <w:kern w:val="0"/>
          <w:lang w:val="nl-NL" w:eastAsia="en-US" w:bidi="ar-SA"/>
        </w:rPr>
        <w:t>-</w:t>
      </w:r>
      <w:r w:rsidRPr="00D147A7">
        <w:rPr>
          <w:kern w:val="0"/>
          <w:lang w:val="nl-NL" w:eastAsia="en-US" w:bidi="ar-SA"/>
        </w:rPr>
        <w:t>ging contractueel beperkt wordt tot de verantwoordelijke arts en/of diens afgevaardigde(n).</w:t>
      </w:r>
      <w:r w:rsidRPr="00D147A7">
        <w:rPr>
          <w:kern w:val="0"/>
          <w:vertAlign w:val="superscript"/>
          <w:lang w:val="nl-NL" w:eastAsia="en-US" w:bidi="ar-SA"/>
        </w:rPr>
        <w:footnoteReference w:id="745"/>
      </w:r>
      <w:r w:rsidRPr="00D147A7">
        <w:rPr>
          <w:kern w:val="0"/>
          <w:lang w:val="nl-NL" w:eastAsia="en-US" w:bidi="ar-SA"/>
        </w:rPr>
        <w:t xml:space="preserve"> Medische archieven mogen wel enkel worden uitbesteed aan bedrijven met een stabiele dienstverlening, die patiëntendossiers op vertrouwelijke en veilige wijze bewaren en die over een efficiënte leveringsdienst beschikken.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De wet stipuleert dat individuele verzorgingsdossiers ‘constant’ in het rust- en verzorgingste</w:t>
      </w:r>
      <w:r w:rsidR="000141CB">
        <w:rPr>
          <w:kern w:val="0"/>
          <w:lang w:val="nl-NL" w:eastAsia="en-US" w:bidi="ar-SA"/>
        </w:rPr>
        <w:t>-</w:t>
      </w:r>
      <w:r w:rsidRPr="00D147A7">
        <w:rPr>
          <w:kern w:val="0"/>
          <w:lang w:val="nl-NL" w:eastAsia="en-US" w:bidi="ar-SA"/>
        </w:rPr>
        <w:t>huis aanwezig moeten zijn.</w:t>
      </w:r>
      <w:r w:rsidRPr="00D147A7">
        <w:rPr>
          <w:kern w:val="0"/>
          <w:vertAlign w:val="superscript"/>
          <w:lang w:val="nl-NL" w:eastAsia="en-US" w:bidi="ar-SA"/>
        </w:rPr>
        <w:footnoteReference w:id="746"/>
      </w:r>
      <w:r w:rsidRPr="00D147A7">
        <w:rPr>
          <w:kern w:val="0"/>
          <w:lang w:val="nl-NL" w:eastAsia="en-US" w:bidi="ar-SA"/>
        </w:rPr>
        <w:t xml:space="preserve"> Hoewel de bewaring van deze dossiers door derden uitgesloten lijkt, moet het m.i. mogelijk zijn om patiëntendossiers (een bepaalde tijd) na het overlijden of vertrek van de bewoner </w:t>
      </w:r>
      <w:r w:rsidRPr="00D147A7">
        <w:rPr>
          <w:i/>
          <w:iCs/>
          <w:kern w:val="0"/>
          <w:lang w:val="nl-NL" w:eastAsia="en-US" w:bidi="ar-SA"/>
        </w:rPr>
        <w:t>extra muros</w:t>
      </w:r>
      <w:r w:rsidRPr="00D147A7">
        <w:rPr>
          <w:kern w:val="0"/>
          <w:lang w:val="nl-NL" w:eastAsia="en-US" w:bidi="ar-SA"/>
        </w:rPr>
        <w:t xml:space="preserve"> te bewaren tot</w:t>
      </w:r>
      <w:r w:rsidR="000141CB">
        <w:rPr>
          <w:kern w:val="0"/>
          <w:lang w:val="nl-NL" w:eastAsia="en-US" w:bidi="ar-SA"/>
        </w:rPr>
        <w:t>dat</w:t>
      </w:r>
      <w:r w:rsidRPr="00D147A7">
        <w:rPr>
          <w:kern w:val="0"/>
          <w:lang w:val="nl-NL" w:eastAsia="en-US" w:bidi="ar-SA"/>
        </w:rPr>
        <w:t xml:space="preserve"> de burgerrechtelijke verjaringstermijn verstreken is.</w:t>
      </w:r>
      <w:r w:rsidRPr="00D147A7">
        <w:rPr>
          <w:kern w:val="0"/>
          <w:vertAlign w:val="superscript"/>
          <w:lang w:val="nl-NL" w:eastAsia="en-US" w:bidi="ar-SA"/>
        </w:rPr>
        <w:footnoteReference w:id="747"/>
      </w:r>
      <w:r w:rsidRPr="00D147A7">
        <w:rPr>
          <w:kern w:val="0"/>
          <w:lang w:val="nl-NL" w:eastAsia="en-US" w:bidi="ar-SA"/>
        </w:rPr>
        <w:t xml:space="preserve"> Daarnaast worden de medische dossiers van de behandelende arts in diens praktijk bewaard.</w:t>
      </w:r>
      <w:r w:rsidRPr="00D147A7">
        <w:rPr>
          <w:kern w:val="0"/>
          <w:vertAlign w:val="superscript"/>
          <w:lang w:val="nl-NL" w:eastAsia="en-US" w:bidi="ar-SA"/>
        </w:rPr>
        <w:footnoteReference w:id="748"/>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Voor ziekenhuizen geldt een analoge bepaling als voor rust- en verzorgingstehuizen: </w:t>
      </w:r>
      <w:r w:rsidRPr="00D147A7">
        <w:rPr>
          <w:i/>
          <w:kern w:val="0"/>
          <w:lang w:val="nl-NL" w:eastAsia="en-US" w:bidi="ar-SA"/>
        </w:rPr>
        <w:t>het medisch dossier dient</w:t>
      </w:r>
      <w:r w:rsidRPr="00D147A7">
        <w:rPr>
          <w:kern w:val="0"/>
          <w:lang w:val="nl-NL" w:eastAsia="en-US" w:bidi="ar-SA"/>
        </w:rPr>
        <w:t xml:space="preserve"> (…) </w:t>
      </w:r>
      <w:r w:rsidRPr="00D147A7">
        <w:rPr>
          <w:i/>
          <w:kern w:val="0"/>
          <w:lang w:val="nl-NL" w:eastAsia="en-US" w:bidi="ar-SA"/>
        </w:rPr>
        <w:t>in het ziekenhuis bewaard te worden</w:t>
      </w:r>
      <w:r w:rsidRPr="00D147A7">
        <w:rPr>
          <w:kern w:val="0"/>
          <w:lang w:val="nl-NL" w:eastAsia="en-US" w:bidi="ar-SA"/>
        </w:rPr>
        <w:t>.</w:t>
      </w:r>
      <w:r w:rsidRPr="00D147A7">
        <w:rPr>
          <w:kern w:val="0"/>
          <w:vertAlign w:val="superscript"/>
          <w:lang w:val="nl-NL" w:eastAsia="en-US" w:bidi="ar-SA"/>
        </w:rPr>
        <w:footnoteReference w:id="749"/>
      </w:r>
      <w:r w:rsidRPr="00D147A7">
        <w:rPr>
          <w:kern w:val="0"/>
          <w:lang w:val="nl-NL" w:eastAsia="en-US" w:bidi="ar-SA"/>
        </w:rPr>
        <w:t xml:space="preserve"> Zolang een consultatie, hospitalisatie of behandeling niet is afgerond, bevinden patiëntendossiers zich in de dynami</w:t>
      </w:r>
      <w:r w:rsidR="000141CB">
        <w:rPr>
          <w:kern w:val="0"/>
          <w:lang w:val="nl-NL" w:eastAsia="en-US" w:bidi="ar-SA"/>
        </w:rPr>
        <w:t>-</w:t>
      </w:r>
      <w:r w:rsidRPr="00D147A7">
        <w:rPr>
          <w:kern w:val="0"/>
          <w:lang w:val="nl-NL" w:eastAsia="en-US" w:bidi="ar-SA"/>
        </w:rPr>
        <w:t xml:space="preserve">sche fase en </w:t>
      </w:r>
      <w:r w:rsidR="00B03C1B">
        <w:rPr>
          <w:kern w:val="0"/>
          <w:lang w:val="nl-NL" w:eastAsia="en-US" w:bidi="ar-SA"/>
        </w:rPr>
        <w:t>moeten</w:t>
      </w:r>
      <w:r w:rsidRPr="00D147A7">
        <w:rPr>
          <w:kern w:val="0"/>
          <w:lang w:val="nl-NL" w:eastAsia="en-US" w:bidi="ar-SA"/>
        </w:rPr>
        <w:t xml:space="preserve"> ze in de nabijheid van de behandelende geneesheer </w:t>
      </w:r>
      <w:r w:rsidR="00B03C1B">
        <w:rPr>
          <w:kern w:val="0"/>
          <w:lang w:val="nl-NL" w:eastAsia="en-US" w:bidi="ar-SA"/>
        </w:rPr>
        <w:t xml:space="preserve">worden </w:t>
      </w:r>
      <w:r w:rsidRPr="00D147A7">
        <w:rPr>
          <w:kern w:val="0"/>
          <w:lang w:val="nl-NL" w:eastAsia="en-US" w:bidi="ar-SA"/>
        </w:rPr>
        <w:t xml:space="preserve">bewaard. Als het contact tussen arts en patiënt beëindigd wordt, betreden de dossiers de semi-dynamische fase en worden ze </w:t>
      </w:r>
      <w:r w:rsidRPr="00D147A7">
        <w:rPr>
          <w:i/>
          <w:iCs/>
          <w:kern w:val="0"/>
          <w:lang w:val="nl-NL" w:eastAsia="en-US" w:bidi="ar-SA"/>
        </w:rPr>
        <w:t>geklasseerd en bewaard in een medisch archief dat bij voorkeur centraal en elektronisch, of minstens op het niveau van de dienst wordt gegroepeerd met een enig nummer per patiënt binnen het ziekenhuis</w:t>
      </w:r>
      <w:r w:rsidRPr="00D147A7">
        <w:rPr>
          <w:kern w:val="0"/>
          <w:lang w:val="nl-NL" w:eastAsia="en-US" w:bidi="ar-SA"/>
        </w:rPr>
        <w:t>.</w:t>
      </w:r>
      <w:r w:rsidRPr="00D147A7">
        <w:rPr>
          <w:kern w:val="0"/>
          <w:vertAlign w:val="superscript"/>
          <w:lang w:val="nl-NL" w:eastAsia="en-US" w:bidi="ar-SA"/>
        </w:rPr>
        <w:footnoteReference w:id="750"/>
      </w:r>
      <w:r w:rsidRPr="00D147A7">
        <w:rPr>
          <w:kern w:val="0"/>
          <w:lang w:val="nl-NL" w:eastAsia="en-US" w:bidi="ar-SA"/>
        </w:rPr>
        <w:t xml:space="preserve"> Als patiëntendossiers op het niveau van de diensten bewaard worden, </w:t>
      </w:r>
      <w:r w:rsidR="00B03C1B">
        <w:rPr>
          <w:kern w:val="0"/>
          <w:lang w:val="nl-NL" w:eastAsia="en-US" w:bidi="ar-SA"/>
        </w:rPr>
        <w:t>moeten er</w:t>
      </w:r>
      <w:r w:rsidRPr="00D147A7">
        <w:rPr>
          <w:kern w:val="0"/>
          <w:lang w:val="nl-NL" w:eastAsia="en-US" w:bidi="ar-SA"/>
        </w:rPr>
        <w:t xml:space="preserve"> duidelijke interne afspraken gemaakt </w:t>
      </w:r>
      <w:r w:rsidR="00B03C1B" w:rsidRPr="00D147A7">
        <w:rPr>
          <w:kern w:val="0"/>
          <w:lang w:val="nl-NL" w:eastAsia="en-US" w:bidi="ar-SA"/>
        </w:rPr>
        <w:t xml:space="preserve">worden </w:t>
      </w:r>
      <w:r w:rsidR="00B03C1B">
        <w:rPr>
          <w:kern w:val="0"/>
          <w:lang w:val="nl-NL" w:eastAsia="en-US" w:bidi="ar-SA"/>
        </w:rPr>
        <w:t>met be-trekking tot</w:t>
      </w:r>
      <w:r w:rsidRPr="00D147A7">
        <w:rPr>
          <w:kern w:val="0"/>
          <w:lang w:val="nl-NL" w:eastAsia="en-US" w:bidi="ar-SA"/>
        </w:rPr>
        <w:t xml:space="preserve"> het ordeningssysteem van de dossiers. Een centrale bewaring zal in grote mate </w:t>
      </w:r>
      <w:r w:rsidR="00B03C1B">
        <w:rPr>
          <w:kern w:val="0"/>
          <w:lang w:val="nl-NL" w:eastAsia="en-US" w:bidi="ar-SA"/>
        </w:rPr>
        <w:t>be-paald worden door de keuze van</w:t>
      </w:r>
      <w:r w:rsidRPr="00D147A7">
        <w:rPr>
          <w:kern w:val="0"/>
          <w:lang w:val="nl-NL" w:eastAsia="en-US" w:bidi="ar-SA"/>
        </w:rPr>
        <w:t xml:space="preserve"> de instelling </w:t>
      </w:r>
      <w:r w:rsidR="00B03C1B">
        <w:rPr>
          <w:kern w:val="0"/>
          <w:lang w:val="nl-NL" w:eastAsia="en-US" w:bidi="ar-SA"/>
        </w:rPr>
        <w:t xml:space="preserve">om </w:t>
      </w:r>
      <w:r w:rsidRPr="00D147A7">
        <w:rPr>
          <w:kern w:val="0"/>
          <w:lang w:val="nl-NL" w:eastAsia="en-US" w:bidi="ar-SA"/>
        </w:rPr>
        <w:t xml:space="preserve">één dossier per patiënt </w:t>
      </w:r>
      <w:r w:rsidR="00B03C1B">
        <w:rPr>
          <w:kern w:val="0"/>
          <w:lang w:val="nl-NL" w:eastAsia="en-US" w:bidi="ar-SA"/>
        </w:rPr>
        <w:t xml:space="preserve">aan te leggen dan wel </w:t>
      </w:r>
      <w:r w:rsidRPr="00D147A7">
        <w:rPr>
          <w:kern w:val="0"/>
          <w:lang w:val="nl-NL" w:eastAsia="en-US" w:bidi="ar-SA"/>
        </w:rPr>
        <w:t>aparte dossiers per dienst of pathologie. Omdat de bewaarplaats in belangrijke mate de effi</w:t>
      </w:r>
      <w:r w:rsidR="00B03C1B">
        <w:rPr>
          <w:kern w:val="0"/>
          <w:lang w:val="nl-NL" w:eastAsia="en-US" w:bidi="ar-SA"/>
        </w:rPr>
        <w:t>-</w:t>
      </w:r>
      <w:r w:rsidRPr="00D147A7">
        <w:rPr>
          <w:kern w:val="0"/>
          <w:lang w:val="nl-NL" w:eastAsia="en-US" w:bidi="ar-SA"/>
        </w:rPr>
        <w:t>ciëntiegraad van de ziekenhuiswerking bepaalt</w:t>
      </w:r>
      <w:r w:rsidRPr="00D147A7">
        <w:rPr>
          <w:kern w:val="0"/>
          <w:vertAlign w:val="superscript"/>
          <w:lang w:val="nl-NL" w:eastAsia="en-US" w:bidi="ar-SA"/>
        </w:rPr>
        <w:footnoteReference w:id="751"/>
      </w:r>
      <w:r w:rsidRPr="00D147A7">
        <w:rPr>
          <w:kern w:val="0"/>
          <w:lang w:val="nl-NL" w:eastAsia="en-US" w:bidi="ar-SA"/>
        </w:rPr>
        <w:t>, opteren de meeste ziekenhuizen inderdaad voor het gebruik van unieke patiëntendossiers.</w:t>
      </w:r>
      <w:r w:rsidRPr="00D147A7">
        <w:rPr>
          <w:kern w:val="0"/>
          <w:vertAlign w:val="superscript"/>
          <w:lang w:val="nl-NL" w:eastAsia="en-US" w:bidi="ar-SA"/>
        </w:rPr>
        <w:footnoteReference w:id="752"/>
      </w:r>
      <w:r w:rsidRPr="00D147A7">
        <w:rPr>
          <w:kern w:val="0"/>
          <w:lang w:val="nl-NL" w:eastAsia="en-US" w:bidi="ar-SA"/>
        </w:rPr>
        <w:t xml:space="preserve"> De belangrijkste voordelen die aan </w:t>
      </w:r>
      <w:r w:rsidR="00B03C1B">
        <w:rPr>
          <w:kern w:val="0"/>
          <w:lang w:val="nl-NL" w:eastAsia="en-US" w:bidi="ar-SA"/>
        </w:rPr>
        <w:t>een</w:t>
      </w:r>
      <w:r w:rsidRPr="00D147A7">
        <w:rPr>
          <w:kern w:val="0"/>
          <w:lang w:val="nl-NL" w:eastAsia="en-US" w:bidi="ar-SA"/>
        </w:rPr>
        <w:t xml:space="preserve"> cen</w:t>
      </w:r>
      <w:r w:rsidR="00B03C1B">
        <w:rPr>
          <w:kern w:val="0"/>
          <w:lang w:val="nl-NL" w:eastAsia="en-US" w:bidi="ar-SA"/>
        </w:rPr>
        <w:t>-</w:t>
      </w:r>
      <w:r w:rsidRPr="00D147A7">
        <w:rPr>
          <w:kern w:val="0"/>
          <w:lang w:val="nl-NL" w:eastAsia="en-US" w:bidi="ar-SA"/>
        </w:rPr>
        <w:t>trale bewaring verbonden zijn, hebben betrekking op de hoge graad van controle en veilig</w:t>
      </w:r>
      <w:r w:rsidR="00B03C1B">
        <w:rPr>
          <w:kern w:val="0"/>
          <w:lang w:val="nl-NL" w:eastAsia="en-US" w:bidi="ar-SA"/>
        </w:rPr>
        <w:t>-</w:t>
      </w:r>
      <w:r w:rsidRPr="00D147A7">
        <w:rPr>
          <w:kern w:val="0"/>
          <w:lang w:val="nl-NL" w:eastAsia="en-US" w:bidi="ar-SA"/>
        </w:rPr>
        <w:t>heid, het optimale gebruik van de beschikbare opslagruimte en de mogelijkheid om een be</w:t>
      </w:r>
      <w:r w:rsidR="00B03C1B">
        <w:rPr>
          <w:kern w:val="0"/>
          <w:lang w:val="nl-NL" w:eastAsia="en-US" w:bidi="ar-SA"/>
        </w:rPr>
        <w:t>-</w:t>
      </w:r>
      <w:r w:rsidRPr="00D147A7">
        <w:rPr>
          <w:kern w:val="0"/>
          <w:lang w:val="nl-NL" w:eastAsia="en-US" w:bidi="ar-SA"/>
        </w:rPr>
        <w:t xml:space="preserve">roep te doen op goedkope, externe opslagruimte. Dit laatste moet wel verenigbaar zijn met de vigerende wetgeving. Volgens de strikte interpretatie van de wet moeten patiëntendossiers immers </w:t>
      </w:r>
      <w:r w:rsidRPr="00D147A7">
        <w:rPr>
          <w:i/>
          <w:kern w:val="0"/>
          <w:lang w:val="nl-NL" w:eastAsia="en-US" w:bidi="ar-SA"/>
        </w:rPr>
        <w:t>in het ziekenhuis</w:t>
      </w:r>
      <w:r w:rsidRPr="00D147A7">
        <w:rPr>
          <w:kern w:val="0"/>
          <w:lang w:val="nl-NL" w:eastAsia="en-US" w:bidi="ar-SA"/>
        </w:rPr>
        <w:t xml:space="preserve"> bewaard worden, zelfs na het overlijden van de patiënten.</w:t>
      </w:r>
      <w:r w:rsidRPr="00D147A7">
        <w:rPr>
          <w:kern w:val="0"/>
          <w:vertAlign w:val="superscript"/>
          <w:lang w:val="nl-NL" w:eastAsia="en-US" w:bidi="ar-SA"/>
        </w:rPr>
        <w:footnoteReference w:id="753"/>
      </w:r>
      <w:r w:rsidRPr="00D147A7">
        <w:rPr>
          <w:kern w:val="0"/>
          <w:lang w:val="nl-NL" w:eastAsia="en-US" w:bidi="ar-SA"/>
        </w:rPr>
        <w:t xml:space="preserve"> De Na</w:t>
      </w:r>
      <w:r w:rsidR="00B03C1B">
        <w:rPr>
          <w:kern w:val="0"/>
          <w:lang w:val="nl-NL" w:eastAsia="en-US" w:bidi="ar-SA"/>
        </w:rPr>
        <w:t>-</w:t>
      </w:r>
      <w:r w:rsidRPr="00D147A7">
        <w:rPr>
          <w:kern w:val="0"/>
          <w:lang w:val="nl-NL" w:eastAsia="en-US" w:bidi="ar-SA"/>
        </w:rPr>
        <w:lastRenderedPageBreak/>
        <w:t xml:space="preserve">tionale Raad van de Orde der geneesheren oordeelt evenwel dat de bewaring </w:t>
      </w:r>
      <w:r w:rsidRPr="00D147A7">
        <w:rPr>
          <w:i/>
          <w:kern w:val="0"/>
          <w:lang w:val="nl-NL" w:eastAsia="en-US" w:bidi="ar-SA"/>
        </w:rPr>
        <w:t>extra muros</w:t>
      </w:r>
      <w:r w:rsidRPr="00D147A7">
        <w:rPr>
          <w:kern w:val="0"/>
          <w:lang w:val="nl-NL" w:eastAsia="en-US" w:bidi="ar-SA"/>
        </w:rPr>
        <w:t xml:space="preserve"> niet </w:t>
      </w:r>
      <w:r w:rsidR="001C548B">
        <w:rPr>
          <w:kern w:val="0"/>
          <w:lang w:val="nl-NL" w:eastAsia="en-US" w:bidi="ar-SA"/>
        </w:rPr>
        <w:t xml:space="preserve">expliciet </w:t>
      </w:r>
      <w:r w:rsidRPr="00D147A7">
        <w:rPr>
          <w:kern w:val="0"/>
          <w:lang w:val="nl-NL" w:eastAsia="en-US" w:bidi="ar-SA"/>
        </w:rPr>
        <w:t xml:space="preserve">verboden wordt en </w:t>
      </w:r>
      <w:r w:rsidRPr="00D147A7">
        <w:rPr>
          <w:i/>
          <w:kern w:val="0"/>
          <w:lang w:val="nl-NL" w:eastAsia="en-US" w:bidi="ar-SA"/>
        </w:rPr>
        <w:t>in het ziekenhuis</w:t>
      </w:r>
      <w:r w:rsidRPr="00D147A7">
        <w:rPr>
          <w:kern w:val="0"/>
          <w:lang w:val="nl-NL" w:eastAsia="en-US" w:bidi="ar-SA"/>
        </w:rPr>
        <w:t xml:space="preserve"> als </w:t>
      </w:r>
      <w:r w:rsidRPr="00D147A7">
        <w:rPr>
          <w:i/>
          <w:kern w:val="0"/>
          <w:lang w:val="nl-NL" w:eastAsia="en-US" w:bidi="ar-SA"/>
        </w:rPr>
        <w:t>door het ziekenhuis</w:t>
      </w:r>
      <w:r w:rsidRPr="00D147A7">
        <w:rPr>
          <w:kern w:val="0"/>
          <w:lang w:val="nl-NL" w:eastAsia="en-US" w:bidi="ar-SA"/>
        </w:rPr>
        <w:t xml:space="preserve"> gelezen </w:t>
      </w:r>
      <w:r w:rsidR="001C548B">
        <w:rPr>
          <w:kern w:val="0"/>
          <w:lang w:val="nl-NL" w:eastAsia="en-US" w:bidi="ar-SA"/>
        </w:rPr>
        <w:t>kan</w:t>
      </w:r>
      <w:r w:rsidRPr="00D147A7">
        <w:rPr>
          <w:kern w:val="0"/>
          <w:lang w:val="nl-NL" w:eastAsia="en-US" w:bidi="ar-SA"/>
        </w:rPr>
        <w:t xml:space="preserve"> worden.</w:t>
      </w:r>
      <w:r w:rsidRPr="00D147A7">
        <w:rPr>
          <w:kern w:val="0"/>
          <w:vertAlign w:val="superscript"/>
          <w:lang w:val="nl-NL" w:eastAsia="en-US" w:bidi="ar-SA"/>
        </w:rPr>
        <w:footnoteReference w:id="754"/>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eastAsia="en-US" w:bidi="ar-SA"/>
        </w:rPr>
      </w:pPr>
      <w:r w:rsidRPr="00D147A7">
        <w:rPr>
          <w:kern w:val="0"/>
          <w:lang w:eastAsia="en-US" w:bidi="ar-SA"/>
        </w:rPr>
        <w:t>Uit studies blijkt dat slechts 3 tot 5% van de patiëntendossiers na drie jaar nog geraadpleegd worden.</w:t>
      </w:r>
      <w:r w:rsidRPr="00D147A7">
        <w:rPr>
          <w:kern w:val="0"/>
          <w:vertAlign w:val="superscript"/>
          <w:lang w:eastAsia="en-US" w:bidi="ar-SA"/>
        </w:rPr>
        <w:footnoteReference w:id="755"/>
      </w:r>
      <w:r w:rsidRPr="00D147A7">
        <w:rPr>
          <w:kern w:val="0"/>
          <w:lang w:eastAsia="en-US" w:bidi="ar-SA"/>
        </w:rPr>
        <w:t xml:space="preserve"> Afhankelijk van de beschikbare </w:t>
      </w:r>
      <w:r w:rsidR="001C548B">
        <w:rPr>
          <w:kern w:val="0"/>
          <w:lang w:eastAsia="en-US" w:bidi="ar-SA"/>
        </w:rPr>
        <w:t>opslag</w:t>
      </w:r>
      <w:r w:rsidRPr="00D147A7">
        <w:rPr>
          <w:kern w:val="0"/>
          <w:lang w:eastAsia="en-US" w:bidi="ar-SA"/>
        </w:rPr>
        <w:t>ruimte kunnen (semi-dynamische) patiënt</w:t>
      </w:r>
      <w:r w:rsidR="001C548B">
        <w:rPr>
          <w:kern w:val="0"/>
          <w:lang w:eastAsia="en-US" w:bidi="ar-SA"/>
        </w:rPr>
        <w:t>-</w:t>
      </w:r>
      <w:r w:rsidRPr="00D147A7">
        <w:rPr>
          <w:kern w:val="0"/>
          <w:lang w:eastAsia="en-US" w:bidi="ar-SA"/>
        </w:rPr>
        <w:t xml:space="preserve">endossiers die sinds drie of vijf jaar niet meer geraadpleegd werden, op een andere plaats – </w:t>
      </w:r>
      <w:r w:rsidR="001C548B">
        <w:rPr>
          <w:kern w:val="0"/>
          <w:lang w:eastAsia="en-US" w:bidi="ar-SA"/>
        </w:rPr>
        <w:t>zoals</w:t>
      </w:r>
      <w:r w:rsidRPr="00D147A7">
        <w:rPr>
          <w:kern w:val="0"/>
          <w:lang w:eastAsia="en-US" w:bidi="ar-SA"/>
        </w:rPr>
        <w:t xml:space="preserve"> in een gespecialiseerd archiveringsbedrijf</w:t>
      </w:r>
      <w:r w:rsidRPr="00D147A7">
        <w:rPr>
          <w:kern w:val="0"/>
          <w:vertAlign w:val="superscript"/>
          <w:lang w:eastAsia="en-US" w:bidi="ar-SA"/>
        </w:rPr>
        <w:footnoteReference w:id="756"/>
      </w:r>
      <w:r w:rsidRPr="00D147A7">
        <w:rPr>
          <w:kern w:val="0"/>
          <w:lang w:eastAsia="en-US" w:bidi="ar-SA"/>
        </w:rPr>
        <w:t xml:space="preserve"> – bewaard </w:t>
      </w:r>
      <w:r w:rsidR="008B7F57">
        <w:rPr>
          <w:kern w:val="0"/>
          <w:lang w:eastAsia="en-US" w:bidi="ar-SA"/>
        </w:rPr>
        <w:t xml:space="preserve">kunnen </w:t>
      </w:r>
      <w:r w:rsidRPr="00D147A7">
        <w:rPr>
          <w:kern w:val="0"/>
          <w:lang w:eastAsia="en-US" w:bidi="ar-SA"/>
        </w:rPr>
        <w:t>worden. Op lange ter</w:t>
      </w:r>
      <w:r w:rsidR="008B7F57">
        <w:rPr>
          <w:kern w:val="0"/>
          <w:lang w:eastAsia="en-US" w:bidi="ar-SA"/>
        </w:rPr>
        <w:t>-</w:t>
      </w:r>
      <w:r w:rsidRPr="00D147A7">
        <w:rPr>
          <w:kern w:val="0"/>
          <w:lang w:eastAsia="en-US" w:bidi="ar-SA"/>
        </w:rPr>
        <w:t xml:space="preserve">mijn zal dit echter </w:t>
      </w:r>
      <w:r w:rsidR="008B7F57">
        <w:rPr>
          <w:kern w:val="0"/>
          <w:lang w:eastAsia="en-US" w:bidi="ar-SA"/>
        </w:rPr>
        <w:t>zeer</w:t>
      </w:r>
      <w:r w:rsidRPr="00D147A7">
        <w:rPr>
          <w:kern w:val="0"/>
          <w:lang w:eastAsia="en-US" w:bidi="ar-SA"/>
        </w:rPr>
        <w:t xml:space="preserve"> duur </w:t>
      </w:r>
      <w:r w:rsidR="008B7F57">
        <w:rPr>
          <w:kern w:val="0"/>
          <w:lang w:eastAsia="en-US" w:bidi="ar-SA"/>
        </w:rPr>
        <w:t>uitdraaien</w:t>
      </w:r>
      <w:r w:rsidRPr="00D147A7">
        <w:rPr>
          <w:kern w:val="0"/>
          <w:lang w:eastAsia="en-US" w:bidi="ar-SA"/>
        </w:rPr>
        <w:t xml:space="preserve">. Bovendien moeten </w:t>
      </w:r>
      <w:r w:rsidR="008B7F57">
        <w:rPr>
          <w:kern w:val="0"/>
          <w:lang w:eastAsia="en-US" w:bidi="ar-SA"/>
        </w:rPr>
        <w:t xml:space="preserve">ook </w:t>
      </w:r>
      <w:r w:rsidRPr="00D147A7">
        <w:rPr>
          <w:kern w:val="0"/>
          <w:lang w:eastAsia="en-US" w:bidi="ar-SA"/>
        </w:rPr>
        <w:t>dergelijke archiveringsbedrij</w:t>
      </w:r>
      <w:r w:rsidR="008B7F57">
        <w:rPr>
          <w:kern w:val="0"/>
          <w:lang w:eastAsia="en-US" w:bidi="ar-SA"/>
        </w:rPr>
        <w:t>-</w:t>
      </w:r>
      <w:r w:rsidRPr="00D147A7">
        <w:rPr>
          <w:kern w:val="0"/>
          <w:lang w:eastAsia="en-US" w:bidi="ar-SA"/>
        </w:rPr>
        <w:t xml:space="preserve">ven over een efficiënte dienstverlening beschikken </w:t>
      </w:r>
      <w:r w:rsidR="008B7F57">
        <w:rPr>
          <w:kern w:val="0"/>
          <w:lang w:eastAsia="en-US" w:bidi="ar-SA"/>
        </w:rPr>
        <w:t>want</w:t>
      </w:r>
      <w:r w:rsidRPr="00D147A7">
        <w:rPr>
          <w:kern w:val="0"/>
          <w:lang w:eastAsia="en-US" w:bidi="ar-SA"/>
        </w:rPr>
        <w:t xml:space="preserve"> </w:t>
      </w:r>
      <w:r w:rsidRPr="00D147A7">
        <w:rPr>
          <w:i/>
          <w:kern w:val="0"/>
          <w:lang w:eastAsia="en-US" w:bidi="ar-SA"/>
        </w:rPr>
        <w:t>de dossiers moeten steeds geraad</w:t>
      </w:r>
      <w:r w:rsidR="008B7F57">
        <w:rPr>
          <w:i/>
          <w:kern w:val="0"/>
          <w:lang w:eastAsia="en-US" w:bidi="ar-SA"/>
        </w:rPr>
        <w:t>-</w:t>
      </w:r>
      <w:r w:rsidRPr="00D147A7">
        <w:rPr>
          <w:i/>
          <w:kern w:val="0"/>
          <w:lang w:eastAsia="en-US" w:bidi="ar-SA"/>
        </w:rPr>
        <w:t>pleegd kunnen worden door de geneesheren die betrokken zijn bij de behandeling van de pa</w:t>
      </w:r>
      <w:r w:rsidR="008B7F57">
        <w:rPr>
          <w:i/>
          <w:kern w:val="0"/>
          <w:lang w:eastAsia="en-US" w:bidi="ar-SA"/>
        </w:rPr>
        <w:t>-</w:t>
      </w:r>
      <w:r w:rsidRPr="00D147A7">
        <w:rPr>
          <w:i/>
          <w:kern w:val="0"/>
          <w:lang w:eastAsia="en-US" w:bidi="ar-SA"/>
        </w:rPr>
        <w:t>tiënt</w:t>
      </w:r>
      <w:r w:rsidRPr="00D147A7">
        <w:rPr>
          <w:kern w:val="0"/>
          <w:lang w:eastAsia="en-US" w:bidi="ar-SA"/>
        </w:rPr>
        <w:t>.</w:t>
      </w:r>
      <w:r w:rsidRPr="00D147A7">
        <w:rPr>
          <w:iCs/>
          <w:kern w:val="0"/>
          <w:vertAlign w:val="superscript"/>
          <w:lang w:val="nl-NL" w:eastAsia="en-US" w:bidi="ar-SA"/>
        </w:rPr>
        <w:footnoteReference w:id="757"/>
      </w:r>
      <w:r w:rsidRPr="00D147A7">
        <w:rPr>
          <w:kern w:val="0"/>
          <w:lang w:eastAsia="en-US" w:bidi="ar-SA"/>
        </w:rPr>
        <w:t xml:space="preserve"> Als een patiënt zich opnieuw aanbiedt, moet minstens de dag daarop het dossier in het (dynamisch archief van het) ziekenhuis aanwezig zijn.</w:t>
      </w:r>
      <w:r w:rsidRPr="00D147A7">
        <w:rPr>
          <w:kern w:val="0"/>
          <w:vertAlign w:val="superscript"/>
          <w:lang w:eastAsia="en-US" w:bidi="ar-SA"/>
        </w:rPr>
        <w:footnoteReference w:id="758"/>
      </w:r>
      <w:r w:rsidRPr="00D147A7">
        <w:rPr>
          <w:kern w:val="0"/>
          <w:lang w:eastAsia="en-US" w:bidi="ar-SA"/>
        </w:rPr>
        <w:t xml:space="preserve"> H</w:t>
      </w:r>
      <w:r w:rsidRPr="00D147A7">
        <w:rPr>
          <w:kern w:val="0"/>
          <w:lang w:val="nl-NL" w:eastAsia="en-US" w:bidi="ar-SA"/>
        </w:rPr>
        <w:t>et is aanbevelenswaardig om pa</w:t>
      </w:r>
      <w:r w:rsidR="008B7F57">
        <w:rPr>
          <w:kern w:val="0"/>
          <w:lang w:val="nl-NL" w:eastAsia="en-US" w:bidi="ar-SA"/>
        </w:rPr>
        <w:t>-</w:t>
      </w:r>
      <w:r w:rsidRPr="00D147A7">
        <w:rPr>
          <w:kern w:val="0"/>
          <w:lang w:val="nl-NL" w:eastAsia="en-US" w:bidi="ar-SA"/>
        </w:rPr>
        <w:t xml:space="preserve">pieren patiëntendossiers te digitaliseren alvorens ze aan derden in bewaring </w:t>
      </w:r>
      <w:r w:rsidR="008B7F57">
        <w:rPr>
          <w:kern w:val="0"/>
          <w:lang w:val="nl-NL" w:eastAsia="en-US" w:bidi="ar-SA"/>
        </w:rPr>
        <w:t>ge</w:t>
      </w:r>
      <w:r w:rsidRPr="00D147A7">
        <w:rPr>
          <w:kern w:val="0"/>
          <w:lang w:val="nl-NL" w:eastAsia="en-US" w:bidi="ar-SA"/>
        </w:rPr>
        <w:t>geven</w:t>
      </w:r>
      <w:r w:rsidR="008B7F57">
        <w:rPr>
          <w:kern w:val="0"/>
          <w:lang w:val="nl-NL" w:eastAsia="en-US" w:bidi="ar-SA"/>
        </w:rPr>
        <w:t xml:space="preserve"> worden</w:t>
      </w:r>
      <w:r w:rsidRPr="00D147A7">
        <w:rPr>
          <w:kern w:val="0"/>
          <w:lang w:val="nl-NL" w:eastAsia="en-US" w:bidi="ar-SA"/>
        </w:rPr>
        <w:t xml:space="preserve">. Dit probleem stelt zich niet </w:t>
      </w:r>
      <w:r w:rsidR="008B7F57">
        <w:rPr>
          <w:kern w:val="0"/>
          <w:lang w:val="nl-NL" w:eastAsia="en-US" w:bidi="ar-SA"/>
        </w:rPr>
        <w:t>voor</w:t>
      </w:r>
      <w:r w:rsidRPr="00D147A7">
        <w:rPr>
          <w:kern w:val="0"/>
          <w:lang w:val="nl-NL" w:eastAsia="en-US" w:bidi="ar-SA"/>
        </w:rPr>
        <w:t xml:space="preserve"> elektronische patiëntendossiers die bij een zogenaamde </w:t>
      </w:r>
      <w:r w:rsidR="008B7F57">
        <w:rPr>
          <w:kern w:val="0"/>
          <w:lang w:val="nl-NL" w:eastAsia="en-US" w:bidi="ar-SA"/>
        </w:rPr>
        <w:t xml:space="preserve">ex-terne provider of </w:t>
      </w:r>
      <w:r w:rsidRPr="00D147A7">
        <w:rPr>
          <w:i/>
          <w:kern w:val="0"/>
          <w:lang w:val="nl-NL" w:eastAsia="en-US" w:bidi="ar-SA"/>
        </w:rPr>
        <w:t>host</w:t>
      </w:r>
      <w:r w:rsidRPr="00D147A7">
        <w:rPr>
          <w:kern w:val="0"/>
          <w:lang w:val="nl-NL" w:eastAsia="en-US" w:bidi="ar-SA"/>
        </w:rPr>
        <w:t xml:space="preserve"> bewaard</w:t>
      </w:r>
      <w:r w:rsidR="008B7F57" w:rsidRPr="008B7F57">
        <w:rPr>
          <w:kern w:val="0"/>
          <w:lang w:val="nl-NL" w:eastAsia="en-US" w:bidi="ar-SA"/>
        </w:rPr>
        <w:t xml:space="preserve"> </w:t>
      </w:r>
      <w:r w:rsidR="008B7F57" w:rsidRPr="00D147A7">
        <w:rPr>
          <w:kern w:val="0"/>
          <w:lang w:val="nl-NL" w:eastAsia="en-US" w:bidi="ar-SA"/>
        </w:rPr>
        <w:t>worden</w:t>
      </w:r>
      <w:r w:rsidRPr="00D147A7">
        <w:rPr>
          <w:kern w:val="0"/>
          <w:lang w:val="nl-NL" w:eastAsia="en-US" w:bidi="ar-SA"/>
        </w:rPr>
        <w:t>.</w:t>
      </w:r>
    </w:p>
    <w:p w:rsidR="00426625" w:rsidRPr="00D147A7" w:rsidRDefault="008B7F57" w:rsidP="00426625">
      <w:pPr>
        <w:widowControl/>
        <w:suppressAutoHyphens w:val="0"/>
        <w:spacing w:line="240" w:lineRule="atLeast"/>
        <w:jc w:val="both"/>
        <w:rPr>
          <w:kern w:val="0"/>
          <w:lang w:val="nl-NL" w:eastAsia="en-US" w:bidi="ar-SA"/>
        </w:rPr>
      </w:pPr>
      <w:r>
        <w:rPr>
          <w:kern w:val="0"/>
          <w:lang w:val="nl-NL" w:eastAsia="en-US" w:bidi="ar-SA"/>
        </w:rPr>
        <w:t>Wanneer een ziekenhuis besluit om</w:t>
      </w:r>
      <w:r w:rsidR="00426625" w:rsidRPr="00D147A7">
        <w:rPr>
          <w:kern w:val="0"/>
          <w:lang w:val="nl-NL" w:eastAsia="en-US" w:bidi="ar-SA"/>
        </w:rPr>
        <w:t xml:space="preserve"> de bewaring van (papieren of elektronische) patiëntendos</w:t>
      </w:r>
      <w:r>
        <w:rPr>
          <w:kern w:val="0"/>
          <w:lang w:val="nl-NL" w:eastAsia="en-US" w:bidi="ar-SA"/>
        </w:rPr>
        <w:t>-</w:t>
      </w:r>
      <w:r w:rsidR="00426625" w:rsidRPr="00D147A7">
        <w:rPr>
          <w:kern w:val="0"/>
          <w:lang w:val="nl-NL" w:eastAsia="en-US" w:bidi="ar-SA"/>
        </w:rPr>
        <w:t>siers uit</w:t>
      </w:r>
      <w:r>
        <w:rPr>
          <w:kern w:val="0"/>
          <w:lang w:val="nl-NL" w:eastAsia="en-US" w:bidi="ar-SA"/>
        </w:rPr>
        <w:t xml:space="preserve"> te </w:t>
      </w:r>
      <w:r w:rsidR="00426625" w:rsidRPr="00D147A7">
        <w:rPr>
          <w:kern w:val="0"/>
          <w:lang w:val="nl-NL" w:eastAsia="en-US" w:bidi="ar-SA"/>
        </w:rPr>
        <w:t>beste</w:t>
      </w:r>
      <w:r>
        <w:rPr>
          <w:kern w:val="0"/>
          <w:lang w:val="nl-NL" w:eastAsia="en-US" w:bidi="ar-SA"/>
        </w:rPr>
        <w:t>den</w:t>
      </w:r>
      <w:r w:rsidR="00426625" w:rsidRPr="00D147A7">
        <w:rPr>
          <w:kern w:val="0"/>
          <w:lang w:val="nl-NL" w:eastAsia="en-US" w:bidi="ar-SA"/>
        </w:rPr>
        <w:t>, moet de zorgdrager de desbetreffende patiënten hiervan op de hoogte stellen, hun goedkeuring bekomen en hen de identificatiegegevens van de</w:t>
      </w:r>
      <w:r>
        <w:rPr>
          <w:kern w:val="0"/>
          <w:lang w:val="nl-NL" w:eastAsia="en-US" w:bidi="ar-SA"/>
        </w:rPr>
        <w:t xml:space="preserve"> externe</w:t>
      </w:r>
      <w:r w:rsidR="00426625" w:rsidRPr="00D147A7">
        <w:rPr>
          <w:kern w:val="0"/>
          <w:lang w:val="nl-NL" w:eastAsia="en-US" w:bidi="ar-SA"/>
        </w:rPr>
        <w:t xml:space="preserve"> ‘verwer</w:t>
      </w:r>
      <w:r>
        <w:rPr>
          <w:kern w:val="0"/>
          <w:lang w:val="nl-NL" w:eastAsia="en-US" w:bidi="ar-SA"/>
        </w:rPr>
        <w:t>-</w:t>
      </w:r>
      <w:r w:rsidR="00426625" w:rsidRPr="00D147A7">
        <w:rPr>
          <w:kern w:val="0"/>
          <w:lang w:val="nl-NL" w:eastAsia="en-US" w:bidi="ar-SA"/>
        </w:rPr>
        <w:t>ker(s)’ bezorgen.</w:t>
      </w:r>
      <w:r w:rsidR="00426625" w:rsidRPr="00D147A7">
        <w:rPr>
          <w:kern w:val="0"/>
          <w:vertAlign w:val="superscript"/>
          <w:lang w:val="nl-NL" w:eastAsia="en-US" w:bidi="ar-SA"/>
        </w:rPr>
        <w:footnoteReference w:id="759"/>
      </w:r>
      <w:r w:rsidR="00426625" w:rsidRPr="00D147A7">
        <w:rPr>
          <w:kern w:val="0"/>
          <w:lang w:val="nl-NL" w:eastAsia="en-US" w:bidi="ar-SA"/>
        </w:rPr>
        <w:t xml:space="preserve"> Hoewel de plaats van bewaring kan variëren, is dat geenszins het geval voor de archiefzorg en het archiefbeheer.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ind w:firstLine="708"/>
        <w:jc w:val="both"/>
        <w:rPr>
          <w:b/>
          <w:kern w:val="0"/>
          <w:lang w:val="nl-NL" w:eastAsia="en-US" w:bidi="ar-SA"/>
        </w:rPr>
      </w:pPr>
      <w:r w:rsidRPr="00D147A7">
        <w:rPr>
          <w:b/>
          <w:kern w:val="0"/>
          <w:lang w:val="nl-NL" w:eastAsia="en-US" w:bidi="ar-SA"/>
        </w:rPr>
        <w:t>Hoofdstuk 3: Bewaartermijnen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Hoewel patiëntendossiers om meerdere redenen worden bewaard, staat de bewaartermijn in regel in relatie tot de verjaringstermijn van aansprakelijkheidsvorderingen die patiënten tegen hun zorgverlener(s) kunnen inspannen. De verjaringstermijn is immers een concrete tijdsaan</w:t>
      </w:r>
      <w:r w:rsidR="008B7F57">
        <w:rPr>
          <w:kern w:val="0"/>
          <w:lang w:val="nl-NL" w:eastAsia="en-US" w:bidi="ar-SA"/>
        </w:rPr>
        <w:t>-</w:t>
      </w:r>
      <w:r w:rsidRPr="00D147A7">
        <w:rPr>
          <w:kern w:val="0"/>
          <w:lang w:val="nl-NL" w:eastAsia="en-US" w:bidi="ar-SA"/>
        </w:rPr>
        <w:t>duiding</w:t>
      </w:r>
      <w:r w:rsidR="008B7F57">
        <w:rPr>
          <w:kern w:val="0"/>
          <w:lang w:val="nl-NL" w:eastAsia="en-US" w:bidi="ar-SA"/>
        </w:rPr>
        <w:t>,</w:t>
      </w:r>
      <w:r w:rsidRPr="00D147A7">
        <w:rPr>
          <w:kern w:val="0"/>
          <w:lang w:val="nl-NL" w:eastAsia="en-US" w:bidi="ar-SA"/>
        </w:rPr>
        <w:t xml:space="preserve"> die als maatstaf voor de bewaartermijn kan dienen. Daarenboven worden patiënten</w:t>
      </w:r>
      <w:r w:rsidR="008B7F57">
        <w:rPr>
          <w:kern w:val="0"/>
          <w:lang w:val="nl-NL" w:eastAsia="en-US" w:bidi="ar-SA"/>
        </w:rPr>
        <w:t>-</w:t>
      </w:r>
      <w:r w:rsidRPr="00D147A7">
        <w:rPr>
          <w:kern w:val="0"/>
          <w:lang w:val="nl-NL" w:eastAsia="en-US" w:bidi="ar-SA"/>
        </w:rPr>
        <w:t>dossiers als zeer bewijskrachtig</w:t>
      </w:r>
      <w:r w:rsidR="008B7F57">
        <w:rPr>
          <w:kern w:val="0"/>
          <w:lang w:val="nl-NL" w:eastAsia="en-US" w:bidi="ar-SA"/>
        </w:rPr>
        <w:t>e archiefstukken</w:t>
      </w:r>
      <w:r w:rsidRPr="00D147A7">
        <w:rPr>
          <w:kern w:val="0"/>
          <w:lang w:val="nl-NL" w:eastAsia="en-US" w:bidi="ar-SA"/>
        </w:rPr>
        <w:t xml:space="preserve"> gekwalificeerd. Behoudens het bewijs van het tegendeel – waarvoor de patiënt de bewijslast draagt</w:t>
      </w:r>
      <w:r w:rsidRPr="00D147A7">
        <w:rPr>
          <w:kern w:val="0"/>
          <w:vertAlign w:val="superscript"/>
          <w:lang w:val="nl-NL" w:eastAsia="en-US" w:bidi="ar-SA"/>
        </w:rPr>
        <w:footnoteReference w:id="760"/>
      </w:r>
      <w:r w:rsidRPr="00D147A7">
        <w:rPr>
          <w:kern w:val="0"/>
          <w:lang w:val="nl-NL" w:eastAsia="en-US" w:bidi="ar-SA"/>
        </w:rPr>
        <w:t xml:space="preserve"> – beschouwt een rechter de inhoud ervan als een getrouwe weergave van de realiteit. Dit impliceert dat de elementen die niet in het dossier werden opgenomen </w:t>
      </w:r>
      <w:r w:rsidR="008B7F57">
        <w:rPr>
          <w:kern w:val="0"/>
          <w:lang w:val="nl-NL" w:eastAsia="en-US" w:bidi="ar-SA"/>
        </w:rPr>
        <w:t>(al</w:t>
      </w:r>
      <w:r w:rsidRPr="00D147A7">
        <w:rPr>
          <w:kern w:val="0"/>
          <w:lang w:val="nl-NL" w:eastAsia="en-US" w:bidi="ar-SA"/>
        </w:rPr>
        <w:t xml:space="preserve"> hadden </w:t>
      </w:r>
      <w:r w:rsidR="008B7F57">
        <w:rPr>
          <w:kern w:val="0"/>
          <w:lang w:val="nl-NL" w:eastAsia="en-US" w:bidi="ar-SA"/>
        </w:rPr>
        <w:t xml:space="preserve">ze daar wel in </w:t>
      </w:r>
      <w:r w:rsidRPr="00D147A7">
        <w:rPr>
          <w:kern w:val="0"/>
          <w:lang w:val="nl-NL" w:eastAsia="en-US" w:bidi="ar-SA"/>
        </w:rPr>
        <w:t>moeten staan</w:t>
      </w:r>
      <w:r w:rsidR="008B7F57">
        <w:rPr>
          <w:kern w:val="0"/>
          <w:lang w:val="nl-NL" w:eastAsia="en-US" w:bidi="ar-SA"/>
        </w:rPr>
        <w:t>)</w:t>
      </w:r>
      <w:r w:rsidRPr="00D147A7">
        <w:rPr>
          <w:kern w:val="0"/>
          <w:lang w:val="nl-NL" w:eastAsia="en-US" w:bidi="ar-SA"/>
        </w:rPr>
        <w:t xml:space="preserve"> als niet gebeurd wor</w:t>
      </w:r>
      <w:r w:rsidR="008B7F57">
        <w:rPr>
          <w:kern w:val="0"/>
          <w:lang w:val="nl-NL" w:eastAsia="en-US" w:bidi="ar-SA"/>
        </w:rPr>
        <w:t>-</w:t>
      </w:r>
      <w:r w:rsidRPr="00D147A7">
        <w:rPr>
          <w:kern w:val="0"/>
          <w:lang w:val="nl-NL" w:eastAsia="en-US" w:bidi="ar-SA"/>
        </w:rPr>
        <w:t>den beschouwd.</w:t>
      </w:r>
      <w:r w:rsidRPr="00D147A7">
        <w:rPr>
          <w:kern w:val="0"/>
          <w:vertAlign w:val="superscript"/>
          <w:lang w:val="nl-NL" w:eastAsia="en-US" w:bidi="ar-SA"/>
        </w:rPr>
        <w:footnoteReference w:id="761"/>
      </w:r>
      <w:r w:rsidRPr="00D147A7">
        <w:rPr>
          <w:kern w:val="0"/>
          <w:lang w:val="nl-NL" w:eastAsia="en-US" w:bidi="ar-SA"/>
        </w:rPr>
        <w:t xml:space="preserve"> Patiëntendossiers zijn dus gewichtige bewijsstukken ter verantwoording in rechte van de beslissingen en werkzaamheden van een in opspraak gekomen zorgverlener. Hoewel deze verjaringstermijn in principe voor alle zorgverleners dezelfde is, is het </w:t>
      </w:r>
      <w:r w:rsidR="00E66C6D">
        <w:rPr>
          <w:kern w:val="0"/>
          <w:lang w:val="nl-NL" w:eastAsia="en-US" w:bidi="ar-SA"/>
        </w:rPr>
        <w:t>merk-</w:t>
      </w:r>
      <w:r w:rsidR="00E66C6D">
        <w:rPr>
          <w:kern w:val="0"/>
          <w:lang w:val="nl-NL" w:eastAsia="en-US" w:bidi="ar-SA"/>
        </w:rPr>
        <w:lastRenderedPageBreak/>
        <w:t>waardig</w:t>
      </w:r>
      <w:r w:rsidRPr="00D147A7">
        <w:rPr>
          <w:kern w:val="0"/>
          <w:lang w:val="nl-NL" w:eastAsia="en-US" w:bidi="ar-SA"/>
        </w:rPr>
        <w:t xml:space="preserve"> dat er in België geen algemene bewaartermijn van kracht is maar voor de verschillen</w:t>
      </w:r>
      <w:r w:rsidR="00E66C6D">
        <w:rPr>
          <w:kern w:val="0"/>
          <w:lang w:val="nl-NL" w:eastAsia="en-US" w:bidi="ar-SA"/>
        </w:rPr>
        <w:t>-</w:t>
      </w:r>
      <w:r w:rsidRPr="00D147A7">
        <w:rPr>
          <w:kern w:val="0"/>
          <w:lang w:val="nl-NL" w:eastAsia="en-US" w:bidi="ar-SA"/>
        </w:rPr>
        <w:t>de categorieën patiëntendossiers uiteenlopende bewaartermijnen gelden.</w:t>
      </w:r>
      <w:r w:rsidRPr="00D147A7">
        <w:rPr>
          <w:kern w:val="0"/>
          <w:vertAlign w:val="superscript"/>
          <w:lang w:val="nl-NL" w:eastAsia="en-US" w:bidi="ar-SA"/>
        </w:rPr>
        <w:footnoteReference w:id="762"/>
      </w:r>
      <w:r w:rsidRPr="00D147A7">
        <w:rPr>
          <w:kern w:val="0"/>
          <w:lang w:val="nl-NL" w:eastAsia="en-US" w:bidi="ar-SA"/>
        </w:rPr>
        <w:t xml:space="preserve"> </w:t>
      </w:r>
    </w:p>
    <w:p w:rsidR="00426625" w:rsidRPr="00D147A7" w:rsidRDefault="005F54E7" w:rsidP="00426625">
      <w:pPr>
        <w:widowControl/>
        <w:suppressAutoHyphens w:val="0"/>
        <w:spacing w:line="240" w:lineRule="atLeast"/>
        <w:jc w:val="both"/>
        <w:rPr>
          <w:kern w:val="0"/>
          <w:lang w:val="nl-NL" w:eastAsia="en-US" w:bidi="ar-SA"/>
        </w:rPr>
      </w:pPr>
      <w:r>
        <w:rPr>
          <w:kern w:val="0"/>
          <w:lang w:val="nl-NL" w:eastAsia="en-US" w:bidi="ar-SA"/>
        </w:rPr>
        <w:t xml:space="preserve">Zoals hierboven reeds werd aangehaald, </w:t>
      </w:r>
      <w:r w:rsidR="00426625" w:rsidRPr="00D147A7">
        <w:rPr>
          <w:kern w:val="0"/>
          <w:lang w:val="nl-NL" w:eastAsia="en-US" w:bidi="ar-SA"/>
        </w:rPr>
        <w:t xml:space="preserve">waarborgt </w:t>
      </w:r>
      <w:r>
        <w:rPr>
          <w:kern w:val="0"/>
          <w:lang w:val="nl-NL" w:eastAsia="en-US" w:bidi="ar-SA"/>
        </w:rPr>
        <w:t>het</w:t>
      </w:r>
      <w:r w:rsidRPr="00D147A7">
        <w:rPr>
          <w:kern w:val="0"/>
          <w:lang w:val="nl-NL" w:eastAsia="en-US" w:bidi="ar-SA"/>
        </w:rPr>
        <w:t xml:space="preserve"> patiëntendossier </w:t>
      </w:r>
      <w:r w:rsidR="00426625" w:rsidRPr="00D147A7">
        <w:rPr>
          <w:kern w:val="0"/>
          <w:lang w:val="nl-NL" w:eastAsia="en-US" w:bidi="ar-SA"/>
        </w:rPr>
        <w:t>de continuïteit van de zorgverlening aan de patiënt – en bij erfelijke aandoeningen ook aan diens verwanten</w:t>
      </w:r>
      <w:r>
        <w:rPr>
          <w:kern w:val="0"/>
          <w:lang w:val="nl-NL" w:eastAsia="en-US" w:bidi="ar-SA"/>
        </w:rPr>
        <w:t>. Daar-naast</w:t>
      </w:r>
      <w:r w:rsidR="00426625" w:rsidRPr="00D147A7">
        <w:rPr>
          <w:kern w:val="0"/>
          <w:lang w:val="nl-NL" w:eastAsia="en-US" w:bidi="ar-SA"/>
        </w:rPr>
        <w:t xml:space="preserve"> facilite</w:t>
      </w:r>
      <w:r>
        <w:rPr>
          <w:kern w:val="0"/>
          <w:lang w:val="nl-NL" w:eastAsia="en-US" w:bidi="ar-SA"/>
        </w:rPr>
        <w:t xml:space="preserve">ren patiëntendossiers </w:t>
      </w:r>
      <w:r w:rsidR="00426625" w:rsidRPr="00D147A7">
        <w:rPr>
          <w:kern w:val="0"/>
          <w:lang w:val="nl-NL" w:eastAsia="en-US" w:bidi="ar-SA"/>
        </w:rPr>
        <w:t xml:space="preserve">als uniek bronnenmateriaal het </w:t>
      </w:r>
      <w:r>
        <w:rPr>
          <w:kern w:val="0"/>
          <w:lang w:val="nl-NL" w:eastAsia="en-US" w:bidi="ar-SA"/>
        </w:rPr>
        <w:t>(</w:t>
      </w:r>
      <w:r w:rsidR="00426625" w:rsidRPr="00D147A7">
        <w:rPr>
          <w:kern w:val="0"/>
          <w:lang w:val="nl-NL" w:eastAsia="en-US" w:bidi="ar-SA"/>
        </w:rPr>
        <w:t>wetenschappelijk</w:t>
      </w:r>
      <w:r>
        <w:rPr>
          <w:kern w:val="0"/>
          <w:lang w:val="nl-NL" w:eastAsia="en-US" w:bidi="ar-SA"/>
        </w:rPr>
        <w:t>)</w:t>
      </w:r>
      <w:r w:rsidR="00426625" w:rsidRPr="00D147A7">
        <w:rPr>
          <w:kern w:val="0"/>
          <w:lang w:val="nl-NL" w:eastAsia="en-US" w:bidi="ar-SA"/>
        </w:rPr>
        <w:t xml:space="preserve"> onder</w:t>
      </w:r>
      <w:r>
        <w:rPr>
          <w:kern w:val="0"/>
          <w:lang w:val="nl-NL" w:eastAsia="en-US" w:bidi="ar-SA"/>
        </w:rPr>
        <w:t>-</w:t>
      </w:r>
      <w:r w:rsidR="00426625" w:rsidRPr="00D147A7">
        <w:rPr>
          <w:kern w:val="0"/>
          <w:lang w:val="nl-NL" w:eastAsia="en-US" w:bidi="ar-SA"/>
        </w:rPr>
        <w:t xml:space="preserve">zoek. Deze </w:t>
      </w:r>
      <w:r>
        <w:rPr>
          <w:kern w:val="0"/>
          <w:lang w:val="nl-NL" w:eastAsia="en-US" w:bidi="ar-SA"/>
        </w:rPr>
        <w:t xml:space="preserve">twee </w:t>
      </w:r>
      <w:r w:rsidR="00426625" w:rsidRPr="00D147A7">
        <w:rPr>
          <w:kern w:val="0"/>
          <w:lang w:val="nl-NL" w:eastAsia="en-US" w:bidi="ar-SA"/>
        </w:rPr>
        <w:t xml:space="preserve">doeleinden rechtvaardigen </w:t>
      </w:r>
      <w:r>
        <w:rPr>
          <w:kern w:val="0"/>
          <w:lang w:val="nl-NL" w:eastAsia="en-US" w:bidi="ar-SA"/>
        </w:rPr>
        <w:t>in zekere zin</w:t>
      </w:r>
      <w:r w:rsidR="00426625" w:rsidRPr="00D147A7">
        <w:rPr>
          <w:kern w:val="0"/>
          <w:lang w:val="nl-NL" w:eastAsia="en-US" w:bidi="ar-SA"/>
        </w:rPr>
        <w:t xml:space="preserve"> de diversiteit aan bewaartermijnen. Omdat de meeste patiëntendossiers op eenvoudige casussen – waaronder veel routine-ingre</w:t>
      </w:r>
      <w:r>
        <w:rPr>
          <w:kern w:val="0"/>
          <w:lang w:val="nl-NL" w:eastAsia="en-US" w:bidi="ar-SA"/>
        </w:rPr>
        <w:t>-</w:t>
      </w:r>
      <w:r w:rsidR="00426625" w:rsidRPr="00D147A7">
        <w:rPr>
          <w:kern w:val="0"/>
          <w:lang w:val="nl-NL" w:eastAsia="en-US" w:bidi="ar-SA"/>
        </w:rPr>
        <w:t>pen – betrekking hebben, zal slechts een minderheid nog enige relevantie vertonen in de toe</w:t>
      </w:r>
      <w:r>
        <w:rPr>
          <w:kern w:val="0"/>
          <w:lang w:val="nl-NL" w:eastAsia="en-US" w:bidi="ar-SA"/>
        </w:rPr>
        <w:t>-</w:t>
      </w:r>
      <w:r w:rsidR="00426625" w:rsidRPr="00D147A7">
        <w:rPr>
          <w:kern w:val="0"/>
          <w:lang w:val="nl-NL" w:eastAsia="en-US" w:bidi="ar-SA"/>
        </w:rPr>
        <w:t xml:space="preserve">komst. </w:t>
      </w:r>
      <w:r>
        <w:rPr>
          <w:kern w:val="0"/>
          <w:lang w:val="nl-NL" w:eastAsia="en-US" w:bidi="ar-SA"/>
        </w:rPr>
        <w:t>D</w:t>
      </w:r>
      <w:r w:rsidR="00426625" w:rsidRPr="00D147A7">
        <w:rPr>
          <w:kern w:val="0"/>
          <w:lang w:val="nl-NL" w:eastAsia="en-US" w:bidi="ar-SA"/>
        </w:rPr>
        <w:t xml:space="preserve">e omvang van medische bulkarchieven </w:t>
      </w:r>
      <w:r>
        <w:rPr>
          <w:kern w:val="0"/>
          <w:lang w:val="nl-NL" w:eastAsia="en-US" w:bidi="ar-SA"/>
        </w:rPr>
        <w:t xml:space="preserve">kan dan </w:t>
      </w:r>
      <w:r w:rsidR="00426625" w:rsidRPr="00D147A7">
        <w:rPr>
          <w:kern w:val="0"/>
          <w:lang w:val="nl-NL" w:eastAsia="en-US" w:bidi="ar-SA"/>
        </w:rPr>
        <w:t>enigszins ingedamd worden door de bewaartermijn van de verschillende soorten patiëntendossiers van hun (potentiële) belang</w:t>
      </w:r>
      <w:r w:rsidRPr="005F54E7">
        <w:rPr>
          <w:kern w:val="0"/>
          <w:lang w:val="nl-NL" w:eastAsia="en-US" w:bidi="ar-SA"/>
        </w:rPr>
        <w:t xml:space="preserve"> </w:t>
      </w:r>
      <w:r>
        <w:rPr>
          <w:kern w:val="0"/>
          <w:lang w:val="nl-NL" w:eastAsia="en-US" w:bidi="ar-SA"/>
        </w:rPr>
        <w:t xml:space="preserve">af </w:t>
      </w:r>
      <w:r w:rsidRPr="00D147A7">
        <w:rPr>
          <w:kern w:val="0"/>
          <w:lang w:val="nl-NL" w:eastAsia="en-US" w:bidi="ar-SA"/>
        </w:rPr>
        <w:t>te laten hangen</w:t>
      </w:r>
      <w:r w:rsidR="00426625" w:rsidRPr="00D147A7">
        <w:rPr>
          <w:kern w:val="0"/>
          <w:lang w:val="nl-NL" w:eastAsia="en-US" w:bidi="ar-SA"/>
        </w:rPr>
        <w:t xml:space="preserve">. Dit </w:t>
      </w:r>
      <w:r>
        <w:rPr>
          <w:kern w:val="0"/>
          <w:lang w:val="nl-NL" w:eastAsia="en-US" w:bidi="ar-SA"/>
        </w:rPr>
        <w:t>heeft</w:t>
      </w:r>
      <w:r w:rsidR="00426625" w:rsidRPr="00D147A7">
        <w:rPr>
          <w:kern w:val="0"/>
          <w:lang w:val="nl-NL" w:eastAsia="en-US" w:bidi="ar-SA"/>
        </w:rPr>
        <w:t xml:space="preserve"> niet alleen </w:t>
      </w:r>
      <w:r>
        <w:rPr>
          <w:kern w:val="0"/>
          <w:lang w:val="nl-NL" w:eastAsia="en-US" w:bidi="ar-SA"/>
        </w:rPr>
        <w:t xml:space="preserve">een gunstige impact op </w:t>
      </w:r>
      <w:r w:rsidR="00426625" w:rsidRPr="00D147A7">
        <w:rPr>
          <w:kern w:val="0"/>
          <w:lang w:val="nl-NL" w:eastAsia="en-US" w:bidi="ar-SA"/>
        </w:rPr>
        <w:t xml:space="preserve">de opslagkosten en </w:t>
      </w:r>
      <w:r>
        <w:rPr>
          <w:kern w:val="0"/>
          <w:lang w:val="nl-NL" w:eastAsia="en-US" w:bidi="ar-SA"/>
        </w:rPr>
        <w:t xml:space="preserve">zal </w:t>
      </w:r>
      <w:r w:rsidR="00426625" w:rsidRPr="00D147A7">
        <w:rPr>
          <w:kern w:val="0"/>
          <w:lang w:val="nl-NL" w:eastAsia="en-US" w:bidi="ar-SA"/>
        </w:rPr>
        <w:t>de over</w:t>
      </w:r>
      <w:r>
        <w:rPr>
          <w:kern w:val="0"/>
          <w:lang w:val="nl-NL" w:eastAsia="en-US" w:bidi="ar-SA"/>
        </w:rPr>
        <w:t>-</w:t>
      </w:r>
      <w:r w:rsidR="00426625" w:rsidRPr="00D147A7">
        <w:rPr>
          <w:kern w:val="0"/>
          <w:lang w:val="nl-NL" w:eastAsia="en-US" w:bidi="ar-SA"/>
        </w:rPr>
        <w:t>zichtelijkheid ten goede</w:t>
      </w:r>
      <w:r>
        <w:rPr>
          <w:kern w:val="0"/>
          <w:lang w:val="nl-NL" w:eastAsia="en-US" w:bidi="ar-SA"/>
        </w:rPr>
        <w:t xml:space="preserve"> komen, maar zal </w:t>
      </w:r>
      <w:r w:rsidR="00426625" w:rsidRPr="00D147A7">
        <w:rPr>
          <w:kern w:val="0"/>
          <w:lang w:val="nl-NL" w:eastAsia="en-US" w:bidi="ar-SA"/>
        </w:rPr>
        <w:t xml:space="preserve">ook de selectie </w:t>
      </w:r>
      <w:r>
        <w:rPr>
          <w:kern w:val="0"/>
          <w:lang w:val="nl-NL" w:eastAsia="en-US" w:bidi="ar-SA"/>
        </w:rPr>
        <w:t>bevorderen</w:t>
      </w:r>
      <w:r w:rsidR="00426625" w:rsidRPr="00D147A7">
        <w:rPr>
          <w:kern w:val="0"/>
          <w:lang w:val="nl-NL" w:eastAsia="en-US" w:bidi="ar-SA"/>
        </w:rPr>
        <w:t xml:space="preserve"> </w:t>
      </w:r>
      <w:r>
        <w:rPr>
          <w:kern w:val="0"/>
          <w:lang w:val="nl-NL" w:eastAsia="en-US" w:bidi="ar-SA"/>
        </w:rPr>
        <w:t>zodat</w:t>
      </w:r>
      <w:r w:rsidR="00426625" w:rsidRPr="00D147A7">
        <w:rPr>
          <w:kern w:val="0"/>
          <w:lang w:val="nl-NL" w:eastAsia="en-US" w:bidi="ar-SA"/>
        </w:rPr>
        <w:t xml:space="preserve"> </w:t>
      </w:r>
      <w:r>
        <w:rPr>
          <w:kern w:val="0"/>
          <w:lang w:val="nl-NL" w:eastAsia="en-US" w:bidi="ar-SA"/>
        </w:rPr>
        <w:t>het risico</w:t>
      </w:r>
      <w:r w:rsidR="00426625" w:rsidRPr="00D147A7">
        <w:rPr>
          <w:kern w:val="0"/>
          <w:lang w:val="nl-NL" w:eastAsia="en-US" w:bidi="ar-SA"/>
        </w:rPr>
        <w:t xml:space="preserve"> dat waar</w:t>
      </w:r>
      <w:r>
        <w:rPr>
          <w:kern w:val="0"/>
          <w:lang w:val="nl-NL" w:eastAsia="en-US" w:bidi="ar-SA"/>
        </w:rPr>
        <w:t>-</w:t>
      </w:r>
      <w:r w:rsidR="00426625" w:rsidRPr="00D147A7">
        <w:rPr>
          <w:kern w:val="0"/>
          <w:lang w:val="nl-NL" w:eastAsia="en-US" w:bidi="ar-SA"/>
        </w:rPr>
        <w:t>devolle bescheiden vernietigd worden</w:t>
      </w:r>
      <w:r w:rsidRPr="005F54E7">
        <w:rPr>
          <w:kern w:val="0"/>
          <w:lang w:val="nl-NL" w:eastAsia="en-US" w:bidi="ar-SA"/>
        </w:rPr>
        <w:t xml:space="preserve"> </w:t>
      </w:r>
      <w:r>
        <w:rPr>
          <w:kern w:val="0"/>
          <w:lang w:val="nl-NL" w:eastAsia="en-US" w:bidi="ar-SA"/>
        </w:rPr>
        <w:t>tot een minimum herleid wordt.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Op de volgende bladzijde worden de bewaartermijnen van de verschillende categorieën pa</w:t>
      </w:r>
      <w:r w:rsidR="005F54E7">
        <w:rPr>
          <w:kern w:val="0"/>
          <w:lang w:val="nl-NL" w:eastAsia="en-US" w:bidi="ar-SA"/>
        </w:rPr>
        <w:t>-</w:t>
      </w:r>
      <w:r w:rsidRPr="00D147A7">
        <w:rPr>
          <w:kern w:val="0"/>
          <w:lang w:val="nl-NL" w:eastAsia="en-US" w:bidi="ar-SA"/>
        </w:rPr>
        <w:t>tiëntendossiers in tabelvorm weergegeven.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after="200" w:line="276" w:lineRule="auto"/>
      </w:pPr>
    </w:p>
    <w:tbl>
      <w:tblPr>
        <w:tblpPr w:leftFromText="141" w:rightFromText="141" w:vertAnchor="text" w:horzAnchor="margin" w:tblpY="-202"/>
        <w:tblW w:w="9709" w:type="dxa"/>
        <w:tblCellMar>
          <w:left w:w="70" w:type="dxa"/>
          <w:right w:w="70" w:type="dxa"/>
        </w:tblCellMar>
        <w:tblLook w:val="04A0" w:firstRow="1" w:lastRow="0" w:firstColumn="1" w:lastColumn="0" w:noHBand="0" w:noVBand="1"/>
      </w:tblPr>
      <w:tblGrid>
        <w:gridCol w:w="1659"/>
        <w:gridCol w:w="1260"/>
        <w:gridCol w:w="2158"/>
        <w:gridCol w:w="1713"/>
        <w:gridCol w:w="1502"/>
        <w:gridCol w:w="1417"/>
      </w:tblGrid>
      <w:tr w:rsidR="00426625" w:rsidRPr="00D147A7" w:rsidTr="004721B1">
        <w:trPr>
          <w:trHeight w:val="270"/>
        </w:trPr>
        <w:tc>
          <w:tcPr>
            <w:tcW w:w="1659" w:type="dxa"/>
            <w:tcBorders>
              <w:top w:val="single" w:sz="8" w:space="0" w:color="auto"/>
              <w:left w:val="single" w:sz="8" w:space="0" w:color="auto"/>
              <w:bottom w:val="single" w:sz="8"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lastRenderedPageBreak/>
              <w:t>Soort patiëntendossier</w:t>
            </w:r>
          </w:p>
        </w:tc>
        <w:tc>
          <w:tcPr>
            <w:tcW w:w="1260" w:type="dxa"/>
            <w:tcBorders>
              <w:top w:val="single" w:sz="8" w:space="0" w:color="auto"/>
              <w:left w:val="nil"/>
              <w:bottom w:val="single" w:sz="8"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t>Bewaartermijn</w:t>
            </w:r>
          </w:p>
        </w:tc>
        <w:tc>
          <w:tcPr>
            <w:tcW w:w="2158" w:type="dxa"/>
            <w:tcBorders>
              <w:top w:val="single" w:sz="8" w:space="0" w:color="auto"/>
              <w:left w:val="nil"/>
              <w:bottom w:val="single" w:sz="8"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t>Bewaarplaats</w:t>
            </w:r>
          </w:p>
        </w:tc>
        <w:tc>
          <w:tcPr>
            <w:tcW w:w="1713" w:type="dxa"/>
            <w:tcBorders>
              <w:top w:val="single" w:sz="8" w:space="0" w:color="auto"/>
              <w:left w:val="nil"/>
              <w:bottom w:val="single" w:sz="8"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t>Verantwoordelijke voor de bewaring</w:t>
            </w:r>
          </w:p>
        </w:tc>
        <w:tc>
          <w:tcPr>
            <w:tcW w:w="1502" w:type="dxa"/>
            <w:tcBorders>
              <w:top w:val="single" w:sz="8" w:space="0" w:color="auto"/>
              <w:left w:val="nil"/>
              <w:bottom w:val="single" w:sz="8" w:space="0" w:color="auto"/>
              <w:right w:val="nil"/>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t>Aanvang bewaartermijn</w:t>
            </w:r>
          </w:p>
        </w:tc>
        <w:tc>
          <w:tcPr>
            <w:tcW w:w="1417" w:type="dxa"/>
            <w:tcBorders>
              <w:top w:val="single" w:sz="8" w:space="0" w:color="auto"/>
              <w:left w:val="single" w:sz="4" w:space="0" w:color="auto"/>
              <w:bottom w:val="single" w:sz="8" w:space="0" w:color="auto"/>
              <w:right w:val="single" w:sz="8"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20"/>
                <w:szCs w:val="20"/>
                <w:vertAlign w:val="subscript"/>
                <w:lang w:eastAsia="nl-BE" w:bidi="ar-SA"/>
              </w:rPr>
            </w:pPr>
            <w:r w:rsidRPr="00D147A7">
              <w:rPr>
                <w:rFonts w:eastAsia="Times New Roman"/>
                <w:b/>
                <w:bCs/>
                <w:smallCaps/>
                <w:color w:val="FFFFFF"/>
                <w:kern w:val="0"/>
                <w:sz w:val="20"/>
                <w:szCs w:val="20"/>
                <w:vertAlign w:val="subscript"/>
                <w:lang w:eastAsia="nl-BE" w:bidi="ar-SA"/>
              </w:rPr>
              <w:t>Wettelijke basis</w:t>
            </w: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Medisch dossier</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Ziekenhuis</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Hoofdgeneesheer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tcBorders>
              <w:top w:val="nil"/>
              <w:left w:val="single" w:sz="4" w:space="0" w:color="auto"/>
              <w:bottom w:val="nil"/>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1 § 3 KB van 3 mei 1999 (</w:t>
            </w:r>
            <w:r w:rsidRPr="00D147A7">
              <w:rPr>
                <w:rFonts w:eastAsia="Times New Roman"/>
                <w:i/>
                <w:iCs/>
                <w:kern w:val="0"/>
                <w:sz w:val="18"/>
                <w:szCs w:val="18"/>
                <w:vertAlign w:val="subscript"/>
                <w:lang w:eastAsia="nl-BE" w:bidi="ar-SA"/>
              </w:rPr>
              <w:t xml:space="preserve">BS </w:t>
            </w:r>
            <w:r w:rsidRPr="00D147A7">
              <w:rPr>
                <w:rFonts w:eastAsia="Times New Roman"/>
                <w:kern w:val="0"/>
                <w:sz w:val="18"/>
                <w:szCs w:val="18"/>
                <w:vertAlign w:val="subscript"/>
                <w:lang w:eastAsia="nl-BE" w:bidi="ar-SA"/>
              </w:rPr>
              <w:t>30 juli 1999)</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46 C.G.P.</w:t>
            </w:r>
          </w:p>
        </w:tc>
      </w:tr>
      <w:tr w:rsidR="00426625" w:rsidRPr="00D147A7" w:rsidTr="004721B1">
        <w:trPr>
          <w:trHeight w:val="207"/>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417" w:type="dxa"/>
            <w:vMerge/>
            <w:tcBorders>
              <w:top w:val="single" w:sz="4" w:space="0" w:color="auto"/>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 xml:space="preserve">Medisch dossier </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Buiten zuikenhuis</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Behandelende arts of zorgverlener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46 C.G.P.</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Verpleegkundig dossier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20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Ziekenhuis</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Hoofdgeneesheer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nil"/>
              <w:left w:val="single" w:sz="4" w:space="0" w:color="auto"/>
              <w:bottom w:val="nil"/>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1 § 3 KB van 28 december 2006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30 januari 2007)</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tcBorders>
              <w:top w:val="nil"/>
              <w:left w:val="single" w:sz="4" w:space="0" w:color="auto"/>
              <w:bottom w:val="nil"/>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Verpleegkundig dossier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5</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Buiten zuikenhuis</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Behandelende arts of zorgverlener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8 § 4 KB van 14 september 1984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29 september 1984)</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tcBorders>
              <w:top w:val="single" w:sz="4" w:space="0" w:color="auto"/>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both"/>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Individuele verzorgingsdossier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Rust- en verzorgingsinstelling</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Coördinerend en raadgevend arts</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N1, B, 3, b) KB van 21 september 2004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28 oktober 2004)</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Farmaceutisch dossier en dossier van de voortgezette farmaceutische zorg</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Eerste 10 jaar in apotheek</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(Hoofd)apotheker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39 § 1 KB van 21 januari 2009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30 januari 2009)</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overlijden</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2E7E12"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both"/>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Individuele gezondheidsdossier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Gezondheidsinformatiesysteem</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Zorgverstrekker</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val="en-US" w:eastAsia="nl-BE" w:bidi="ar-SA"/>
              </w:rPr>
            </w:pPr>
            <w:r w:rsidRPr="00D147A7">
              <w:rPr>
                <w:rFonts w:eastAsia="Times New Roman"/>
                <w:kern w:val="0"/>
                <w:sz w:val="18"/>
                <w:szCs w:val="18"/>
                <w:vertAlign w:val="subscript"/>
                <w:lang w:val="en-US" w:eastAsia="nl-BE" w:bidi="ar-SA"/>
              </w:rPr>
              <w:t>Art. 6 § 1 en art. 12 GIS-decreet</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val="en-US"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val="en-US"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val="en-US"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val="en-US"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na overlijden patiënt</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Gezondheidsdossier voor bepaalde werknemers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15</w:t>
            </w:r>
          </w:p>
        </w:tc>
        <w:tc>
          <w:tcPr>
            <w:tcW w:w="2158" w:type="dxa"/>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departement belast met medisch toezicht</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Preventieadviseur-arbeidsgeneesheer</w:t>
            </w:r>
          </w:p>
        </w:tc>
        <w:tc>
          <w:tcPr>
            <w:tcW w:w="1502" w:type="dxa"/>
            <w:tcBorders>
              <w:top w:val="nil"/>
              <w:left w:val="single" w:sz="4" w:space="0" w:color="auto"/>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vertrek werknemer</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84 en art. 85 KB van 28 mei 2003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16 juni 2003)</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tcBorders>
              <w:top w:val="nil"/>
              <w:left w:val="single" w:sz="4" w:space="0" w:color="auto"/>
              <w:bottom w:val="nil"/>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gewestelijk centrum voor onderzoek van de externe dienst</w:t>
            </w: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single" w:sz="4" w:space="0" w:color="auto"/>
              <w:bottom w:val="nil"/>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indien tijdig aangevraagd, aan aangewezen arts bezorgd</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 indien permanente aanwezigheid preventieadviseur-arbeidsgeneesheer in onderneming</w:t>
            </w: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 mogelijk na 15 jaar naar FOD Werkgelegenheid, Arbeid en Sociaal Overleg – Administratie van de arbeidshygiëne en -geneeskunde</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single" w:sz="4" w:space="0" w:color="auto"/>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vMerge/>
            <w:tcBorders>
              <w:top w:val="single" w:sz="4" w:space="0" w:color="auto"/>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Dossier bijzondere jeugdbijstand</w:t>
            </w:r>
          </w:p>
        </w:tc>
        <w:tc>
          <w:tcPr>
            <w:tcW w:w="126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5</w:t>
            </w:r>
          </w:p>
        </w:tc>
        <w:tc>
          <w:tcPr>
            <w:tcW w:w="2158"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Secretariaat van het comité voor bijzondere jeugdzorg</w:t>
            </w:r>
          </w:p>
        </w:tc>
        <w:tc>
          <w:tcPr>
            <w:tcW w:w="171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Hoofdverantwoordelijke hulpverlening van comité voor bijzondere jeugdzorg</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Meerderjarigheid</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76 besluit Vlaamse regering van 24 oktober 2008 (</w:t>
            </w:r>
            <w:r w:rsidRPr="00D147A7">
              <w:rPr>
                <w:rFonts w:eastAsia="Times New Roman"/>
                <w:i/>
                <w:iCs/>
                <w:kern w:val="0"/>
                <w:sz w:val="18"/>
                <w:szCs w:val="18"/>
                <w:vertAlign w:val="subscript"/>
                <w:lang w:eastAsia="nl-BE" w:bidi="ar-SA"/>
              </w:rPr>
              <w:t xml:space="preserve">BS </w:t>
            </w:r>
            <w:r w:rsidRPr="00D147A7">
              <w:rPr>
                <w:rFonts w:eastAsia="Times New Roman"/>
                <w:kern w:val="0"/>
                <w:sz w:val="18"/>
                <w:szCs w:val="18"/>
                <w:vertAlign w:val="subscript"/>
                <w:lang w:eastAsia="nl-BE" w:bidi="ar-SA"/>
              </w:rPr>
              <w:t>2 maart 2009)</w:t>
            </w:r>
          </w:p>
        </w:tc>
      </w:tr>
      <w:tr w:rsidR="00426625" w:rsidRPr="00D147A7" w:rsidTr="004721B1">
        <w:trPr>
          <w:trHeight w:val="255"/>
        </w:trPr>
        <w:tc>
          <w:tcPr>
            <w:tcW w:w="1659" w:type="dxa"/>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Dossier van kinderen bij (preventief) medisch-sociaal toezicht of raadpleging</w:t>
            </w:r>
          </w:p>
        </w:tc>
        <w:tc>
          <w:tcPr>
            <w:tcW w:w="126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20</w:t>
            </w:r>
          </w:p>
        </w:tc>
        <w:tc>
          <w:tcPr>
            <w:tcW w:w="2158"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Kinderdagverblijven</w:t>
            </w:r>
          </w:p>
        </w:tc>
        <w:tc>
          <w:tcPr>
            <w:tcW w:w="171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Hoofdverantwoordelijke hulpverlening</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Meerderjarigheid</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w:t>
            </w:r>
            <w:r w:rsidRPr="00D147A7">
              <w:rPr>
                <w:rFonts w:eastAsia="Times New Roman"/>
                <w:kern w:val="0"/>
                <w:sz w:val="16"/>
                <w:szCs w:val="16"/>
                <w:vertAlign w:val="superscript"/>
                <w:lang w:eastAsia="nl-BE" w:bidi="ar-SA"/>
              </w:rPr>
              <w:footnoteReference w:id="763"/>
            </w:r>
          </w:p>
        </w:tc>
      </w:tr>
      <w:tr w:rsidR="00426625" w:rsidRPr="00D147A7" w:rsidTr="004721B1">
        <w:trPr>
          <w:trHeight w:val="255"/>
        </w:trPr>
        <w:tc>
          <w:tcPr>
            <w:tcW w:w="16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Multidisciplinair dossier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10</w:t>
            </w:r>
          </w:p>
        </w:tc>
        <w:tc>
          <w:tcPr>
            <w:tcW w:w="2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Centra voor leerlingenbegeleiding</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Beroepsbeoefenaar van centrum voor leerlingenbegeleiding</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laatste contact of laatste vaccinatie</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10 besluit Vlaamse regering van 12 september 2008 (</w:t>
            </w:r>
            <w:r w:rsidRPr="00D147A7">
              <w:rPr>
                <w:rFonts w:eastAsia="Times New Roman"/>
                <w:i/>
                <w:iCs/>
                <w:kern w:val="0"/>
                <w:sz w:val="18"/>
                <w:szCs w:val="18"/>
                <w:vertAlign w:val="subscript"/>
                <w:lang w:eastAsia="nl-BE" w:bidi="ar-SA"/>
              </w:rPr>
              <w:t>BS</w:t>
            </w:r>
            <w:r w:rsidRPr="00D147A7">
              <w:rPr>
                <w:rFonts w:eastAsia="Times New Roman"/>
                <w:kern w:val="0"/>
                <w:sz w:val="18"/>
                <w:szCs w:val="18"/>
                <w:vertAlign w:val="subscript"/>
                <w:lang w:eastAsia="nl-BE" w:bidi="ar-SA"/>
              </w:rPr>
              <w:t xml:space="preserve"> 17 november 2008)</w:t>
            </w: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7 jaar na meerderjarigheid</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 12 jaar na meerderjarigheid (als studieloopbaan in buitengewoon onderwijs werd beëindigd)</w:t>
            </w:r>
          </w:p>
        </w:tc>
        <w:tc>
          <w:tcPr>
            <w:tcW w:w="1417" w:type="dxa"/>
            <w:vMerge/>
            <w:tcBorders>
              <w:top w:val="nil"/>
              <w:left w:val="single" w:sz="4" w:space="0" w:color="auto"/>
              <w:bottom w:val="single" w:sz="4"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Donor-/wegnemingsdossier</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30</w:t>
            </w:r>
          </w:p>
        </w:tc>
        <w:tc>
          <w:tcPr>
            <w:tcW w:w="215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Archief in verzorgingsinstelling</w:t>
            </w:r>
          </w:p>
        </w:tc>
        <w:tc>
          <w:tcPr>
            <w:tcW w:w="171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Verantwoordelijke voor beheer van lichaamsmateriaal</w:t>
            </w: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 klinisch gebruik</w:t>
            </w:r>
          </w:p>
        </w:tc>
        <w:tc>
          <w:tcPr>
            <w:tcW w:w="1417"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Art. 6 § 3 en N3, 1.4 KB van 28 september 2009 (</w:t>
            </w:r>
            <w:r w:rsidRPr="00D147A7">
              <w:rPr>
                <w:rFonts w:eastAsia="Times New Roman"/>
                <w:i/>
                <w:iCs/>
                <w:kern w:val="0"/>
                <w:sz w:val="18"/>
                <w:szCs w:val="18"/>
                <w:vertAlign w:val="subscript"/>
                <w:lang w:eastAsia="nl-BE" w:bidi="ar-SA"/>
              </w:rPr>
              <w:t xml:space="preserve">BS </w:t>
            </w:r>
            <w:r w:rsidRPr="00D147A7">
              <w:rPr>
                <w:rFonts w:eastAsia="Times New Roman"/>
                <w:kern w:val="0"/>
                <w:sz w:val="18"/>
                <w:szCs w:val="18"/>
                <w:vertAlign w:val="subscript"/>
                <w:lang w:eastAsia="nl-BE" w:bidi="ar-SA"/>
              </w:rPr>
              <w:t>23 oktober 2009)</w:t>
            </w:r>
          </w:p>
        </w:tc>
      </w:tr>
      <w:tr w:rsidR="00426625" w:rsidRPr="00D147A7" w:rsidTr="004721B1">
        <w:trPr>
          <w:trHeight w:val="255"/>
        </w:trPr>
        <w:tc>
          <w:tcPr>
            <w:tcW w:w="1659" w:type="dxa"/>
            <w:vMerge/>
            <w:tcBorders>
              <w:top w:val="nil"/>
              <w:left w:val="single" w:sz="8"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b) distributie (indien ander gebruik dan bedoeld in a)</w:t>
            </w:r>
          </w:p>
        </w:tc>
        <w:tc>
          <w:tcPr>
            <w:tcW w:w="1417" w:type="dxa"/>
            <w:vMerge/>
            <w:tcBorders>
              <w:top w:val="nil"/>
              <w:left w:val="single" w:sz="4" w:space="0" w:color="auto"/>
              <w:bottom w:val="single" w:sz="8"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255"/>
        </w:trPr>
        <w:tc>
          <w:tcPr>
            <w:tcW w:w="1659" w:type="dxa"/>
            <w:vMerge/>
            <w:tcBorders>
              <w:top w:val="nil"/>
              <w:left w:val="single" w:sz="8"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4"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c) vernietiging lichaamsmateriaal</w:t>
            </w:r>
          </w:p>
        </w:tc>
        <w:tc>
          <w:tcPr>
            <w:tcW w:w="1417" w:type="dxa"/>
            <w:vMerge/>
            <w:tcBorders>
              <w:top w:val="nil"/>
              <w:left w:val="single" w:sz="4" w:space="0" w:color="auto"/>
              <w:bottom w:val="single" w:sz="8"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r w:rsidR="00426625" w:rsidRPr="00D147A7" w:rsidTr="004721B1">
        <w:trPr>
          <w:trHeight w:val="314"/>
        </w:trPr>
        <w:tc>
          <w:tcPr>
            <w:tcW w:w="1659" w:type="dxa"/>
            <w:vMerge/>
            <w:tcBorders>
              <w:top w:val="nil"/>
              <w:left w:val="single" w:sz="8"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260"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2158"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713" w:type="dxa"/>
            <w:vMerge/>
            <w:tcBorders>
              <w:top w:val="nil"/>
              <w:left w:val="single" w:sz="4" w:space="0" w:color="auto"/>
              <w:bottom w:val="single" w:sz="8" w:space="0" w:color="000000"/>
              <w:right w:val="single" w:sz="4"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c>
          <w:tcPr>
            <w:tcW w:w="1502" w:type="dxa"/>
            <w:tcBorders>
              <w:top w:val="nil"/>
              <w:left w:val="nil"/>
              <w:bottom w:val="single" w:sz="8" w:space="0" w:color="auto"/>
              <w:right w:val="nil"/>
            </w:tcBorders>
            <w:shd w:val="clear" w:color="auto" w:fill="auto"/>
            <w:noWrap/>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r w:rsidRPr="00D147A7">
              <w:rPr>
                <w:rFonts w:eastAsia="Times New Roman"/>
                <w:kern w:val="0"/>
                <w:sz w:val="18"/>
                <w:szCs w:val="18"/>
                <w:vertAlign w:val="subscript"/>
                <w:lang w:eastAsia="nl-BE" w:bidi="ar-SA"/>
              </w:rPr>
              <w:t>d) vernietiging max. 50 jaar na verkrijging</w:t>
            </w:r>
          </w:p>
        </w:tc>
        <w:tc>
          <w:tcPr>
            <w:tcW w:w="1417" w:type="dxa"/>
            <w:vMerge/>
            <w:tcBorders>
              <w:top w:val="nil"/>
              <w:left w:val="single" w:sz="4" w:space="0" w:color="auto"/>
              <w:bottom w:val="single" w:sz="8" w:space="0" w:color="000000"/>
              <w:right w:val="single" w:sz="8" w:space="0" w:color="auto"/>
            </w:tcBorders>
            <w:vAlign w:val="center"/>
            <w:hideMark/>
          </w:tcPr>
          <w:p w:rsidR="00426625" w:rsidRPr="00D147A7" w:rsidRDefault="00426625" w:rsidP="00426625">
            <w:pPr>
              <w:widowControl/>
              <w:suppressAutoHyphens w:val="0"/>
              <w:rPr>
                <w:rFonts w:eastAsia="Times New Roman"/>
                <w:kern w:val="0"/>
                <w:sz w:val="18"/>
                <w:szCs w:val="18"/>
                <w:vertAlign w:val="subscript"/>
                <w:lang w:eastAsia="nl-BE" w:bidi="ar-SA"/>
              </w:rPr>
            </w:pPr>
          </w:p>
        </w:tc>
      </w:tr>
    </w:tbl>
    <w:p w:rsidR="00426625" w:rsidRPr="00D147A7" w:rsidRDefault="00426625" w:rsidP="00426625">
      <w:pPr>
        <w:jc w:val="center"/>
      </w:pPr>
      <w:r w:rsidRPr="00D147A7">
        <w:t>Tabel 13: Overzicht van de verschillende soorten patiëntendossiers en hun bewaartermijnen in België</w:t>
      </w:r>
      <w:r w:rsidRPr="00D147A7">
        <w:rPr>
          <w:vertAlign w:val="superscript"/>
        </w:rPr>
        <w:footnoteReference w:id="764"/>
      </w:r>
      <w:r w:rsidRPr="00D147A7">
        <w:fldChar w:fldCharType="begin"/>
      </w:r>
      <w:r w:rsidRPr="00D147A7">
        <w:instrText xml:space="preserve"> LINK Excel.Sheet.8 "C:\\Users\\Merijn\\Desktop\\MANAMA\\Transcripties\\1. Hoofdstuk over Selectie\\Overzicht bewaartermijnen.xls" Sheet1!R2K3:R30K8 \a \f 4 \h  \* MERGEFORMAT </w:instrText>
      </w:r>
      <w:r w:rsidRPr="00D147A7">
        <w:fldChar w:fldCharType="separate"/>
      </w:r>
    </w:p>
    <w:p w:rsidR="00426625" w:rsidRPr="00D147A7" w:rsidRDefault="00426625" w:rsidP="00426625">
      <w:pPr>
        <w:widowControl/>
        <w:suppressAutoHyphens w:val="0"/>
        <w:spacing w:line="240" w:lineRule="atLeast"/>
        <w:jc w:val="center"/>
        <w:rPr>
          <w:lang w:val="nl-NL"/>
        </w:rPr>
      </w:pPr>
      <w:r w:rsidRPr="00D147A7">
        <w:rPr>
          <w:lang w:val="nl-NL"/>
        </w:rPr>
        <w:fldChar w:fldCharType="end"/>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br w:type="page"/>
      </w:r>
      <w:r w:rsidRPr="00D147A7">
        <w:rPr>
          <w:kern w:val="0"/>
          <w:lang w:val="nl-NL" w:eastAsia="en-US" w:bidi="ar-SA"/>
        </w:rPr>
        <w:lastRenderedPageBreak/>
        <w:t>Uit bovenstaande tabel blijkt dat de bewaartermijnen van de verschillende soorten patiënten</w:t>
      </w:r>
      <w:r w:rsidR="002B10DD">
        <w:rPr>
          <w:kern w:val="0"/>
          <w:lang w:val="nl-NL" w:eastAsia="en-US" w:bidi="ar-SA"/>
        </w:rPr>
        <w:t>-</w:t>
      </w:r>
      <w:r w:rsidRPr="00D147A7">
        <w:rPr>
          <w:kern w:val="0"/>
          <w:lang w:val="nl-NL" w:eastAsia="en-US" w:bidi="ar-SA"/>
        </w:rPr>
        <w:t>dossiers sterk variëren. Maar ook de onderdelen van één type patiëntendossier moeten niet al</w:t>
      </w:r>
      <w:r w:rsidR="002B10DD">
        <w:rPr>
          <w:kern w:val="0"/>
          <w:lang w:val="nl-NL" w:eastAsia="en-US" w:bidi="ar-SA"/>
        </w:rPr>
        <w:t>-</w:t>
      </w:r>
      <w:r w:rsidRPr="00D147A7">
        <w:rPr>
          <w:kern w:val="0"/>
          <w:lang w:val="nl-NL" w:eastAsia="en-US" w:bidi="ar-SA"/>
        </w:rPr>
        <w:t>tijd even lang bewaard</w:t>
      </w:r>
      <w:r w:rsidR="002B10DD" w:rsidRPr="002B10DD">
        <w:rPr>
          <w:kern w:val="0"/>
          <w:lang w:val="nl-NL" w:eastAsia="en-US" w:bidi="ar-SA"/>
        </w:rPr>
        <w:t xml:space="preserve"> </w:t>
      </w:r>
      <w:r w:rsidR="002B10DD" w:rsidRPr="00D147A7">
        <w:rPr>
          <w:kern w:val="0"/>
          <w:lang w:val="nl-NL" w:eastAsia="en-US" w:bidi="ar-SA"/>
        </w:rPr>
        <w:t>worden</w:t>
      </w:r>
      <w:r w:rsidRPr="00D147A7">
        <w:rPr>
          <w:kern w:val="0"/>
          <w:lang w:val="nl-NL" w:eastAsia="en-US" w:bidi="ar-SA"/>
        </w:rPr>
        <w:t xml:space="preserve">. Dat is met name het geval voor het verpleegkundig en </w:t>
      </w:r>
      <w:r w:rsidR="002B10DD">
        <w:rPr>
          <w:kern w:val="0"/>
          <w:lang w:val="nl-NL" w:eastAsia="en-US" w:bidi="ar-SA"/>
        </w:rPr>
        <w:t xml:space="preserve">het </w:t>
      </w:r>
      <w:r w:rsidRPr="00D147A7">
        <w:rPr>
          <w:kern w:val="0"/>
          <w:lang w:val="nl-NL" w:eastAsia="en-US" w:bidi="ar-SA"/>
        </w:rPr>
        <w:t>me</w:t>
      </w:r>
      <w:r w:rsidR="002B10DD">
        <w:rPr>
          <w:kern w:val="0"/>
          <w:lang w:val="nl-NL" w:eastAsia="en-US" w:bidi="ar-SA"/>
        </w:rPr>
        <w:t>-</w:t>
      </w:r>
      <w:r w:rsidRPr="00D147A7">
        <w:rPr>
          <w:kern w:val="0"/>
          <w:lang w:val="nl-NL" w:eastAsia="en-US" w:bidi="ar-SA"/>
        </w:rPr>
        <w:t>disch dossier – samen het patiëntendossier</w:t>
      </w:r>
      <w:r w:rsidRPr="00D147A7">
        <w:rPr>
          <w:kern w:val="0"/>
          <w:vertAlign w:val="superscript"/>
          <w:lang w:val="nl-NL" w:eastAsia="en-US" w:bidi="ar-SA"/>
        </w:rPr>
        <w:footnoteReference w:id="765"/>
      </w:r>
      <w:r w:rsidRPr="00D147A7">
        <w:rPr>
          <w:kern w:val="0"/>
          <w:lang w:val="nl-NL" w:eastAsia="en-US" w:bidi="ar-SA"/>
        </w:rPr>
        <w:t xml:space="preserve"> – in ziekenhuisverband.</w:t>
      </w:r>
      <w:r w:rsidRPr="00D147A7">
        <w:rPr>
          <w:kern w:val="0"/>
          <w:vertAlign w:val="superscript"/>
          <w:lang w:val="nl-NL" w:eastAsia="en-US" w:bidi="ar-SA"/>
        </w:rPr>
        <w:footnoteReference w:id="766"/>
      </w:r>
      <w:r w:rsidRPr="00D147A7">
        <w:rPr>
          <w:kern w:val="0"/>
          <w:lang w:val="nl-NL" w:eastAsia="en-US" w:bidi="ar-SA"/>
        </w:rPr>
        <w:t xml:space="preserve"> Hierboven werd reeds opgemerkt dat voor de bewaartermijnen van patiëntendossiers minstens rekening gehou</w:t>
      </w:r>
      <w:r w:rsidR="002B10DD">
        <w:rPr>
          <w:kern w:val="0"/>
          <w:lang w:val="nl-NL" w:eastAsia="en-US" w:bidi="ar-SA"/>
        </w:rPr>
        <w:t>-den moet</w:t>
      </w:r>
      <w:r w:rsidRPr="00D147A7">
        <w:rPr>
          <w:kern w:val="0"/>
          <w:lang w:val="nl-NL" w:eastAsia="en-US" w:bidi="ar-SA"/>
        </w:rPr>
        <w:t xml:space="preserve"> worden met de verjaringstermijn van mogelijke schadeclaims die patiënten tegen hun arts kunnen indienen. Voor medische fouten geldt de buitencontractuele aansprakelijk</w:t>
      </w:r>
      <w:r w:rsidR="002B10DD">
        <w:rPr>
          <w:kern w:val="0"/>
          <w:lang w:val="nl-NL" w:eastAsia="en-US" w:bidi="ar-SA"/>
        </w:rPr>
        <w:t>-</w:t>
      </w:r>
      <w:r w:rsidRPr="00D147A7">
        <w:rPr>
          <w:kern w:val="0"/>
          <w:lang w:val="nl-NL" w:eastAsia="en-US" w:bidi="ar-SA"/>
        </w:rPr>
        <w:t>heid.</w:t>
      </w:r>
      <w:r w:rsidRPr="00D147A7">
        <w:rPr>
          <w:kern w:val="0"/>
          <w:vertAlign w:val="superscript"/>
          <w:lang w:val="nl-NL" w:eastAsia="en-US" w:bidi="ar-SA"/>
        </w:rPr>
        <w:footnoteReference w:id="767"/>
      </w:r>
      <w:r w:rsidRPr="00D147A7">
        <w:rPr>
          <w:kern w:val="0"/>
          <w:lang w:val="nl-NL" w:eastAsia="en-US" w:bidi="ar-SA"/>
        </w:rPr>
        <w:t xml:space="preserve"> Sinds </w:t>
      </w:r>
      <w:r w:rsidRPr="002B10DD">
        <w:rPr>
          <w:i/>
          <w:kern w:val="0"/>
          <w:lang w:val="nl-NL" w:eastAsia="en-US" w:bidi="ar-SA"/>
        </w:rPr>
        <w:t>medio</w:t>
      </w:r>
      <w:r w:rsidRPr="00D147A7">
        <w:rPr>
          <w:kern w:val="0"/>
          <w:lang w:val="nl-NL" w:eastAsia="en-US" w:bidi="ar-SA"/>
        </w:rPr>
        <w:t xml:space="preserve"> 1998 kunnen volwassen patiënten in België slechts twintig – i.p.v. dertig – jaar na de schadeberokkening een rechtsvordering tegen hun arts instellen.</w:t>
      </w:r>
      <w:r w:rsidRPr="00D147A7">
        <w:rPr>
          <w:kern w:val="0"/>
          <w:vertAlign w:val="superscript"/>
          <w:lang w:val="nl-NL" w:eastAsia="en-US" w:bidi="ar-SA"/>
        </w:rPr>
        <w:footnoteReference w:id="768"/>
      </w:r>
      <w:r w:rsidRPr="00D147A7">
        <w:rPr>
          <w:kern w:val="0"/>
          <w:lang w:val="nl-NL" w:eastAsia="en-US" w:bidi="ar-SA"/>
        </w:rPr>
        <w:t xml:space="preserve"> Omdat deze wetswijziging slechts beperkte terugwerkende kracht heeft, werden enkele overgangsbepa</w:t>
      </w:r>
      <w:r w:rsidR="002B10DD">
        <w:rPr>
          <w:kern w:val="0"/>
          <w:lang w:val="nl-NL" w:eastAsia="en-US" w:bidi="ar-SA"/>
        </w:rPr>
        <w:t>-</w:t>
      </w:r>
      <w:r w:rsidRPr="00D147A7">
        <w:rPr>
          <w:kern w:val="0"/>
          <w:lang w:val="nl-NL" w:eastAsia="en-US" w:bidi="ar-SA"/>
        </w:rPr>
        <w:t>lingen voorzien.</w:t>
      </w:r>
      <w:r w:rsidRPr="00D147A7">
        <w:rPr>
          <w:kern w:val="0"/>
          <w:vertAlign w:val="superscript"/>
          <w:lang w:val="nl-NL" w:eastAsia="en-US" w:bidi="ar-SA"/>
        </w:rPr>
        <w:footnoteReference w:id="769"/>
      </w:r>
      <w:r w:rsidRPr="00D147A7">
        <w:rPr>
          <w:kern w:val="0"/>
          <w:lang w:val="nl-NL" w:eastAsia="en-US" w:bidi="ar-SA"/>
        </w:rPr>
        <w:t xml:space="preserve"> De Nationale Raad van de Orde der geneesheren stelt de situatie als volgt voor: </w:t>
      </w:r>
    </w:p>
    <w:p w:rsidR="00426625" w:rsidRPr="00D147A7" w:rsidRDefault="00426625" w:rsidP="00426625">
      <w:pPr>
        <w:widowControl/>
        <w:suppressAutoHyphens w:val="0"/>
        <w:spacing w:line="240" w:lineRule="atLeast"/>
        <w:jc w:val="both"/>
        <w:rPr>
          <w:kern w:val="0"/>
          <w:lang w:val="nl-NL" w:eastAsia="en-US" w:bidi="ar-SA"/>
        </w:rPr>
      </w:pPr>
    </w:p>
    <w:tbl>
      <w:tblPr>
        <w:tblStyle w:val="Tabelraster1"/>
        <w:tblW w:w="0" w:type="auto"/>
        <w:tblLook w:val="04A0" w:firstRow="1" w:lastRow="0" w:firstColumn="1" w:lastColumn="0" w:noHBand="0" w:noVBand="1"/>
      </w:tblPr>
      <w:tblGrid>
        <w:gridCol w:w="9212"/>
      </w:tblGrid>
      <w:tr w:rsidR="00426625" w:rsidRPr="00D147A7" w:rsidTr="004721B1">
        <w:tc>
          <w:tcPr>
            <w:tcW w:w="9212" w:type="dxa"/>
          </w:tcPr>
          <w:p w:rsidR="00426625" w:rsidRPr="00D147A7" w:rsidRDefault="00426625" w:rsidP="00426625">
            <w:pPr>
              <w:widowControl/>
              <w:suppressAutoHyphens w:val="0"/>
              <w:spacing w:line="240" w:lineRule="atLeast"/>
              <w:jc w:val="both"/>
              <w:rPr>
                <w:i/>
                <w:kern w:val="0"/>
                <w:lang w:eastAsia="en-US" w:bidi="ar-SA"/>
              </w:rPr>
            </w:pPr>
            <w:r w:rsidRPr="00D147A7">
              <w:rPr>
                <w:i/>
                <w:kern w:val="0"/>
                <w:lang w:eastAsia="en-US" w:bidi="ar-SA"/>
              </w:rPr>
              <w:t xml:space="preserve">-voor schade veroorzaakt vóór 27 juli 1998 </w:t>
            </w:r>
            <w:r w:rsidRPr="00D147A7">
              <w:rPr>
                <w:kern w:val="0"/>
                <w:lang w:eastAsia="en-US" w:bidi="ar-SA"/>
              </w:rPr>
              <w:t>[i.e. de datum waarop de wet in werking trad]</w:t>
            </w:r>
            <w:r w:rsidRPr="00D147A7">
              <w:rPr>
                <w:i/>
                <w:kern w:val="0"/>
                <w:lang w:eastAsia="en-US" w:bidi="ar-SA"/>
              </w:rPr>
              <w:t>: dertig jaar na het schadeverwekkend feit;</w:t>
            </w:r>
          </w:p>
          <w:p w:rsidR="00426625" w:rsidRPr="00D147A7" w:rsidRDefault="00426625" w:rsidP="00426625">
            <w:pPr>
              <w:widowControl/>
              <w:suppressAutoHyphens w:val="0"/>
              <w:spacing w:line="240" w:lineRule="atLeast"/>
              <w:jc w:val="both"/>
              <w:rPr>
                <w:i/>
                <w:kern w:val="0"/>
                <w:lang w:eastAsia="en-US" w:bidi="ar-SA"/>
              </w:rPr>
            </w:pPr>
            <w:r w:rsidRPr="00D147A7">
              <w:rPr>
                <w:i/>
                <w:kern w:val="0"/>
                <w:lang w:eastAsia="en-US" w:bidi="ar-SA"/>
              </w:rPr>
              <w:t>-voor schade veroorzaakt in de periode van 27 juli 1988 tot 26 juli 1998: tot en met 26 juli 2018 te weten twintig jaar na de inwerkingtreding van de nieuwe wet;</w:t>
            </w:r>
          </w:p>
          <w:p w:rsidR="00426625" w:rsidRPr="00D147A7" w:rsidRDefault="00426625" w:rsidP="00426625">
            <w:pPr>
              <w:widowControl/>
              <w:suppressAutoHyphens w:val="0"/>
              <w:spacing w:line="240" w:lineRule="atLeast"/>
              <w:jc w:val="both"/>
              <w:rPr>
                <w:kern w:val="0"/>
                <w:lang w:val="nl-NL" w:eastAsia="en-US" w:bidi="ar-SA"/>
              </w:rPr>
            </w:pPr>
            <w:r w:rsidRPr="00D147A7">
              <w:rPr>
                <w:i/>
                <w:kern w:val="0"/>
                <w:lang w:eastAsia="en-US" w:bidi="ar-SA"/>
              </w:rPr>
              <w:t>-voor schade veroorzaakt vanaf 27 juli 1998: twintig jaar na het schadeverwekkend feit</w:t>
            </w:r>
            <w:r w:rsidRPr="00D147A7">
              <w:rPr>
                <w:kern w:val="0"/>
                <w:lang w:eastAsia="en-US" w:bidi="ar-SA"/>
              </w:rPr>
              <w:t>.</w:t>
            </w:r>
            <w:r w:rsidRPr="00D147A7">
              <w:rPr>
                <w:kern w:val="0"/>
                <w:vertAlign w:val="superscript"/>
                <w:lang w:val="fr-BE" w:eastAsia="en-US" w:bidi="ar-SA"/>
              </w:rPr>
              <w:footnoteReference w:id="770"/>
            </w:r>
          </w:p>
        </w:tc>
      </w:tr>
    </w:tbl>
    <w:p w:rsidR="00426625" w:rsidRPr="00D147A7" w:rsidRDefault="00426625" w:rsidP="00426625">
      <w:pPr>
        <w:widowControl/>
        <w:suppressAutoHyphens w:val="0"/>
        <w:spacing w:line="240" w:lineRule="atLeast"/>
        <w:jc w:val="both"/>
        <w:rPr>
          <w:kern w:val="0"/>
          <w:lang w:val="nl-NL" w:eastAsia="en-US" w:bidi="ar-SA"/>
        </w:rPr>
      </w:pPr>
    </w:p>
    <w:p w:rsidR="00426625" w:rsidRPr="00E40390" w:rsidRDefault="00426625" w:rsidP="00426625">
      <w:pPr>
        <w:widowControl/>
        <w:suppressAutoHyphens w:val="0"/>
        <w:spacing w:line="240" w:lineRule="atLeast"/>
        <w:jc w:val="both"/>
        <w:rPr>
          <w:kern w:val="0"/>
          <w:lang w:val="nl-NL" w:eastAsia="en-US" w:bidi="ar-SA"/>
        </w:rPr>
      </w:pPr>
      <w:r w:rsidRPr="00E40390">
        <w:rPr>
          <w:kern w:val="0"/>
          <w:lang w:val="nl-NL" w:eastAsia="en-US" w:bidi="ar-SA"/>
        </w:rPr>
        <w:t>Deze evolutie van het recht heeft de wetgever een jaar nadien evenwel niet belet om de oude burgerrechtelijke bewaartermijn van medische dossiers (dertig jaar) wettelijk te verankeren.</w:t>
      </w:r>
      <w:r w:rsidRPr="00E40390">
        <w:rPr>
          <w:kern w:val="0"/>
          <w:vertAlign w:val="superscript"/>
          <w:lang w:val="nl-NL" w:eastAsia="en-US" w:bidi="ar-SA"/>
        </w:rPr>
        <w:footnoteReference w:id="771"/>
      </w:r>
      <w:r w:rsidRPr="00E40390">
        <w:rPr>
          <w:kern w:val="0"/>
          <w:lang w:val="nl-NL" w:eastAsia="en-US" w:bidi="ar-SA"/>
        </w:rPr>
        <w:t xml:space="preserve"> De bewaartermijn van verpleegkundige dossiers in ziekenhuisverband werd daarentegen wel afgestemd op de nieuwe verjaringstermijn van twintig jaar.</w:t>
      </w:r>
      <w:r w:rsidRPr="00E40390">
        <w:rPr>
          <w:kern w:val="0"/>
          <w:vertAlign w:val="superscript"/>
          <w:lang w:val="nl-NL" w:eastAsia="en-US" w:bidi="ar-SA"/>
        </w:rPr>
        <w:footnoteReference w:id="772"/>
      </w:r>
      <w:r w:rsidRPr="00E40390">
        <w:rPr>
          <w:kern w:val="0"/>
          <w:lang w:val="nl-NL" w:eastAsia="en-US" w:bidi="ar-SA"/>
        </w:rPr>
        <w:t xml:space="preserve"> Er kan dus gesteld worden dat, vanwege de gewijzigde grondslag, de dertigjarige bewaartermijn van bij de invoering achter</w:t>
      </w:r>
      <w:r w:rsidR="00412CF8" w:rsidRPr="00E40390">
        <w:rPr>
          <w:kern w:val="0"/>
          <w:lang w:val="nl-NL" w:eastAsia="en-US" w:bidi="ar-SA"/>
        </w:rPr>
        <w:t>-</w:t>
      </w:r>
      <w:r w:rsidRPr="00E40390">
        <w:rPr>
          <w:kern w:val="0"/>
          <w:lang w:val="nl-NL" w:eastAsia="en-US" w:bidi="ar-SA"/>
        </w:rPr>
        <w:t>haald is. Niettemin houdt deze termijn, ondanks de vele voorstellen tot wetswijziging</w:t>
      </w:r>
      <w:r w:rsidRPr="00E40390">
        <w:rPr>
          <w:kern w:val="0"/>
          <w:vertAlign w:val="superscript"/>
          <w:lang w:val="nl-NL" w:eastAsia="en-US" w:bidi="ar-SA"/>
        </w:rPr>
        <w:footnoteReference w:id="773"/>
      </w:r>
      <w:r w:rsidRPr="00E40390">
        <w:rPr>
          <w:kern w:val="0"/>
          <w:lang w:val="nl-NL" w:eastAsia="en-US" w:bidi="ar-SA"/>
        </w:rPr>
        <w:t>, tot op de dag van vandaag stand. Ook de Nationale Raad van de Orde der geneesheren bepleit de dertigjarige bewaring</w:t>
      </w:r>
      <w:r w:rsidR="00E40390" w:rsidRPr="00E40390">
        <w:rPr>
          <w:kern w:val="0"/>
          <w:lang w:val="nl-NL" w:eastAsia="en-US" w:bidi="ar-SA"/>
        </w:rPr>
        <w:t xml:space="preserve"> van medische dossiers</w:t>
      </w:r>
      <w:r w:rsidRPr="00E40390">
        <w:rPr>
          <w:kern w:val="0"/>
          <w:lang w:val="nl-NL" w:eastAsia="en-US" w:bidi="ar-SA"/>
        </w:rPr>
        <w:t>.</w:t>
      </w:r>
      <w:r w:rsidRPr="00E40390">
        <w:rPr>
          <w:kern w:val="0"/>
          <w:vertAlign w:val="superscript"/>
          <w:lang w:val="nl-NL" w:eastAsia="en-US" w:bidi="ar-SA"/>
        </w:rPr>
        <w:footnoteReference w:id="774"/>
      </w:r>
      <w:r w:rsidRPr="00E40390">
        <w:rPr>
          <w:kern w:val="0"/>
          <w:lang w:val="nl-NL" w:eastAsia="en-US" w:bidi="ar-SA"/>
        </w:rPr>
        <w:t xml:space="preserve"> De Raad overwoog n.a.v. de wijziging van ar</w:t>
      </w:r>
      <w:r w:rsidR="00E40390" w:rsidRPr="00E40390">
        <w:rPr>
          <w:kern w:val="0"/>
          <w:lang w:val="nl-NL" w:eastAsia="en-US" w:bidi="ar-SA"/>
        </w:rPr>
        <w:t>-</w:t>
      </w:r>
      <w:r w:rsidRPr="00E40390">
        <w:rPr>
          <w:kern w:val="0"/>
          <w:lang w:val="nl-NL" w:eastAsia="en-US" w:bidi="ar-SA"/>
        </w:rPr>
        <w:lastRenderedPageBreak/>
        <w:t>tikel 46 C.G.P. op 20 april 2002 om de bewaartermijn van medische dossiers naar twintig jaar terug te schroeven, maar deed dat uiteindelijk niet.</w:t>
      </w:r>
      <w:r w:rsidRPr="00E40390">
        <w:rPr>
          <w:kern w:val="0"/>
          <w:vertAlign w:val="superscript"/>
          <w:lang w:val="nl-NL" w:eastAsia="en-US" w:bidi="ar-SA"/>
        </w:rPr>
        <w:footnoteReference w:id="775"/>
      </w:r>
      <w:r w:rsidRPr="00E40390">
        <w:rPr>
          <w:kern w:val="0"/>
          <w:lang w:val="nl-NL" w:eastAsia="en-US" w:bidi="ar-SA"/>
        </w:rPr>
        <w:t xml:space="preserve"> Aangezien de C.G.P. geen rechtskracht heeft, kunnen deontologische bepalingen die in strijd zijn met de vigerende we</w:t>
      </w:r>
      <w:r w:rsidR="00412CF8" w:rsidRPr="00E40390">
        <w:rPr>
          <w:kern w:val="0"/>
          <w:lang w:val="nl-NL" w:eastAsia="en-US" w:bidi="ar-SA"/>
        </w:rPr>
        <w:t>tgeving niet ju</w:t>
      </w:r>
      <w:r w:rsidR="00E40390" w:rsidRPr="00E40390">
        <w:rPr>
          <w:kern w:val="0"/>
          <w:lang w:val="nl-NL" w:eastAsia="en-US" w:bidi="ar-SA"/>
        </w:rPr>
        <w:t>-</w:t>
      </w:r>
      <w:r w:rsidR="00412CF8" w:rsidRPr="00E40390">
        <w:rPr>
          <w:kern w:val="0"/>
          <w:lang w:val="nl-NL" w:eastAsia="en-US" w:bidi="ar-SA"/>
        </w:rPr>
        <w:t>ridisch worden af</w:t>
      </w:r>
      <w:r w:rsidRPr="00E40390">
        <w:rPr>
          <w:kern w:val="0"/>
          <w:lang w:val="nl-NL" w:eastAsia="en-US" w:bidi="ar-SA"/>
        </w:rPr>
        <w:t>gedwongen.</w:t>
      </w:r>
      <w:r w:rsidRPr="00E40390">
        <w:rPr>
          <w:kern w:val="0"/>
          <w:vertAlign w:val="superscript"/>
          <w:lang w:val="nl-NL" w:eastAsia="en-US" w:bidi="ar-SA"/>
        </w:rPr>
        <w:footnoteReference w:id="776"/>
      </w:r>
      <w:r w:rsidRPr="00E40390">
        <w:rPr>
          <w:kern w:val="0"/>
          <w:lang w:val="nl-NL" w:eastAsia="en-US" w:bidi="ar-SA"/>
        </w:rPr>
        <w:t xml:space="preserve"> De bepalingen van de C.G.P. kunnen wel (tijdelijk) aan wet</w:t>
      </w:r>
      <w:r w:rsidR="00E40390" w:rsidRPr="00E40390">
        <w:rPr>
          <w:kern w:val="0"/>
          <w:lang w:val="nl-NL" w:eastAsia="en-US" w:bidi="ar-SA"/>
        </w:rPr>
        <w:t>-</w:t>
      </w:r>
      <w:r w:rsidRPr="00E40390">
        <w:rPr>
          <w:kern w:val="0"/>
          <w:lang w:val="nl-NL" w:eastAsia="en-US" w:bidi="ar-SA"/>
        </w:rPr>
        <w:t xml:space="preserve">telijke hiaten tegemoet komen. Zo worden álle artsen – dus ook huisartsen – er deontologisch toe verplicht om hun patiëntendossiers gedurende </w:t>
      </w:r>
      <w:r w:rsidR="00E40390" w:rsidRPr="00E40390">
        <w:rPr>
          <w:kern w:val="0"/>
          <w:lang w:val="nl-NL" w:eastAsia="en-US" w:bidi="ar-SA"/>
        </w:rPr>
        <w:t xml:space="preserve">een periode van </w:t>
      </w:r>
      <w:r w:rsidRPr="00E40390">
        <w:rPr>
          <w:kern w:val="0"/>
          <w:lang w:val="nl-NL" w:eastAsia="en-US" w:bidi="ar-SA"/>
        </w:rPr>
        <w:t>dertig jaar bij te houden. De Raad oordeelt wel dat deze bewaartermijn in sommige gevallen – afhankelijk van de aard van de gegevens, de symptomatologie en de leeftijd van de patiënt – verlengd moet kunnen worden.</w:t>
      </w:r>
      <w:r w:rsidRPr="00E40390">
        <w:rPr>
          <w:kern w:val="0"/>
          <w:vertAlign w:val="superscript"/>
          <w:lang w:val="nl-NL" w:eastAsia="en-US" w:bidi="ar-SA"/>
        </w:rPr>
        <w:footnoteReference w:id="777"/>
      </w:r>
      <w:r w:rsidRPr="00E40390">
        <w:rPr>
          <w:kern w:val="0"/>
          <w:lang w:val="nl-NL" w:eastAsia="en-US" w:bidi="ar-SA"/>
        </w:rPr>
        <w:t xml:space="preserve"> Verder preciseert de C.G.P. het moment waarop de bewaartermijn aanvangt, nl. </w:t>
      </w:r>
      <w:r w:rsidRPr="00E40390">
        <w:rPr>
          <w:i/>
          <w:kern w:val="0"/>
          <w:lang w:val="nl-NL" w:eastAsia="en-US" w:bidi="ar-SA"/>
        </w:rPr>
        <w:t>het laatste contact met de patiënt</w:t>
      </w:r>
      <w:r w:rsidRPr="00E40390">
        <w:rPr>
          <w:kern w:val="0"/>
          <w:lang w:val="nl-NL" w:eastAsia="en-US" w:bidi="ar-SA"/>
        </w:rPr>
        <w:t>.</w:t>
      </w:r>
      <w:r w:rsidRPr="00E40390">
        <w:rPr>
          <w:kern w:val="0"/>
          <w:vertAlign w:val="superscript"/>
          <w:lang w:val="nl-NL" w:eastAsia="en-US" w:bidi="ar-SA"/>
        </w:rPr>
        <w:footnoteReference w:id="778"/>
      </w:r>
      <w:r w:rsidRPr="00E40390">
        <w:rPr>
          <w:kern w:val="0"/>
          <w:lang w:val="nl-NL" w:eastAsia="en-US" w:bidi="ar-SA"/>
        </w:rPr>
        <w:t xml:space="preserve"> Dat is immers het uiterste punt waarop de zorgverlener een medische fout kan begaan. Omdat de verjaring niet voor minderjarigen (en onbekwaam</w:t>
      </w:r>
      <w:r w:rsidR="00E40390" w:rsidRPr="00E40390">
        <w:rPr>
          <w:kern w:val="0"/>
          <w:lang w:val="nl-NL" w:eastAsia="en-US" w:bidi="ar-SA"/>
        </w:rPr>
        <w:t>-</w:t>
      </w:r>
      <w:r w:rsidRPr="00E40390">
        <w:rPr>
          <w:kern w:val="0"/>
          <w:lang w:val="nl-NL" w:eastAsia="en-US" w:bidi="ar-SA"/>
        </w:rPr>
        <w:t>verklaarden) geldt</w:t>
      </w:r>
      <w:r w:rsidRPr="00E40390">
        <w:rPr>
          <w:kern w:val="0"/>
          <w:vertAlign w:val="superscript"/>
          <w:lang w:val="nl-NL" w:eastAsia="en-US" w:bidi="ar-SA"/>
        </w:rPr>
        <w:footnoteReference w:id="779"/>
      </w:r>
      <w:r w:rsidRPr="00E40390">
        <w:rPr>
          <w:kern w:val="0"/>
          <w:lang w:val="nl-NL" w:eastAsia="en-US" w:bidi="ar-SA"/>
        </w:rPr>
        <w:t>, vangt de bewaartermijn voor dossiers van minderjarige patiënten pas aan op het moment dat zij de leeftijd van 18 jaar bereiken.</w:t>
      </w:r>
    </w:p>
    <w:p w:rsidR="00426625" w:rsidRPr="00E40390" w:rsidRDefault="00E40390" w:rsidP="00426625">
      <w:pPr>
        <w:widowControl/>
        <w:suppressAutoHyphens w:val="0"/>
        <w:spacing w:line="240" w:lineRule="atLeast"/>
        <w:jc w:val="both"/>
        <w:rPr>
          <w:kern w:val="0"/>
          <w:lang w:val="nl-NL" w:eastAsia="en-US" w:bidi="ar-SA"/>
        </w:rPr>
      </w:pPr>
      <w:r w:rsidRPr="00E40390">
        <w:rPr>
          <w:kern w:val="0"/>
          <w:lang w:val="nl-NL" w:eastAsia="en-US" w:bidi="ar-SA"/>
        </w:rPr>
        <w:t>Het overlijden van een patiënt biedt geen vrijgeleide om diens patiëntendossier te vernieti-gen.</w:t>
      </w:r>
      <w:r w:rsidRPr="00E40390">
        <w:rPr>
          <w:kern w:val="0"/>
          <w:vertAlign w:val="superscript"/>
          <w:lang w:val="nl-NL" w:eastAsia="en-US" w:bidi="ar-SA"/>
        </w:rPr>
        <w:footnoteReference w:id="780"/>
      </w:r>
      <w:r w:rsidRPr="00E40390">
        <w:rPr>
          <w:kern w:val="0"/>
          <w:lang w:val="nl-NL" w:eastAsia="en-US" w:bidi="ar-SA"/>
        </w:rPr>
        <w:t xml:space="preserve"> Het dossier kan immers de nabestaanden nog van dienst zijn, zoals bijvoorbeeld om medische redenen (m.b.t. genetische aandoeningen), teneinde de doodsoorzaak te achterhalen en in het kader van de betwisting van een testament op grond van wilsonbekwaamheid.</w:t>
      </w:r>
      <w:r w:rsidRPr="00E40390">
        <w:rPr>
          <w:kern w:val="0"/>
          <w:vertAlign w:val="superscript"/>
          <w:lang w:val="nl-NL" w:eastAsia="en-US" w:bidi="ar-SA"/>
        </w:rPr>
        <w:footnoteReference w:id="781"/>
      </w:r>
      <w:r w:rsidRPr="00E40390">
        <w:rPr>
          <w:kern w:val="0"/>
          <w:lang w:val="nl-NL" w:eastAsia="en-US" w:bidi="ar-SA"/>
        </w:rPr>
        <w:t xml:space="preserve"> Omdat de Privacywet in beginsel enkel op persoonsgegevens van levende personen van toe-passing is</w:t>
      </w:r>
      <w:r w:rsidRPr="00E40390">
        <w:rPr>
          <w:kern w:val="0"/>
          <w:vertAlign w:val="superscript"/>
          <w:lang w:val="nl-NL" w:eastAsia="en-US" w:bidi="ar-SA"/>
        </w:rPr>
        <w:footnoteReference w:id="782"/>
      </w:r>
      <w:r w:rsidRPr="00E40390">
        <w:rPr>
          <w:kern w:val="0"/>
          <w:lang w:val="nl-NL" w:eastAsia="en-US" w:bidi="ar-SA"/>
        </w:rPr>
        <w:t>, kunnen de dossiers van overleden patiënten meer als tevoren als bron voor we-tenschappelijk onderzoek worden aangewend. In een recent advies van de Privacycommissie wordt – met de nodige nuances – gesteld dat gezondheidsgegevens 150 jaar na de geboorte-datum van de desbetreffende patiënt vrij verwerkt mogen worden.</w:t>
      </w:r>
      <w:r w:rsidRPr="00E40390">
        <w:rPr>
          <w:kern w:val="0"/>
          <w:vertAlign w:val="superscript"/>
          <w:lang w:val="nl-NL" w:eastAsia="en-US" w:bidi="ar-SA"/>
        </w:rPr>
        <w:footnoteReference w:id="783"/>
      </w:r>
      <w:r w:rsidRPr="00E40390">
        <w:rPr>
          <w:kern w:val="0"/>
          <w:lang w:val="nl-NL" w:eastAsia="en-US" w:bidi="ar-SA"/>
        </w:rPr>
        <w:t xml:space="preserve"> Bovendien kunnen ook nabestaanden een aansprakelijkheidsvordering instellen tegen de behandelende arts van de overleden patiënt.</w:t>
      </w:r>
    </w:p>
    <w:p w:rsidR="00E40390" w:rsidRPr="00E40390" w:rsidRDefault="00E40390" w:rsidP="00426625">
      <w:pPr>
        <w:widowControl/>
        <w:suppressAutoHyphens w:val="0"/>
        <w:spacing w:line="240" w:lineRule="atLeast"/>
        <w:jc w:val="both"/>
        <w:rPr>
          <w:kern w:val="0"/>
          <w:lang w:val="nl-NL" w:eastAsia="en-US" w:bidi="ar-SA"/>
        </w:rPr>
      </w:pPr>
    </w:p>
    <w:p w:rsidR="00E40390" w:rsidRPr="00E40390" w:rsidRDefault="00426625" w:rsidP="00426625">
      <w:pPr>
        <w:widowControl/>
        <w:suppressAutoHyphens w:val="0"/>
        <w:spacing w:line="240" w:lineRule="atLeast"/>
        <w:jc w:val="both"/>
        <w:rPr>
          <w:kern w:val="0"/>
          <w:lang w:val="nl-NL" w:eastAsia="en-US" w:bidi="ar-SA"/>
        </w:rPr>
      </w:pPr>
      <w:r w:rsidRPr="00E40390">
        <w:rPr>
          <w:kern w:val="0"/>
          <w:lang w:val="nl-NL" w:eastAsia="en-US" w:bidi="ar-SA"/>
        </w:rPr>
        <w:t>Het werd reeds vermeld dat een individueel verzorgingsdossier uit drie delen bestaat.</w:t>
      </w:r>
      <w:r w:rsidRPr="00E40390">
        <w:rPr>
          <w:kern w:val="0"/>
          <w:vertAlign w:val="superscript"/>
          <w:lang w:val="nl-NL" w:eastAsia="en-US" w:bidi="ar-SA"/>
        </w:rPr>
        <w:footnoteReference w:id="784"/>
      </w:r>
      <w:r w:rsidRPr="00E40390">
        <w:rPr>
          <w:kern w:val="0"/>
          <w:lang w:val="nl-NL" w:eastAsia="en-US" w:bidi="ar-SA"/>
        </w:rPr>
        <w:t xml:space="preserve"> Indi</w:t>
      </w:r>
      <w:r w:rsidR="00412CF8" w:rsidRPr="00E40390">
        <w:rPr>
          <w:kern w:val="0"/>
          <w:lang w:val="nl-NL" w:eastAsia="en-US" w:bidi="ar-SA"/>
        </w:rPr>
        <w:t>-</w:t>
      </w:r>
      <w:r w:rsidRPr="00E40390">
        <w:rPr>
          <w:kern w:val="0"/>
          <w:lang w:val="nl-NL" w:eastAsia="en-US" w:bidi="ar-SA"/>
        </w:rPr>
        <w:t xml:space="preserve">viduele verzorgingsdossiers in rust- en verzorgingstehuizen moeten krachtens de wet </w:t>
      </w:r>
      <w:r w:rsidRPr="00E40390">
        <w:rPr>
          <w:i/>
          <w:iCs/>
          <w:kern w:val="0"/>
          <w:lang w:val="nl-NL" w:eastAsia="en-US" w:bidi="ar-SA"/>
        </w:rPr>
        <w:t>constant in de instelling aanwezig zijn</w:t>
      </w:r>
      <w:r w:rsidRPr="00E40390">
        <w:rPr>
          <w:i/>
          <w:kern w:val="0"/>
          <w:lang w:val="nl-NL" w:eastAsia="en-US" w:bidi="ar-SA"/>
        </w:rPr>
        <w:t>.</w:t>
      </w:r>
      <w:r w:rsidRPr="00E40390">
        <w:rPr>
          <w:kern w:val="0"/>
          <w:vertAlign w:val="superscript"/>
          <w:lang w:val="nl-NL" w:eastAsia="en-US" w:bidi="ar-SA"/>
        </w:rPr>
        <w:footnoteReference w:id="785"/>
      </w:r>
      <w:r w:rsidRPr="00E40390">
        <w:rPr>
          <w:kern w:val="0"/>
          <w:lang w:val="nl-NL" w:eastAsia="en-US" w:bidi="ar-SA"/>
        </w:rPr>
        <w:t xml:space="preserve"> Omdat de wetgever het begrip ‘constant’ niet nader defini</w:t>
      </w:r>
      <w:r w:rsidR="00412CF8" w:rsidRPr="00E40390">
        <w:rPr>
          <w:kern w:val="0"/>
          <w:lang w:val="nl-NL" w:eastAsia="en-US" w:bidi="ar-SA"/>
        </w:rPr>
        <w:t>-</w:t>
      </w:r>
      <w:r w:rsidRPr="00E40390">
        <w:rPr>
          <w:kern w:val="0"/>
          <w:lang w:val="nl-NL" w:eastAsia="en-US" w:bidi="ar-SA"/>
        </w:rPr>
        <w:lastRenderedPageBreak/>
        <w:t xml:space="preserve">eerde, verdient het aanbeveling om </w:t>
      </w:r>
      <w:r w:rsidR="00E40390" w:rsidRPr="00E40390">
        <w:rPr>
          <w:kern w:val="0"/>
          <w:lang w:val="nl-NL" w:eastAsia="en-US" w:bidi="ar-SA"/>
        </w:rPr>
        <w:t xml:space="preserve">ook </w:t>
      </w:r>
      <w:r w:rsidRPr="00E40390">
        <w:rPr>
          <w:kern w:val="0"/>
          <w:lang w:val="nl-NL" w:eastAsia="en-US" w:bidi="ar-SA"/>
        </w:rPr>
        <w:t>d</w:t>
      </w:r>
      <w:r w:rsidR="00E40390" w:rsidRPr="00E40390">
        <w:rPr>
          <w:kern w:val="0"/>
          <w:lang w:val="nl-NL" w:eastAsia="en-US" w:bidi="ar-SA"/>
        </w:rPr>
        <w:t>ez</w:t>
      </w:r>
      <w:r w:rsidRPr="00E40390">
        <w:rPr>
          <w:kern w:val="0"/>
          <w:lang w:val="nl-NL" w:eastAsia="en-US" w:bidi="ar-SA"/>
        </w:rPr>
        <w:t xml:space="preserve">e medische </w:t>
      </w:r>
      <w:r w:rsidR="00E40390" w:rsidRPr="00E40390">
        <w:rPr>
          <w:kern w:val="0"/>
          <w:lang w:val="nl-NL" w:eastAsia="en-US" w:bidi="ar-SA"/>
        </w:rPr>
        <w:t xml:space="preserve">en verpleegkundige </w:t>
      </w:r>
      <w:r w:rsidRPr="00E40390">
        <w:rPr>
          <w:kern w:val="0"/>
          <w:lang w:val="nl-NL" w:eastAsia="en-US" w:bidi="ar-SA"/>
        </w:rPr>
        <w:t xml:space="preserve">dossiers </w:t>
      </w:r>
      <w:r w:rsidR="00E40390" w:rsidRPr="00E40390">
        <w:rPr>
          <w:kern w:val="0"/>
          <w:lang w:val="nl-NL" w:eastAsia="en-US" w:bidi="ar-SA"/>
        </w:rPr>
        <w:t xml:space="preserve">respec-tievelijk </w:t>
      </w:r>
      <w:r w:rsidRPr="00E40390">
        <w:rPr>
          <w:kern w:val="0"/>
          <w:lang w:val="nl-NL" w:eastAsia="en-US" w:bidi="ar-SA"/>
        </w:rPr>
        <w:t xml:space="preserve">dertig </w:t>
      </w:r>
      <w:r w:rsidR="00E40390" w:rsidRPr="00E40390">
        <w:rPr>
          <w:kern w:val="0"/>
          <w:lang w:val="nl-NL" w:eastAsia="en-US" w:bidi="ar-SA"/>
        </w:rPr>
        <w:t xml:space="preserve">en twintig </w:t>
      </w:r>
      <w:r w:rsidRPr="00E40390">
        <w:rPr>
          <w:kern w:val="0"/>
          <w:lang w:val="nl-NL" w:eastAsia="en-US" w:bidi="ar-SA"/>
        </w:rPr>
        <w:t>jaar te bewaren.</w:t>
      </w:r>
      <w:r w:rsidRPr="00E40390">
        <w:rPr>
          <w:kern w:val="0"/>
          <w:vertAlign w:val="superscript"/>
          <w:lang w:val="nl-NL" w:eastAsia="en-US" w:bidi="ar-SA"/>
        </w:rPr>
        <w:footnoteReference w:id="786"/>
      </w:r>
      <w:r w:rsidRPr="00E40390">
        <w:rPr>
          <w:kern w:val="0"/>
          <w:lang w:val="nl-NL" w:eastAsia="en-US" w:bidi="ar-SA"/>
        </w:rPr>
        <w:t xml:space="preserve"> </w:t>
      </w:r>
    </w:p>
    <w:p w:rsidR="00426625" w:rsidRPr="00412CF8" w:rsidRDefault="00426625" w:rsidP="00426625">
      <w:pPr>
        <w:widowControl/>
        <w:suppressAutoHyphens w:val="0"/>
        <w:spacing w:line="240" w:lineRule="atLeast"/>
        <w:jc w:val="both"/>
        <w:rPr>
          <w:color w:val="FFFF00"/>
          <w:kern w:val="0"/>
          <w:highlight w:val="green"/>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Hoewel de dertigjarige bewaartermijn in de praktijk algemeen aanvaard is</w:t>
      </w:r>
      <w:r w:rsidRPr="00D147A7">
        <w:rPr>
          <w:kern w:val="0"/>
          <w:vertAlign w:val="superscript"/>
          <w:lang w:val="nl-NL" w:eastAsia="en-US" w:bidi="ar-SA"/>
        </w:rPr>
        <w:footnoteReference w:id="787"/>
      </w:r>
      <w:r w:rsidRPr="00D147A7">
        <w:rPr>
          <w:kern w:val="0"/>
          <w:lang w:val="nl-NL" w:eastAsia="en-US" w:bidi="ar-SA"/>
        </w:rPr>
        <w:t>, wordt deze daarom niet minder bekritiseerd.</w:t>
      </w:r>
      <w:r w:rsidRPr="00D147A7">
        <w:rPr>
          <w:kern w:val="0"/>
          <w:vertAlign w:val="superscript"/>
          <w:lang w:val="nl-NL" w:eastAsia="en-US" w:bidi="ar-SA"/>
        </w:rPr>
        <w:footnoteReference w:id="788"/>
      </w:r>
      <w:r w:rsidRPr="00D147A7">
        <w:rPr>
          <w:kern w:val="0"/>
          <w:lang w:val="nl-NL" w:eastAsia="en-US" w:bidi="ar-SA"/>
        </w:rPr>
        <w:t xml:space="preserve"> Over de vraag hoelang patiëntendossiers bewaard moeten worden, lopen de meningen </w:t>
      </w:r>
      <w:r w:rsidR="00E40390" w:rsidRPr="00D147A7">
        <w:rPr>
          <w:kern w:val="0"/>
          <w:lang w:val="nl-NL" w:eastAsia="en-US" w:bidi="ar-SA"/>
        </w:rPr>
        <w:t xml:space="preserve">in de rechtsleer </w:t>
      </w:r>
      <w:r w:rsidRPr="00D147A7">
        <w:rPr>
          <w:kern w:val="0"/>
          <w:lang w:val="nl-NL" w:eastAsia="en-US" w:bidi="ar-SA"/>
        </w:rPr>
        <w:t>sterk uiteen. Dat artsen moreel verplicht zouden zijn om hun patiëntendossiers quasi permanent bij te houden, kan op zijn minst een extreme stellingname worden genoemd.</w:t>
      </w:r>
      <w:r w:rsidRPr="00D147A7">
        <w:rPr>
          <w:kern w:val="0"/>
          <w:vertAlign w:val="superscript"/>
          <w:lang w:val="nl-NL" w:eastAsia="en-US" w:bidi="ar-SA"/>
        </w:rPr>
        <w:footnoteReference w:id="789"/>
      </w:r>
      <w:r w:rsidRPr="00D147A7">
        <w:rPr>
          <w:kern w:val="0"/>
          <w:lang w:val="nl-NL" w:eastAsia="en-US" w:bidi="ar-SA"/>
        </w:rPr>
        <w:t xml:space="preserve"> Aan het andere uiterste van het spectrum wordt de bewaar</w:t>
      </w:r>
      <w:r w:rsidR="00E40390">
        <w:rPr>
          <w:kern w:val="0"/>
          <w:lang w:val="nl-NL" w:eastAsia="en-US" w:bidi="ar-SA"/>
        </w:rPr>
        <w:t>-</w:t>
      </w:r>
      <w:r w:rsidRPr="00D147A7">
        <w:rPr>
          <w:kern w:val="0"/>
          <w:lang w:val="nl-NL" w:eastAsia="en-US" w:bidi="ar-SA"/>
        </w:rPr>
        <w:t>termijn van dertig jaar verweten een absoluut record naar internationale normen te zijn.</w:t>
      </w:r>
      <w:r w:rsidRPr="00D147A7">
        <w:rPr>
          <w:kern w:val="0"/>
          <w:vertAlign w:val="superscript"/>
          <w:lang w:val="nl-NL" w:eastAsia="en-US" w:bidi="ar-SA"/>
        </w:rPr>
        <w:footnoteReference w:id="790"/>
      </w:r>
      <w:r w:rsidRPr="00D147A7">
        <w:rPr>
          <w:kern w:val="0"/>
          <w:lang w:val="nl-NL" w:eastAsia="en-US" w:bidi="ar-SA"/>
        </w:rPr>
        <w:t xml:space="preserve"> Tegenstanders van de dertigjarige bewaartermijn pleiten voor meer selectieve bewaartermijn</w:t>
      </w:r>
      <w:r w:rsidR="00E40390">
        <w:rPr>
          <w:kern w:val="0"/>
          <w:lang w:val="nl-NL" w:eastAsia="en-US" w:bidi="ar-SA"/>
        </w:rPr>
        <w:t>-</w:t>
      </w:r>
      <w:r w:rsidRPr="00D147A7">
        <w:rPr>
          <w:kern w:val="0"/>
          <w:lang w:val="nl-NL" w:eastAsia="en-US" w:bidi="ar-SA"/>
        </w:rPr>
        <w:t>en die afhankelijk zijn van de aard van de gegevens.</w:t>
      </w:r>
      <w:r w:rsidRPr="00D147A7">
        <w:rPr>
          <w:kern w:val="0"/>
          <w:vertAlign w:val="superscript"/>
          <w:lang w:val="nl-NL" w:eastAsia="en-US" w:bidi="ar-SA"/>
        </w:rPr>
        <w:footnoteReference w:id="791"/>
      </w:r>
      <w:r w:rsidRPr="00D147A7">
        <w:rPr>
          <w:kern w:val="0"/>
          <w:lang w:val="nl-NL" w:eastAsia="en-US" w:bidi="ar-SA"/>
        </w:rPr>
        <w:t xml:space="preserve"> Hoewel dit laatste in theorie erg opportuun en logisch lijkt, is de uitvoering ervan een te arbeidsintensieve bezigheid. Zolang niet alle patiëntendossiers </w:t>
      </w:r>
      <w:r w:rsidR="00753DF8">
        <w:rPr>
          <w:kern w:val="0"/>
          <w:lang w:val="nl-NL" w:eastAsia="en-US" w:bidi="ar-SA"/>
        </w:rPr>
        <w:t>gedigitaliseerd</w:t>
      </w:r>
      <w:r w:rsidRPr="00D147A7">
        <w:rPr>
          <w:kern w:val="0"/>
          <w:lang w:val="nl-NL" w:eastAsia="en-US" w:bidi="ar-SA"/>
        </w:rPr>
        <w:t xml:space="preserve"> zijn – zodat de selectie </w:t>
      </w:r>
      <w:r w:rsidR="00753DF8">
        <w:rPr>
          <w:kern w:val="0"/>
          <w:lang w:val="nl-NL" w:eastAsia="en-US" w:bidi="ar-SA"/>
        </w:rPr>
        <w:t xml:space="preserve">en de vernietiging </w:t>
      </w:r>
      <w:r w:rsidRPr="00D147A7">
        <w:rPr>
          <w:kern w:val="0"/>
          <w:lang w:val="nl-NL" w:eastAsia="en-US" w:bidi="ar-SA"/>
        </w:rPr>
        <w:t>automa</w:t>
      </w:r>
      <w:r w:rsidR="00753DF8">
        <w:rPr>
          <w:kern w:val="0"/>
          <w:lang w:val="nl-NL" w:eastAsia="en-US" w:bidi="ar-SA"/>
        </w:rPr>
        <w:t>-</w:t>
      </w:r>
      <w:r w:rsidRPr="00D147A7">
        <w:rPr>
          <w:kern w:val="0"/>
          <w:lang w:val="nl-NL" w:eastAsia="en-US" w:bidi="ar-SA"/>
        </w:rPr>
        <w:t xml:space="preserve">tisch kan worden uitgevoerd – is dit dus onmogelijk. </w:t>
      </w:r>
      <w:r w:rsidR="00753DF8">
        <w:rPr>
          <w:kern w:val="0"/>
          <w:lang w:val="nl-NL" w:eastAsia="en-US" w:bidi="ar-SA"/>
        </w:rPr>
        <w:t>Vooralsnog</w:t>
      </w:r>
      <w:r w:rsidRPr="00D147A7">
        <w:rPr>
          <w:kern w:val="0"/>
          <w:lang w:val="nl-NL" w:eastAsia="en-US" w:bidi="ar-SA"/>
        </w:rPr>
        <w:t xml:space="preserve"> zijn en blijven aparte be</w:t>
      </w:r>
      <w:r w:rsidR="00753DF8">
        <w:rPr>
          <w:kern w:val="0"/>
          <w:lang w:val="nl-NL" w:eastAsia="en-US" w:bidi="ar-SA"/>
        </w:rPr>
        <w:t>-</w:t>
      </w:r>
      <w:r w:rsidRPr="00D147A7">
        <w:rPr>
          <w:kern w:val="0"/>
          <w:lang w:val="nl-NL" w:eastAsia="en-US" w:bidi="ar-SA"/>
        </w:rPr>
        <w:t xml:space="preserve">waarregimes voor alle mogelijke bescheiden van een patiëntendossier een idealistische, maar onrealistische gedachte. Vooralsnog wegen de logistieke en organisatorische problemen die een dertigjarige bewaring van patiëntendossiers voor zorgverleners en </w:t>
      </w:r>
      <w:r w:rsidR="00753DF8">
        <w:rPr>
          <w:kern w:val="0"/>
          <w:lang w:val="nl-NL" w:eastAsia="en-US" w:bidi="ar-SA"/>
        </w:rPr>
        <w:t>verzorgings</w:t>
      </w:r>
      <w:r w:rsidRPr="00D147A7">
        <w:rPr>
          <w:kern w:val="0"/>
          <w:lang w:val="nl-NL" w:eastAsia="en-US" w:bidi="ar-SA"/>
        </w:rPr>
        <w:t xml:space="preserve">instellingen </w:t>
      </w:r>
      <w:r w:rsidR="00753DF8" w:rsidRPr="00D147A7">
        <w:rPr>
          <w:kern w:val="0"/>
          <w:lang w:val="nl-NL" w:eastAsia="en-US" w:bidi="ar-SA"/>
        </w:rPr>
        <w:t xml:space="preserve">teweeg brengen </w:t>
      </w:r>
      <w:r w:rsidRPr="00D147A7">
        <w:rPr>
          <w:kern w:val="0"/>
          <w:lang w:val="nl-NL" w:eastAsia="en-US" w:bidi="ar-SA"/>
        </w:rPr>
        <w:t>m.i. niet op tegen de voordelen die wetenschappers en patiënten (en aanver</w:t>
      </w:r>
      <w:r w:rsidR="00753DF8">
        <w:rPr>
          <w:kern w:val="0"/>
          <w:lang w:val="nl-NL" w:eastAsia="en-US" w:bidi="ar-SA"/>
        </w:rPr>
        <w:t>-</w:t>
      </w:r>
      <w:r w:rsidRPr="00D147A7">
        <w:rPr>
          <w:kern w:val="0"/>
          <w:lang w:val="nl-NL" w:eastAsia="en-US" w:bidi="ar-SA"/>
        </w:rPr>
        <w:t>wanten) hiervan ondervinden.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Documenten die aan een (papieren) patiëntendossier worden toegevoegd, zullen in de praktijk </w:t>
      </w:r>
      <w:r w:rsidR="00B63E10">
        <w:rPr>
          <w:kern w:val="0"/>
          <w:lang w:val="nl-NL" w:eastAsia="en-US" w:bidi="ar-SA"/>
        </w:rPr>
        <w:t>doorgaans</w:t>
      </w:r>
      <w:r w:rsidRPr="00D147A7">
        <w:rPr>
          <w:kern w:val="0"/>
          <w:lang w:val="nl-NL" w:eastAsia="en-US" w:bidi="ar-SA"/>
        </w:rPr>
        <w:t xml:space="preserve"> even lang bewaard worden als de andere documenten van dat dossier. Niettemin heeft de wetgever voor bepaalde documenten een specifieke bewaartermijnen verordend.</w:t>
      </w:r>
      <w:r w:rsidRPr="00D147A7">
        <w:rPr>
          <w:kern w:val="0"/>
          <w:vertAlign w:val="superscript"/>
          <w:lang w:val="nl-NL" w:eastAsia="en-US" w:bidi="ar-SA"/>
        </w:rPr>
        <w:footnoteReference w:id="792"/>
      </w:r>
      <w:r w:rsidRPr="00D147A7">
        <w:rPr>
          <w:kern w:val="0"/>
          <w:lang w:val="nl-NL" w:eastAsia="en-US" w:bidi="ar-SA"/>
        </w:rPr>
        <w:t xml:space="preserve"> Ondanks de praktische bezwaren zijn sommige gegevens </w:t>
      </w:r>
      <w:r w:rsidR="00B63E10">
        <w:rPr>
          <w:kern w:val="0"/>
          <w:lang w:val="nl-NL" w:eastAsia="en-US" w:bidi="ar-SA"/>
        </w:rPr>
        <w:t xml:space="preserve">nu eenmaal </w:t>
      </w:r>
      <w:r w:rsidRPr="00D147A7">
        <w:rPr>
          <w:kern w:val="0"/>
          <w:lang w:val="nl-NL" w:eastAsia="en-US" w:bidi="ar-SA"/>
        </w:rPr>
        <w:t>belangrijker dan ande</w:t>
      </w:r>
      <w:r w:rsidR="00B63E10">
        <w:rPr>
          <w:kern w:val="0"/>
          <w:lang w:val="nl-NL" w:eastAsia="en-US" w:bidi="ar-SA"/>
        </w:rPr>
        <w:t>re informatie</w:t>
      </w:r>
      <w:r w:rsidRPr="00D147A7">
        <w:rPr>
          <w:kern w:val="0"/>
          <w:lang w:val="nl-NL" w:eastAsia="en-US" w:bidi="ar-SA"/>
        </w:rPr>
        <w:t xml:space="preserve"> – zoals met betrekking tot erfelijke aandoeningen, chronische ziektes, psychiatrie of kindergeneeskunde, evenals bescheiden m.b.t. patiënten die een gerechtelijke procedure tegen hun arts hebben aangespannen en documenten die een zekere wetenschappelijke waarde hebben – en zouden dus ook langer bijgehouden moeten worden.</w:t>
      </w:r>
      <w:r w:rsidRPr="00D147A7">
        <w:rPr>
          <w:kern w:val="0"/>
          <w:vertAlign w:val="superscript"/>
          <w:lang w:val="nl-NL" w:eastAsia="en-US" w:bidi="ar-SA"/>
        </w:rPr>
        <w:footnoteReference w:id="793"/>
      </w:r>
      <w:r w:rsidRPr="00D147A7">
        <w:rPr>
          <w:kern w:val="0"/>
          <w:lang w:val="nl-NL" w:eastAsia="en-US" w:bidi="ar-SA"/>
        </w:rPr>
        <w:t xml:space="preserve"> Zonder wettelijke basis zou het onduidelijk zijn wanneer documenten integraal deel uitmaken van het patiëntendossier – en dus dertig jaar bewaard moeten worden – dan wel volgens een apart regime dienen te worden behandeld (en hoe dat regime moet worden ingevuld). Hieronder worden enkele uit</w:t>
      </w:r>
      <w:r w:rsidR="00B63E10">
        <w:rPr>
          <w:kern w:val="0"/>
          <w:lang w:val="nl-NL" w:eastAsia="en-US" w:bidi="ar-SA"/>
        </w:rPr>
        <w:t>-</w:t>
      </w:r>
      <w:r w:rsidRPr="00D147A7">
        <w:rPr>
          <w:kern w:val="0"/>
          <w:lang w:val="nl-NL" w:eastAsia="en-US" w:bidi="ar-SA"/>
        </w:rPr>
        <w:t>zonderingen opgesomd.</w:t>
      </w:r>
    </w:p>
    <w:p w:rsidR="00B63E10" w:rsidRDefault="00426625" w:rsidP="00B63E10">
      <w:pPr>
        <w:pStyle w:val="Geenafstand"/>
        <w:numPr>
          <w:ilvl w:val="0"/>
          <w:numId w:val="22"/>
        </w:numPr>
        <w:ind w:left="0" w:hanging="11"/>
        <w:jc w:val="both"/>
        <w:rPr>
          <w:rFonts w:ascii="Times New Roman" w:hAnsi="Times New Roman" w:cs="Times New Roman"/>
          <w:sz w:val="24"/>
          <w:szCs w:val="24"/>
          <w:shd w:val="clear" w:color="auto" w:fill="FFFFFF"/>
          <w:lang w:val="nl-NL"/>
        </w:rPr>
      </w:pPr>
      <w:r w:rsidRPr="00B63E10">
        <w:rPr>
          <w:rFonts w:ascii="Times New Roman" w:hAnsi="Times New Roman" w:cs="Times New Roman"/>
          <w:i/>
          <w:sz w:val="24"/>
          <w:szCs w:val="24"/>
          <w:lang w:val="nl-NL"/>
        </w:rPr>
        <w:t>Onverminderd de bewaringstermijnen die door andere wetgevingen of door de regelen van de medische plichtenleer zijn opgelegd, moeten de verslagen, documenten, tracés en gra</w:t>
      </w:r>
      <w:r w:rsidR="00B63E10">
        <w:rPr>
          <w:rFonts w:ascii="Times New Roman" w:hAnsi="Times New Roman" w:cs="Times New Roman"/>
          <w:i/>
          <w:sz w:val="24"/>
          <w:szCs w:val="24"/>
          <w:lang w:val="nl-NL"/>
        </w:rPr>
        <w:t>-</w:t>
      </w:r>
      <w:r w:rsidRPr="00B63E10">
        <w:rPr>
          <w:rFonts w:ascii="Times New Roman" w:hAnsi="Times New Roman" w:cs="Times New Roman"/>
          <w:i/>
          <w:sz w:val="24"/>
          <w:szCs w:val="24"/>
          <w:lang w:val="nl-NL"/>
        </w:rPr>
        <w:t xml:space="preserve">fieken waarvan sprake is in de omschrijvingen in deze nomenclatuur, alsmede de protocollen van radiografieën en van laboratoriumonderzoeken, gedurende tenminste twee jaar worden </w:t>
      </w:r>
      <w:r w:rsidRPr="00B63E10">
        <w:rPr>
          <w:rFonts w:ascii="Times New Roman" w:hAnsi="Times New Roman" w:cs="Times New Roman"/>
          <w:i/>
          <w:sz w:val="24"/>
          <w:szCs w:val="24"/>
          <w:lang w:val="nl-NL"/>
        </w:rPr>
        <w:lastRenderedPageBreak/>
        <w:t>bewaard</w:t>
      </w:r>
      <w:r w:rsidRPr="00B63E10">
        <w:rPr>
          <w:rFonts w:ascii="Times New Roman" w:hAnsi="Times New Roman" w:cs="Times New Roman"/>
          <w:sz w:val="24"/>
          <w:szCs w:val="24"/>
          <w:lang w:val="nl-NL"/>
        </w:rPr>
        <w:t>.</w:t>
      </w:r>
      <w:r w:rsidRPr="00B63E10">
        <w:rPr>
          <w:rFonts w:ascii="Times New Roman" w:hAnsi="Times New Roman" w:cs="Times New Roman"/>
          <w:sz w:val="24"/>
          <w:szCs w:val="24"/>
          <w:vertAlign w:val="superscript"/>
          <w:lang w:val="nl-NL"/>
        </w:rPr>
        <w:footnoteReference w:id="794"/>
      </w:r>
      <w:r w:rsidRPr="00B63E10">
        <w:rPr>
          <w:rFonts w:ascii="Times New Roman" w:hAnsi="Times New Roman" w:cs="Times New Roman"/>
          <w:sz w:val="24"/>
          <w:szCs w:val="24"/>
          <w:lang w:val="nl-NL"/>
        </w:rPr>
        <w:t xml:space="preserve"> De Nationale Raad van de Orde der geneesheren duldt evenwel dat röntgenfoto’s en andere resultaten van technische onderzoeken doorgaans aan de patiënten zelf worden meegegeven; enkel de originele protocollen moeten aan het patiëntendossier worden toege</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voegd.</w:t>
      </w:r>
      <w:r w:rsidRPr="00B63E10">
        <w:rPr>
          <w:rFonts w:ascii="Times New Roman" w:hAnsi="Times New Roman" w:cs="Times New Roman"/>
          <w:sz w:val="24"/>
          <w:szCs w:val="24"/>
          <w:vertAlign w:val="superscript"/>
          <w:lang w:val="nl-NL"/>
        </w:rPr>
        <w:footnoteReference w:id="795"/>
      </w:r>
      <w:r w:rsidRPr="00B63E10">
        <w:rPr>
          <w:rFonts w:ascii="Times New Roman" w:hAnsi="Times New Roman" w:cs="Times New Roman"/>
          <w:sz w:val="24"/>
          <w:szCs w:val="24"/>
          <w:lang w:val="nl-NL"/>
        </w:rPr>
        <w:t xml:space="preserve"> De bewaring van röntgenfoto’s brengt immers problemen van organisatorische en ergonomische aard teweeg</w:t>
      </w:r>
      <w:r w:rsidRPr="00B63E10">
        <w:rPr>
          <w:rFonts w:ascii="Times New Roman" w:hAnsi="Times New Roman" w:cs="Times New Roman"/>
          <w:sz w:val="24"/>
          <w:szCs w:val="24"/>
          <w:vertAlign w:val="superscript"/>
          <w:lang w:val="nl-NL"/>
        </w:rPr>
        <w:footnoteReference w:id="796"/>
      </w:r>
      <w:r w:rsidRPr="00B63E10">
        <w:rPr>
          <w:rFonts w:ascii="Times New Roman" w:hAnsi="Times New Roman" w:cs="Times New Roman"/>
          <w:sz w:val="24"/>
          <w:szCs w:val="24"/>
          <w:lang w:val="nl-NL"/>
        </w:rPr>
        <w:t xml:space="preserve"> en ne</w:t>
      </w:r>
      <w:r w:rsidR="00B63E10" w:rsidRPr="00B63E10">
        <w:rPr>
          <w:rFonts w:ascii="Times New Roman" w:hAnsi="Times New Roman" w:cs="Times New Roman"/>
          <w:sz w:val="24"/>
          <w:szCs w:val="24"/>
          <w:lang w:val="nl-NL"/>
        </w:rPr>
        <w:t>men</w:t>
      </w:r>
      <w:r w:rsidRPr="00B63E10">
        <w:rPr>
          <w:rFonts w:ascii="Times New Roman" w:hAnsi="Times New Roman" w:cs="Times New Roman"/>
          <w:sz w:val="24"/>
          <w:szCs w:val="24"/>
          <w:lang w:val="nl-NL"/>
        </w:rPr>
        <w:t xml:space="preserve"> veel opslagruimte in beslag.</w:t>
      </w:r>
      <w:r w:rsidRPr="00B63E10">
        <w:rPr>
          <w:rFonts w:ascii="Times New Roman" w:hAnsi="Times New Roman" w:cs="Times New Roman"/>
          <w:sz w:val="24"/>
          <w:szCs w:val="24"/>
          <w:vertAlign w:val="superscript"/>
          <w:lang w:val="nl-NL"/>
        </w:rPr>
        <w:footnoteReference w:id="797"/>
      </w:r>
      <w:r w:rsidRPr="00B63E10">
        <w:rPr>
          <w:rFonts w:ascii="Times New Roman" w:hAnsi="Times New Roman" w:cs="Times New Roman"/>
          <w:sz w:val="24"/>
          <w:szCs w:val="24"/>
          <w:lang w:val="nl-NL"/>
        </w:rPr>
        <w:t xml:space="preserve"> Als er stukken aan de patiënt worden meegegeven, is het raadzaam dat artsen hen een ontvangstbewijs laten onder</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tekenen.</w:t>
      </w:r>
      <w:r w:rsidRPr="00B63E10">
        <w:rPr>
          <w:rFonts w:ascii="Times New Roman" w:hAnsi="Times New Roman" w:cs="Times New Roman"/>
          <w:sz w:val="24"/>
          <w:szCs w:val="24"/>
          <w:vertAlign w:val="superscript"/>
          <w:lang w:val="nl-NL"/>
        </w:rPr>
        <w:footnoteReference w:id="798"/>
      </w:r>
      <w:r w:rsidRPr="00B63E10">
        <w:rPr>
          <w:rFonts w:ascii="Times New Roman" w:hAnsi="Times New Roman" w:cs="Times New Roman"/>
          <w:sz w:val="24"/>
          <w:szCs w:val="24"/>
          <w:lang w:val="nl-NL"/>
        </w:rPr>
        <w:t xml:space="preserve"> Wanneer deze onderzoeksresultaten evenwel op ernstige ziekten betrekking heb</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ben, is het medisch verantwoord om ze aan het medisch dossier toe te voegen (en dus ook der</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tig jaar te bewaren). De Nationale Raad is echter niet consistent in haar uitspraken. In een la</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ter advies worden artsen immers aangemaand om elektro-encefalografische tracés en röntgen</w:t>
      </w:r>
      <w:r w:rsidR="00B63E10" w:rsidRPr="00B63E10">
        <w:rPr>
          <w:rFonts w:ascii="Times New Roman" w:hAnsi="Times New Roman" w:cs="Times New Roman"/>
          <w:sz w:val="24"/>
          <w:szCs w:val="24"/>
          <w:lang w:val="nl-NL"/>
        </w:rPr>
        <w:t>-</w:t>
      </w:r>
      <w:r w:rsidRPr="00B63E10">
        <w:rPr>
          <w:rFonts w:ascii="Times New Roman" w:hAnsi="Times New Roman" w:cs="Times New Roman"/>
          <w:sz w:val="24"/>
          <w:szCs w:val="24"/>
          <w:lang w:val="nl-NL"/>
        </w:rPr>
        <w:t>foto’s dertig jaar te bewaren.</w:t>
      </w:r>
      <w:r w:rsidRPr="00B63E10">
        <w:rPr>
          <w:rFonts w:ascii="Times New Roman" w:hAnsi="Times New Roman" w:cs="Times New Roman"/>
          <w:sz w:val="24"/>
          <w:szCs w:val="24"/>
          <w:vertAlign w:val="superscript"/>
          <w:lang w:val="nl-NL"/>
        </w:rPr>
        <w:footnoteReference w:id="799"/>
      </w:r>
      <w:r w:rsidRPr="00B63E10">
        <w:rPr>
          <w:rFonts w:ascii="Times New Roman" w:hAnsi="Times New Roman" w:cs="Times New Roman"/>
          <w:sz w:val="24"/>
          <w:szCs w:val="24"/>
          <w:lang w:val="nl-NL"/>
        </w:rPr>
        <w:t xml:space="preserve"> Sommigen pleiten voor een bewaring van tien jaar</w:t>
      </w:r>
      <w:r w:rsidRPr="00B63E10">
        <w:rPr>
          <w:rFonts w:ascii="Times New Roman" w:hAnsi="Times New Roman" w:cs="Times New Roman"/>
          <w:sz w:val="24"/>
          <w:szCs w:val="24"/>
          <w:vertAlign w:val="superscript"/>
          <w:lang w:val="nl-NL"/>
        </w:rPr>
        <w:footnoteReference w:id="800"/>
      </w:r>
      <w:r w:rsidRPr="00B63E10">
        <w:rPr>
          <w:rFonts w:ascii="Times New Roman" w:hAnsi="Times New Roman" w:cs="Times New Roman"/>
          <w:sz w:val="24"/>
          <w:szCs w:val="24"/>
          <w:lang w:val="nl-NL"/>
        </w:rPr>
        <w:t xml:space="preserve">, terwijl de </w:t>
      </w:r>
      <w:r w:rsidR="00B63E10" w:rsidRPr="00B63E10">
        <w:rPr>
          <w:rFonts w:ascii="Times New Roman" w:hAnsi="Times New Roman" w:cs="Times New Roman"/>
          <w:sz w:val="24"/>
          <w:szCs w:val="24"/>
          <w:shd w:val="clear" w:color="auto" w:fill="FFFFFF"/>
          <w:lang w:val="nl-NL"/>
        </w:rPr>
        <w:t>bewaartermijnen</w:t>
      </w:r>
      <w:r w:rsidRPr="00B63E10">
        <w:rPr>
          <w:rFonts w:ascii="Times New Roman" w:hAnsi="Times New Roman" w:cs="Times New Roman"/>
          <w:sz w:val="24"/>
          <w:szCs w:val="24"/>
          <w:shd w:val="clear" w:color="auto" w:fill="FFFFFF"/>
          <w:lang w:val="nl-NL"/>
        </w:rPr>
        <w:t xml:space="preserve"> van röntgenfoto’s </w:t>
      </w:r>
      <w:r w:rsidRPr="00B63E10">
        <w:rPr>
          <w:rFonts w:ascii="Times New Roman" w:hAnsi="Times New Roman" w:cs="Times New Roman"/>
          <w:sz w:val="24"/>
          <w:szCs w:val="24"/>
          <w:lang w:val="nl-NL"/>
        </w:rPr>
        <w:t>i</w:t>
      </w:r>
      <w:r w:rsidRPr="00B63E10">
        <w:rPr>
          <w:rFonts w:ascii="Times New Roman" w:hAnsi="Times New Roman" w:cs="Times New Roman"/>
          <w:sz w:val="24"/>
          <w:szCs w:val="24"/>
          <w:shd w:val="clear" w:color="auto" w:fill="FFFFFF"/>
          <w:lang w:val="nl-NL"/>
        </w:rPr>
        <w:t>n de praktijk afhankelijk zijn van pathologie tot patho</w:t>
      </w:r>
      <w:r w:rsidR="00B63E10" w:rsidRPr="00B63E10">
        <w:rPr>
          <w:rFonts w:ascii="Times New Roman" w:hAnsi="Times New Roman" w:cs="Times New Roman"/>
          <w:sz w:val="24"/>
          <w:szCs w:val="24"/>
          <w:shd w:val="clear" w:color="auto" w:fill="FFFFFF"/>
          <w:lang w:val="nl-NL"/>
        </w:rPr>
        <w:t>-</w:t>
      </w:r>
      <w:r w:rsidRPr="00B63E10">
        <w:rPr>
          <w:rFonts w:ascii="Times New Roman" w:hAnsi="Times New Roman" w:cs="Times New Roman"/>
          <w:sz w:val="24"/>
          <w:szCs w:val="24"/>
          <w:shd w:val="clear" w:color="auto" w:fill="FFFFFF"/>
          <w:lang w:val="nl-NL"/>
        </w:rPr>
        <w:t>logie.</w:t>
      </w:r>
      <w:r w:rsidRPr="00B63E10">
        <w:rPr>
          <w:rFonts w:ascii="Times New Roman" w:hAnsi="Times New Roman" w:cs="Times New Roman"/>
          <w:sz w:val="24"/>
          <w:szCs w:val="24"/>
          <w:shd w:val="clear" w:color="auto" w:fill="FFFFFF"/>
          <w:vertAlign w:val="superscript"/>
          <w:lang w:val="nl-NL"/>
        </w:rPr>
        <w:footnoteReference w:id="801"/>
      </w:r>
      <w:r w:rsidRPr="00B63E10">
        <w:rPr>
          <w:rFonts w:ascii="Times New Roman" w:hAnsi="Times New Roman" w:cs="Times New Roman"/>
          <w:sz w:val="24"/>
          <w:szCs w:val="24"/>
          <w:shd w:val="clear" w:color="auto" w:fill="FFFFFF"/>
          <w:lang w:val="nl-NL"/>
        </w:rPr>
        <w:t xml:space="preserve"> Dit laatste is wellicht het gevolg van de tegenstrijdige berichtgevingen en richtlijnen.</w:t>
      </w:r>
    </w:p>
    <w:p w:rsidR="00426625" w:rsidRPr="00B63E10" w:rsidRDefault="00426625" w:rsidP="00B63E10">
      <w:pPr>
        <w:pStyle w:val="Geenafstand"/>
        <w:numPr>
          <w:ilvl w:val="0"/>
          <w:numId w:val="22"/>
        </w:numPr>
        <w:ind w:left="0" w:hanging="11"/>
        <w:jc w:val="both"/>
        <w:rPr>
          <w:rFonts w:ascii="Times New Roman" w:hAnsi="Times New Roman" w:cs="Times New Roman"/>
          <w:sz w:val="24"/>
          <w:szCs w:val="24"/>
          <w:shd w:val="clear" w:color="auto" w:fill="FFFFFF"/>
          <w:lang w:val="nl-NL"/>
        </w:rPr>
      </w:pPr>
      <w:r w:rsidRPr="00B63E10">
        <w:rPr>
          <w:rFonts w:ascii="Times New Roman" w:hAnsi="Times New Roman" w:cs="Times New Roman"/>
          <w:sz w:val="24"/>
          <w:szCs w:val="24"/>
          <w:shd w:val="clear" w:color="auto" w:fill="FFFFFF"/>
          <w:lang w:val="nl-NL"/>
        </w:rPr>
        <w:t>Radiologen moeten hun chronologisch geordende voorschriften – op basis van de da</w:t>
      </w:r>
      <w:r w:rsidR="00B63E10">
        <w:rPr>
          <w:rFonts w:ascii="Times New Roman" w:hAnsi="Times New Roman" w:cs="Times New Roman"/>
          <w:sz w:val="24"/>
          <w:szCs w:val="24"/>
          <w:shd w:val="clear" w:color="auto" w:fill="FFFFFF"/>
          <w:lang w:val="nl-NL"/>
        </w:rPr>
        <w:t>-</w:t>
      </w:r>
      <w:r w:rsidRPr="00B63E10">
        <w:rPr>
          <w:rFonts w:ascii="Times New Roman" w:hAnsi="Times New Roman" w:cs="Times New Roman"/>
          <w:sz w:val="24"/>
          <w:szCs w:val="24"/>
          <w:shd w:val="clear" w:color="auto" w:fill="FFFFFF"/>
          <w:lang w:val="nl-NL"/>
        </w:rPr>
        <w:t>tum waarop de verstrekking is uitgevoerd – samen met een kopie van het protocol gedurende twee jaar bewaren.</w:t>
      </w:r>
      <w:r w:rsidRPr="00B63E10">
        <w:rPr>
          <w:rFonts w:ascii="Times New Roman" w:hAnsi="Times New Roman" w:cs="Times New Roman"/>
          <w:sz w:val="24"/>
          <w:szCs w:val="24"/>
          <w:shd w:val="clear" w:color="auto" w:fill="FFFFFF"/>
          <w:vertAlign w:val="superscript"/>
          <w:lang w:val="nl-NL"/>
        </w:rPr>
        <w:footnoteReference w:id="802"/>
      </w:r>
      <w:r w:rsidRPr="00B63E10">
        <w:rPr>
          <w:rFonts w:ascii="Times New Roman" w:hAnsi="Times New Roman" w:cs="Times New Roman"/>
          <w:sz w:val="24"/>
          <w:szCs w:val="24"/>
          <w:shd w:val="clear" w:color="auto" w:fill="FFFFFF"/>
          <w:lang w:val="nl-NL"/>
        </w:rPr>
        <w:t xml:space="preserve"> Laboranten moeten daarentegen hun chronologisch geklasseerde proto</w:t>
      </w:r>
      <w:r w:rsidR="00B63E10">
        <w:rPr>
          <w:rFonts w:ascii="Times New Roman" w:hAnsi="Times New Roman" w:cs="Times New Roman"/>
          <w:sz w:val="24"/>
          <w:szCs w:val="24"/>
          <w:shd w:val="clear" w:color="auto" w:fill="FFFFFF"/>
          <w:lang w:val="nl-NL"/>
        </w:rPr>
        <w:t>-</w:t>
      </w:r>
      <w:r w:rsidRPr="00B63E10">
        <w:rPr>
          <w:rFonts w:ascii="Times New Roman" w:hAnsi="Times New Roman" w:cs="Times New Roman"/>
          <w:sz w:val="24"/>
          <w:szCs w:val="24"/>
          <w:shd w:val="clear" w:color="auto" w:fill="FFFFFF"/>
          <w:lang w:val="nl-NL"/>
        </w:rPr>
        <w:t>collen en voorschriften – al dan niet in elektronisch vorm – gedurende drie jaar bijhouden.</w:t>
      </w:r>
      <w:r w:rsidRPr="00B63E10">
        <w:rPr>
          <w:rFonts w:ascii="Times New Roman" w:hAnsi="Times New Roman" w:cs="Times New Roman"/>
          <w:sz w:val="24"/>
          <w:szCs w:val="24"/>
          <w:shd w:val="clear" w:color="auto" w:fill="FFFFFF"/>
          <w:vertAlign w:val="superscript"/>
          <w:lang w:val="nl-NL"/>
        </w:rPr>
        <w:footnoteReference w:id="803"/>
      </w:r>
    </w:p>
    <w:p w:rsidR="00426625" w:rsidRPr="00D147A7" w:rsidRDefault="00426625" w:rsidP="002D2D48">
      <w:pPr>
        <w:pStyle w:val="Geenafstand"/>
        <w:numPr>
          <w:ilvl w:val="0"/>
          <w:numId w:val="39"/>
        </w:numPr>
        <w:ind w:left="0" w:firstLine="0"/>
        <w:jc w:val="both"/>
        <w:rPr>
          <w:rFonts w:ascii="Times New Roman" w:hAnsi="Times New Roman" w:cs="Times New Roman"/>
          <w:sz w:val="24"/>
          <w:szCs w:val="24"/>
          <w:shd w:val="clear" w:color="auto" w:fill="FFFFFF"/>
          <w:lang w:val="nl-NL"/>
        </w:rPr>
      </w:pPr>
      <w:r w:rsidRPr="00D147A7">
        <w:rPr>
          <w:rFonts w:ascii="Times New Roman" w:hAnsi="Times New Roman" w:cs="Times New Roman"/>
          <w:sz w:val="24"/>
          <w:szCs w:val="24"/>
          <w:lang w:val="nl-NL"/>
        </w:rPr>
        <w:t>Voor de documenten van klinische onderzoeken met geneesmiddelen voor menselijk gebruik moet de houder van de vergunning voor het in handel brengen van de desbetreffende geneesmiddelen alle aanvullende maatregelen treffen die nodig zijn om de documentatie over</w:t>
      </w:r>
      <w:r w:rsidR="00B63E10">
        <w:rPr>
          <w:rFonts w:ascii="Times New Roman" w:hAnsi="Times New Roman" w:cs="Times New Roman"/>
          <w:sz w:val="24"/>
          <w:szCs w:val="24"/>
          <w:lang w:val="nl-NL"/>
        </w:rPr>
        <w:t>-</w:t>
      </w:r>
      <w:r w:rsidRPr="00D147A7">
        <w:rPr>
          <w:rFonts w:ascii="Times New Roman" w:hAnsi="Times New Roman" w:cs="Times New Roman"/>
          <w:sz w:val="24"/>
          <w:szCs w:val="24"/>
          <w:lang w:val="nl-NL"/>
        </w:rPr>
        <w:t>eenkomstig Richtlijn 2001/20/EG te archiveren.</w:t>
      </w:r>
      <w:r w:rsidRPr="00D147A7">
        <w:rPr>
          <w:rFonts w:ascii="Times New Roman" w:hAnsi="Times New Roman" w:cs="Times New Roman"/>
          <w:sz w:val="24"/>
          <w:szCs w:val="24"/>
          <w:vertAlign w:val="superscript"/>
          <w:lang w:val="nl-NL"/>
        </w:rPr>
        <w:footnoteReference w:id="804"/>
      </w:r>
      <w:r w:rsidRPr="00D147A7">
        <w:rPr>
          <w:rFonts w:ascii="Times New Roman" w:hAnsi="Times New Roman" w:cs="Times New Roman"/>
          <w:sz w:val="24"/>
          <w:szCs w:val="24"/>
          <w:lang w:val="nl-NL"/>
        </w:rPr>
        <w:t xml:space="preserve"> </w:t>
      </w:r>
    </w:p>
    <w:p w:rsidR="00426625" w:rsidRPr="00D147A7" w:rsidRDefault="00426625" w:rsidP="002D2D48">
      <w:pPr>
        <w:pStyle w:val="Geenafstand"/>
        <w:numPr>
          <w:ilvl w:val="0"/>
          <w:numId w:val="39"/>
        </w:numPr>
        <w:ind w:left="0" w:firstLine="0"/>
        <w:jc w:val="both"/>
        <w:rPr>
          <w:rFonts w:ascii="Times New Roman" w:hAnsi="Times New Roman" w:cs="Times New Roman"/>
          <w:sz w:val="24"/>
          <w:szCs w:val="24"/>
          <w:shd w:val="clear" w:color="auto" w:fill="FFFFFF"/>
          <w:lang w:val="nl-NL"/>
        </w:rPr>
      </w:pPr>
      <w:r w:rsidRPr="00D147A7">
        <w:rPr>
          <w:rFonts w:ascii="Times New Roman" w:hAnsi="Times New Roman" w:cs="Times New Roman"/>
          <w:sz w:val="24"/>
          <w:szCs w:val="24"/>
          <w:lang w:val="nl-NL"/>
        </w:rPr>
        <w:t>Gegevens met betrekking tot de financiële situatie van het ziekenhuis moeten geduren</w:t>
      </w:r>
      <w:r w:rsidR="00B63E10">
        <w:rPr>
          <w:rFonts w:ascii="Times New Roman" w:hAnsi="Times New Roman" w:cs="Times New Roman"/>
          <w:sz w:val="24"/>
          <w:szCs w:val="24"/>
          <w:lang w:val="nl-NL"/>
        </w:rPr>
        <w:t>-de</w:t>
      </w:r>
      <w:r w:rsidRPr="00D147A7">
        <w:rPr>
          <w:rFonts w:ascii="Times New Roman" w:hAnsi="Times New Roman" w:cs="Times New Roman"/>
          <w:sz w:val="24"/>
          <w:szCs w:val="24"/>
          <w:lang w:val="nl-NL"/>
        </w:rPr>
        <w:t xml:space="preserve"> tien jaar worden bewaard, terwijl statistische gegevens over het ziekenhuis en medische activiteiten – de zgn. </w:t>
      </w:r>
      <w:r w:rsidR="00B63E10">
        <w:rPr>
          <w:rFonts w:ascii="Times New Roman" w:hAnsi="Times New Roman" w:cs="Times New Roman"/>
          <w:sz w:val="24"/>
          <w:szCs w:val="24"/>
          <w:lang w:val="nl-NL"/>
        </w:rPr>
        <w:t>M</w:t>
      </w:r>
      <w:r w:rsidRPr="00D147A7">
        <w:rPr>
          <w:rFonts w:ascii="Times New Roman" w:hAnsi="Times New Roman" w:cs="Times New Roman"/>
          <w:sz w:val="24"/>
          <w:szCs w:val="24"/>
          <w:lang w:val="nl-NL"/>
        </w:rPr>
        <w:t xml:space="preserve">inimale </w:t>
      </w:r>
      <w:r w:rsidR="00B63E10">
        <w:rPr>
          <w:rFonts w:ascii="Times New Roman" w:hAnsi="Times New Roman" w:cs="Times New Roman"/>
          <w:sz w:val="24"/>
          <w:szCs w:val="24"/>
          <w:lang w:val="nl-NL"/>
        </w:rPr>
        <w:t>K</w:t>
      </w:r>
      <w:r w:rsidRPr="00D147A7">
        <w:rPr>
          <w:rFonts w:ascii="Times New Roman" w:hAnsi="Times New Roman" w:cs="Times New Roman"/>
          <w:sz w:val="24"/>
          <w:szCs w:val="24"/>
          <w:lang w:val="nl-NL"/>
        </w:rPr>
        <w:t xml:space="preserve">linische </w:t>
      </w:r>
      <w:r w:rsidR="00B63E10">
        <w:rPr>
          <w:rFonts w:ascii="Times New Roman" w:hAnsi="Times New Roman" w:cs="Times New Roman"/>
          <w:sz w:val="24"/>
          <w:szCs w:val="24"/>
          <w:lang w:val="nl-NL"/>
        </w:rPr>
        <w:t>G</w:t>
      </w:r>
      <w:r w:rsidRPr="00D147A7">
        <w:rPr>
          <w:rFonts w:ascii="Times New Roman" w:hAnsi="Times New Roman" w:cs="Times New Roman"/>
          <w:sz w:val="24"/>
          <w:szCs w:val="24"/>
          <w:lang w:val="nl-NL"/>
        </w:rPr>
        <w:t>egevens – vijf jaar bijgehouden</w:t>
      </w:r>
      <w:r w:rsidR="00B63E10" w:rsidRPr="00B63E10">
        <w:rPr>
          <w:rFonts w:ascii="Times New Roman" w:hAnsi="Times New Roman" w:cs="Times New Roman"/>
          <w:sz w:val="24"/>
          <w:szCs w:val="24"/>
          <w:lang w:val="nl-NL"/>
        </w:rPr>
        <w:t xml:space="preserve"> </w:t>
      </w:r>
      <w:r w:rsidR="00B63E10" w:rsidRPr="00D147A7">
        <w:rPr>
          <w:rFonts w:ascii="Times New Roman" w:hAnsi="Times New Roman" w:cs="Times New Roman"/>
          <w:sz w:val="24"/>
          <w:szCs w:val="24"/>
          <w:lang w:val="nl-NL"/>
        </w:rPr>
        <w:t>moeten worden</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05"/>
      </w:r>
      <w:r w:rsidRPr="00D147A7">
        <w:rPr>
          <w:rFonts w:ascii="Times New Roman" w:hAnsi="Times New Roman" w:cs="Times New Roman"/>
          <w:sz w:val="24"/>
          <w:szCs w:val="24"/>
          <w:lang w:val="nl-NL"/>
        </w:rPr>
        <w:t xml:space="preserve"> </w:t>
      </w:r>
    </w:p>
    <w:p w:rsidR="00B63E10" w:rsidRDefault="00426625" w:rsidP="002D2D48">
      <w:pPr>
        <w:pStyle w:val="Geenafstand"/>
        <w:numPr>
          <w:ilvl w:val="0"/>
          <w:numId w:val="39"/>
        </w:numPr>
        <w:ind w:left="0" w:firstLine="0"/>
        <w:jc w:val="both"/>
        <w:rPr>
          <w:rFonts w:ascii="Times New Roman" w:hAnsi="Times New Roman" w:cs="Times New Roman"/>
          <w:sz w:val="24"/>
          <w:szCs w:val="24"/>
          <w:shd w:val="clear" w:color="auto" w:fill="FFFFFF"/>
          <w:lang w:val="nl-NL"/>
        </w:rPr>
      </w:pPr>
      <w:r w:rsidRPr="00D147A7">
        <w:rPr>
          <w:rFonts w:ascii="Times New Roman" w:hAnsi="Times New Roman" w:cs="Times New Roman"/>
          <w:i/>
          <w:sz w:val="24"/>
          <w:szCs w:val="24"/>
          <w:shd w:val="clear" w:color="auto" w:fill="FFFFFF"/>
          <w:lang w:val="nl-NL"/>
        </w:rPr>
        <w:t>De inrichting voor geneeskundige verzorging moet de duplicaten van de getuigschrif</w:t>
      </w:r>
      <w:r w:rsidR="00B63E10">
        <w:rPr>
          <w:rFonts w:ascii="Times New Roman" w:hAnsi="Times New Roman" w:cs="Times New Roman"/>
          <w:i/>
          <w:sz w:val="24"/>
          <w:szCs w:val="24"/>
          <w:shd w:val="clear" w:color="auto" w:fill="FFFFFF"/>
          <w:lang w:val="nl-NL"/>
        </w:rPr>
        <w:t>-</w:t>
      </w:r>
      <w:r w:rsidRPr="00D147A7">
        <w:rPr>
          <w:rFonts w:ascii="Times New Roman" w:hAnsi="Times New Roman" w:cs="Times New Roman"/>
          <w:i/>
          <w:sz w:val="24"/>
          <w:szCs w:val="24"/>
          <w:shd w:val="clear" w:color="auto" w:fill="FFFFFF"/>
          <w:lang w:val="nl-NL"/>
        </w:rPr>
        <w:t xml:space="preserve">ten voor verstrekte hulp en van de in artikel 10 bedoelde facturen bewaren gedurende zes jaar </w:t>
      </w:r>
      <w:r w:rsidRPr="00D147A7">
        <w:rPr>
          <w:rFonts w:ascii="Times New Roman" w:hAnsi="Times New Roman" w:cs="Times New Roman"/>
          <w:i/>
          <w:sz w:val="24"/>
          <w:szCs w:val="24"/>
          <w:shd w:val="clear" w:color="auto" w:fill="FFFFFF"/>
          <w:lang w:val="nl-NL"/>
        </w:rPr>
        <w:lastRenderedPageBreak/>
        <w:t>te rekenen vanaf 1 januari van het jaar gedurende hetwelk de originelen werden aange</w:t>
      </w:r>
      <w:r w:rsidR="00B63E10">
        <w:rPr>
          <w:rFonts w:ascii="Times New Roman" w:hAnsi="Times New Roman" w:cs="Times New Roman"/>
          <w:i/>
          <w:sz w:val="24"/>
          <w:szCs w:val="24"/>
          <w:shd w:val="clear" w:color="auto" w:fill="FFFFFF"/>
          <w:lang w:val="nl-NL"/>
        </w:rPr>
        <w:t>-</w:t>
      </w:r>
      <w:r w:rsidRPr="00D147A7">
        <w:rPr>
          <w:rFonts w:ascii="Times New Roman" w:hAnsi="Times New Roman" w:cs="Times New Roman"/>
          <w:i/>
          <w:sz w:val="24"/>
          <w:szCs w:val="24"/>
          <w:shd w:val="clear" w:color="auto" w:fill="FFFFFF"/>
          <w:lang w:val="nl-NL"/>
        </w:rPr>
        <w:t>legd</w:t>
      </w:r>
      <w:r w:rsidRPr="00D147A7">
        <w:rPr>
          <w:rFonts w:ascii="Times New Roman" w:hAnsi="Times New Roman" w:cs="Times New Roman"/>
          <w:sz w:val="24"/>
          <w:szCs w:val="24"/>
          <w:shd w:val="clear" w:color="auto" w:fill="FFFFFF"/>
          <w:lang w:val="nl-NL"/>
        </w:rPr>
        <w:t>.</w:t>
      </w:r>
      <w:r w:rsidRPr="00D147A7">
        <w:rPr>
          <w:rFonts w:ascii="Times New Roman" w:hAnsi="Times New Roman" w:cs="Times New Roman"/>
          <w:sz w:val="24"/>
          <w:szCs w:val="24"/>
          <w:shd w:val="clear" w:color="auto" w:fill="FFFFFF"/>
          <w:vertAlign w:val="superscript"/>
          <w:lang w:val="nl-NL"/>
        </w:rPr>
        <w:footnoteReference w:id="806"/>
      </w:r>
    </w:p>
    <w:p w:rsidR="00426625" w:rsidRPr="00B63E10" w:rsidRDefault="00426625" w:rsidP="002D2D48">
      <w:pPr>
        <w:pStyle w:val="Geenafstand"/>
        <w:numPr>
          <w:ilvl w:val="0"/>
          <w:numId w:val="39"/>
        </w:numPr>
        <w:ind w:left="0" w:firstLine="0"/>
        <w:jc w:val="both"/>
        <w:rPr>
          <w:rFonts w:ascii="Times New Roman" w:hAnsi="Times New Roman" w:cs="Times New Roman"/>
          <w:sz w:val="24"/>
          <w:szCs w:val="24"/>
          <w:shd w:val="clear" w:color="auto" w:fill="FFFFFF"/>
          <w:lang w:val="nl-NL"/>
        </w:rPr>
      </w:pPr>
      <w:r w:rsidRPr="00B63E10">
        <w:rPr>
          <w:rFonts w:ascii="Times New Roman" w:hAnsi="Times New Roman" w:cs="Times New Roman"/>
          <w:i/>
          <w:sz w:val="24"/>
          <w:szCs w:val="24"/>
          <w:lang w:val="nl-NL"/>
        </w:rPr>
        <w:t>Elk verstrekkingenregister dient te worden bewaard gedurende vijf jaar, te rekenen vanaf de datum waarop de laatste verstrekking er is ingeschreven</w:t>
      </w:r>
      <w:r w:rsidRPr="00B63E10">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07"/>
      </w:r>
      <w:r w:rsidRPr="00B63E10">
        <w:rPr>
          <w:rFonts w:ascii="Times New Roman" w:hAnsi="Times New Roman" w:cs="Times New Roman"/>
          <w:sz w:val="24"/>
          <w:szCs w:val="24"/>
          <w:shd w:val="clear" w:color="auto" w:fill="FFFFFF"/>
          <w:lang w:val="nl-NL"/>
        </w:rPr>
        <w:t xml:space="preserve"> Een verstrekkingenre</w:t>
      </w:r>
      <w:r w:rsidR="00B63E10">
        <w:rPr>
          <w:rFonts w:ascii="Times New Roman" w:hAnsi="Times New Roman" w:cs="Times New Roman"/>
          <w:sz w:val="24"/>
          <w:szCs w:val="24"/>
          <w:shd w:val="clear" w:color="auto" w:fill="FFFFFF"/>
          <w:lang w:val="nl-NL"/>
        </w:rPr>
        <w:t>-</w:t>
      </w:r>
      <w:r w:rsidRPr="00B63E10">
        <w:rPr>
          <w:rFonts w:ascii="Times New Roman" w:hAnsi="Times New Roman" w:cs="Times New Roman"/>
          <w:sz w:val="24"/>
          <w:szCs w:val="24"/>
          <w:shd w:val="clear" w:color="auto" w:fill="FFFFFF"/>
          <w:lang w:val="nl-NL"/>
        </w:rPr>
        <w:t xml:space="preserve">gister wordt per week bijgehouden en </w:t>
      </w:r>
      <w:r w:rsidR="00B63E10">
        <w:rPr>
          <w:rFonts w:ascii="Times New Roman" w:hAnsi="Times New Roman" w:cs="Times New Roman"/>
          <w:sz w:val="24"/>
          <w:szCs w:val="24"/>
          <w:shd w:val="clear" w:color="auto" w:fill="FFFFFF"/>
          <w:lang w:val="nl-NL"/>
        </w:rPr>
        <w:t>wordt</w:t>
      </w:r>
      <w:r w:rsidRPr="00B63E10">
        <w:rPr>
          <w:rFonts w:ascii="Times New Roman" w:hAnsi="Times New Roman" w:cs="Times New Roman"/>
          <w:sz w:val="24"/>
          <w:szCs w:val="24"/>
          <w:shd w:val="clear" w:color="auto" w:fill="FFFFFF"/>
          <w:lang w:val="nl-NL"/>
        </w:rPr>
        <w:t xml:space="preserve"> door de zorgverlener </w:t>
      </w:r>
      <w:r w:rsidR="00B63E10">
        <w:rPr>
          <w:rFonts w:ascii="Times New Roman" w:hAnsi="Times New Roman" w:cs="Times New Roman"/>
          <w:sz w:val="24"/>
          <w:szCs w:val="24"/>
          <w:shd w:val="clear" w:color="auto" w:fill="FFFFFF"/>
          <w:lang w:val="nl-NL"/>
        </w:rPr>
        <w:t xml:space="preserve">ondertekend </w:t>
      </w:r>
      <w:r w:rsidRPr="00B63E10">
        <w:rPr>
          <w:rFonts w:ascii="Times New Roman" w:hAnsi="Times New Roman" w:cs="Times New Roman"/>
          <w:sz w:val="24"/>
          <w:szCs w:val="24"/>
          <w:shd w:val="clear" w:color="auto" w:fill="FFFFFF"/>
          <w:lang w:val="nl-NL"/>
        </w:rPr>
        <w:t xml:space="preserve">na </w:t>
      </w:r>
      <w:r w:rsidR="00B63E10">
        <w:rPr>
          <w:rFonts w:ascii="Times New Roman" w:hAnsi="Times New Roman" w:cs="Times New Roman"/>
          <w:sz w:val="24"/>
          <w:szCs w:val="24"/>
          <w:shd w:val="clear" w:color="auto" w:fill="FFFFFF"/>
          <w:lang w:val="nl-NL"/>
        </w:rPr>
        <w:t xml:space="preserve">de </w:t>
      </w:r>
      <w:r w:rsidRPr="00B63E10">
        <w:rPr>
          <w:rFonts w:ascii="Times New Roman" w:hAnsi="Times New Roman" w:cs="Times New Roman"/>
          <w:sz w:val="24"/>
          <w:szCs w:val="24"/>
          <w:shd w:val="clear" w:color="auto" w:fill="FFFFFF"/>
          <w:lang w:val="nl-NL"/>
        </w:rPr>
        <w:t>inschrij</w:t>
      </w:r>
      <w:r w:rsidR="00B63E10">
        <w:rPr>
          <w:rFonts w:ascii="Times New Roman" w:hAnsi="Times New Roman" w:cs="Times New Roman"/>
          <w:sz w:val="24"/>
          <w:szCs w:val="24"/>
          <w:shd w:val="clear" w:color="auto" w:fill="FFFFFF"/>
          <w:lang w:val="nl-NL"/>
        </w:rPr>
        <w:t>-</w:t>
      </w:r>
      <w:r w:rsidRPr="00B63E10">
        <w:rPr>
          <w:rFonts w:ascii="Times New Roman" w:hAnsi="Times New Roman" w:cs="Times New Roman"/>
          <w:sz w:val="24"/>
          <w:szCs w:val="24"/>
          <w:shd w:val="clear" w:color="auto" w:fill="FFFFFF"/>
          <w:lang w:val="nl-NL"/>
        </w:rPr>
        <w:t>ving van de laatste verstrekking van die week.</w:t>
      </w:r>
    </w:p>
    <w:p w:rsidR="00426625" w:rsidRPr="00D147A7" w:rsidRDefault="00426625" w:rsidP="00426625">
      <w:pPr>
        <w:widowControl/>
        <w:suppressAutoHyphens w:val="0"/>
        <w:spacing w:line="240" w:lineRule="atLeast"/>
        <w:jc w:val="center"/>
        <w:rPr>
          <w:kern w:val="0"/>
          <w:lang w:val="nl-NL" w:eastAsia="en-US" w:bidi="ar-SA"/>
        </w:rPr>
      </w:pPr>
      <w:r w:rsidRPr="00D147A7">
        <w:rPr>
          <w:kern w:val="0"/>
          <w:lang w:val="nl-NL" w:eastAsia="en-US" w:bidi="ar-SA"/>
        </w:rPr>
        <w:fldChar w:fldCharType="begin"/>
      </w:r>
      <w:r w:rsidRPr="00D147A7">
        <w:rPr>
          <w:kern w:val="0"/>
          <w:lang w:val="nl-NL" w:eastAsia="en-US" w:bidi="ar-SA"/>
        </w:rPr>
        <w:instrText xml:space="preserve"> LINK Excel.Sheet.12 "G:\\3. Bewaring\\Selectielijst openbare ziekenhuizen België.xlsx" Blad1!R2K2:R27K4 \a \f 4 \h  \* MERGEFORMAT </w:instrText>
      </w:r>
      <w:r w:rsidRPr="00D147A7">
        <w:rPr>
          <w:kern w:val="0"/>
          <w:lang w:val="nl-NL" w:eastAsia="en-US" w:bidi="ar-SA"/>
        </w:rPr>
        <w:fldChar w:fldCharType="separate"/>
      </w:r>
    </w:p>
    <w:tbl>
      <w:tblPr>
        <w:tblW w:w="5779" w:type="dxa"/>
        <w:tblInd w:w="1656" w:type="dxa"/>
        <w:tblCellMar>
          <w:left w:w="70" w:type="dxa"/>
          <w:right w:w="70" w:type="dxa"/>
        </w:tblCellMar>
        <w:tblLook w:val="04A0" w:firstRow="1" w:lastRow="0" w:firstColumn="1" w:lastColumn="0" w:noHBand="0" w:noVBand="1"/>
      </w:tblPr>
      <w:tblGrid>
        <w:gridCol w:w="1542"/>
        <w:gridCol w:w="1527"/>
        <w:gridCol w:w="2710"/>
      </w:tblGrid>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26625" w:rsidRPr="00D147A7" w:rsidRDefault="00426625" w:rsidP="00426625">
            <w:pPr>
              <w:widowControl/>
              <w:suppressAutoHyphens w:val="0"/>
              <w:jc w:val="center"/>
              <w:rPr>
                <w:rFonts w:eastAsia="Times New Roman"/>
                <w:b/>
                <w:bCs/>
                <w:color w:val="FFFFFF"/>
                <w:kern w:val="0"/>
                <w:sz w:val="16"/>
                <w:szCs w:val="16"/>
                <w:lang w:eastAsia="nl-BE" w:bidi="ar-SA"/>
              </w:rPr>
            </w:pPr>
            <w:r w:rsidRPr="00D147A7">
              <w:rPr>
                <w:rFonts w:eastAsia="Times New Roman"/>
                <w:b/>
                <w:bCs/>
                <w:color w:val="FFFFFF"/>
                <w:kern w:val="0"/>
                <w:sz w:val="16"/>
                <w:szCs w:val="16"/>
                <w:lang w:eastAsia="nl-BE" w:bidi="ar-SA"/>
              </w:rPr>
              <w:t>Documenten</w:t>
            </w:r>
          </w:p>
        </w:tc>
        <w:tc>
          <w:tcPr>
            <w:tcW w:w="2710"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color w:val="FFFFFF"/>
                <w:kern w:val="0"/>
                <w:sz w:val="16"/>
                <w:szCs w:val="16"/>
                <w:lang w:eastAsia="nl-BE" w:bidi="ar-SA"/>
              </w:rPr>
            </w:pPr>
            <w:r w:rsidRPr="00D147A7">
              <w:rPr>
                <w:rFonts w:eastAsia="Times New Roman"/>
                <w:b/>
                <w:bCs/>
                <w:color w:val="FFFFFF"/>
                <w:kern w:val="0"/>
                <w:sz w:val="16"/>
                <w:szCs w:val="16"/>
                <w:lang w:eastAsia="nl-BE" w:bidi="ar-SA"/>
              </w:rPr>
              <w:t>Bewaartermijn</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Databank van de patiëntendossiers (databank van het medisch archief)</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Cf. patiëntendossier</w:t>
            </w:r>
          </w:p>
        </w:tc>
      </w:tr>
      <w:tr w:rsidR="00426625" w:rsidRPr="00D147A7" w:rsidTr="004721B1">
        <w:trPr>
          <w:trHeight w:val="300"/>
        </w:trPr>
        <w:tc>
          <w:tcPr>
            <w:tcW w:w="1542"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Patiëntendossiers</w:t>
            </w: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Medisch dossier</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00"/>
        </w:trPr>
        <w:tc>
          <w:tcPr>
            <w:tcW w:w="1542"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Verpleegkundig dossier</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Protocollen van radiografieën en van laboratoriumonderzoeken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Anesthesiefiches</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Laboratoriumuitslagen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Polifiches (ambulante zorg)</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Aanvraagformulieren medische beeldvorming</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Patiëntenfiches medische beeldvorming (‘werkbladen’, dit zijn documenten opgemaakt door de dienst RX)</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Voorschriften voor analyses inzake klinische biologie</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Voorschriften voor onderzoeken inzake pathologische anatomie</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 jaar</w:t>
            </w:r>
          </w:p>
        </w:tc>
      </w:tr>
      <w:tr w:rsidR="00426625" w:rsidRPr="00D147A7" w:rsidTr="004721B1">
        <w:trPr>
          <w:trHeight w:val="300"/>
        </w:trPr>
        <w:tc>
          <w:tcPr>
            <w:tcW w:w="3069" w:type="dxa"/>
            <w:gridSpan w:val="2"/>
            <w:tcBorders>
              <w:top w:val="single" w:sz="4" w:space="0" w:color="auto"/>
              <w:left w:val="single" w:sz="4" w:space="0" w:color="auto"/>
              <w:bottom w:val="nil"/>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Voorschriften voor genetisch onderzoek</w:t>
            </w:r>
          </w:p>
        </w:tc>
        <w:tc>
          <w:tcPr>
            <w:tcW w:w="2710" w:type="dxa"/>
            <w:tcBorders>
              <w:top w:val="nil"/>
              <w:left w:val="nil"/>
              <w:bottom w:val="nil"/>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 jaar</w:t>
            </w:r>
          </w:p>
        </w:tc>
      </w:tr>
      <w:tr w:rsidR="00426625" w:rsidRPr="00D147A7" w:rsidTr="004721B1">
        <w:trPr>
          <w:trHeight w:val="300"/>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Röntgenopnamen (foto’s of digitale opnamen)</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Gewone röntgenopnames</w:t>
            </w:r>
          </w:p>
        </w:tc>
        <w:tc>
          <w:tcPr>
            <w:tcW w:w="2710" w:type="dxa"/>
            <w:tcBorders>
              <w:top w:val="single" w:sz="4" w:space="0" w:color="auto"/>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 jaar</w:t>
            </w:r>
          </w:p>
        </w:tc>
      </w:tr>
      <w:tr w:rsidR="00426625" w:rsidRPr="00D147A7" w:rsidTr="004721B1">
        <w:trPr>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Gynaecologie</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 jaar</w:t>
            </w:r>
          </w:p>
        </w:tc>
      </w:tr>
      <w:tr w:rsidR="00426625" w:rsidRPr="00D147A7" w:rsidTr="004721B1">
        <w:trPr>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Otorhinolaryngologie (ORL)</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Spoed</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527"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Tandartsen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Electroencephalogrammen (EEG)</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Echocardiografieën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Electromyografieën (EMG)</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Holterregistraties</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Fietsproeven (of inspannings-EGC)</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Bloedgroepkaarten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Dieetaanvragen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 jaar</w:t>
            </w:r>
          </w:p>
        </w:tc>
      </w:tr>
      <w:tr w:rsidR="00426625" w:rsidRPr="00D147A7" w:rsidTr="004721B1">
        <w:trPr>
          <w:trHeight w:val="300"/>
        </w:trPr>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Tandafdrukken</w:t>
            </w:r>
          </w:p>
        </w:tc>
        <w:tc>
          <w:tcPr>
            <w:tcW w:w="271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 jaar</w:t>
            </w:r>
          </w:p>
        </w:tc>
      </w:tr>
    </w:tbl>
    <w:p w:rsidR="00426625" w:rsidRPr="00D147A7" w:rsidRDefault="00426625" w:rsidP="00426625">
      <w:pPr>
        <w:widowControl/>
        <w:suppressAutoHyphens w:val="0"/>
        <w:spacing w:line="240" w:lineRule="atLeast"/>
        <w:jc w:val="center"/>
        <w:rPr>
          <w:kern w:val="0"/>
          <w:lang w:val="nl-NL" w:eastAsia="en-US" w:bidi="ar-SA"/>
        </w:rPr>
      </w:pPr>
      <w:r w:rsidRPr="00D147A7">
        <w:rPr>
          <w:kern w:val="0"/>
          <w:lang w:val="nl-NL" w:eastAsia="en-US" w:bidi="ar-SA"/>
        </w:rPr>
        <w:fldChar w:fldCharType="end"/>
      </w:r>
      <w:r w:rsidRPr="00D147A7">
        <w:rPr>
          <w:kern w:val="0"/>
          <w:lang w:val="nl-NL" w:eastAsia="en-US" w:bidi="ar-SA"/>
        </w:rPr>
        <w:t>Tabel 14: Bewaartermijnen van medische documenten in openbare ziekenhuizen</w:t>
      </w:r>
      <w:r w:rsidRPr="00D147A7">
        <w:rPr>
          <w:kern w:val="0"/>
          <w:vertAlign w:val="superscript"/>
          <w:lang w:val="nl-NL" w:eastAsia="en-US" w:bidi="ar-SA"/>
        </w:rPr>
        <w:footnoteReference w:id="808"/>
      </w:r>
    </w:p>
    <w:p w:rsidR="00426625" w:rsidRPr="00D147A7" w:rsidRDefault="00426625" w:rsidP="00426625">
      <w:pPr>
        <w:widowControl/>
        <w:suppressAutoHyphens w:val="0"/>
        <w:spacing w:after="200" w:line="276" w:lineRule="auto"/>
        <w:rPr>
          <w:b/>
          <w:bCs/>
          <w:smallCaps/>
          <w:kern w:val="0"/>
          <w:lang w:val="nl-NL" w:eastAsia="en-US" w:bidi="ar-SA"/>
        </w:rPr>
      </w:pPr>
      <w:r w:rsidRPr="00D147A7">
        <w:rPr>
          <w:rFonts w:eastAsiaTheme="minorHAnsi"/>
          <w:b/>
          <w:bCs/>
          <w:smallCaps/>
          <w:kern w:val="0"/>
          <w:sz w:val="22"/>
          <w:szCs w:val="22"/>
          <w:lang w:eastAsia="en-US" w:bidi="ar-SA"/>
        </w:rPr>
        <w:br w:type="page"/>
      </w:r>
    </w:p>
    <w:p w:rsidR="00426625" w:rsidRPr="00D147A7" w:rsidRDefault="002D2D48" w:rsidP="002D2D48">
      <w:pPr>
        <w:pStyle w:val="Geenafstand"/>
        <w:rPr>
          <w:rFonts w:ascii="Times New Roman" w:hAnsi="Times New Roman" w:cs="Times New Roman"/>
          <w:smallCaps/>
          <w:sz w:val="24"/>
          <w:szCs w:val="24"/>
          <w:lang w:val="nl-NL"/>
        </w:rPr>
      </w:pPr>
      <w:r w:rsidRPr="00D147A7">
        <w:rPr>
          <w:rFonts w:ascii="Times New Roman" w:hAnsi="Times New Roman" w:cs="Times New Roman"/>
          <w:smallCaps/>
          <w:sz w:val="24"/>
          <w:szCs w:val="24"/>
          <w:lang w:val="nl-NL"/>
        </w:rPr>
        <w:lastRenderedPageBreak/>
        <w:t xml:space="preserve">3.2 </w:t>
      </w:r>
      <w:r w:rsidR="00426625" w:rsidRPr="00D147A7">
        <w:rPr>
          <w:rFonts w:ascii="Times New Roman" w:hAnsi="Times New Roman" w:cs="Times New Roman"/>
          <w:smallCaps/>
          <w:sz w:val="24"/>
          <w:szCs w:val="24"/>
          <w:lang w:val="nl-NL"/>
        </w:rPr>
        <w:t>Nederland</w:t>
      </w:r>
    </w:p>
    <w:p w:rsidR="00426625" w:rsidRPr="00D147A7" w:rsidRDefault="00426625" w:rsidP="00426625">
      <w:pPr>
        <w:widowControl/>
        <w:suppressAutoHyphens w:val="0"/>
        <w:spacing w:line="240" w:lineRule="atLeast"/>
        <w:ind w:left="360"/>
        <w:jc w:val="both"/>
        <w:rPr>
          <w:b/>
          <w:bCs/>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1: Zorg versus beheer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Alleen werkende artsen en directies of raden van bestuur van verzorgingsinstellingen zijn ‘verantwoordelijken’ in de zin van de Wbp. De ‘verantwoordelijke’ is </w:t>
      </w:r>
      <w:r w:rsidRPr="00D147A7">
        <w:rPr>
          <w:i/>
          <w:kern w:val="0"/>
          <w:lang w:val="nl-NL" w:eastAsia="en-US" w:bidi="ar-SA"/>
        </w:rPr>
        <w:t>de natuurlijke persoon, rechtspersoon of ieder ander die of het bestuursorgaan dat, alleen of te zamen met anderen, het doel van en de middelen voor de verwerking van persoonsgegevens vaststelt</w:t>
      </w:r>
      <w:r w:rsidRPr="00D147A7">
        <w:rPr>
          <w:kern w:val="0"/>
          <w:lang w:val="nl-NL" w:eastAsia="en-US" w:bidi="ar-SA"/>
        </w:rPr>
        <w:t>.</w:t>
      </w:r>
      <w:r w:rsidRPr="00D147A7">
        <w:rPr>
          <w:kern w:val="0"/>
          <w:vertAlign w:val="superscript"/>
          <w:lang w:val="nl-NL" w:eastAsia="en-US" w:bidi="ar-SA"/>
        </w:rPr>
        <w:footnoteReference w:id="809"/>
      </w:r>
      <w:r w:rsidRPr="00D147A7">
        <w:rPr>
          <w:kern w:val="0"/>
          <w:lang w:val="nl-NL" w:eastAsia="en-US" w:bidi="ar-SA"/>
        </w:rPr>
        <w:t xml:space="preserve"> Als zorg</w:t>
      </w:r>
      <w:r w:rsidR="00B63E10">
        <w:rPr>
          <w:kern w:val="0"/>
          <w:lang w:val="nl-NL" w:eastAsia="en-US" w:bidi="ar-SA"/>
        </w:rPr>
        <w:t>-</w:t>
      </w:r>
      <w:r w:rsidRPr="00D147A7">
        <w:rPr>
          <w:kern w:val="0"/>
          <w:lang w:val="nl-NL" w:eastAsia="en-US" w:bidi="ar-SA"/>
        </w:rPr>
        <w:t>dragers van de archieven – inclusief de patiëntendossiers – bepalen zij zowel de wijze van de dossiervoering als het beheer en de instandhouding van het informatienetwerk en de gege</w:t>
      </w:r>
      <w:r w:rsidR="00B63E10">
        <w:rPr>
          <w:kern w:val="0"/>
          <w:lang w:val="nl-NL" w:eastAsia="en-US" w:bidi="ar-SA"/>
        </w:rPr>
        <w:t>-</w:t>
      </w:r>
      <w:r w:rsidRPr="00D147A7">
        <w:rPr>
          <w:kern w:val="0"/>
          <w:lang w:val="nl-NL" w:eastAsia="en-US" w:bidi="ar-SA"/>
        </w:rPr>
        <w:t>vensbestanden. De ‘verantwoordelijken’ hebben bovendien tal van verplichtingen ten opzich</w:t>
      </w:r>
      <w:r w:rsidR="00B63E10">
        <w:rPr>
          <w:kern w:val="0"/>
          <w:lang w:val="nl-NL" w:eastAsia="en-US" w:bidi="ar-SA"/>
        </w:rPr>
        <w:t>-</w:t>
      </w:r>
      <w:r w:rsidRPr="00D147A7">
        <w:rPr>
          <w:kern w:val="0"/>
          <w:lang w:val="nl-NL" w:eastAsia="en-US" w:bidi="ar-SA"/>
        </w:rPr>
        <w:t xml:space="preserve">te van de patiënten waarvan dossiers bewaard worden. De voornaamste plichten zijn: </w:t>
      </w:r>
    </w:p>
    <w:p w:rsidR="002D2D48" w:rsidRPr="00D147A7" w:rsidRDefault="00426625" w:rsidP="002D2D48">
      <w:pPr>
        <w:pStyle w:val="Geenafstand"/>
        <w:numPr>
          <w:ilvl w:val="0"/>
          <w:numId w:val="34"/>
        </w:numPr>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de informatieplicht</w:t>
      </w:r>
      <w:r w:rsidRPr="00D147A7">
        <w:rPr>
          <w:rFonts w:ascii="Times New Roman" w:hAnsi="Times New Roman" w:cs="Times New Roman"/>
          <w:sz w:val="24"/>
          <w:szCs w:val="24"/>
          <w:vertAlign w:val="superscript"/>
          <w:lang w:val="nl-NL"/>
        </w:rPr>
        <w:footnoteReference w:id="810"/>
      </w:r>
      <w:r w:rsidRPr="00D147A7">
        <w:rPr>
          <w:rFonts w:ascii="Times New Roman" w:hAnsi="Times New Roman" w:cs="Times New Roman"/>
          <w:sz w:val="24"/>
          <w:szCs w:val="24"/>
          <w:lang w:val="nl-NL"/>
        </w:rPr>
        <w:t>: aan de (vertegenwoordiger van de) patiënt waarvan gegevens verwerkt</w:t>
      </w:r>
      <w:r w:rsidR="00B63E10" w:rsidRPr="00B63E10">
        <w:rPr>
          <w:rFonts w:ascii="Times New Roman" w:hAnsi="Times New Roman" w:cs="Times New Roman"/>
          <w:sz w:val="24"/>
          <w:szCs w:val="24"/>
          <w:lang w:val="nl-NL"/>
        </w:rPr>
        <w:t xml:space="preserve"> </w:t>
      </w:r>
      <w:r w:rsidR="00B63E10" w:rsidRPr="00D147A7">
        <w:rPr>
          <w:rFonts w:ascii="Times New Roman" w:hAnsi="Times New Roman" w:cs="Times New Roman"/>
          <w:sz w:val="24"/>
          <w:szCs w:val="24"/>
          <w:lang w:val="nl-NL"/>
        </w:rPr>
        <w:t>worden</w:t>
      </w:r>
      <w:r w:rsidRPr="00D147A7">
        <w:rPr>
          <w:rFonts w:ascii="Times New Roman" w:hAnsi="Times New Roman" w:cs="Times New Roman"/>
          <w:sz w:val="24"/>
          <w:szCs w:val="24"/>
          <w:lang w:val="nl-NL"/>
        </w:rPr>
        <w:t>, wordt meegedeeld wie de ‘verantwoordelijke’ is, wat het doel van de gegevensverwerking is, op welke wijze de gegevens verwerkt worden en wie de eventuele medegebruikers of ontvangers van de gegevens zijn. De ‘verantwoordelijke’ is het aanspreekpunt voor en de raadgever van patiënten bij de gegevensverwerking.</w:t>
      </w:r>
    </w:p>
    <w:p w:rsidR="00426625" w:rsidRPr="00D147A7" w:rsidRDefault="00426625" w:rsidP="00426625">
      <w:pPr>
        <w:widowControl/>
        <w:numPr>
          <w:ilvl w:val="0"/>
          <w:numId w:val="34"/>
        </w:numPr>
        <w:suppressAutoHyphens w:val="0"/>
        <w:autoSpaceDE w:val="0"/>
        <w:autoSpaceDN w:val="0"/>
        <w:adjustRightInd w:val="0"/>
        <w:snapToGrid w:val="0"/>
        <w:spacing w:after="200" w:line="276" w:lineRule="auto"/>
        <w:contextualSpacing/>
        <w:jc w:val="both"/>
        <w:rPr>
          <w:rFonts w:eastAsia="Times New Roman"/>
          <w:kern w:val="0"/>
          <w:lang w:eastAsia="en-US" w:bidi="ar-SA"/>
        </w:rPr>
      </w:pPr>
      <w:r w:rsidRPr="00D147A7">
        <w:rPr>
          <w:rFonts w:eastAsia="Times New Roman"/>
          <w:kern w:val="0"/>
          <w:lang w:eastAsia="en-US" w:bidi="ar-SA"/>
        </w:rPr>
        <w:t>de beveiligingsplicht</w:t>
      </w:r>
      <w:r w:rsidRPr="00D147A7">
        <w:rPr>
          <w:rFonts w:eastAsia="Times New Roman"/>
          <w:kern w:val="0"/>
          <w:vertAlign w:val="superscript"/>
          <w:lang w:eastAsia="en-US" w:bidi="ar-SA"/>
        </w:rPr>
        <w:footnoteReference w:id="811"/>
      </w:r>
      <w:r w:rsidRPr="00D147A7">
        <w:rPr>
          <w:rFonts w:eastAsia="Times New Roman"/>
          <w:kern w:val="0"/>
          <w:lang w:eastAsia="en-US" w:bidi="ar-SA"/>
        </w:rPr>
        <w:t>: gepaste technische en organisatorische veiligheidsmaatrege</w:t>
      </w:r>
      <w:r w:rsidR="00B20EAB">
        <w:rPr>
          <w:rFonts w:eastAsia="Times New Roman"/>
          <w:kern w:val="0"/>
          <w:lang w:eastAsia="en-US" w:bidi="ar-SA"/>
        </w:rPr>
        <w:t>-</w:t>
      </w:r>
      <w:r w:rsidRPr="00D147A7">
        <w:rPr>
          <w:rFonts w:eastAsia="Times New Roman"/>
          <w:kern w:val="0"/>
          <w:lang w:eastAsia="en-US" w:bidi="ar-SA"/>
        </w:rPr>
        <w:t>len moeten getroffen worden. Het moet glashelder zijn wie tot welke patiëntendos</w:t>
      </w:r>
      <w:r w:rsidR="00B20EAB">
        <w:rPr>
          <w:rFonts w:eastAsia="Times New Roman"/>
          <w:kern w:val="0"/>
          <w:lang w:eastAsia="en-US" w:bidi="ar-SA"/>
        </w:rPr>
        <w:t>-</w:t>
      </w:r>
      <w:r w:rsidRPr="00D147A7">
        <w:rPr>
          <w:rFonts w:eastAsia="Times New Roman"/>
          <w:kern w:val="0"/>
          <w:lang w:eastAsia="en-US" w:bidi="ar-SA"/>
        </w:rPr>
        <w:t>siers</w:t>
      </w:r>
      <w:r w:rsidR="00B20EAB" w:rsidRPr="00B20EAB">
        <w:rPr>
          <w:rFonts w:eastAsia="Times New Roman"/>
          <w:kern w:val="0"/>
          <w:lang w:eastAsia="en-US" w:bidi="ar-SA"/>
        </w:rPr>
        <w:t xml:space="preserve"> </w:t>
      </w:r>
      <w:r w:rsidR="00B20EAB" w:rsidRPr="00D147A7">
        <w:rPr>
          <w:rFonts w:eastAsia="Times New Roman"/>
          <w:kern w:val="0"/>
          <w:lang w:eastAsia="en-US" w:bidi="ar-SA"/>
        </w:rPr>
        <w:t>toegang heeft</w:t>
      </w:r>
      <w:r w:rsidRPr="00D147A7">
        <w:rPr>
          <w:rFonts w:eastAsia="Times New Roman"/>
          <w:kern w:val="0"/>
          <w:lang w:eastAsia="en-US" w:bidi="ar-SA"/>
        </w:rPr>
        <w:t xml:space="preserve">. </w:t>
      </w:r>
    </w:p>
    <w:p w:rsidR="00426625" w:rsidRPr="00D147A7" w:rsidRDefault="00426625" w:rsidP="00426625">
      <w:pPr>
        <w:widowControl/>
        <w:numPr>
          <w:ilvl w:val="0"/>
          <w:numId w:val="34"/>
        </w:numPr>
        <w:suppressAutoHyphens w:val="0"/>
        <w:autoSpaceDE w:val="0"/>
        <w:autoSpaceDN w:val="0"/>
        <w:adjustRightInd w:val="0"/>
        <w:snapToGrid w:val="0"/>
        <w:spacing w:after="200" w:line="276" w:lineRule="auto"/>
        <w:contextualSpacing/>
        <w:jc w:val="both"/>
        <w:rPr>
          <w:rFonts w:eastAsia="Times New Roman"/>
          <w:kern w:val="0"/>
          <w:lang w:eastAsia="en-US" w:bidi="ar-SA"/>
        </w:rPr>
      </w:pPr>
      <w:r w:rsidRPr="00D147A7">
        <w:rPr>
          <w:rFonts w:eastAsia="Times New Roman"/>
          <w:kern w:val="0"/>
          <w:lang w:eastAsia="en-US" w:bidi="ar-SA"/>
        </w:rPr>
        <w:t>de meldingsplicht</w:t>
      </w:r>
      <w:r w:rsidRPr="00D147A7">
        <w:rPr>
          <w:rFonts w:eastAsia="Times New Roman"/>
          <w:kern w:val="0"/>
          <w:vertAlign w:val="superscript"/>
          <w:lang w:eastAsia="en-US" w:bidi="ar-SA"/>
        </w:rPr>
        <w:footnoteReference w:id="812"/>
      </w:r>
      <w:r w:rsidRPr="00D147A7">
        <w:rPr>
          <w:rFonts w:eastAsia="Times New Roman"/>
          <w:kern w:val="0"/>
          <w:lang w:eastAsia="en-US" w:bidi="ar-SA"/>
        </w:rPr>
        <w:t>: de vastlegging en het gebruik van (deels) geautomatiseerde pa</w:t>
      </w:r>
      <w:r w:rsidR="00B20EAB">
        <w:rPr>
          <w:rFonts w:eastAsia="Times New Roman"/>
          <w:kern w:val="0"/>
          <w:lang w:eastAsia="en-US" w:bidi="ar-SA"/>
        </w:rPr>
        <w:t>-</w:t>
      </w:r>
      <w:r w:rsidRPr="00D147A7">
        <w:rPr>
          <w:rFonts w:eastAsia="Times New Roman"/>
          <w:kern w:val="0"/>
          <w:lang w:eastAsia="en-US" w:bidi="ar-SA"/>
        </w:rPr>
        <w:t>tiëntendossiers moeten aan het College Bescherming Persoonsgegevens (C</w:t>
      </w:r>
      <w:r w:rsidR="00B20EAB">
        <w:rPr>
          <w:rFonts w:eastAsia="Times New Roman"/>
          <w:kern w:val="0"/>
          <w:lang w:eastAsia="en-US" w:bidi="ar-SA"/>
        </w:rPr>
        <w:t>bp</w:t>
      </w:r>
      <w:r w:rsidRPr="00D147A7">
        <w:rPr>
          <w:rFonts w:eastAsia="Times New Roman"/>
          <w:kern w:val="0"/>
          <w:lang w:eastAsia="en-US" w:bidi="ar-SA"/>
        </w:rPr>
        <w:t>) gerap</w:t>
      </w:r>
      <w:r w:rsidR="00B20EAB">
        <w:rPr>
          <w:rFonts w:eastAsia="Times New Roman"/>
          <w:kern w:val="0"/>
          <w:lang w:eastAsia="en-US" w:bidi="ar-SA"/>
        </w:rPr>
        <w:t>-</w:t>
      </w:r>
      <w:r w:rsidRPr="00D147A7">
        <w:rPr>
          <w:rFonts w:eastAsia="Times New Roman"/>
          <w:kern w:val="0"/>
          <w:lang w:eastAsia="en-US" w:bidi="ar-SA"/>
        </w:rPr>
        <w:t>porteerd worden.</w:t>
      </w:r>
      <w:r w:rsidRPr="00D147A7">
        <w:rPr>
          <w:rFonts w:eastAsia="Times New Roman"/>
          <w:kern w:val="0"/>
          <w:vertAlign w:val="superscript"/>
          <w:lang w:eastAsia="en-US" w:bidi="ar-SA"/>
        </w:rPr>
        <w:footnoteReference w:id="813"/>
      </w:r>
    </w:p>
    <w:p w:rsidR="00426625" w:rsidRPr="00D147A7" w:rsidRDefault="00426625" w:rsidP="00426625">
      <w:pPr>
        <w:widowControl/>
        <w:suppressAutoHyphens w:val="0"/>
        <w:autoSpaceDE w:val="0"/>
        <w:autoSpaceDN w:val="0"/>
        <w:adjustRightInd w:val="0"/>
        <w:snapToGrid w:val="0"/>
        <w:jc w:val="both"/>
        <w:rPr>
          <w:rFonts w:eastAsia="Times New Roman"/>
          <w:kern w:val="0"/>
          <w:lang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Zowel binnen als buiten verzorgingsinstellingen zijn zorgverleners aansprakelijk voor het be</w:t>
      </w:r>
      <w:r w:rsidR="00B20EAB">
        <w:rPr>
          <w:kern w:val="0"/>
          <w:lang w:val="nl-NL" w:eastAsia="en-US" w:bidi="ar-SA"/>
        </w:rPr>
        <w:t>-</w:t>
      </w:r>
      <w:r w:rsidRPr="00D147A7">
        <w:rPr>
          <w:kern w:val="0"/>
          <w:lang w:val="nl-NL" w:eastAsia="en-US" w:bidi="ar-SA"/>
        </w:rPr>
        <w:t>heer van de door hen gevormde archiefbescheiden.</w:t>
      </w:r>
      <w:r w:rsidRPr="00D147A7">
        <w:rPr>
          <w:kern w:val="0"/>
          <w:vertAlign w:val="superscript"/>
          <w:lang w:val="nl-NL" w:eastAsia="en-US" w:bidi="ar-SA"/>
        </w:rPr>
        <w:footnoteReference w:id="814"/>
      </w:r>
      <w:r w:rsidRPr="00D147A7">
        <w:rPr>
          <w:kern w:val="0"/>
          <w:lang w:val="nl-NL" w:eastAsia="en-US" w:bidi="ar-SA"/>
        </w:rPr>
        <w:t xml:space="preserve"> Aangezien de bewaring van patiënten</w:t>
      </w:r>
      <w:r w:rsidR="00B20EAB">
        <w:rPr>
          <w:kern w:val="0"/>
          <w:lang w:val="nl-NL" w:eastAsia="en-US" w:bidi="ar-SA"/>
        </w:rPr>
        <w:t>-</w:t>
      </w:r>
      <w:r w:rsidRPr="00D147A7">
        <w:rPr>
          <w:kern w:val="0"/>
          <w:lang w:val="nl-NL" w:eastAsia="en-US" w:bidi="ar-SA"/>
        </w:rPr>
        <w:t>dossiers in de dossierplicht geïntegreerd is</w:t>
      </w:r>
      <w:r w:rsidR="00B20EAB">
        <w:rPr>
          <w:rStyle w:val="Voetnootmarkering"/>
          <w:kern w:val="0"/>
          <w:lang w:val="nl-NL" w:eastAsia="en-US" w:bidi="ar-SA"/>
        </w:rPr>
        <w:footnoteReference w:id="815"/>
      </w:r>
      <w:r w:rsidRPr="00D147A7">
        <w:rPr>
          <w:kern w:val="0"/>
          <w:lang w:val="nl-NL" w:eastAsia="en-US" w:bidi="ar-SA"/>
        </w:rPr>
        <w:t>, heeft de Nederlandse wetgever de aansprake</w:t>
      </w:r>
      <w:r w:rsidR="00B20EAB">
        <w:rPr>
          <w:kern w:val="0"/>
          <w:lang w:val="nl-NL" w:eastAsia="en-US" w:bidi="ar-SA"/>
        </w:rPr>
        <w:t>-</w:t>
      </w:r>
      <w:r w:rsidRPr="00D147A7">
        <w:rPr>
          <w:kern w:val="0"/>
          <w:lang w:val="nl-NL" w:eastAsia="en-US" w:bidi="ar-SA"/>
        </w:rPr>
        <w:t>lijkheid van individuele zorgverleners voor de goede bewaring van ‘hun’ patiëntendossiers expliciet vastgelegd.</w:t>
      </w:r>
      <w:r w:rsidRPr="00D147A7">
        <w:rPr>
          <w:kern w:val="0"/>
          <w:vertAlign w:val="superscript"/>
          <w:lang w:val="nl-NL" w:eastAsia="en-US" w:bidi="ar-SA"/>
        </w:rPr>
        <w:footnoteReference w:id="816"/>
      </w:r>
      <w:r w:rsidRPr="00D147A7">
        <w:rPr>
          <w:kern w:val="0"/>
          <w:lang w:val="nl-NL" w:eastAsia="en-US" w:bidi="ar-SA"/>
        </w:rPr>
        <w:t xml:space="preserve"> De keerzijde van de medaille is evenwel dat er in Nederlandse ver</w:t>
      </w:r>
      <w:r w:rsidR="00B20EAB">
        <w:rPr>
          <w:kern w:val="0"/>
          <w:lang w:val="nl-NL" w:eastAsia="en-US" w:bidi="ar-SA"/>
        </w:rPr>
        <w:t>-</w:t>
      </w:r>
      <w:r w:rsidRPr="00D147A7">
        <w:rPr>
          <w:kern w:val="0"/>
          <w:lang w:val="nl-NL" w:eastAsia="en-US" w:bidi="ar-SA"/>
        </w:rPr>
        <w:t>zorgingsinstellingen geen coördinerende beroepsbeoefenaar toekijkt op de bewaring van pa</w:t>
      </w:r>
      <w:r w:rsidR="00B20EAB">
        <w:rPr>
          <w:kern w:val="0"/>
          <w:lang w:val="nl-NL" w:eastAsia="en-US" w:bidi="ar-SA"/>
        </w:rPr>
        <w:t>-</w:t>
      </w:r>
      <w:r w:rsidRPr="00D147A7">
        <w:rPr>
          <w:kern w:val="0"/>
          <w:lang w:val="nl-NL" w:eastAsia="en-US" w:bidi="ar-SA"/>
        </w:rPr>
        <w:t xml:space="preserve">tiëntendossiers. Toch is deze invulling van het archiefbeheer begrijpelijk. Zorgverleners zijn immers verantwoordelijk voor de inhoud van </w:t>
      </w:r>
      <w:r w:rsidR="00B20EAB">
        <w:rPr>
          <w:kern w:val="0"/>
          <w:lang w:val="nl-NL" w:eastAsia="en-US" w:bidi="ar-SA"/>
        </w:rPr>
        <w:t>de door hen gevormde</w:t>
      </w:r>
      <w:r w:rsidRPr="00D147A7">
        <w:rPr>
          <w:kern w:val="0"/>
          <w:lang w:val="nl-NL" w:eastAsia="en-US" w:bidi="ar-SA"/>
        </w:rPr>
        <w:t xml:space="preserve"> patiëntendossiers, de ge</w:t>
      </w:r>
      <w:r w:rsidR="00B20EAB">
        <w:rPr>
          <w:kern w:val="0"/>
          <w:lang w:val="nl-NL" w:eastAsia="en-US" w:bidi="ar-SA"/>
        </w:rPr>
        <w:t>-</w:t>
      </w:r>
      <w:r w:rsidRPr="00D147A7">
        <w:rPr>
          <w:kern w:val="0"/>
          <w:lang w:val="nl-NL" w:eastAsia="en-US" w:bidi="ar-SA"/>
        </w:rPr>
        <w:t xml:space="preserve">gevensverstrekking aan derden en de beoordeling van aanvragen waarop patiënten aanspraak maken – waaraan zij eventueel gevolg moeten geven. Bovendien hebben zorgverleners het alleenrecht om te beslissen welke </w:t>
      </w:r>
      <w:r w:rsidR="00B20EAB">
        <w:rPr>
          <w:kern w:val="0"/>
          <w:lang w:val="nl-NL" w:eastAsia="en-US" w:bidi="ar-SA"/>
        </w:rPr>
        <w:t>gezondheidsgegevens</w:t>
      </w:r>
      <w:r w:rsidRPr="00D147A7">
        <w:rPr>
          <w:kern w:val="0"/>
          <w:lang w:val="nl-NL" w:eastAsia="en-US" w:bidi="ar-SA"/>
        </w:rPr>
        <w:t xml:space="preserve"> uit hoofde van </w:t>
      </w:r>
      <w:r w:rsidRPr="00D147A7">
        <w:rPr>
          <w:i/>
          <w:kern w:val="0"/>
          <w:lang w:val="nl-NL" w:eastAsia="en-US" w:bidi="ar-SA"/>
        </w:rPr>
        <w:t>een goede hulpverle</w:t>
      </w:r>
      <w:r w:rsidR="00B20EAB">
        <w:rPr>
          <w:i/>
          <w:kern w:val="0"/>
          <w:lang w:val="nl-NL" w:eastAsia="en-US" w:bidi="ar-SA"/>
        </w:rPr>
        <w:t>-</w:t>
      </w:r>
      <w:r w:rsidRPr="00D147A7">
        <w:rPr>
          <w:i/>
          <w:kern w:val="0"/>
          <w:lang w:val="nl-NL" w:eastAsia="en-US" w:bidi="ar-SA"/>
        </w:rPr>
        <w:t>ning</w:t>
      </w:r>
      <w:r w:rsidRPr="00D147A7">
        <w:rPr>
          <w:kern w:val="0"/>
          <w:lang w:val="nl-NL" w:eastAsia="en-US" w:bidi="ar-SA"/>
        </w:rPr>
        <w:t xml:space="preserve"> langer </w:t>
      </w:r>
      <w:r w:rsidR="00B20EAB" w:rsidRPr="00D147A7">
        <w:rPr>
          <w:kern w:val="0"/>
          <w:lang w:val="nl-NL" w:eastAsia="en-US" w:bidi="ar-SA"/>
        </w:rPr>
        <w:t xml:space="preserve">moeten worden </w:t>
      </w:r>
      <w:r w:rsidRPr="00D147A7">
        <w:rPr>
          <w:kern w:val="0"/>
          <w:lang w:val="nl-NL" w:eastAsia="en-US" w:bidi="ar-SA"/>
        </w:rPr>
        <w:t>bijgehouden dan de gangbare bewaartermijn. In verzorgingsinstel</w:t>
      </w:r>
      <w:r w:rsidR="00B20EAB">
        <w:rPr>
          <w:kern w:val="0"/>
          <w:lang w:val="nl-NL" w:eastAsia="en-US" w:bidi="ar-SA"/>
        </w:rPr>
        <w:t>-</w:t>
      </w:r>
      <w:r w:rsidRPr="00D147A7">
        <w:rPr>
          <w:kern w:val="0"/>
          <w:lang w:val="nl-NL" w:eastAsia="en-US" w:bidi="ar-SA"/>
        </w:rPr>
        <w:t>lingen moeten de ‘verantwoordelijken’ in de zin van de Wbp hen dan ook actief betrekken bij de vastlegging van de bewaartermijnen – en dus impliciet ook het tijdstip waarop de vernieti</w:t>
      </w:r>
      <w:r w:rsidR="00B20EAB">
        <w:rPr>
          <w:kern w:val="0"/>
          <w:lang w:val="nl-NL" w:eastAsia="en-US" w:bidi="ar-SA"/>
        </w:rPr>
        <w:t>-</w:t>
      </w:r>
      <w:r w:rsidRPr="00D147A7">
        <w:rPr>
          <w:kern w:val="0"/>
          <w:lang w:val="nl-NL" w:eastAsia="en-US" w:bidi="ar-SA"/>
        </w:rPr>
        <w:lastRenderedPageBreak/>
        <w:t xml:space="preserve">ging kan worden uitgevoerd – voor de verschillende soorten bescheiden. Dit wordt het best verwezenlijkt door </w:t>
      </w:r>
      <w:r w:rsidR="00B20EAB">
        <w:rPr>
          <w:kern w:val="0"/>
          <w:lang w:val="nl-NL" w:eastAsia="en-US" w:bidi="ar-SA"/>
        </w:rPr>
        <w:t xml:space="preserve">met </w:t>
      </w:r>
      <w:r w:rsidRPr="00D147A7">
        <w:rPr>
          <w:kern w:val="0"/>
          <w:lang w:val="nl-NL" w:eastAsia="en-US" w:bidi="ar-SA"/>
        </w:rPr>
        <w:t xml:space="preserve">de verschillende soorten zorgverleners een criterialijst </w:t>
      </w:r>
      <w:r w:rsidR="00B20EAB">
        <w:rPr>
          <w:kern w:val="0"/>
          <w:lang w:val="nl-NL" w:eastAsia="en-US" w:bidi="ar-SA"/>
        </w:rPr>
        <w:t xml:space="preserve">op </w:t>
      </w:r>
      <w:r w:rsidRPr="00D147A7">
        <w:rPr>
          <w:kern w:val="0"/>
          <w:lang w:val="nl-NL" w:eastAsia="en-US" w:bidi="ar-SA"/>
        </w:rPr>
        <w:t>te stellen, die vervolgens door de directie of raad van bestuur in het bewaarbeleid van de instelling wordt opgenomen.</w:t>
      </w:r>
      <w:r w:rsidRPr="00D147A7">
        <w:rPr>
          <w:kern w:val="0"/>
          <w:vertAlign w:val="superscript"/>
          <w:lang w:val="nl-NL" w:eastAsia="en-US" w:bidi="ar-SA"/>
        </w:rPr>
        <w:footnoteReference w:id="817"/>
      </w:r>
      <w:r w:rsidRPr="00D147A7">
        <w:rPr>
          <w:kern w:val="0"/>
          <w:lang w:val="nl-NL" w:eastAsia="en-US" w:bidi="ar-SA"/>
        </w:rPr>
        <w:t xml:space="preserve"> Archiefmedewerkers kunnen dan op basis van deze lijst patiëntendos</w:t>
      </w:r>
      <w:r w:rsidR="00B20EAB">
        <w:rPr>
          <w:kern w:val="0"/>
          <w:lang w:val="nl-NL" w:eastAsia="en-US" w:bidi="ar-SA"/>
        </w:rPr>
        <w:t>-</w:t>
      </w:r>
      <w:r w:rsidRPr="00D147A7">
        <w:rPr>
          <w:kern w:val="0"/>
          <w:lang w:val="nl-NL" w:eastAsia="en-US" w:bidi="ar-SA"/>
        </w:rPr>
        <w:t>siers schonen en vernietigen.</w:t>
      </w:r>
      <w:r w:rsidRPr="00D147A7">
        <w:rPr>
          <w:kern w:val="0"/>
          <w:vertAlign w:val="superscript"/>
          <w:lang w:val="nl-NL" w:eastAsia="en-US" w:bidi="ar-SA"/>
        </w:rPr>
        <w:footnoteReference w:id="818"/>
      </w:r>
    </w:p>
    <w:p w:rsidR="00426625" w:rsidRPr="00D147A7" w:rsidRDefault="00426625" w:rsidP="00426625">
      <w:pPr>
        <w:widowControl/>
        <w:suppressAutoHyphens w:val="0"/>
        <w:spacing w:line="240" w:lineRule="atLeast"/>
        <w:ind w:left="360"/>
        <w:jc w:val="both"/>
        <w:rPr>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2: Bewaarplaats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 Nederlandse wetgever heeft zich niet uitgesproken over de plaats waar patiëntendossiers </w:t>
      </w:r>
      <w:r w:rsidR="00B20EAB" w:rsidRPr="00D147A7">
        <w:rPr>
          <w:kern w:val="0"/>
          <w:lang w:val="nl-NL" w:eastAsia="en-US" w:bidi="ar-SA"/>
        </w:rPr>
        <w:t xml:space="preserve">moeten worden </w:t>
      </w:r>
      <w:r w:rsidRPr="00D147A7">
        <w:rPr>
          <w:kern w:val="0"/>
          <w:lang w:val="nl-NL" w:eastAsia="en-US" w:bidi="ar-SA"/>
        </w:rPr>
        <w:t xml:space="preserve">bewaard. </w:t>
      </w:r>
      <w:r w:rsidRPr="00D147A7">
        <w:rPr>
          <w:i/>
          <w:kern w:val="0"/>
          <w:lang w:val="nl-NL" w:eastAsia="en-US" w:bidi="ar-SA"/>
        </w:rPr>
        <w:t>Qui tacet, consentire videtur</w:t>
      </w:r>
      <w:r w:rsidRPr="00D147A7">
        <w:rPr>
          <w:kern w:val="0"/>
          <w:vertAlign w:val="superscript"/>
          <w:lang w:val="en-US" w:eastAsia="en-US" w:bidi="ar-SA"/>
        </w:rPr>
        <w:footnoteReference w:id="819"/>
      </w:r>
      <w:r w:rsidRPr="00D147A7">
        <w:rPr>
          <w:kern w:val="0"/>
          <w:lang w:val="nl-NL" w:eastAsia="en-US" w:bidi="ar-SA"/>
        </w:rPr>
        <w:t xml:space="preserve"> oordeelde het College Bescherming Persoonsgegevens.</w:t>
      </w:r>
      <w:r w:rsidRPr="00D147A7">
        <w:rPr>
          <w:kern w:val="0"/>
          <w:vertAlign w:val="superscript"/>
          <w:lang w:val="nl-NL" w:eastAsia="en-US" w:bidi="ar-SA"/>
        </w:rPr>
        <w:footnoteReference w:id="820"/>
      </w:r>
      <w:r w:rsidRPr="00D147A7">
        <w:rPr>
          <w:kern w:val="0"/>
          <w:lang w:val="nl-NL" w:eastAsia="en-US" w:bidi="ar-SA"/>
        </w:rPr>
        <w:t xml:space="preserve"> De bewaring mag aan een ‘bewerker’ in de zin van de Wbp worden uit</w:t>
      </w:r>
      <w:r w:rsidR="00B20EAB">
        <w:rPr>
          <w:kern w:val="0"/>
          <w:lang w:val="nl-NL" w:eastAsia="en-US" w:bidi="ar-SA"/>
        </w:rPr>
        <w:t>-</w:t>
      </w:r>
      <w:r w:rsidRPr="00D147A7">
        <w:rPr>
          <w:kern w:val="0"/>
          <w:lang w:val="nl-NL" w:eastAsia="en-US" w:bidi="ar-SA"/>
        </w:rPr>
        <w:t>besteed, op voorwaarde dat er maatregelen getroffen worden die het verlies en de beschadi</w:t>
      </w:r>
      <w:r w:rsidR="00B20EAB">
        <w:rPr>
          <w:kern w:val="0"/>
          <w:lang w:val="nl-NL" w:eastAsia="en-US" w:bidi="ar-SA"/>
        </w:rPr>
        <w:t>-</w:t>
      </w:r>
      <w:r w:rsidRPr="00D147A7">
        <w:rPr>
          <w:kern w:val="0"/>
          <w:lang w:val="nl-NL" w:eastAsia="en-US" w:bidi="ar-SA"/>
        </w:rPr>
        <w:t>ging van (delen van) patiëntendossiers tegengaan en het medisch beroepsgeheim gerespec</w:t>
      </w:r>
      <w:r w:rsidR="00B20EAB">
        <w:rPr>
          <w:kern w:val="0"/>
          <w:lang w:val="nl-NL" w:eastAsia="en-US" w:bidi="ar-SA"/>
        </w:rPr>
        <w:t>-</w:t>
      </w:r>
      <w:r w:rsidRPr="00D147A7">
        <w:rPr>
          <w:kern w:val="0"/>
          <w:lang w:val="nl-NL" w:eastAsia="en-US" w:bidi="ar-SA"/>
        </w:rPr>
        <w:t>teerd wordt.</w:t>
      </w:r>
      <w:r w:rsidRPr="00D147A7">
        <w:rPr>
          <w:kern w:val="0"/>
          <w:vertAlign w:val="superscript"/>
          <w:lang w:val="nl-NL" w:eastAsia="en-US" w:bidi="ar-SA"/>
        </w:rPr>
        <w:footnoteReference w:id="821"/>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Het is opmerkelijk dat in de WGBO geen expliciet onderscheid gemaakt wordt tussen de ‘verantwoordelijke’ en de ‘bewerker’ in de zin van de Wbp.</w:t>
      </w:r>
      <w:r w:rsidRPr="00D147A7">
        <w:rPr>
          <w:kern w:val="0"/>
          <w:vertAlign w:val="superscript"/>
          <w:lang w:val="nl-NL" w:eastAsia="en-US" w:bidi="ar-SA"/>
        </w:rPr>
        <w:footnoteReference w:id="822"/>
      </w:r>
      <w:r w:rsidRPr="00D147A7">
        <w:rPr>
          <w:kern w:val="0"/>
          <w:lang w:val="nl-NL" w:eastAsia="en-US" w:bidi="ar-SA"/>
        </w:rPr>
        <w:t xml:space="preserve"> Zorgverleners moeten er wel voor zorgen </w:t>
      </w:r>
      <w:r w:rsidRPr="00D147A7">
        <w:rPr>
          <w:i/>
          <w:kern w:val="0"/>
          <w:lang w:val="nl-NL" w:eastAsia="en-US" w:bidi="ar-SA"/>
        </w:rPr>
        <w:t xml:space="preserve">dat aan anderen dan de patiënt geen inlichtingen over de patiënt dan wel inzage in of afschrift van de bescheiden </w:t>
      </w:r>
      <w:r w:rsidRPr="00D147A7">
        <w:rPr>
          <w:kern w:val="0"/>
          <w:lang w:val="nl-NL" w:eastAsia="en-US" w:bidi="ar-SA"/>
        </w:rPr>
        <w:t>(…)</w:t>
      </w:r>
      <w:r w:rsidRPr="00D147A7">
        <w:rPr>
          <w:i/>
          <w:kern w:val="0"/>
          <w:lang w:val="nl-NL" w:eastAsia="en-US" w:bidi="ar-SA"/>
        </w:rPr>
        <w:t xml:space="preserve"> worden verstrekt dan met toestemming van de patiënt</w:t>
      </w:r>
      <w:r w:rsidRPr="00D147A7">
        <w:rPr>
          <w:kern w:val="0"/>
          <w:lang w:val="nl-NL" w:eastAsia="en-US" w:bidi="ar-SA"/>
        </w:rPr>
        <w:t>.</w:t>
      </w:r>
      <w:r w:rsidRPr="00D147A7">
        <w:rPr>
          <w:kern w:val="0"/>
          <w:vertAlign w:val="superscript"/>
          <w:lang w:val="nl-NL" w:eastAsia="en-US" w:bidi="ar-SA"/>
        </w:rPr>
        <w:footnoteReference w:id="823"/>
      </w:r>
      <w:r w:rsidRPr="00D147A7">
        <w:rPr>
          <w:i/>
          <w:kern w:val="0"/>
          <w:lang w:val="nl-NL" w:eastAsia="en-US" w:bidi="ar-SA"/>
        </w:rPr>
        <w:t xml:space="preserve"> </w:t>
      </w:r>
      <w:r w:rsidRPr="00D147A7">
        <w:rPr>
          <w:kern w:val="0"/>
          <w:lang w:val="nl-NL" w:eastAsia="en-US" w:bidi="ar-SA"/>
        </w:rPr>
        <w:t xml:space="preserve">Een ‘bewerker’ is dus doorgaans een derde ten opzichte van wie het medische beroepsgeheim geldt. Er is een uitzondering voorzien voor </w:t>
      </w:r>
      <w:r w:rsidRPr="00D147A7">
        <w:rPr>
          <w:i/>
          <w:kern w:val="0"/>
          <w:lang w:val="nl-NL" w:eastAsia="en-US" w:bidi="ar-SA"/>
        </w:rPr>
        <w:t>degenen die rechtstreeks betrokken zijn bij de uit</w:t>
      </w:r>
      <w:r w:rsidR="00B20EAB">
        <w:rPr>
          <w:i/>
          <w:kern w:val="0"/>
          <w:lang w:val="nl-NL" w:eastAsia="en-US" w:bidi="ar-SA"/>
        </w:rPr>
        <w:t>-</w:t>
      </w:r>
      <w:r w:rsidRPr="00D147A7">
        <w:rPr>
          <w:i/>
          <w:kern w:val="0"/>
          <w:lang w:val="nl-NL" w:eastAsia="en-US" w:bidi="ar-SA"/>
        </w:rPr>
        <w:t>voering van de behandelingsovereenkomst</w:t>
      </w:r>
      <w:r w:rsidRPr="00D147A7">
        <w:rPr>
          <w:kern w:val="0"/>
          <w:lang w:val="nl-NL" w:eastAsia="en-US" w:bidi="ar-SA"/>
        </w:rPr>
        <w:t xml:space="preserve"> (…).</w:t>
      </w:r>
      <w:r w:rsidRPr="00D147A7">
        <w:rPr>
          <w:kern w:val="0"/>
          <w:vertAlign w:val="superscript"/>
          <w:lang w:val="nl-NL" w:eastAsia="en-US" w:bidi="ar-SA"/>
        </w:rPr>
        <w:footnoteReference w:id="824"/>
      </w:r>
      <w:r w:rsidRPr="00D147A7">
        <w:rPr>
          <w:kern w:val="0"/>
          <w:lang w:val="nl-NL" w:eastAsia="en-US" w:bidi="ar-SA"/>
        </w:rPr>
        <w:t xml:space="preserve"> Tijdens de parlementaire voorbereiding van de WGBO gaf de wetgever reeds aan dat tot </w:t>
      </w:r>
      <w:r w:rsidRPr="00D147A7">
        <w:rPr>
          <w:i/>
          <w:kern w:val="0"/>
          <w:lang w:val="nl-NL" w:eastAsia="en-US" w:bidi="ar-SA"/>
        </w:rPr>
        <w:t>degenen die rechtstreeks betrokken</w:t>
      </w:r>
      <w:r w:rsidRPr="00D147A7">
        <w:rPr>
          <w:kern w:val="0"/>
          <w:lang w:val="nl-NL" w:eastAsia="en-US" w:bidi="ar-SA"/>
        </w:rPr>
        <w:t xml:space="preserve"> </w:t>
      </w:r>
      <w:r w:rsidRPr="00B20EAB">
        <w:rPr>
          <w:i/>
          <w:kern w:val="0"/>
          <w:lang w:val="nl-NL" w:eastAsia="en-US" w:bidi="ar-SA"/>
        </w:rPr>
        <w:t>zijn</w:t>
      </w:r>
      <w:r w:rsidRPr="00D147A7">
        <w:rPr>
          <w:kern w:val="0"/>
          <w:lang w:val="nl-NL" w:eastAsia="en-US" w:bidi="ar-SA"/>
        </w:rPr>
        <w:t xml:space="preserve"> ook </w:t>
      </w:r>
      <w:r w:rsidRPr="00D147A7">
        <w:rPr>
          <w:i/>
          <w:kern w:val="0"/>
          <w:lang w:val="nl-NL" w:eastAsia="en-US" w:bidi="ar-SA"/>
        </w:rPr>
        <w:t>degenen die onder toezicht en verantwoordelijkheid van de betrokken beroepsbeoefenaars zijn belast met het feitelijk beheer van de patiëntendossiers</w:t>
      </w:r>
      <w:r w:rsidR="00B20EAB" w:rsidRPr="00B20EAB">
        <w:rPr>
          <w:kern w:val="0"/>
          <w:lang w:val="nl-NL" w:eastAsia="en-US" w:bidi="ar-SA"/>
        </w:rPr>
        <w:t xml:space="preserve"> </w:t>
      </w:r>
      <w:r w:rsidR="00B20EAB" w:rsidRPr="00D147A7">
        <w:rPr>
          <w:kern w:val="0"/>
          <w:lang w:val="nl-NL" w:eastAsia="en-US" w:bidi="ar-SA"/>
        </w:rPr>
        <w:t>kunnen behoren</w:t>
      </w:r>
      <w:r w:rsidRPr="00D147A7">
        <w:rPr>
          <w:kern w:val="0"/>
          <w:lang w:val="nl-NL" w:eastAsia="en-US" w:bidi="ar-SA"/>
        </w:rPr>
        <w:t>.</w:t>
      </w:r>
      <w:r w:rsidRPr="00D147A7">
        <w:rPr>
          <w:kern w:val="0"/>
          <w:vertAlign w:val="superscript"/>
          <w:lang w:val="nl-NL" w:eastAsia="en-US" w:bidi="ar-SA"/>
        </w:rPr>
        <w:footnoteReference w:id="825"/>
      </w:r>
      <w:r w:rsidRPr="00D147A7">
        <w:rPr>
          <w:kern w:val="0"/>
          <w:lang w:val="nl-NL" w:eastAsia="en-US" w:bidi="ar-SA"/>
        </w:rPr>
        <w:t xml:space="preserve"> Als een ‘be</w:t>
      </w:r>
      <w:r w:rsidR="00B20EAB">
        <w:rPr>
          <w:kern w:val="0"/>
          <w:lang w:val="nl-NL" w:eastAsia="en-US" w:bidi="ar-SA"/>
        </w:rPr>
        <w:t>-</w:t>
      </w:r>
      <w:r w:rsidRPr="00D147A7">
        <w:rPr>
          <w:kern w:val="0"/>
          <w:lang w:val="nl-NL" w:eastAsia="en-US" w:bidi="ar-SA"/>
        </w:rPr>
        <w:t>werker’ zijn werkzaamheden niet kan uitvoeren zonder de patiëntendossiers op één of andere manier te verwerken</w:t>
      </w:r>
      <w:r w:rsidRPr="00D147A7">
        <w:rPr>
          <w:kern w:val="0"/>
          <w:vertAlign w:val="superscript"/>
          <w:lang w:val="nl-NL" w:eastAsia="en-US" w:bidi="ar-SA"/>
        </w:rPr>
        <w:footnoteReference w:id="826"/>
      </w:r>
      <w:r w:rsidRPr="00D147A7">
        <w:rPr>
          <w:kern w:val="0"/>
          <w:lang w:val="nl-NL" w:eastAsia="en-US" w:bidi="ar-SA"/>
        </w:rPr>
        <w:t>, moet de toestemming van de patiënten niet worden bekomen. Patiënt</w:t>
      </w:r>
      <w:r w:rsidR="00B20EAB">
        <w:rPr>
          <w:kern w:val="0"/>
          <w:lang w:val="nl-NL" w:eastAsia="en-US" w:bidi="ar-SA"/>
        </w:rPr>
        <w:t>-</w:t>
      </w:r>
      <w:r w:rsidRPr="00D147A7">
        <w:rPr>
          <w:kern w:val="0"/>
          <w:lang w:val="nl-NL" w:eastAsia="en-US" w:bidi="ar-SA"/>
        </w:rPr>
        <w:t>en hebben wel het recht om zich te verzetten tegen de verstrekking van de hen betreffende ge</w:t>
      </w:r>
      <w:r w:rsidR="00B20EAB">
        <w:rPr>
          <w:kern w:val="0"/>
          <w:lang w:val="nl-NL" w:eastAsia="en-US" w:bidi="ar-SA"/>
        </w:rPr>
        <w:t>-</w:t>
      </w:r>
      <w:r w:rsidRPr="00D147A7">
        <w:rPr>
          <w:kern w:val="0"/>
          <w:lang w:val="nl-NL" w:eastAsia="en-US" w:bidi="ar-SA"/>
        </w:rPr>
        <w:t xml:space="preserve">gevens aan personen die niet </w:t>
      </w:r>
      <w:r w:rsidR="00B20EAB">
        <w:rPr>
          <w:kern w:val="0"/>
          <w:lang w:val="nl-NL" w:eastAsia="en-US" w:bidi="ar-SA"/>
        </w:rPr>
        <w:t xml:space="preserve">bij de behandelingsovereenkomst </w:t>
      </w:r>
      <w:r w:rsidRPr="00D147A7">
        <w:rPr>
          <w:kern w:val="0"/>
          <w:lang w:val="nl-NL" w:eastAsia="en-US" w:bidi="ar-SA"/>
        </w:rPr>
        <w:t>betrokken zijn.</w:t>
      </w:r>
      <w:r w:rsidRPr="00D147A7">
        <w:rPr>
          <w:kern w:val="0"/>
          <w:vertAlign w:val="superscript"/>
          <w:lang w:val="nl-NL" w:eastAsia="en-US" w:bidi="ar-SA"/>
        </w:rPr>
        <w:footnoteReference w:id="827"/>
      </w:r>
      <w:r w:rsidR="00B20EAB">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Ook de KNMG ziet in de bewaring van patiëntendossiers bij een onafhankelijke instantie een mogelijkheid om aan het ruimtegebrek van verzorgingsinstellingen tegemoet te komen. Om de privacy van patiënten te vrijwaren, laat de KNMG wel enkel de uitbesteding van geanoni</w:t>
      </w:r>
      <w:r w:rsidR="00B20EAB">
        <w:rPr>
          <w:kern w:val="0"/>
          <w:lang w:val="nl-NL" w:eastAsia="en-US" w:bidi="ar-SA"/>
        </w:rPr>
        <w:t>-</w:t>
      </w:r>
      <w:r w:rsidRPr="00D147A7">
        <w:rPr>
          <w:kern w:val="0"/>
          <w:lang w:val="nl-NL" w:eastAsia="en-US" w:bidi="ar-SA"/>
        </w:rPr>
        <w:t>miseerde patiëntendossiers toe.</w:t>
      </w:r>
      <w:r w:rsidRPr="00D147A7">
        <w:rPr>
          <w:kern w:val="0"/>
          <w:vertAlign w:val="superscript"/>
          <w:lang w:val="nl-NL" w:eastAsia="en-US" w:bidi="ar-SA"/>
        </w:rPr>
        <w:footnoteReference w:id="828"/>
      </w:r>
      <w:r w:rsidRPr="00D147A7">
        <w:rPr>
          <w:kern w:val="0"/>
          <w:lang w:val="nl-NL" w:eastAsia="en-US" w:bidi="ar-SA"/>
        </w:rPr>
        <w:t xml:space="preserve"> Bovendien moet de ‘bewerker’ volgens een uiterst zorgvul</w:t>
      </w:r>
      <w:r w:rsidR="00B20EAB">
        <w:rPr>
          <w:kern w:val="0"/>
          <w:lang w:val="nl-NL" w:eastAsia="en-US" w:bidi="ar-SA"/>
        </w:rPr>
        <w:t>-</w:t>
      </w:r>
      <w:r w:rsidRPr="00D147A7">
        <w:rPr>
          <w:kern w:val="0"/>
          <w:lang w:val="nl-NL" w:eastAsia="en-US" w:bidi="ar-SA"/>
        </w:rPr>
        <w:lastRenderedPageBreak/>
        <w:t xml:space="preserve">dige procedure </w:t>
      </w:r>
      <w:r w:rsidR="00B20EAB">
        <w:rPr>
          <w:kern w:val="0"/>
          <w:lang w:val="nl-NL" w:eastAsia="en-US" w:bidi="ar-SA"/>
        </w:rPr>
        <w:t>te</w:t>
      </w:r>
      <w:r w:rsidRPr="00D147A7">
        <w:rPr>
          <w:kern w:val="0"/>
          <w:lang w:val="nl-NL" w:eastAsia="en-US" w:bidi="ar-SA"/>
        </w:rPr>
        <w:t>werk</w:t>
      </w:r>
      <w:r w:rsidR="00B20EAB">
        <w:rPr>
          <w:kern w:val="0"/>
          <w:lang w:val="nl-NL" w:eastAsia="en-US" w:bidi="ar-SA"/>
        </w:rPr>
        <w:t xml:space="preserve"> gaa</w:t>
      </w:r>
      <w:r w:rsidRPr="00D147A7">
        <w:rPr>
          <w:kern w:val="0"/>
          <w:lang w:val="nl-NL" w:eastAsia="en-US" w:bidi="ar-SA"/>
        </w:rPr>
        <w:t>n, zoals op basis van een contractueel overeengekomen (privacy)</w:t>
      </w:r>
      <w:r w:rsidR="00B20EAB">
        <w:rPr>
          <w:kern w:val="0"/>
          <w:lang w:val="nl-NL" w:eastAsia="en-US" w:bidi="ar-SA"/>
        </w:rPr>
        <w:t>-</w:t>
      </w:r>
      <w:r w:rsidRPr="00D147A7">
        <w:rPr>
          <w:kern w:val="0"/>
          <w:lang w:val="nl-NL" w:eastAsia="en-US" w:bidi="ar-SA"/>
        </w:rPr>
        <w:t>reglement.</w:t>
      </w:r>
    </w:p>
    <w:p w:rsidR="00426625" w:rsidRPr="00D147A7" w:rsidRDefault="00426625" w:rsidP="00426625">
      <w:pPr>
        <w:widowControl/>
        <w:suppressAutoHyphens w:val="0"/>
        <w:spacing w:line="240" w:lineRule="atLeast"/>
        <w:ind w:left="360"/>
        <w:jc w:val="both"/>
        <w:rPr>
          <w:b/>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3: Bewaartermijnen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In Nederland geldt – op enkele uitzonderingen na – slechts één bewaartermijn voor alle pa</w:t>
      </w:r>
      <w:r w:rsidR="00B20EAB">
        <w:rPr>
          <w:kern w:val="0"/>
          <w:lang w:val="nl-NL" w:eastAsia="en-US" w:bidi="ar-SA"/>
        </w:rPr>
        <w:t>-</w:t>
      </w:r>
      <w:r w:rsidRPr="00D147A7">
        <w:rPr>
          <w:kern w:val="0"/>
          <w:lang w:val="nl-NL" w:eastAsia="en-US" w:bidi="ar-SA"/>
        </w:rPr>
        <w:t>tiëntendossiers, die in de WGBO kan worden teruggevonden. Hoewel deze algemene bewaar</w:t>
      </w:r>
      <w:r w:rsidR="00B20EAB">
        <w:rPr>
          <w:kern w:val="0"/>
          <w:lang w:val="nl-NL" w:eastAsia="en-US" w:bidi="ar-SA"/>
        </w:rPr>
        <w:t>-</w:t>
      </w:r>
      <w:r w:rsidRPr="00D147A7">
        <w:rPr>
          <w:kern w:val="0"/>
          <w:lang w:val="nl-NL" w:eastAsia="en-US" w:bidi="ar-SA"/>
        </w:rPr>
        <w:t>termijn tijdens de parlementaire voorbereiding slechts vijf jaar bedroeg</w:t>
      </w:r>
      <w:r w:rsidRPr="00D147A7">
        <w:rPr>
          <w:kern w:val="0"/>
          <w:vertAlign w:val="superscript"/>
          <w:lang w:val="nl-NL" w:eastAsia="en-US" w:bidi="ar-SA"/>
        </w:rPr>
        <w:footnoteReference w:id="829"/>
      </w:r>
      <w:r w:rsidRPr="00D147A7">
        <w:rPr>
          <w:kern w:val="0"/>
          <w:lang w:val="nl-NL" w:eastAsia="en-US" w:bidi="ar-SA"/>
        </w:rPr>
        <w:t>, werd deze termijn toch tot tien jaar</w:t>
      </w:r>
      <w:r w:rsidR="00B20EAB" w:rsidRPr="00B20EAB">
        <w:rPr>
          <w:kern w:val="0"/>
          <w:lang w:val="nl-NL" w:eastAsia="en-US" w:bidi="ar-SA"/>
        </w:rPr>
        <w:t xml:space="preserve"> </w:t>
      </w:r>
      <w:r w:rsidR="00B20EAB" w:rsidRPr="00D147A7">
        <w:rPr>
          <w:kern w:val="0"/>
          <w:lang w:val="nl-NL" w:eastAsia="en-US" w:bidi="ar-SA"/>
        </w:rPr>
        <w:t>opgetrokken</w:t>
      </w:r>
      <w:r w:rsidRPr="00D147A7">
        <w:rPr>
          <w:kern w:val="0"/>
          <w:lang w:val="nl-NL" w:eastAsia="en-US" w:bidi="ar-SA"/>
        </w:rPr>
        <w:t>.</w:t>
      </w:r>
      <w:r w:rsidRPr="00D147A7">
        <w:rPr>
          <w:kern w:val="0"/>
          <w:vertAlign w:val="superscript"/>
          <w:lang w:val="nl-NL" w:eastAsia="en-US" w:bidi="ar-SA"/>
        </w:rPr>
        <w:footnoteReference w:id="830"/>
      </w:r>
      <w:r w:rsidRPr="00D147A7">
        <w:rPr>
          <w:kern w:val="0"/>
          <w:lang w:val="nl-NL" w:eastAsia="en-US" w:bidi="ar-SA"/>
        </w:rPr>
        <w:t xml:space="preserve"> De Nederlandse wetgever koos deze veeleer korte bewaarter</w:t>
      </w:r>
      <w:r w:rsidR="00B20EAB">
        <w:rPr>
          <w:kern w:val="0"/>
          <w:lang w:val="nl-NL" w:eastAsia="en-US" w:bidi="ar-SA"/>
        </w:rPr>
        <w:t>-</w:t>
      </w:r>
      <w:r w:rsidRPr="00D147A7">
        <w:rPr>
          <w:kern w:val="0"/>
          <w:lang w:val="nl-NL" w:eastAsia="en-US" w:bidi="ar-SA"/>
        </w:rPr>
        <w:t>mijn in functie van dé stelregel van de Europese privacywetgeving</w:t>
      </w:r>
      <w:r w:rsidRPr="00D147A7">
        <w:rPr>
          <w:kern w:val="0"/>
          <w:vertAlign w:val="superscript"/>
          <w:lang w:val="nl-NL" w:eastAsia="en-US" w:bidi="ar-SA"/>
        </w:rPr>
        <w:footnoteReference w:id="831"/>
      </w:r>
      <w:r w:rsidRPr="00D147A7">
        <w:rPr>
          <w:kern w:val="0"/>
          <w:lang w:val="nl-NL" w:eastAsia="en-US" w:bidi="ar-SA"/>
        </w:rPr>
        <w:t xml:space="preserve">: </w:t>
      </w:r>
      <w:r w:rsidRPr="00D147A7">
        <w:rPr>
          <w:i/>
          <w:kern w:val="0"/>
          <w:lang w:val="nl-NL" w:eastAsia="en-US" w:bidi="ar-SA"/>
        </w:rPr>
        <w:t>persoonsgegevens wor</w:t>
      </w:r>
      <w:r w:rsidR="00B20EAB">
        <w:rPr>
          <w:i/>
          <w:kern w:val="0"/>
          <w:lang w:val="nl-NL" w:eastAsia="en-US" w:bidi="ar-SA"/>
        </w:rPr>
        <w:t>-</w:t>
      </w:r>
      <w:r w:rsidRPr="00D147A7">
        <w:rPr>
          <w:i/>
          <w:kern w:val="0"/>
          <w:lang w:val="nl-NL" w:eastAsia="en-US" w:bidi="ar-SA"/>
        </w:rPr>
        <w:t>den niet langer bewaard in een vorm die het mogelijk maakt de betrokkene te identificeren, dan noodzakelijk is voor de verwerkelijking van de doeleinden waarvoor zij worden verza</w:t>
      </w:r>
      <w:r w:rsidR="00B20EAB">
        <w:rPr>
          <w:i/>
          <w:kern w:val="0"/>
          <w:lang w:val="nl-NL" w:eastAsia="en-US" w:bidi="ar-SA"/>
        </w:rPr>
        <w:t>-</w:t>
      </w:r>
      <w:r w:rsidRPr="00D147A7">
        <w:rPr>
          <w:i/>
          <w:kern w:val="0"/>
          <w:lang w:val="nl-NL" w:eastAsia="en-US" w:bidi="ar-SA"/>
        </w:rPr>
        <w:t>meld of vervolgens worden verwerkt</w:t>
      </w:r>
      <w:r w:rsidRPr="00D147A7">
        <w:rPr>
          <w:kern w:val="0"/>
          <w:lang w:val="nl-NL" w:eastAsia="en-US" w:bidi="ar-SA"/>
        </w:rPr>
        <w:t>.</w:t>
      </w:r>
      <w:r w:rsidRPr="00D147A7">
        <w:rPr>
          <w:kern w:val="0"/>
          <w:vertAlign w:val="superscript"/>
          <w:lang w:val="nl-NL" w:eastAsia="en-US" w:bidi="ar-SA"/>
        </w:rPr>
        <w:footnoteReference w:id="832"/>
      </w:r>
      <w:r w:rsidRPr="00D147A7">
        <w:rPr>
          <w:kern w:val="0"/>
          <w:lang w:val="nl-NL" w:eastAsia="en-US" w:bidi="ar-SA"/>
        </w:rPr>
        <w:t xml:space="preserve"> Dat de Raad van Europa dit beginsel ook op de ge</w:t>
      </w:r>
      <w:r w:rsidR="00B20EAB">
        <w:rPr>
          <w:kern w:val="0"/>
          <w:lang w:val="nl-NL" w:eastAsia="en-US" w:bidi="ar-SA"/>
        </w:rPr>
        <w:t>-</w:t>
      </w:r>
      <w:r w:rsidRPr="00D147A7">
        <w:rPr>
          <w:kern w:val="0"/>
          <w:lang w:val="nl-NL" w:eastAsia="en-US" w:bidi="ar-SA"/>
        </w:rPr>
        <w:t>zondheidszorg van toepassing acht</w:t>
      </w:r>
      <w:r w:rsidRPr="00D147A7">
        <w:rPr>
          <w:kern w:val="0"/>
          <w:vertAlign w:val="superscript"/>
          <w:lang w:val="nl-NL" w:eastAsia="en-US" w:bidi="ar-SA"/>
        </w:rPr>
        <w:footnoteReference w:id="833"/>
      </w:r>
      <w:r w:rsidRPr="00D147A7">
        <w:rPr>
          <w:kern w:val="0"/>
          <w:lang w:val="nl-NL" w:eastAsia="en-US" w:bidi="ar-SA"/>
        </w:rPr>
        <w:t>, verklaart dat de tienjarige bewaartermijn voor patiënt</w:t>
      </w:r>
      <w:r w:rsidR="00B20EAB">
        <w:rPr>
          <w:kern w:val="0"/>
          <w:lang w:val="nl-NL" w:eastAsia="en-US" w:bidi="ar-SA"/>
        </w:rPr>
        <w:t>-</w:t>
      </w:r>
      <w:r w:rsidRPr="00D147A7">
        <w:rPr>
          <w:kern w:val="0"/>
          <w:lang w:val="nl-NL" w:eastAsia="en-US" w:bidi="ar-SA"/>
        </w:rPr>
        <w:t>endossiers de modus van grafiek 3 is.</w:t>
      </w:r>
      <w:r w:rsidRPr="00D147A7">
        <w:rPr>
          <w:kern w:val="0"/>
          <w:vertAlign w:val="superscript"/>
          <w:lang w:val="nl-NL" w:eastAsia="en-US" w:bidi="ar-SA"/>
        </w:rPr>
        <w:footnoteReference w:id="834"/>
      </w:r>
      <w:r w:rsidRPr="00D147A7">
        <w:rPr>
          <w:kern w:val="0"/>
          <w:lang w:val="nl-NL" w:eastAsia="en-US" w:bidi="ar-SA"/>
        </w:rPr>
        <w:t xml:space="preserve"> Dit axioma werd in Nederland evenwel niet blinde</w:t>
      </w:r>
      <w:r w:rsidR="00B20EAB">
        <w:rPr>
          <w:kern w:val="0"/>
          <w:lang w:val="nl-NL" w:eastAsia="en-US" w:bidi="ar-SA"/>
        </w:rPr>
        <w:t>-</w:t>
      </w:r>
      <w:r w:rsidRPr="00D147A7">
        <w:rPr>
          <w:kern w:val="0"/>
          <w:lang w:val="nl-NL" w:eastAsia="en-US" w:bidi="ar-SA"/>
        </w:rPr>
        <w:t>lings aanvaard.</w:t>
      </w:r>
      <w:r w:rsidRPr="00D147A7">
        <w:rPr>
          <w:kern w:val="0"/>
          <w:vertAlign w:val="superscript"/>
          <w:lang w:val="nl-NL" w:eastAsia="en-US" w:bidi="ar-SA"/>
        </w:rPr>
        <w:footnoteReference w:id="835"/>
      </w:r>
      <w:r w:rsidRPr="00D147A7">
        <w:rPr>
          <w:kern w:val="0"/>
          <w:lang w:val="nl-NL" w:eastAsia="en-US" w:bidi="ar-SA"/>
        </w:rPr>
        <w:t xml:space="preserve"> Critici wezen er immers (terecht) op dat door de klemtoon op de bescher</w:t>
      </w:r>
      <w:r w:rsidR="00B20EAB">
        <w:rPr>
          <w:kern w:val="0"/>
          <w:lang w:val="nl-NL" w:eastAsia="en-US" w:bidi="ar-SA"/>
        </w:rPr>
        <w:t>-</w:t>
      </w:r>
      <w:r w:rsidRPr="00D147A7">
        <w:rPr>
          <w:kern w:val="0"/>
          <w:lang w:val="nl-NL" w:eastAsia="en-US" w:bidi="ar-SA"/>
        </w:rPr>
        <w:t>ming van de persoonlijke levenssfeer van patiënten te leggen de oorspronkelijke bewaardoe</w:t>
      </w:r>
      <w:r w:rsidR="00B20EAB">
        <w:rPr>
          <w:kern w:val="0"/>
          <w:lang w:val="nl-NL" w:eastAsia="en-US" w:bidi="ar-SA"/>
        </w:rPr>
        <w:t>-</w:t>
      </w:r>
      <w:r w:rsidRPr="00D147A7">
        <w:rPr>
          <w:kern w:val="0"/>
          <w:lang w:val="nl-NL" w:eastAsia="en-US" w:bidi="ar-SA"/>
        </w:rPr>
        <w:t xml:space="preserve">len – </w:t>
      </w:r>
      <w:r w:rsidR="00B20EAB">
        <w:rPr>
          <w:kern w:val="0"/>
          <w:lang w:val="nl-NL" w:eastAsia="en-US" w:bidi="ar-SA"/>
        </w:rPr>
        <w:t>nl</w:t>
      </w:r>
      <w:r w:rsidRPr="00D147A7">
        <w:rPr>
          <w:kern w:val="0"/>
          <w:lang w:val="nl-NL" w:eastAsia="en-US" w:bidi="ar-SA"/>
        </w:rPr>
        <w:t>. de zorgverlening, het wetenschappelijk onderzoek en de juridische bescherming van zorgverleners – gemarginaliseerd zouden worden.</w:t>
      </w:r>
      <w:r w:rsidRPr="00D147A7">
        <w:rPr>
          <w:kern w:val="0"/>
          <w:vertAlign w:val="superscript"/>
          <w:lang w:val="nl-NL" w:eastAsia="en-US" w:bidi="ar-SA"/>
        </w:rPr>
        <w:footnoteReference w:id="836"/>
      </w:r>
      <w:r w:rsidRPr="00D147A7">
        <w:rPr>
          <w:kern w:val="0"/>
          <w:lang w:val="nl-NL" w:eastAsia="en-US" w:bidi="ar-SA"/>
        </w:rPr>
        <w:t xml:space="preserve"> Bovendien bracht de Nederlandse wetge</w:t>
      </w:r>
      <w:r w:rsidR="00B20EAB">
        <w:rPr>
          <w:kern w:val="0"/>
          <w:lang w:val="nl-NL" w:eastAsia="en-US" w:bidi="ar-SA"/>
        </w:rPr>
        <w:t>-</w:t>
      </w:r>
      <w:r w:rsidRPr="00D147A7">
        <w:rPr>
          <w:kern w:val="0"/>
          <w:lang w:val="nl-NL" w:eastAsia="en-US" w:bidi="ar-SA"/>
        </w:rPr>
        <w:t>ver de algemene bewaartermijn expliciet als maximumtermijn te berde</w:t>
      </w:r>
      <w:r w:rsidRPr="00D147A7">
        <w:rPr>
          <w:kern w:val="0"/>
          <w:vertAlign w:val="superscript"/>
          <w:lang w:val="nl-NL" w:eastAsia="en-US" w:bidi="ar-SA"/>
        </w:rPr>
        <w:footnoteReference w:id="837"/>
      </w:r>
      <w:r w:rsidRPr="00D147A7">
        <w:rPr>
          <w:kern w:val="0"/>
          <w:lang w:val="nl-NL" w:eastAsia="en-US" w:bidi="ar-SA"/>
        </w:rPr>
        <w:t>, waardoor zorgver</w:t>
      </w:r>
      <w:r w:rsidR="00B20EAB">
        <w:rPr>
          <w:kern w:val="0"/>
          <w:lang w:val="nl-NL" w:eastAsia="en-US" w:bidi="ar-SA"/>
        </w:rPr>
        <w:t>-</w:t>
      </w:r>
      <w:r w:rsidRPr="00D147A7">
        <w:rPr>
          <w:kern w:val="0"/>
          <w:lang w:val="nl-NL" w:eastAsia="en-US" w:bidi="ar-SA"/>
        </w:rPr>
        <w:t>leners verplicht werden om patiëntendossiers te vernietigen zodra de bewaartermijn verstr</w:t>
      </w:r>
      <w:r w:rsidR="00B20EAB">
        <w:rPr>
          <w:kern w:val="0"/>
          <w:lang w:val="nl-NL" w:eastAsia="en-US" w:bidi="ar-SA"/>
        </w:rPr>
        <w:t>ij</w:t>
      </w:r>
      <w:r w:rsidRPr="00D147A7">
        <w:rPr>
          <w:kern w:val="0"/>
          <w:lang w:val="nl-NL" w:eastAsia="en-US" w:bidi="ar-SA"/>
        </w:rPr>
        <w:t>k</w:t>
      </w:r>
      <w:r w:rsidR="00B20EAB">
        <w:rPr>
          <w:kern w:val="0"/>
          <w:lang w:val="nl-NL" w:eastAsia="en-US" w:bidi="ar-SA"/>
        </w:rPr>
        <w:t>t</w:t>
      </w:r>
      <w:r w:rsidRPr="00D147A7">
        <w:rPr>
          <w:kern w:val="0"/>
          <w:lang w:val="nl-NL" w:eastAsia="en-US" w:bidi="ar-SA"/>
        </w:rPr>
        <w:t xml:space="preserve"> tenzij </w:t>
      </w:r>
      <w:r w:rsidRPr="00D147A7">
        <w:rPr>
          <w:i/>
          <w:kern w:val="0"/>
          <w:lang w:val="nl-NL" w:eastAsia="en-US" w:bidi="ar-SA"/>
        </w:rPr>
        <w:t>de zorg van een goed hulpverlener</w:t>
      </w:r>
      <w:r w:rsidRPr="00D147A7">
        <w:rPr>
          <w:kern w:val="0"/>
          <w:lang w:val="nl-NL" w:eastAsia="en-US" w:bidi="ar-SA"/>
        </w:rPr>
        <w:t xml:space="preserve"> dit niet toel</w:t>
      </w:r>
      <w:r w:rsidR="00B20EAB">
        <w:rPr>
          <w:kern w:val="0"/>
          <w:lang w:val="nl-NL" w:eastAsia="en-US" w:bidi="ar-SA"/>
        </w:rPr>
        <w:t>aa</w:t>
      </w:r>
      <w:r w:rsidRPr="00D147A7">
        <w:rPr>
          <w:kern w:val="0"/>
          <w:lang w:val="nl-NL" w:eastAsia="en-US" w:bidi="ar-SA"/>
        </w:rPr>
        <w:t xml:space="preserve">t. Doorgaans fungeerde de ‘algemene bewaartermijn’ dus als ‘algemene vernietigingsplicht’.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Dat zorgverleners de mogelijkheid tot zelfregulering hebben om patiëntendossiers </w:t>
      </w:r>
      <w:r w:rsidRPr="00D147A7">
        <w:rPr>
          <w:i/>
          <w:kern w:val="0"/>
          <w:lang w:val="nl-NL" w:eastAsia="en-US" w:bidi="ar-SA"/>
        </w:rPr>
        <w:t>zoveel langer als redelijkerwijs uit de zorg van een goed hulpverlener voortvloeit</w:t>
      </w:r>
      <w:r w:rsidRPr="00D147A7">
        <w:rPr>
          <w:kern w:val="0"/>
          <w:vertAlign w:val="superscript"/>
          <w:lang w:val="nl-NL" w:eastAsia="en-US" w:bidi="ar-SA"/>
        </w:rPr>
        <w:t xml:space="preserve"> </w:t>
      </w:r>
      <w:r w:rsidRPr="00D147A7">
        <w:rPr>
          <w:kern w:val="0"/>
          <w:lang w:val="nl-NL" w:eastAsia="en-US" w:bidi="ar-SA"/>
        </w:rPr>
        <w:t>te bewaren</w:t>
      </w:r>
      <w:r w:rsidRPr="00D147A7">
        <w:rPr>
          <w:kern w:val="0"/>
          <w:vertAlign w:val="superscript"/>
          <w:lang w:val="nl-NL" w:eastAsia="en-US" w:bidi="ar-SA"/>
        </w:rPr>
        <w:footnoteReference w:id="838"/>
      </w:r>
      <w:r w:rsidRPr="00D147A7">
        <w:rPr>
          <w:kern w:val="0"/>
          <w:lang w:val="nl-NL" w:eastAsia="en-US" w:bidi="ar-SA"/>
        </w:rPr>
        <w:t xml:space="preserve"> en in de overgangsbepaling van de WGBO het verbod werd opgelegd om patiëntendossiers vóór 1 april 2005 (i.e. tien jaar na de inwerkingtreding van de WGBO) te vernietigen</w:t>
      </w:r>
      <w:r w:rsidRPr="00D147A7">
        <w:rPr>
          <w:kern w:val="0"/>
          <w:vertAlign w:val="superscript"/>
          <w:lang w:val="nl-NL" w:eastAsia="en-US" w:bidi="ar-SA"/>
        </w:rPr>
        <w:footnoteReference w:id="839"/>
      </w:r>
      <w:r w:rsidRPr="00D147A7">
        <w:rPr>
          <w:kern w:val="0"/>
          <w:lang w:val="nl-NL" w:eastAsia="en-US" w:bidi="ar-SA"/>
        </w:rPr>
        <w:t>, bracht wei</w:t>
      </w:r>
      <w:r w:rsidR="00B20EAB">
        <w:rPr>
          <w:kern w:val="0"/>
          <w:lang w:val="nl-NL" w:eastAsia="en-US" w:bidi="ar-SA"/>
        </w:rPr>
        <w:t>-</w:t>
      </w:r>
      <w:r w:rsidRPr="00D147A7">
        <w:rPr>
          <w:kern w:val="0"/>
          <w:lang w:val="nl-NL" w:eastAsia="en-US" w:bidi="ar-SA"/>
        </w:rPr>
        <w:t>nig zoden aan de dijk. In de praktijk groeide het ongenoegen over de bewaartermijn ziender</w:t>
      </w:r>
      <w:r w:rsidR="00B20EAB">
        <w:rPr>
          <w:kern w:val="0"/>
          <w:lang w:val="nl-NL" w:eastAsia="en-US" w:bidi="ar-SA"/>
        </w:rPr>
        <w:t>-</w:t>
      </w:r>
      <w:r w:rsidRPr="00D147A7">
        <w:rPr>
          <w:kern w:val="0"/>
          <w:lang w:val="nl-NL" w:eastAsia="en-US" w:bidi="ar-SA"/>
        </w:rPr>
        <w:t>ogen.</w:t>
      </w:r>
      <w:r w:rsidRPr="00D147A7">
        <w:rPr>
          <w:kern w:val="0"/>
          <w:vertAlign w:val="superscript"/>
          <w:lang w:val="nl-NL" w:eastAsia="en-US" w:bidi="ar-SA"/>
        </w:rPr>
        <w:footnoteReference w:id="840"/>
      </w:r>
      <w:r w:rsidRPr="00D147A7">
        <w:rPr>
          <w:kern w:val="0"/>
          <w:lang w:val="nl-NL" w:eastAsia="en-US" w:bidi="ar-SA"/>
        </w:rPr>
        <w:t xml:space="preserve"> Eerst en vooral berokkende het gebrek aan eenduidige uitzonderingen op de (te) korte bewaartermijn schade aan de coherente zorgverlening aan individuele patiënten en aanver</w:t>
      </w:r>
      <w:r w:rsidR="00B20EAB">
        <w:rPr>
          <w:kern w:val="0"/>
          <w:lang w:val="nl-NL" w:eastAsia="en-US" w:bidi="ar-SA"/>
        </w:rPr>
        <w:t>-</w:t>
      </w:r>
      <w:r w:rsidRPr="00D147A7">
        <w:rPr>
          <w:kern w:val="0"/>
          <w:lang w:val="nl-NL" w:eastAsia="en-US" w:bidi="ar-SA"/>
        </w:rPr>
        <w:t>wanten. Zo konden bijwerkingen van geneesmiddelen op lange termijn nagenoeg niet onder</w:t>
      </w:r>
      <w:r w:rsidR="00B20EAB">
        <w:rPr>
          <w:kern w:val="0"/>
          <w:lang w:val="nl-NL" w:eastAsia="en-US" w:bidi="ar-SA"/>
        </w:rPr>
        <w:t>-</w:t>
      </w:r>
      <w:r w:rsidRPr="00D147A7">
        <w:rPr>
          <w:kern w:val="0"/>
          <w:lang w:val="nl-NL" w:eastAsia="en-US" w:bidi="ar-SA"/>
        </w:rPr>
        <w:t>zocht worden. Dat geanonimiseerde dossiers voor onbepaalde duur mogen worden bijgehou</w:t>
      </w:r>
      <w:r w:rsidR="00B20EAB">
        <w:rPr>
          <w:kern w:val="0"/>
          <w:lang w:val="nl-NL" w:eastAsia="en-US" w:bidi="ar-SA"/>
        </w:rPr>
        <w:t>-</w:t>
      </w:r>
      <w:r w:rsidRPr="00D147A7">
        <w:rPr>
          <w:kern w:val="0"/>
          <w:lang w:val="nl-NL" w:eastAsia="en-US" w:bidi="ar-SA"/>
        </w:rPr>
        <w:t>den, biedt in dit geval geen oplossing.</w:t>
      </w:r>
      <w:r w:rsidRPr="00D147A7">
        <w:rPr>
          <w:kern w:val="0"/>
          <w:vertAlign w:val="superscript"/>
          <w:lang w:val="nl-NL" w:eastAsia="en-US" w:bidi="ar-SA"/>
        </w:rPr>
        <w:footnoteReference w:id="841"/>
      </w:r>
      <w:r w:rsidRPr="00D147A7">
        <w:rPr>
          <w:kern w:val="0"/>
          <w:lang w:val="nl-NL" w:eastAsia="en-US" w:bidi="ar-SA"/>
        </w:rPr>
        <w:t xml:space="preserve"> Om de neveneffecten van geneesmiddelen te kunnen onderzoeken, moet immers de actuele gezondheidstoestand van patiënten geanalyseerd kun</w:t>
      </w:r>
      <w:r w:rsidR="00B20EAB">
        <w:rPr>
          <w:kern w:val="0"/>
          <w:lang w:val="nl-NL" w:eastAsia="en-US" w:bidi="ar-SA"/>
        </w:rPr>
        <w:t>-</w:t>
      </w:r>
      <w:r w:rsidRPr="00D147A7">
        <w:rPr>
          <w:kern w:val="0"/>
          <w:lang w:val="nl-NL" w:eastAsia="en-US" w:bidi="ar-SA"/>
        </w:rPr>
        <w:t>nen worden. En daarvoor moet de identiteit van de betrokken patiënten gekend zijn.</w:t>
      </w:r>
      <w:r w:rsidRPr="00D147A7">
        <w:rPr>
          <w:kern w:val="0"/>
          <w:vertAlign w:val="superscript"/>
          <w:lang w:val="nl-NL" w:eastAsia="en-US" w:bidi="ar-SA"/>
        </w:rPr>
        <w:footnoteReference w:id="842"/>
      </w:r>
      <w:r w:rsidRPr="00D147A7">
        <w:rPr>
          <w:kern w:val="0"/>
          <w:lang w:val="nl-NL" w:eastAsia="en-US" w:bidi="ar-SA"/>
        </w:rPr>
        <w:t xml:space="preserve"> Boven</w:t>
      </w:r>
      <w:r w:rsidR="00B20EAB">
        <w:rPr>
          <w:kern w:val="0"/>
          <w:lang w:val="nl-NL" w:eastAsia="en-US" w:bidi="ar-SA"/>
        </w:rPr>
        <w:t>-</w:t>
      </w:r>
      <w:r w:rsidRPr="00D147A7">
        <w:rPr>
          <w:kern w:val="0"/>
          <w:lang w:val="nl-NL" w:eastAsia="en-US" w:bidi="ar-SA"/>
        </w:rPr>
        <w:t>dien kan afgevraagd worden in hoeverre de bewaring van dossiers effectief schade toebrengt aan de persoonlijke levenssfeer van patiënten.</w:t>
      </w:r>
      <w:r w:rsidRPr="00D147A7">
        <w:rPr>
          <w:color w:val="FF0000"/>
          <w:kern w:val="0"/>
          <w:lang w:val="nl-NL" w:eastAsia="en-US" w:bidi="ar-SA"/>
        </w:rPr>
        <w:t xml:space="preserve"> </w:t>
      </w:r>
      <w:r w:rsidRPr="00D147A7">
        <w:rPr>
          <w:kern w:val="0"/>
          <w:lang w:val="nl-NL" w:eastAsia="en-US" w:bidi="ar-SA"/>
        </w:rPr>
        <w:t>Wordt niet eerder een vroegtijdige vernietiging van patiëntendossier als inbreuk op de persoonlijke levenssfeer ervaren?</w:t>
      </w:r>
      <w:r w:rsidRPr="00D147A7">
        <w:rPr>
          <w:kern w:val="0"/>
          <w:vertAlign w:val="superscript"/>
          <w:lang w:val="nl-NL" w:eastAsia="en-US" w:bidi="ar-SA"/>
        </w:rPr>
        <w:footnoteReference w:id="843"/>
      </w:r>
      <w:r w:rsidRPr="00D147A7">
        <w:rPr>
          <w:kern w:val="0"/>
          <w:lang w:val="nl-NL" w:eastAsia="en-US" w:bidi="ar-SA"/>
        </w:rPr>
        <w:t xml:space="preserve"> Hoe het ook zij: het collectieve belang – </w:t>
      </w:r>
      <w:r w:rsidRPr="00D147A7">
        <w:rPr>
          <w:i/>
          <w:kern w:val="0"/>
          <w:lang w:val="nl-NL" w:eastAsia="en-US" w:bidi="ar-SA"/>
        </w:rPr>
        <w:t>in casu</w:t>
      </w:r>
      <w:r w:rsidRPr="00D147A7">
        <w:rPr>
          <w:kern w:val="0"/>
          <w:lang w:val="nl-NL" w:eastAsia="en-US" w:bidi="ar-SA"/>
        </w:rPr>
        <w:t xml:space="preserve"> de verplichting van de overheid om maatregelen ter bevorde</w:t>
      </w:r>
      <w:r w:rsidR="009D5546">
        <w:rPr>
          <w:kern w:val="0"/>
          <w:lang w:val="nl-NL" w:eastAsia="en-US" w:bidi="ar-SA"/>
        </w:rPr>
        <w:t>-</w:t>
      </w:r>
      <w:r w:rsidRPr="00D147A7">
        <w:rPr>
          <w:kern w:val="0"/>
          <w:lang w:val="nl-NL" w:eastAsia="en-US" w:bidi="ar-SA"/>
        </w:rPr>
        <w:t>ring van de volksgezondheid te treffen</w:t>
      </w:r>
      <w:r w:rsidRPr="00D147A7">
        <w:rPr>
          <w:kern w:val="0"/>
          <w:vertAlign w:val="superscript"/>
          <w:lang w:val="nl-NL" w:eastAsia="en-US" w:bidi="ar-SA"/>
        </w:rPr>
        <w:footnoteReference w:id="844"/>
      </w:r>
      <w:r w:rsidRPr="00D147A7">
        <w:rPr>
          <w:kern w:val="0"/>
          <w:lang w:val="nl-NL" w:eastAsia="en-US" w:bidi="ar-SA"/>
        </w:rPr>
        <w:t xml:space="preserve"> – moet op het individuele belang – </w:t>
      </w:r>
      <w:r w:rsidRPr="00D147A7">
        <w:rPr>
          <w:i/>
          <w:kern w:val="0"/>
          <w:lang w:val="nl-NL" w:eastAsia="en-US" w:bidi="ar-SA"/>
        </w:rPr>
        <w:t>in casu</w:t>
      </w:r>
      <w:r w:rsidRPr="00D147A7">
        <w:rPr>
          <w:kern w:val="0"/>
          <w:lang w:val="nl-NL" w:eastAsia="en-US" w:bidi="ar-SA"/>
        </w:rPr>
        <w:t xml:space="preserve"> de eer</w:t>
      </w:r>
      <w:r w:rsidR="009D5546">
        <w:rPr>
          <w:kern w:val="0"/>
          <w:lang w:val="nl-NL" w:eastAsia="en-US" w:bidi="ar-SA"/>
        </w:rPr>
        <w:t>-</w:t>
      </w:r>
      <w:r w:rsidRPr="00D147A7">
        <w:rPr>
          <w:kern w:val="0"/>
          <w:lang w:val="nl-NL" w:eastAsia="en-US" w:bidi="ar-SA"/>
        </w:rPr>
        <w:t>biediging van de persoonlijke levenssfeer</w:t>
      </w:r>
      <w:r w:rsidR="009D5546">
        <w:rPr>
          <w:kern w:val="0"/>
          <w:lang w:val="nl-NL" w:eastAsia="en-US" w:bidi="ar-SA"/>
        </w:rPr>
        <w:t xml:space="preserve"> – </w:t>
      </w:r>
      <w:r w:rsidR="009D5546" w:rsidRPr="00D147A7">
        <w:rPr>
          <w:kern w:val="0"/>
          <w:lang w:val="nl-NL" w:eastAsia="en-US" w:bidi="ar-SA"/>
        </w:rPr>
        <w:t>prevaleren</w:t>
      </w:r>
      <w:r w:rsidRPr="00D147A7">
        <w:rPr>
          <w:kern w:val="0"/>
          <w:lang w:val="nl-NL" w:eastAsia="en-US" w:bidi="ar-SA"/>
        </w:rPr>
        <w:t>.</w:t>
      </w:r>
      <w:r w:rsidRPr="00D147A7">
        <w:rPr>
          <w:kern w:val="0"/>
          <w:vertAlign w:val="superscript"/>
          <w:lang w:val="nl-NL" w:eastAsia="en-US" w:bidi="ar-SA"/>
        </w:rPr>
        <w:footnoteReference w:id="845"/>
      </w:r>
      <w:r w:rsidRPr="00D147A7">
        <w:rPr>
          <w:kern w:val="0"/>
          <w:lang w:val="nl-NL" w:eastAsia="en-US" w:bidi="ar-SA"/>
        </w:rPr>
        <w:t xml:space="preserve"> Het gebrek aan kennis over neven</w:t>
      </w:r>
      <w:r w:rsidR="009D5546">
        <w:rPr>
          <w:kern w:val="0"/>
          <w:lang w:val="nl-NL" w:eastAsia="en-US" w:bidi="ar-SA"/>
        </w:rPr>
        <w:t>-</w:t>
      </w:r>
      <w:r w:rsidRPr="00D147A7">
        <w:rPr>
          <w:kern w:val="0"/>
          <w:lang w:val="nl-NL" w:eastAsia="en-US" w:bidi="ar-SA"/>
        </w:rPr>
        <w:t>effecten van geneesmiddelen tast dus de kwaliteit van de zorgverlening, en in zekere zin ook de persoonlijke levenssfeer van patiën</w:t>
      </w:r>
      <w:r w:rsidR="009D5546">
        <w:rPr>
          <w:kern w:val="0"/>
          <w:lang w:val="nl-NL" w:eastAsia="en-US" w:bidi="ar-SA"/>
        </w:rPr>
        <w:t>ten en diens aanverwanten, aan.</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Daarnaast is de tienjarige bewaartermijn inferieur aan de burgerrechtelijke verjaringster</w:t>
      </w:r>
      <w:r w:rsidR="009D5546">
        <w:rPr>
          <w:kern w:val="0"/>
          <w:lang w:val="nl-NL" w:eastAsia="en-US" w:bidi="ar-SA"/>
        </w:rPr>
        <w:t>-</w:t>
      </w:r>
      <w:r w:rsidRPr="00D147A7">
        <w:rPr>
          <w:kern w:val="0"/>
          <w:lang w:val="nl-NL" w:eastAsia="en-US" w:bidi="ar-SA"/>
        </w:rPr>
        <w:t>mijn.</w:t>
      </w:r>
      <w:r w:rsidRPr="00D147A7">
        <w:rPr>
          <w:kern w:val="0"/>
          <w:vertAlign w:val="superscript"/>
          <w:lang w:val="nl-NL" w:eastAsia="en-US" w:bidi="ar-SA"/>
        </w:rPr>
        <w:footnoteReference w:id="846"/>
      </w:r>
      <w:r w:rsidRPr="00D147A7">
        <w:rPr>
          <w:kern w:val="0"/>
          <w:lang w:val="nl-NL" w:eastAsia="en-US" w:bidi="ar-SA"/>
        </w:rPr>
        <w:t xml:space="preserve"> In Nederland kunnen patiënten immers, net als in België, tot twintig jaar na een (ver</w:t>
      </w:r>
      <w:r w:rsidR="009D5546">
        <w:rPr>
          <w:kern w:val="0"/>
          <w:lang w:val="nl-NL" w:eastAsia="en-US" w:bidi="ar-SA"/>
        </w:rPr>
        <w:t>-</w:t>
      </w:r>
      <w:r w:rsidRPr="00D147A7">
        <w:rPr>
          <w:kern w:val="0"/>
          <w:lang w:val="nl-NL" w:eastAsia="en-US" w:bidi="ar-SA"/>
        </w:rPr>
        <w:t xml:space="preserve">meende) medische fout een vordering tegen hun arts instellen. De KNMG vindt dit evenwel </w:t>
      </w:r>
      <w:r w:rsidRPr="00D147A7">
        <w:rPr>
          <w:kern w:val="0"/>
          <w:lang w:val="nl-NL" w:eastAsia="en-US" w:bidi="ar-SA"/>
        </w:rPr>
        <w:lastRenderedPageBreak/>
        <w:t>geen afdoende reden om alle patiëntendossiers standaard twintig jaar bij te houden.</w:t>
      </w:r>
      <w:r w:rsidRPr="00D147A7">
        <w:rPr>
          <w:kern w:val="0"/>
          <w:vertAlign w:val="superscript"/>
          <w:lang w:val="nl-NL" w:eastAsia="en-US" w:bidi="ar-SA"/>
        </w:rPr>
        <w:footnoteReference w:id="847"/>
      </w:r>
      <w:r w:rsidRPr="00D147A7">
        <w:rPr>
          <w:kern w:val="0"/>
          <w:lang w:val="nl-NL" w:eastAsia="en-US" w:bidi="ar-SA"/>
        </w:rPr>
        <w:t xml:space="preserve"> Het wordt enkel opportuun geacht om met deze verjaringstermijn rekening te houden als een pa</w:t>
      </w:r>
      <w:r w:rsidR="009D5546">
        <w:rPr>
          <w:kern w:val="0"/>
          <w:lang w:val="nl-NL" w:eastAsia="en-US" w:bidi="ar-SA"/>
        </w:rPr>
        <w:t>-</w:t>
      </w:r>
      <w:r w:rsidRPr="00D147A7">
        <w:rPr>
          <w:kern w:val="0"/>
          <w:lang w:val="nl-NL" w:eastAsia="en-US" w:bidi="ar-SA"/>
        </w:rPr>
        <w:t>tiënt een juridische procedure tegen zijn arts heeft aangespannen of dreigt aan te spannen.</w:t>
      </w:r>
      <w:r w:rsidRPr="00D147A7">
        <w:rPr>
          <w:kern w:val="0"/>
          <w:vertAlign w:val="superscript"/>
          <w:lang w:val="nl-NL" w:eastAsia="en-US" w:bidi="ar-SA"/>
        </w:rPr>
        <w:footnoteReference w:id="848"/>
      </w:r>
      <w:r w:rsidRPr="00D147A7">
        <w:rPr>
          <w:kern w:val="0"/>
          <w:lang w:val="nl-NL" w:eastAsia="en-US" w:bidi="ar-SA"/>
        </w:rPr>
        <w:t xml:space="preserve"> Maar hoelang patiëntendossiers in die gevallen bewaard moeten worden, laat de KNMG even</w:t>
      </w:r>
      <w:r w:rsidR="009D5546">
        <w:rPr>
          <w:kern w:val="0"/>
          <w:lang w:val="nl-NL" w:eastAsia="en-US" w:bidi="ar-SA"/>
        </w:rPr>
        <w:t>-</w:t>
      </w:r>
      <w:r w:rsidRPr="00D147A7">
        <w:rPr>
          <w:kern w:val="0"/>
          <w:lang w:val="nl-NL" w:eastAsia="en-US" w:bidi="ar-SA"/>
        </w:rPr>
        <w:t xml:space="preserve">wel in het midden. Dienen patiëntendossiers dan twintig jaar te worden bewaard? Of mogen ze vernietigd worden zodra de rechter zijn oordeel geveld heeft en alle beroepsmogelijkheden uitgeput zijn?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bCs/>
          <w:kern w:val="0"/>
          <w:lang w:val="nl-NL" w:eastAsia="en-US" w:bidi="ar-SA"/>
        </w:rPr>
        <w:t xml:space="preserve">Omdat de door de WGBO voorgeschreven bewaartermijn in toenemende mate als struikelblok ervaren werd, pleitte de Nederlandse Gezondheidsraad op 1 april 2004 voor </w:t>
      </w:r>
      <w:r w:rsidRPr="00D147A7">
        <w:rPr>
          <w:kern w:val="0"/>
          <w:lang w:val="nl-NL" w:eastAsia="en-US" w:bidi="ar-SA"/>
        </w:rPr>
        <w:t xml:space="preserve">een wetswijziging waarin de volgende </w:t>
      </w:r>
      <w:r w:rsidR="009D5546">
        <w:rPr>
          <w:kern w:val="0"/>
          <w:lang w:val="nl-NL" w:eastAsia="en-US" w:bidi="ar-SA"/>
        </w:rPr>
        <w:t>aandachts</w:t>
      </w:r>
      <w:r w:rsidRPr="00D147A7">
        <w:rPr>
          <w:kern w:val="0"/>
          <w:lang w:val="nl-NL" w:eastAsia="en-US" w:bidi="ar-SA"/>
        </w:rPr>
        <w:t>punten centraal stonden: een bewaartermijn van dertig jaar, aan</w:t>
      </w:r>
      <w:r w:rsidR="009D5546">
        <w:rPr>
          <w:kern w:val="0"/>
          <w:lang w:val="nl-NL" w:eastAsia="en-US" w:bidi="ar-SA"/>
        </w:rPr>
        <w:t>-</w:t>
      </w:r>
      <w:r w:rsidRPr="00D147A7">
        <w:rPr>
          <w:kern w:val="0"/>
          <w:lang w:val="nl-NL" w:eastAsia="en-US" w:bidi="ar-SA"/>
        </w:rPr>
        <w:t>vullende voorschriften voor bescheiden m.b.t. genetische aandoeningen om aan de belangen van verwanten tegemoet te komen en een afzonderlijke bewaarregeling ter bevordering van het wetenschappelijk onderzoek.</w:t>
      </w:r>
      <w:r w:rsidRPr="00D147A7">
        <w:rPr>
          <w:kern w:val="0"/>
          <w:vertAlign w:val="superscript"/>
          <w:lang w:val="nl-NL" w:eastAsia="en-US" w:bidi="ar-SA"/>
        </w:rPr>
        <w:footnoteReference w:id="849"/>
      </w:r>
      <w:r w:rsidRPr="00D147A7">
        <w:rPr>
          <w:kern w:val="0"/>
          <w:lang w:val="nl-NL" w:eastAsia="en-US" w:bidi="ar-SA"/>
        </w:rPr>
        <w:t xml:space="preserve"> Maar zolang deze wetswijziging niet geïmplementeerd werd, mocht geen enkel patiëntendossier vernietigd</w:t>
      </w:r>
      <w:r w:rsidR="009D5546" w:rsidRPr="009D5546">
        <w:rPr>
          <w:kern w:val="0"/>
          <w:lang w:val="nl-NL" w:eastAsia="en-US" w:bidi="ar-SA"/>
        </w:rPr>
        <w:t xml:space="preserve"> </w:t>
      </w:r>
      <w:r w:rsidR="009D5546" w:rsidRPr="00D147A7">
        <w:rPr>
          <w:kern w:val="0"/>
          <w:lang w:val="nl-NL" w:eastAsia="en-US" w:bidi="ar-SA"/>
        </w:rPr>
        <w:t>worden</w:t>
      </w:r>
      <w:r w:rsidRPr="00D147A7">
        <w:rPr>
          <w:kern w:val="0"/>
          <w:lang w:val="nl-NL" w:eastAsia="en-US" w:bidi="ar-SA"/>
        </w:rPr>
        <w:t>. Eind december 2004 ondernam het kabinet – op impuls van Jan Pieter Hendrik Donner, de toenmalige Minister van Justitie – stappen om dit juridisch dicht te timmeren door het vernietigingsverbod met vijf jaar te ver</w:t>
      </w:r>
      <w:r w:rsidR="009D5546">
        <w:rPr>
          <w:kern w:val="0"/>
          <w:lang w:val="nl-NL" w:eastAsia="en-US" w:bidi="ar-SA"/>
        </w:rPr>
        <w:t>-</w:t>
      </w:r>
      <w:r w:rsidRPr="00D147A7">
        <w:rPr>
          <w:kern w:val="0"/>
          <w:lang w:val="nl-NL" w:eastAsia="en-US" w:bidi="ar-SA"/>
        </w:rPr>
        <w:t>lengen.</w:t>
      </w:r>
      <w:r w:rsidRPr="00D147A7">
        <w:rPr>
          <w:kern w:val="0"/>
          <w:vertAlign w:val="superscript"/>
          <w:lang w:val="nl-NL" w:eastAsia="en-US" w:bidi="ar-SA"/>
        </w:rPr>
        <w:footnoteReference w:id="850"/>
      </w:r>
      <w:r w:rsidRPr="00D147A7">
        <w:rPr>
          <w:kern w:val="0"/>
          <w:lang w:val="nl-NL" w:eastAsia="en-US" w:bidi="ar-SA"/>
        </w:rPr>
        <w:t xml:space="preserve"> Omdat de aangepaste overgangsbepaling pas op 1 februari 2006 – hetzij met terug</w:t>
      </w:r>
      <w:r w:rsidR="009D5546">
        <w:rPr>
          <w:kern w:val="0"/>
          <w:lang w:val="nl-NL" w:eastAsia="en-US" w:bidi="ar-SA"/>
        </w:rPr>
        <w:t>-</w:t>
      </w:r>
      <w:r w:rsidRPr="00D147A7">
        <w:rPr>
          <w:kern w:val="0"/>
          <w:lang w:val="nl-NL" w:eastAsia="en-US" w:bidi="ar-SA"/>
        </w:rPr>
        <w:t>werkende kracht t.e.m. 1 april 2005 – in werking trad</w:t>
      </w:r>
      <w:r w:rsidRPr="00D147A7">
        <w:rPr>
          <w:kern w:val="0"/>
          <w:vertAlign w:val="superscript"/>
          <w:lang w:val="nl-NL" w:eastAsia="en-US" w:bidi="ar-SA"/>
        </w:rPr>
        <w:footnoteReference w:id="851"/>
      </w:r>
      <w:r w:rsidRPr="00D147A7">
        <w:rPr>
          <w:kern w:val="0"/>
          <w:lang w:val="nl-NL" w:eastAsia="en-US" w:bidi="ar-SA"/>
        </w:rPr>
        <w:t>, zond Hans Hoogervorst op 2 maart 2005 aan alle Nederlandse zorgverleners een brief met het verzoek om op 1 april niet massaal tot vernietiging over te gaan.</w:t>
      </w:r>
      <w:r w:rsidRPr="00D147A7">
        <w:rPr>
          <w:kern w:val="0"/>
          <w:vertAlign w:val="superscript"/>
          <w:lang w:val="nl-NL" w:eastAsia="en-US" w:bidi="ar-SA"/>
        </w:rPr>
        <w:footnoteReference w:id="852"/>
      </w:r>
      <w:r w:rsidRPr="00D147A7">
        <w:rPr>
          <w:kern w:val="0"/>
          <w:lang w:val="nl-NL" w:eastAsia="en-US" w:bidi="ar-SA"/>
        </w:rPr>
        <w:t xml:space="preserve"> In de tussentijd ontwikkelden wetenschappelijke verenigingen richtlijnen die de langere bewaring en periodieke schoning van (bepaalde categorieën) patiënt</w:t>
      </w:r>
      <w:r w:rsidR="009D5546">
        <w:rPr>
          <w:kern w:val="0"/>
          <w:lang w:val="nl-NL" w:eastAsia="en-US" w:bidi="ar-SA"/>
        </w:rPr>
        <w:t>-</w:t>
      </w:r>
      <w:r w:rsidRPr="00D147A7">
        <w:rPr>
          <w:kern w:val="0"/>
          <w:lang w:val="nl-NL" w:eastAsia="en-US" w:bidi="ar-SA"/>
        </w:rPr>
        <w:t>endossiers mogelijk moesten maken.</w:t>
      </w:r>
      <w:r w:rsidRPr="00D147A7">
        <w:rPr>
          <w:kern w:val="0"/>
          <w:vertAlign w:val="superscript"/>
          <w:lang w:val="nl-NL" w:eastAsia="en-US" w:bidi="ar-SA"/>
        </w:rPr>
        <w:footnoteReference w:id="853"/>
      </w:r>
      <w:r w:rsidRPr="00D147A7">
        <w:rPr>
          <w:kern w:val="0"/>
          <w:lang w:val="nl-NL" w:eastAsia="en-US" w:bidi="ar-SA"/>
        </w:rPr>
        <w:t xml:space="preserve"> Maar de geschiedenis herhaalde zich: omdat de dead</w:t>
      </w:r>
      <w:r w:rsidR="009D5546">
        <w:rPr>
          <w:kern w:val="0"/>
          <w:lang w:val="nl-NL" w:eastAsia="en-US" w:bidi="ar-SA"/>
        </w:rPr>
        <w:t>-</w:t>
      </w:r>
      <w:r w:rsidRPr="00D147A7">
        <w:rPr>
          <w:kern w:val="0"/>
          <w:lang w:val="nl-NL" w:eastAsia="en-US" w:bidi="ar-SA"/>
        </w:rPr>
        <w:t>line van 1 april 2010 niet gehaald werd, verzocht Ab Klink – de opvolger van Hans Hooger</w:t>
      </w:r>
      <w:r w:rsidR="009D5546">
        <w:rPr>
          <w:kern w:val="0"/>
          <w:lang w:val="nl-NL" w:eastAsia="en-US" w:bidi="ar-SA"/>
        </w:rPr>
        <w:t>-</w:t>
      </w:r>
      <w:r w:rsidRPr="00D147A7">
        <w:rPr>
          <w:kern w:val="0"/>
          <w:lang w:val="nl-NL" w:eastAsia="en-US" w:bidi="ar-SA"/>
        </w:rPr>
        <w:t xml:space="preserve">vorst als Minister van Volksgezondheid, Welzijn en Sport – alle Nederlandse zorgverleners om alle patiëntendossiers </w:t>
      </w:r>
      <w:r w:rsidRPr="00D147A7">
        <w:rPr>
          <w:i/>
          <w:kern w:val="0"/>
          <w:lang w:val="nl-NL" w:eastAsia="en-US" w:bidi="ar-SA"/>
        </w:rPr>
        <w:t>pro hic et nunc</w:t>
      </w:r>
      <w:r w:rsidRPr="00D147A7">
        <w:rPr>
          <w:kern w:val="0"/>
          <w:lang w:val="nl-NL" w:eastAsia="en-US" w:bidi="ar-SA"/>
        </w:rPr>
        <w:t xml:space="preserve"> bij te houden.</w:t>
      </w:r>
      <w:r w:rsidRPr="00D147A7">
        <w:rPr>
          <w:kern w:val="0"/>
          <w:vertAlign w:val="superscript"/>
          <w:lang w:val="nl-NL" w:eastAsia="en-US" w:bidi="ar-SA"/>
        </w:rPr>
        <w:footnoteReference w:id="854"/>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Hoewel de oplossing voor deze aanslepende kwestie anno 2012 nog steeds niet wettelijk ver</w:t>
      </w:r>
      <w:r w:rsidR="009D5546">
        <w:rPr>
          <w:kern w:val="0"/>
          <w:lang w:val="nl-NL" w:eastAsia="en-US" w:bidi="ar-SA"/>
        </w:rPr>
        <w:t>-</w:t>
      </w:r>
      <w:r w:rsidRPr="00D147A7">
        <w:rPr>
          <w:kern w:val="0"/>
          <w:lang w:val="nl-NL" w:eastAsia="en-US" w:bidi="ar-SA"/>
        </w:rPr>
        <w:t>ankerd is, is het wel duidelijk dat een aanzienlijk deel van de WGBO – inclusief de bewaar</w:t>
      </w:r>
      <w:r w:rsidR="009D5546">
        <w:rPr>
          <w:kern w:val="0"/>
          <w:lang w:val="nl-NL" w:eastAsia="en-US" w:bidi="ar-SA"/>
        </w:rPr>
        <w:t>-</w:t>
      </w:r>
      <w:r w:rsidRPr="00D147A7">
        <w:rPr>
          <w:kern w:val="0"/>
          <w:lang w:val="nl-NL" w:eastAsia="en-US" w:bidi="ar-SA"/>
        </w:rPr>
        <w:t>termijn van patiëntendossiers – naar de nieuwe Wet cliëntenrechten zorg zal worden overge</w:t>
      </w:r>
      <w:r w:rsidR="009D5546">
        <w:rPr>
          <w:kern w:val="0"/>
          <w:lang w:val="nl-NL" w:eastAsia="en-US" w:bidi="ar-SA"/>
        </w:rPr>
        <w:t>-</w:t>
      </w:r>
      <w:r w:rsidRPr="00D147A7">
        <w:rPr>
          <w:kern w:val="0"/>
          <w:lang w:val="nl-NL" w:eastAsia="en-US" w:bidi="ar-SA"/>
        </w:rPr>
        <w:lastRenderedPageBreak/>
        <w:t>heveld.</w:t>
      </w:r>
      <w:r w:rsidRPr="00D147A7">
        <w:rPr>
          <w:kern w:val="0"/>
          <w:vertAlign w:val="superscript"/>
          <w:lang w:val="nl-NL" w:eastAsia="en-US" w:bidi="ar-SA"/>
        </w:rPr>
        <w:footnoteReference w:id="855"/>
      </w:r>
      <w:r w:rsidRPr="00D147A7">
        <w:rPr>
          <w:kern w:val="0"/>
          <w:lang w:val="nl-NL" w:eastAsia="en-US" w:bidi="ar-SA"/>
        </w:rPr>
        <w:t xml:space="preserve"> Binnen afzienbare tijd zal de bewaartermijn van patiëntendossiers eindelijk gelijk</w:t>
      </w:r>
      <w:r w:rsidR="009D5546">
        <w:rPr>
          <w:kern w:val="0"/>
          <w:lang w:val="nl-NL" w:eastAsia="en-US" w:bidi="ar-SA"/>
        </w:rPr>
        <w:t>-</w:t>
      </w:r>
      <w:r w:rsidRPr="00D147A7">
        <w:rPr>
          <w:kern w:val="0"/>
          <w:lang w:val="nl-NL" w:eastAsia="en-US" w:bidi="ar-SA"/>
        </w:rPr>
        <w:t>geschakeld worden met de burgerrechtelijke verjaringstermijn van twintig jaar.</w:t>
      </w:r>
      <w:r w:rsidRPr="00D147A7">
        <w:rPr>
          <w:kern w:val="0"/>
          <w:vertAlign w:val="superscript"/>
          <w:lang w:val="nl-NL" w:eastAsia="en-US" w:bidi="ar-SA"/>
        </w:rPr>
        <w:footnoteReference w:id="856"/>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Vooralsnog zijn de bepalingen van de WGBO van kracht en moeten patiëntendossiers voor een periode van vijftien jaar worden bewaard,</w:t>
      </w:r>
      <w:r w:rsidRPr="00D147A7">
        <w:rPr>
          <w:i/>
          <w:iCs/>
          <w:kern w:val="0"/>
          <w:lang w:val="nl-NL" w:eastAsia="en-US" w:bidi="ar-SA"/>
        </w:rPr>
        <w:t xml:space="preserve"> te rekenen vanaf het tijdstip waarop zij zijn vervaardigd</w:t>
      </w:r>
      <w:r w:rsidRPr="00D147A7">
        <w:rPr>
          <w:kern w:val="0"/>
          <w:lang w:val="nl-NL" w:eastAsia="en-US" w:bidi="ar-SA"/>
        </w:rPr>
        <w:t>.</w:t>
      </w:r>
      <w:r w:rsidRPr="00D147A7">
        <w:rPr>
          <w:kern w:val="0"/>
          <w:vertAlign w:val="superscript"/>
          <w:lang w:val="nl-NL" w:eastAsia="en-US" w:bidi="ar-SA"/>
        </w:rPr>
        <w:footnoteReference w:id="857"/>
      </w:r>
      <w:r w:rsidRPr="00D147A7">
        <w:rPr>
          <w:kern w:val="0"/>
          <w:lang w:val="nl-NL" w:eastAsia="en-US" w:bidi="ar-SA"/>
        </w:rPr>
        <w:t xml:space="preserve"> Omdat dit beginpunt niet functioneel is – vrijwel alle documenten van een pa</w:t>
      </w:r>
      <w:r w:rsidR="009D5546">
        <w:rPr>
          <w:kern w:val="0"/>
          <w:lang w:val="nl-NL" w:eastAsia="en-US" w:bidi="ar-SA"/>
        </w:rPr>
        <w:t>-</w:t>
      </w:r>
      <w:r w:rsidRPr="00D147A7">
        <w:rPr>
          <w:kern w:val="0"/>
          <w:lang w:val="nl-NL" w:eastAsia="en-US" w:bidi="ar-SA"/>
        </w:rPr>
        <w:t>tiëntendossier zouden immers op een ander tijdstip vernietigd moeten worden –, werd algauw geopteerd om de bewaartermijn op het einde van de behandeling aan te laten vangen.</w:t>
      </w:r>
      <w:r w:rsidRPr="00D147A7">
        <w:rPr>
          <w:kern w:val="0"/>
          <w:vertAlign w:val="superscript"/>
          <w:lang w:val="nl-NL" w:eastAsia="en-US" w:bidi="ar-SA"/>
        </w:rPr>
        <w:footnoteReference w:id="858"/>
      </w:r>
      <w:r w:rsidRPr="00D147A7">
        <w:rPr>
          <w:kern w:val="0"/>
          <w:lang w:val="nl-NL" w:eastAsia="en-US" w:bidi="ar-SA"/>
        </w:rPr>
        <w:t xml:space="preserve"> Hoe</w:t>
      </w:r>
      <w:r w:rsidR="009D5546">
        <w:rPr>
          <w:kern w:val="0"/>
          <w:lang w:val="nl-NL" w:eastAsia="en-US" w:bidi="ar-SA"/>
        </w:rPr>
        <w:t>-</w:t>
      </w:r>
      <w:r w:rsidRPr="00D147A7">
        <w:rPr>
          <w:kern w:val="0"/>
          <w:lang w:val="nl-NL" w:eastAsia="en-US" w:bidi="ar-SA"/>
        </w:rPr>
        <w:t>wel dit (nog</w:t>
      </w:r>
      <w:r w:rsidRPr="00D147A7">
        <w:rPr>
          <w:kern w:val="0"/>
          <w:vertAlign w:val="superscript"/>
          <w:lang w:val="nl-NL" w:eastAsia="en-US" w:bidi="ar-SA"/>
        </w:rPr>
        <w:footnoteReference w:id="859"/>
      </w:r>
      <w:r w:rsidRPr="00D147A7">
        <w:rPr>
          <w:kern w:val="0"/>
          <w:lang w:val="nl-NL" w:eastAsia="en-US" w:bidi="ar-SA"/>
        </w:rPr>
        <w:t>) niet in overeenstemming met de letter van de wet is, wordt deze praktischere benadering wel breed gedragen. Bovendien belet deze interpretatie om gegevens van langlo</w:t>
      </w:r>
      <w:r w:rsidR="009D5546">
        <w:rPr>
          <w:kern w:val="0"/>
          <w:lang w:val="nl-NL" w:eastAsia="en-US" w:bidi="ar-SA"/>
        </w:rPr>
        <w:t>-</w:t>
      </w:r>
      <w:r w:rsidRPr="00D147A7">
        <w:rPr>
          <w:kern w:val="0"/>
          <w:lang w:val="nl-NL" w:eastAsia="en-US" w:bidi="ar-SA"/>
        </w:rPr>
        <w:t xml:space="preserve">pende behandelingen snel tussentijds te vernietigen. Wanneer patiënten regelmatig hun arts raadplegen, zal hun dossier levenslang bewaard worden. Omdat er een reëel gevaar van </w:t>
      </w:r>
      <w:r w:rsidRPr="00D147A7">
        <w:rPr>
          <w:i/>
          <w:kern w:val="0"/>
          <w:lang w:val="nl-NL" w:eastAsia="en-US" w:bidi="ar-SA"/>
        </w:rPr>
        <w:t>infor</w:t>
      </w:r>
      <w:r w:rsidR="009D5546">
        <w:rPr>
          <w:i/>
          <w:kern w:val="0"/>
          <w:lang w:val="nl-NL" w:eastAsia="en-US" w:bidi="ar-SA"/>
        </w:rPr>
        <w:t>-</w:t>
      </w:r>
      <w:r w:rsidRPr="00D147A7">
        <w:rPr>
          <w:i/>
          <w:kern w:val="0"/>
          <w:lang w:val="nl-NL" w:eastAsia="en-US" w:bidi="ar-SA"/>
        </w:rPr>
        <w:t>mation overload</w:t>
      </w:r>
      <w:r w:rsidRPr="00D147A7">
        <w:rPr>
          <w:kern w:val="0"/>
          <w:lang w:val="nl-NL" w:eastAsia="en-US" w:bidi="ar-SA"/>
        </w:rPr>
        <w:t xml:space="preserve"> dreigt, moet er ook een wettelijke regeling voorzien worden voor de opscho</w:t>
      </w:r>
      <w:r w:rsidR="009D5546">
        <w:rPr>
          <w:kern w:val="0"/>
          <w:lang w:val="nl-NL" w:eastAsia="en-US" w:bidi="ar-SA"/>
        </w:rPr>
        <w:t>-</w:t>
      </w:r>
      <w:r w:rsidRPr="00D147A7">
        <w:rPr>
          <w:kern w:val="0"/>
          <w:lang w:val="nl-NL" w:eastAsia="en-US" w:bidi="ar-SA"/>
        </w:rPr>
        <w:t>ning van patiëntendossiers.</w:t>
      </w:r>
      <w:r w:rsidRPr="00D147A7">
        <w:rPr>
          <w:kern w:val="0"/>
          <w:vertAlign w:val="superscript"/>
          <w:lang w:val="nl-NL" w:eastAsia="en-US" w:bidi="ar-SA"/>
        </w:rPr>
        <w:footnoteReference w:id="860"/>
      </w:r>
      <w:r w:rsidRPr="00D147A7">
        <w:rPr>
          <w:kern w:val="0"/>
          <w:lang w:val="nl-NL" w:eastAsia="en-US" w:bidi="ar-SA"/>
        </w:rPr>
        <w:t xml:space="preserve"> Vooralsnog is men immers aangewezen op de bezinning welke stukken </w:t>
      </w:r>
      <w:r w:rsidRPr="009D5546">
        <w:rPr>
          <w:i/>
          <w:kern w:val="0"/>
          <w:lang w:val="nl-NL" w:eastAsia="en-US" w:bidi="ar-SA"/>
        </w:rPr>
        <w:t>überhaupt</w:t>
      </w:r>
      <w:r w:rsidRPr="00D147A7">
        <w:rPr>
          <w:kern w:val="0"/>
          <w:lang w:val="nl-NL" w:eastAsia="en-US" w:bidi="ar-SA"/>
        </w:rPr>
        <w:t xml:space="preserve"> in een patiëntendossier moeten worden opgenomen. Dat enkel gegevens die voor de registratie (</w:t>
      </w:r>
      <w:r w:rsidRPr="00D147A7">
        <w:rPr>
          <w:i/>
          <w:kern w:val="0"/>
          <w:lang w:val="nl-NL" w:eastAsia="en-US" w:bidi="ar-SA"/>
        </w:rPr>
        <w:t>in casu</w:t>
      </w:r>
      <w:r w:rsidRPr="00D147A7">
        <w:rPr>
          <w:kern w:val="0"/>
          <w:lang w:val="nl-NL" w:eastAsia="en-US" w:bidi="ar-SA"/>
        </w:rPr>
        <w:t xml:space="preserve"> de zorgverlening) </w:t>
      </w:r>
      <w:r w:rsidR="009D5546" w:rsidRPr="00D147A7">
        <w:rPr>
          <w:kern w:val="0"/>
          <w:lang w:val="nl-NL" w:eastAsia="en-US" w:bidi="ar-SA"/>
        </w:rPr>
        <w:t xml:space="preserve">noodzakelijk zijn </w:t>
      </w:r>
      <w:r w:rsidRPr="00D147A7">
        <w:rPr>
          <w:kern w:val="0"/>
          <w:lang w:val="nl-NL" w:eastAsia="en-US" w:bidi="ar-SA"/>
        </w:rPr>
        <w:t>in het patiëntendossier mo</w:t>
      </w:r>
      <w:r w:rsidR="009D5546">
        <w:rPr>
          <w:kern w:val="0"/>
          <w:lang w:val="nl-NL" w:eastAsia="en-US" w:bidi="ar-SA"/>
        </w:rPr>
        <w:t>-</w:t>
      </w:r>
      <w:r w:rsidRPr="00D147A7">
        <w:rPr>
          <w:kern w:val="0"/>
          <w:lang w:val="nl-NL" w:eastAsia="en-US" w:bidi="ar-SA"/>
        </w:rPr>
        <w:t>gen worden</w:t>
      </w:r>
      <w:r w:rsidR="009D5546" w:rsidRPr="009D5546">
        <w:rPr>
          <w:kern w:val="0"/>
          <w:lang w:val="nl-NL" w:eastAsia="en-US" w:bidi="ar-SA"/>
        </w:rPr>
        <w:t xml:space="preserve"> </w:t>
      </w:r>
      <w:r w:rsidR="009D5546" w:rsidRPr="00D147A7">
        <w:rPr>
          <w:kern w:val="0"/>
          <w:lang w:val="nl-NL" w:eastAsia="en-US" w:bidi="ar-SA"/>
        </w:rPr>
        <w:t>opgenomen</w:t>
      </w:r>
      <w:r w:rsidRPr="00D147A7">
        <w:rPr>
          <w:kern w:val="0"/>
          <w:lang w:val="nl-NL" w:eastAsia="en-US" w:bidi="ar-SA"/>
        </w:rPr>
        <w:t xml:space="preserve">, is </w:t>
      </w:r>
      <w:r w:rsidR="009D5546">
        <w:rPr>
          <w:kern w:val="0"/>
          <w:lang w:val="nl-NL" w:eastAsia="en-US" w:bidi="ar-SA"/>
        </w:rPr>
        <w:t xml:space="preserve">een </w:t>
      </w:r>
      <w:r w:rsidRPr="00D147A7">
        <w:rPr>
          <w:kern w:val="0"/>
          <w:lang w:val="nl-NL" w:eastAsia="en-US" w:bidi="ar-SA"/>
        </w:rPr>
        <w:t>veel te ruim</w:t>
      </w:r>
      <w:r w:rsidR="009D5546">
        <w:rPr>
          <w:kern w:val="0"/>
          <w:lang w:val="nl-NL" w:eastAsia="en-US" w:bidi="ar-SA"/>
        </w:rPr>
        <w:t>e</w:t>
      </w:r>
      <w:r w:rsidRPr="00D147A7">
        <w:rPr>
          <w:kern w:val="0"/>
          <w:lang w:val="nl-NL" w:eastAsia="en-US" w:bidi="ar-SA"/>
        </w:rPr>
        <w:t xml:space="preserve"> omschr</w:t>
      </w:r>
      <w:r w:rsidR="009D5546">
        <w:rPr>
          <w:kern w:val="0"/>
          <w:lang w:val="nl-NL" w:eastAsia="en-US" w:bidi="ar-SA"/>
        </w:rPr>
        <w:t>ij</w:t>
      </w:r>
      <w:r w:rsidRPr="00D147A7">
        <w:rPr>
          <w:kern w:val="0"/>
          <w:lang w:val="nl-NL" w:eastAsia="en-US" w:bidi="ar-SA"/>
        </w:rPr>
        <w:t>v</w:t>
      </w:r>
      <w:r w:rsidR="009D5546">
        <w:rPr>
          <w:kern w:val="0"/>
          <w:lang w:val="nl-NL" w:eastAsia="en-US" w:bidi="ar-SA"/>
        </w:rPr>
        <w:t>ing</w:t>
      </w:r>
      <w:r w:rsidRPr="00D147A7">
        <w:rPr>
          <w:kern w:val="0"/>
          <w:lang w:val="nl-NL" w:eastAsia="en-US" w:bidi="ar-SA"/>
        </w:rPr>
        <w:t>.</w:t>
      </w:r>
      <w:r w:rsidRPr="00D147A7">
        <w:rPr>
          <w:kern w:val="0"/>
          <w:vertAlign w:val="superscript"/>
          <w:lang w:val="nl-NL" w:eastAsia="en-US" w:bidi="ar-SA"/>
        </w:rPr>
        <w:footnoteReference w:id="861"/>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Het moet ook opgemerkt worden dat de bewaartermijn van dossiers van minderjarige patiënt</w:t>
      </w:r>
      <w:r w:rsidR="009D5546">
        <w:rPr>
          <w:kern w:val="0"/>
          <w:lang w:val="nl-NL" w:eastAsia="en-US" w:bidi="ar-SA"/>
        </w:rPr>
        <w:t>-</w:t>
      </w:r>
      <w:r w:rsidRPr="00D147A7">
        <w:rPr>
          <w:kern w:val="0"/>
          <w:lang w:val="nl-NL" w:eastAsia="en-US" w:bidi="ar-SA"/>
        </w:rPr>
        <w:t xml:space="preserve">en noch in de WGBO noch in de Wet cliëntenrechten zorg afzonderlijk geregeld wordt. Toch heerst </w:t>
      </w:r>
      <w:r w:rsidR="009D5546">
        <w:rPr>
          <w:kern w:val="0"/>
          <w:lang w:val="nl-NL" w:eastAsia="en-US" w:bidi="ar-SA"/>
        </w:rPr>
        <w:t xml:space="preserve">ook hier </w:t>
      </w:r>
      <w:r w:rsidRPr="00D147A7">
        <w:rPr>
          <w:kern w:val="0"/>
          <w:lang w:val="nl-NL" w:eastAsia="en-US" w:bidi="ar-SA"/>
        </w:rPr>
        <w:t>in de praktijk de consensus om de bewaartermijn van de dossiers van minder</w:t>
      </w:r>
      <w:r w:rsidR="009D5546">
        <w:rPr>
          <w:kern w:val="0"/>
          <w:lang w:val="nl-NL" w:eastAsia="en-US" w:bidi="ar-SA"/>
        </w:rPr>
        <w:t>-</w:t>
      </w:r>
      <w:r w:rsidRPr="00D147A7">
        <w:rPr>
          <w:kern w:val="0"/>
          <w:lang w:val="nl-NL" w:eastAsia="en-US" w:bidi="ar-SA"/>
        </w:rPr>
        <w:t>jarige patiënten pas op het moment dat zij de meerderjarigheid bereiken</w:t>
      </w:r>
      <w:r w:rsidR="009D5546" w:rsidRPr="009D5546">
        <w:rPr>
          <w:kern w:val="0"/>
          <w:lang w:val="nl-NL" w:eastAsia="en-US" w:bidi="ar-SA"/>
        </w:rPr>
        <w:t xml:space="preserve"> </w:t>
      </w:r>
      <w:r w:rsidR="009D5546" w:rsidRPr="00D147A7">
        <w:rPr>
          <w:kern w:val="0"/>
          <w:lang w:val="nl-NL" w:eastAsia="en-US" w:bidi="ar-SA"/>
        </w:rPr>
        <w:t>aan te laten vangen</w:t>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b/>
          <w:bCs/>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 Nederlandse wetgever heeft het </w:t>
      </w:r>
      <w:r w:rsidR="009D5546">
        <w:rPr>
          <w:kern w:val="0"/>
          <w:lang w:val="nl-NL" w:eastAsia="en-US" w:bidi="ar-SA"/>
        </w:rPr>
        <w:t xml:space="preserve">dus </w:t>
      </w:r>
      <w:r w:rsidRPr="00D147A7">
        <w:rPr>
          <w:kern w:val="0"/>
          <w:lang w:val="nl-NL" w:eastAsia="en-US" w:bidi="ar-SA"/>
        </w:rPr>
        <w:t>niet nodig geacht om de bewaartermijn van alle soor</w:t>
      </w:r>
      <w:r w:rsidR="009D5546">
        <w:rPr>
          <w:kern w:val="0"/>
          <w:lang w:val="nl-NL" w:eastAsia="en-US" w:bidi="ar-SA"/>
        </w:rPr>
        <w:t>-</w:t>
      </w:r>
      <w:r w:rsidRPr="00D147A7">
        <w:rPr>
          <w:kern w:val="0"/>
          <w:lang w:val="nl-NL" w:eastAsia="en-US" w:bidi="ar-SA"/>
        </w:rPr>
        <w:t>ten patiëntendossiers op consistente wijze voor te schrijven</w:t>
      </w:r>
      <w:r w:rsidRPr="00D147A7">
        <w:rPr>
          <w:kern w:val="0"/>
          <w:vertAlign w:val="superscript"/>
          <w:lang w:val="nl-NL" w:eastAsia="en-US" w:bidi="ar-SA"/>
        </w:rPr>
        <w:footnoteReference w:id="862"/>
      </w:r>
      <w:r w:rsidRPr="00D147A7">
        <w:rPr>
          <w:kern w:val="0"/>
          <w:lang w:val="nl-NL" w:eastAsia="en-US" w:bidi="ar-SA"/>
        </w:rPr>
        <w:t>, maar stelde zich tevreden met een algemene bewaartermijn. Deze algemene bewaartermijn is evenwel niet absoluut.</w:t>
      </w:r>
      <w:r w:rsidRPr="00D147A7">
        <w:rPr>
          <w:kern w:val="0"/>
          <w:vertAlign w:val="superscript"/>
          <w:lang w:val="nl-NL" w:eastAsia="en-US" w:bidi="ar-SA"/>
        </w:rPr>
        <w:footnoteReference w:id="863"/>
      </w:r>
      <w:r w:rsidRPr="00D147A7">
        <w:rPr>
          <w:kern w:val="0"/>
          <w:lang w:val="nl-NL" w:eastAsia="en-US" w:bidi="ar-SA"/>
        </w:rPr>
        <w:t xml:space="preserve"> De gevallen waarin van de hoofdregel moet worden afge</w:t>
      </w:r>
      <w:r w:rsidR="009D5546">
        <w:rPr>
          <w:kern w:val="0"/>
          <w:lang w:val="nl-NL" w:eastAsia="en-US" w:bidi="ar-SA"/>
        </w:rPr>
        <w:t xml:space="preserve">weken, worden hierna opgesomd. </w:t>
      </w:r>
    </w:p>
    <w:p w:rsidR="00783316" w:rsidRDefault="00783316" w:rsidP="00783316">
      <w:pPr>
        <w:jc w:val="both"/>
        <w:rPr>
          <w:kern w:val="0"/>
          <w:lang w:val="nl-NL" w:eastAsia="en-US" w:bidi="ar-SA"/>
        </w:rPr>
      </w:pPr>
    </w:p>
    <w:p w:rsidR="00426625" w:rsidRPr="00783316" w:rsidRDefault="00426625" w:rsidP="00783316">
      <w:pPr>
        <w:jc w:val="both"/>
        <w:rPr>
          <w:kern w:val="0"/>
          <w:lang w:val="nl-NL" w:eastAsia="en-US" w:bidi="ar-SA"/>
        </w:rPr>
      </w:pPr>
      <w:r w:rsidRPr="00783316">
        <w:rPr>
          <w:kern w:val="0"/>
          <w:lang w:val="nl-NL" w:eastAsia="en-US" w:bidi="ar-SA"/>
        </w:rPr>
        <w:t>Eerst en vooral wordt aan zorgverleners de mogelijkheid tot zelfregulering geboden.</w:t>
      </w:r>
      <w:r w:rsidRPr="00D147A7">
        <w:rPr>
          <w:vertAlign w:val="superscript"/>
          <w:lang w:val="nl-NL" w:eastAsia="en-US" w:bidi="ar-SA"/>
        </w:rPr>
        <w:footnoteReference w:id="864"/>
      </w:r>
      <w:r w:rsidRPr="00783316">
        <w:rPr>
          <w:kern w:val="0"/>
          <w:lang w:val="nl-NL" w:eastAsia="en-US" w:bidi="ar-SA"/>
        </w:rPr>
        <w:t xml:space="preserve"> De wetgever heeft evenwel niet gepreciseerd wanneer artsen precies gemachtigd zijn om patiënt</w:t>
      </w:r>
      <w:r w:rsidR="009D5546" w:rsidRPr="00783316">
        <w:rPr>
          <w:kern w:val="0"/>
          <w:lang w:val="nl-NL" w:eastAsia="en-US" w:bidi="ar-SA"/>
        </w:rPr>
        <w:t>-</w:t>
      </w:r>
      <w:r w:rsidRPr="00783316">
        <w:rPr>
          <w:kern w:val="0"/>
          <w:lang w:val="nl-NL" w:eastAsia="en-US" w:bidi="ar-SA"/>
        </w:rPr>
        <w:t>endossiers langer te bewaren dan de courante bewaartermijn. Uit de toelichting bij de WGBO blijkt dat deze mogelijkheid enkel in het belang van de patiënten zelf werd voorzien</w:t>
      </w:r>
      <w:r w:rsidRPr="00D147A7">
        <w:rPr>
          <w:vertAlign w:val="superscript"/>
          <w:lang w:val="nl-NL" w:eastAsia="en-US" w:bidi="ar-SA"/>
        </w:rPr>
        <w:footnoteReference w:id="865"/>
      </w:r>
      <w:r w:rsidRPr="00783316">
        <w:rPr>
          <w:kern w:val="0"/>
          <w:lang w:val="nl-NL" w:eastAsia="en-US" w:bidi="ar-SA"/>
        </w:rPr>
        <w:t>, zoals bij langlopende en terugkerende behandelingen en bij aandoeningen met een zeker risico op recidive of complicaties in de toekomst.</w:t>
      </w:r>
      <w:r w:rsidRPr="00D147A7">
        <w:rPr>
          <w:vertAlign w:val="superscript"/>
          <w:lang w:val="nl-NL" w:eastAsia="en-US" w:bidi="ar-SA"/>
        </w:rPr>
        <w:footnoteReference w:id="866"/>
      </w:r>
      <w:r w:rsidRPr="00783316">
        <w:rPr>
          <w:kern w:val="0"/>
          <w:lang w:val="nl-NL" w:eastAsia="en-US" w:bidi="ar-SA"/>
        </w:rPr>
        <w:t xml:space="preserve"> Voor onvoorzienbare risico’s – die de wetgever destijds als ‘zeldzame gevallen’ </w:t>
      </w:r>
      <w:r w:rsidR="009D5546" w:rsidRPr="00783316">
        <w:rPr>
          <w:kern w:val="0"/>
          <w:lang w:val="nl-NL" w:eastAsia="en-US" w:bidi="ar-SA"/>
        </w:rPr>
        <w:t xml:space="preserve">van de hand deed </w:t>
      </w:r>
      <w:r w:rsidRPr="00783316">
        <w:rPr>
          <w:kern w:val="0"/>
          <w:lang w:val="nl-NL" w:eastAsia="en-US" w:bidi="ar-SA"/>
        </w:rPr>
        <w:t>– biedt deze uitleg geen ruimte.</w:t>
      </w:r>
      <w:r w:rsidRPr="00D147A7">
        <w:rPr>
          <w:vertAlign w:val="superscript"/>
          <w:lang w:val="nl-NL" w:eastAsia="en-US" w:bidi="ar-SA"/>
        </w:rPr>
        <w:footnoteReference w:id="867"/>
      </w:r>
      <w:r w:rsidRPr="00783316">
        <w:rPr>
          <w:kern w:val="0"/>
          <w:lang w:val="nl-NL" w:eastAsia="en-US" w:bidi="ar-SA"/>
        </w:rPr>
        <w:t xml:space="preserve"> Tegen</w:t>
      </w:r>
      <w:r w:rsidR="009D5546" w:rsidRPr="00783316">
        <w:rPr>
          <w:kern w:val="0"/>
          <w:lang w:val="nl-NL" w:eastAsia="en-US" w:bidi="ar-SA"/>
        </w:rPr>
        <w:t>-</w:t>
      </w:r>
      <w:r w:rsidRPr="00783316">
        <w:rPr>
          <w:kern w:val="0"/>
          <w:lang w:val="nl-NL" w:eastAsia="en-US" w:bidi="ar-SA"/>
        </w:rPr>
        <w:lastRenderedPageBreak/>
        <w:t>woordig is men echter veeleer geneigd om ‘voor de zekerheid’ te bewaren.</w:t>
      </w:r>
      <w:r w:rsidRPr="00D147A7">
        <w:rPr>
          <w:vertAlign w:val="superscript"/>
          <w:lang w:val="nl-NL" w:eastAsia="en-US" w:bidi="ar-SA"/>
        </w:rPr>
        <w:footnoteReference w:id="868"/>
      </w:r>
      <w:r w:rsidRPr="00783316">
        <w:rPr>
          <w:kern w:val="0"/>
          <w:lang w:val="nl-NL" w:eastAsia="en-US" w:bidi="ar-SA"/>
        </w:rPr>
        <w:t xml:space="preserve"> Ook de relevan</w:t>
      </w:r>
      <w:r w:rsidR="009D5546" w:rsidRPr="00783316">
        <w:rPr>
          <w:kern w:val="0"/>
          <w:lang w:val="nl-NL" w:eastAsia="en-US" w:bidi="ar-SA"/>
        </w:rPr>
        <w:t>-</w:t>
      </w:r>
      <w:r w:rsidRPr="00783316">
        <w:rPr>
          <w:kern w:val="0"/>
          <w:lang w:val="nl-NL" w:eastAsia="en-US" w:bidi="ar-SA"/>
        </w:rPr>
        <w:t>tie voor derden – zoals de bewaring van genetische gegevens voor verwanten van de patiënten – is geen wettelijk argument om patiëntendossiers langer te bewaren, terwijl op grond van die</w:t>
      </w:r>
      <w:r w:rsidR="009D5546" w:rsidRPr="00783316">
        <w:rPr>
          <w:kern w:val="0"/>
          <w:lang w:val="nl-NL" w:eastAsia="en-US" w:bidi="ar-SA"/>
        </w:rPr>
        <w:t>-</w:t>
      </w:r>
      <w:r w:rsidRPr="00783316">
        <w:rPr>
          <w:kern w:val="0"/>
          <w:lang w:val="nl-NL" w:eastAsia="en-US" w:bidi="ar-SA"/>
        </w:rPr>
        <w:t xml:space="preserve">zelfde reden een vernietigingsverzoek van de patiënt </w:t>
      </w:r>
      <w:r w:rsidR="009D5546" w:rsidRPr="00783316">
        <w:rPr>
          <w:kern w:val="0"/>
          <w:lang w:val="nl-NL" w:eastAsia="en-US" w:bidi="ar-SA"/>
        </w:rPr>
        <w:t xml:space="preserve">geweigerd </w:t>
      </w:r>
      <w:r w:rsidRPr="00783316">
        <w:rPr>
          <w:kern w:val="0"/>
          <w:lang w:val="nl-NL" w:eastAsia="en-US" w:bidi="ar-SA"/>
        </w:rPr>
        <w:t>kan worden.</w:t>
      </w:r>
      <w:r w:rsidRPr="00D147A7">
        <w:rPr>
          <w:vertAlign w:val="superscript"/>
          <w:lang w:val="nl-NL" w:eastAsia="en-US" w:bidi="ar-SA"/>
        </w:rPr>
        <w:footnoteReference w:id="869"/>
      </w:r>
      <w:r w:rsidRPr="00783316">
        <w:rPr>
          <w:kern w:val="0"/>
          <w:lang w:val="nl-NL" w:eastAsia="en-US" w:bidi="ar-SA"/>
        </w:rPr>
        <w:t xml:space="preserve"> De bewaring van identificeerbare gezondheidsgegevens voor potentiële juridische procedures heeft even</w:t>
      </w:r>
      <w:r w:rsidR="009D5546" w:rsidRPr="00783316">
        <w:rPr>
          <w:kern w:val="0"/>
          <w:lang w:val="nl-NL" w:eastAsia="en-US" w:bidi="ar-SA"/>
        </w:rPr>
        <w:t>-</w:t>
      </w:r>
      <w:r w:rsidRPr="00783316">
        <w:rPr>
          <w:kern w:val="0"/>
          <w:lang w:val="nl-NL" w:eastAsia="en-US" w:bidi="ar-SA"/>
        </w:rPr>
        <w:t>min betrekking op een goede zorgverlening en valt bijgevolg buiten dit wettelijke kader. Ge</w:t>
      </w:r>
      <w:r w:rsidR="009D5546" w:rsidRPr="00783316">
        <w:rPr>
          <w:kern w:val="0"/>
          <w:lang w:val="nl-NL" w:eastAsia="en-US" w:bidi="ar-SA"/>
        </w:rPr>
        <w:t>-</w:t>
      </w:r>
      <w:r w:rsidRPr="00783316">
        <w:rPr>
          <w:kern w:val="0"/>
          <w:lang w:val="nl-NL" w:eastAsia="en-US" w:bidi="ar-SA"/>
        </w:rPr>
        <w:t>zondheidsgegevens kunnen wel langer bewaard worden voor historische, statistische en we</w:t>
      </w:r>
      <w:r w:rsidR="009D5546" w:rsidRPr="00783316">
        <w:rPr>
          <w:kern w:val="0"/>
          <w:lang w:val="nl-NL" w:eastAsia="en-US" w:bidi="ar-SA"/>
        </w:rPr>
        <w:t>-</w:t>
      </w:r>
      <w:r w:rsidRPr="00783316">
        <w:rPr>
          <w:kern w:val="0"/>
          <w:lang w:val="nl-NL" w:eastAsia="en-US" w:bidi="ar-SA"/>
        </w:rPr>
        <w:t>tenschappelijke doeleinden.</w:t>
      </w:r>
      <w:r w:rsidRPr="00D147A7">
        <w:rPr>
          <w:vertAlign w:val="superscript"/>
          <w:lang w:val="nl-NL" w:eastAsia="en-US" w:bidi="ar-SA"/>
        </w:rPr>
        <w:footnoteReference w:id="870"/>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Volgens de Minister van Volksgezondheid moeten verzorgingsinstellingen het heft in eigen handen nemen door zelf criteria voor verantwoorde bewaartermijnen</w:t>
      </w:r>
      <w:r w:rsidR="009D5546" w:rsidRPr="009D5546">
        <w:rPr>
          <w:kern w:val="0"/>
          <w:lang w:val="nl-NL" w:eastAsia="en-US" w:bidi="ar-SA"/>
        </w:rPr>
        <w:t xml:space="preserve"> </w:t>
      </w:r>
      <w:r w:rsidR="009D5546" w:rsidRPr="00D147A7">
        <w:rPr>
          <w:kern w:val="0"/>
          <w:lang w:val="nl-NL" w:eastAsia="en-US" w:bidi="ar-SA"/>
        </w:rPr>
        <w:t>op te stellen</w:t>
      </w:r>
      <w:r w:rsidRPr="00D147A7">
        <w:rPr>
          <w:kern w:val="0"/>
          <w:lang w:val="nl-NL" w:eastAsia="en-US" w:bidi="ar-SA"/>
        </w:rPr>
        <w:t>.</w:t>
      </w:r>
      <w:r w:rsidRPr="00D147A7">
        <w:rPr>
          <w:kern w:val="0"/>
          <w:vertAlign w:val="superscript"/>
          <w:lang w:val="nl-NL" w:eastAsia="en-US" w:bidi="ar-SA"/>
        </w:rPr>
        <w:footnoteReference w:id="871"/>
      </w:r>
      <w:r w:rsidRPr="00D147A7">
        <w:rPr>
          <w:kern w:val="0"/>
          <w:lang w:val="nl-NL" w:eastAsia="en-US" w:bidi="ar-SA"/>
        </w:rPr>
        <w:t xml:space="preserve"> Enkel het Slingeland Ziekenhuis te Doetinchem gaf hier gevolg aan door een lijst met gedifferenti</w:t>
      </w:r>
      <w:r w:rsidR="009D5546">
        <w:rPr>
          <w:kern w:val="0"/>
          <w:lang w:val="nl-NL" w:eastAsia="en-US" w:bidi="ar-SA"/>
        </w:rPr>
        <w:t>-</w:t>
      </w:r>
      <w:r w:rsidRPr="00D147A7">
        <w:rPr>
          <w:kern w:val="0"/>
          <w:lang w:val="nl-NL" w:eastAsia="en-US" w:bidi="ar-SA"/>
        </w:rPr>
        <w:t>eerde bewaartermijnen op te stellen.</w:t>
      </w:r>
      <w:r w:rsidRPr="00D147A7">
        <w:rPr>
          <w:kern w:val="0"/>
          <w:vertAlign w:val="superscript"/>
          <w:lang w:val="nl-NL" w:eastAsia="en-US" w:bidi="ar-SA"/>
        </w:rPr>
        <w:footnoteReference w:id="872"/>
      </w:r>
      <w:r w:rsidRPr="00D147A7">
        <w:rPr>
          <w:kern w:val="0"/>
          <w:lang w:val="nl-NL" w:eastAsia="en-US" w:bidi="ar-SA"/>
        </w:rPr>
        <w:t xml:space="preserve"> </w:t>
      </w:r>
    </w:p>
    <w:p w:rsidR="00783316" w:rsidRDefault="00783316" w:rsidP="00783316">
      <w:pPr>
        <w:widowControl/>
        <w:suppressAutoHyphens w:val="0"/>
        <w:spacing w:line="240" w:lineRule="atLeast"/>
        <w:jc w:val="both"/>
        <w:rPr>
          <w:kern w:val="0"/>
          <w:lang w:val="nl-NL" w:eastAsia="en-US" w:bidi="ar-SA"/>
        </w:rPr>
      </w:pPr>
    </w:p>
    <w:p w:rsidR="00426625" w:rsidRPr="00D147A7" w:rsidRDefault="00426625" w:rsidP="00783316">
      <w:pPr>
        <w:widowControl/>
        <w:suppressAutoHyphens w:val="0"/>
        <w:spacing w:line="240" w:lineRule="atLeast"/>
        <w:jc w:val="both"/>
        <w:rPr>
          <w:i/>
          <w:iCs/>
          <w:kern w:val="0"/>
          <w:lang w:val="nl-NL" w:eastAsia="en-US" w:bidi="ar-SA"/>
        </w:rPr>
      </w:pPr>
      <w:r w:rsidRPr="00D147A7">
        <w:rPr>
          <w:kern w:val="0"/>
          <w:lang w:val="nl-NL" w:eastAsia="en-US" w:bidi="ar-SA"/>
        </w:rPr>
        <w:t xml:space="preserve">Daarnaast hebben patiënten de mogelijkheid om hun arts te verzoeken om (delen van) het hen betreffende dossier korter of langer dan de voorgeschreven bewaartermijn te bewaren. Aan een verzoek om (delen van) het patiëntendossier langer te bewaren, geeft de arts in het kader van het </w:t>
      </w:r>
      <w:r w:rsidRPr="00D147A7">
        <w:rPr>
          <w:i/>
          <w:kern w:val="0"/>
          <w:lang w:val="nl-NL" w:eastAsia="en-US" w:bidi="ar-SA"/>
        </w:rPr>
        <w:t>goed hulpverlenerschap</w:t>
      </w:r>
      <w:r w:rsidRPr="00D147A7">
        <w:rPr>
          <w:kern w:val="0"/>
          <w:lang w:val="nl-NL" w:eastAsia="en-US" w:bidi="ar-SA"/>
        </w:rPr>
        <w:t xml:space="preserve"> gehoor.</w:t>
      </w:r>
      <w:r w:rsidRPr="00D147A7">
        <w:rPr>
          <w:kern w:val="0"/>
          <w:vertAlign w:val="superscript"/>
          <w:lang w:val="nl-NL" w:eastAsia="en-US" w:bidi="ar-SA"/>
        </w:rPr>
        <w:footnoteReference w:id="873"/>
      </w:r>
      <w:r w:rsidRPr="00D147A7">
        <w:rPr>
          <w:kern w:val="0"/>
          <w:lang w:val="nl-NL" w:eastAsia="en-US" w:bidi="ar-SA"/>
        </w:rPr>
        <w:t xml:space="preserve"> Als een patiënt (delen van) zijn dossier wil vernie</w:t>
      </w:r>
      <w:r w:rsidR="00783316">
        <w:rPr>
          <w:kern w:val="0"/>
          <w:lang w:val="nl-NL" w:eastAsia="en-US" w:bidi="ar-SA"/>
        </w:rPr>
        <w:t>-</w:t>
      </w:r>
      <w:r w:rsidRPr="00D147A7">
        <w:rPr>
          <w:kern w:val="0"/>
          <w:lang w:val="nl-NL" w:eastAsia="en-US" w:bidi="ar-SA"/>
        </w:rPr>
        <w:t xml:space="preserve">tigd zien, worden de betreffende documenten </w:t>
      </w:r>
      <w:r w:rsidRPr="00D147A7">
        <w:rPr>
          <w:i/>
          <w:iCs/>
          <w:kern w:val="0"/>
          <w:lang w:val="nl-NL" w:eastAsia="en-US" w:bidi="ar-SA"/>
        </w:rPr>
        <w:t>binnen drie maanden na een daartoe strekkend verzoek van de patiënt</w:t>
      </w:r>
      <w:r w:rsidRPr="00D147A7">
        <w:rPr>
          <w:kern w:val="0"/>
          <w:lang w:val="nl-NL" w:eastAsia="en-US" w:bidi="ar-SA"/>
        </w:rPr>
        <w:t xml:space="preserve"> in principe vernietigd.</w:t>
      </w:r>
      <w:r w:rsidRPr="00D147A7">
        <w:rPr>
          <w:kern w:val="0"/>
          <w:vertAlign w:val="superscript"/>
          <w:lang w:val="nl-NL" w:eastAsia="en-US" w:bidi="ar-SA"/>
        </w:rPr>
        <w:footnoteReference w:id="874"/>
      </w:r>
      <w:r w:rsidRPr="00D147A7">
        <w:rPr>
          <w:kern w:val="0"/>
          <w:lang w:val="nl-NL" w:eastAsia="en-US" w:bidi="ar-SA"/>
        </w:rPr>
        <w:t xml:space="preserve"> Vanzelfsprekend vervalt de bewaartermijn die op de gegevens berust bij de vernietiging. Artsen mogen dit verzoek enkel weigeren als </w:t>
      </w:r>
      <w:r w:rsidRPr="00D147A7">
        <w:rPr>
          <w:i/>
          <w:iCs/>
          <w:kern w:val="0"/>
          <w:lang w:val="nl-NL" w:eastAsia="en-US" w:bidi="ar-SA"/>
        </w:rPr>
        <w:t>redelijkerwijs aannemelijk is dat de bewaring van aanmerkelijk belang is voor een ander dan de patiënt, alsmede voor zover het bepaalde bij of krachtens de wet zich tegen vernietiging verzet</w:t>
      </w:r>
      <w:r w:rsidRPr="00D147A7">
        <w:rPr>
          <w:kern w:val="0"/>
          <w:lang w:val="nl-NL" w:eastAsia="en-US" w:bidi="ar-SA"/>
        </w:rPr>
        <w:t>.</w:t>
      </w:r>
      <w:r w:rsidRPr="00D147A7">
        <w:rPr>
          <w:kern w:val="0"/>
          <w:vertAlign w:val="superscript"/>
          <w:lang w:val="nl-NL" w:eastAsia="en-US" w:bidi="ar-SA"/>
        </w:rPr>
        <w:footnoteReference w:id="875"/>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b/>
          <w:bCs/>
          <w:color w:val="FF0000"/>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Verder moet van de algemene bewaartermijn worden afgeweken als het adagium </w:t>
      </w:r>
      <w:r w:rsidRPr="00D147A7">
        <w:rPr>
          <w:i/>
          <w:kern w:val="0"/>
          <w:lang w:val="nl-NL" w:eastAsia="en-US" w:bidi="ar-SA"/>
        </w:rPr>
        <w:t xml:space="preserve">lex specialis derogat legi generali </w:t>
      </w:r>
      <w:r w:rsidRPr="00D147A7">
        <w:rPr>
          <w:kern w:val="0"/>
          <w:lang w:val="nl-NL" w:eastAsia="en-US" w:bidi="ar-SA"/>
        </w:rPr>
        <w:t>van toepassing is. Als twee wetten elkaar lijken tegen te spreken, geniet krachtens dit beginsel de meer specifieke juridische norm op de (tegenstrijdige) algemene norm.</w:t>
      </w:r>
      <w:r w:rsidRPr="00D147A7">
        <w:rPr>
          <w:kern w:val="0"/>
          <w:vertAlign w:val="superscript"/>
          <w:lang w:val="nl-NL" w:eastAsia="en-US" w:bidi="ar-SA"/>
        </w:rPr>
        <w:footnoteReference w:id="876"/>
      </w:r>
      <w:r w:rsidRPr="00D147A7">
        <w:rPr>
          <w:kern w:val="0"/>
          <w:lang w:val="nl-NL" w:eastAsia="en-US" w:bidi="ar-SA"/>
        </w:rPr>
        <w:t xml:space="preserve"> Deze regel gaat evenwel alleen op voor wetten van dezelfde rangorde binnen de hië</w:t>
      </w:r>
      <w:r w:rsidR="00783316">
        <w:rPr>
          <w:kern w:val="0"/>
          <w:lang w:val="nl-NL" w:eastAsia="en-US" w:bidi="ar-SA"/>
        </w:rPr>
        <w:t>-</w:t>
      </w:r>
      <w:r w:rsidRPr="00D147A7">
        <w:rPr>
          <w:kern w:val="0"/>
          <w:lang w:val="nl-NL" w:eastAsia="en-US" w:bidi="ar-SA"/>
        </w:rPr>
        <w:t>rarchie der rechtsnormen.</w:t>
      </w:r>
      <w:r w:rsidRPr="00D147A7">
        <w:rPr>
          <w:kern w:val="0"/>
          <w:vertAlign w:val="superscript"/>
          <w:lang w:val="nl-NL" w:eastAsia="en-US" w:bidi="ar-SA"/>
        </w:rPr>
        <w:footnoteReference w:id="877"/>
      </w:r>
      <w:r w:rsidRPr="00D147A7">
        <w:rPr>
          <w:kern w:val="0"/>
          <w:lang w:val="nl-NL" w:eastAsia="en-US" w:bidi="ar-SA"/>
        </w:rPr>
        <w:t xml:space="preserve"> De wettelijke bepalingen die van de WGBO afwijken, worden hierna opgesomd.</w:t>
      </w:r>
    </w:p>
    <w:p w:rsidR="00426625" w:rsidRPr="00D147A7" w:rsidRDefault="00426625" w:rsidP="004E22A3">
      <w:pPr>
        <w:pStyle w:val="Geenafstand"/>
        <w:numPr>
          <w:ilvl w:val="0"/>
          <w:numId w:val="39"/>
        </w:numPr>
        <w:ind w:left="0" w:firstLine="0"/>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 xml:space="preserve">Dossiers van gedwongen opgenomen patiënten in psychiatrische ziekenhuizen worden </w:t>
      </w:r>
      <w:r w:rsidR="00783316" w:rsidRPr="00783316">
        <w:rPr>
          <w:rFonts w:ascii="Times New Roman" w:hAnsi="Times New Roman" w:cs="Times New Roman"/>
          <w:i/>
          <w:sz w:val="24"/>
          <w:szCs w:val="24"/>
          <w:lang w:val="nl-NL"/>
        </w:rPr>
        <w:t xml:space="preserve">bewaard </w:t>
      </w:r>
      <w:r w:rsidRPr="00783316">
        <w:rPr>
          <w:rFonts w:ascii="Times New Roman" w:hAnsi="Times New Roman" w:cs="Times New Roman"/>
          <w:i/>
          <w:sz w:val="24"/>
          <w:szCs w:val="24"/>
          <w:lang w:val="nl-NL"/>
        </w:rPr>
        <w:t>gedurende vijf ja</w:t>
      </w:r>
      <w:r w:rsidR="00783316" w:rsidRPr="00783316">
        <w:rPr>
          <w:rFonts w:ascii="Times New Roman" w:hAnsi="Times New Roman" w:cs="Times New Roman"/>
          <w:i/>
          <w:sz w:val="24"/>
          <w:szCs w:val="24"/>
          <w:lang w:val="nl-NL"/>
        </w:rPr>
        <w:t>ar</w:t>
      </w:r>
      <w:r w:rsidRPr="00783316">
        <w:rPr>
          <w:rFonts w:ascii="Times New Roman" w:hAnsi="Times New Roman" w:cs="Times New Roman"/>
          <w:i/>
          <w:sz w:val="24"/>
          <w:szCs w:val="24"/>
          <w:lang w:val="nl-NL"/>
        </w:rPr>
        <w:t xml:space="preserve"> te rekenen vanaf het tijdstip waarop de behandeling in het kader van de wet</w:t>
      </w:r>
      <w:r w:rsidRPr="00D147A7">
        <w:rPr>
          <w:rFonts w:ascii="Times New Roman" w:hAnsi="Times New Roman" w:cs="Times New Roman"/>
          <w:sz w:val="24"/>
          <w:szCs w:val="24"/>
          <w:lang w:val="nl-NL"/>
        </w:rPr>
        <w:t xml:space="preserve"> </w:t>
      </w:r>
      <w:r w:rsidR="00783316">
        <w:rPr>
          <w:rFonts w:ascii="Times New Roman" w:hAnsi="Times New Roman" w:cs="Times New Roman"/>
          <w:sz w:val="24"/>
          <w:szCs w:val="24"/>
          <w:lang w:val="nl-NL"/>
        </w:rPr>
        <w:t>[</w:t>
      </w:r>
      <w:r w:rsidRPr="00D147A7">
        <w:rPr>
          <w:rFonts w:ascii="Times New Roman" w:hAnsi="Times New Roman" w:cs="Times New Roman"/>
          <w:sz w:val="24"/>
          <w:szCs w:val="24"/>
          <w:lang w:val="nl-NL"/>
        </w:rPr>
        <w:t>Bopz</w:t>
      </w:r>
      <w:r w:rsidR="00783316">
        <w:rPr>
          <w:rFonts w:ascii="Times New Roman" w:hAnsi="Times New Roman" w:cs="Times New Roman"/>
          <w:sz w:val="24"/>
          <w:szCs w:val="24"/>
          <w:lang w:val="nl-NL"/>
        </w:rPr>
        <w:t>]</w:t>
      </w:r>
      <w:r w:rsidRPr="00783316">
        <w:rPr>
          <w:rFonts w:ascii="Times New Roman" w:hAnsi="Times New Roman" w:cs="Times New Roman"/>
          <w:i/>
          <w:sz w:val="24"/>
          <w:szCs w:val="24"/>
          <w:lang w:val="nl-NL"/>
        </w:rPr>
        <w:t>, de plaatsing in het ziekenhuis, dan wel de ter beschikkingstelling, is beëin</w:t>
      </w:r>
      <w:r w:rsidR="00783316">
        <w:rPr>
          <w:rFonts w:ascii="Times New Roman" w:hAnsi="Times New Roman" w:cs="Times New Roman"/>
          <w:i/>
          <w:sz w:val="24"/>
          <w:szCs w:val="24"/>
          <w:lang w:val="nl-NL"/>
        </w:rPr>
        <w:t>-</w:t>
      </w:r>
      <w:r w:rsidRPr="00783316">
        <w:rPr>
          <w:rFonts w:ascii="Times New Roman" w:hAnsi="Times New Roman" w:cs="Times New Roman"/>
          <w:i/>
          <w:sz w:val="24"/>
          <w:szCs w:val="24"/>
          <w:lang w:val="nl-NL"/>
        </w:rPr>
        <w:t>digd of zo veel langer als redelijkerwijs uit de zorg van een goed hulpverlener voortvloeit</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78"/>
      </w:r>
      <w:r w:rsidRPr="00D147A7">
        <w:rPr>
          <w:rFonts w:ascii="Times New Roman" w:hAnsi="Times New Roman" w:cs="Times New Roman"/>
          <w:sz w:val="24"/>
          <w:szCs w:val="24"/>
          <w:lang w:val="nl-NL"/>
        </w:rPr>
        <w:t xml:space="preserve"> Hoewel ook in het Bopz aan patiënten een vernietigingsrecht wordt toegekend, kunnen zij </w:t>
      </w:r>
      <w:r w:rsidRPr="00D147A7">
        <w:rPr>
          <w:rFonts w:ascii="Times New Roman" w:hAnsi="Times New Roman" w:cs="Times New Roman"/>
          <w:sz w:val="24"/>
          <w:szCs w:val="24"/>
          <w:lang w:val="nl-NL"/>
        </w:rPr>
        <w:lastRenderedPageBreak/>
        <w:t>hier geen beroep op doen zolang de wettelijke bewaartermijn niet verstreken</w:t>
      </w:r>
      <w:r w:rsidR="00783316" w:rsidRPr="00783316">
        <w:rPr>
          <w:rFonts w:ascii="Times New Roman" w:hAnsi="Times New Roman" w:cs="Times New Roman"/>
          <w:sz w:val="24"/>
          <w:szCs w:val="24"/>
          <w:lang w:val="nl-NL"/>
        </w:rPr>
        <w:t xml:space="preserve"> </w:t>
      </w:r>
      <w:r w:rsidR="00783316" w:rsidRPr="00D147A7">
        <w:rPr>
          <w:rFonts w:ascii="Times New Roman" w:hAnsi="Times New Roman" w:cs="Times New Roman"/>
          <w:sz w:val="24"/>
          <w:szCs w:val="24"/>
          <w:lang w:val="nl-NL"/>
        </w:rPr>
        <w:t>is</w:t>
      </w:r>
      <w:r w:rsidRPr="00D147A7">
        <w:rPr>
          <w:rFonts w:ascii="Times New Roman" w:hAnsi="Times New Roman" w:cs="Times New Roman"/>
          <w:sz w:val="24"/>
          <w:szCs w:val="24"/>
          <w:lang w:val="nl-NL"/>
        </w:rPr>
        <w:t>. Nadien moe</w:t>
      </w:r>
      <w:r w:rsidR="00783316">
        <w:rPr>
          <w:rFonts w:ascii="Times New Roman" w:hAnsi="Times New Roman" w:cs="Times New Roman"/>
          <w:sz w:val="24"/>
          <w:szCs w:val="24"/>
          <w:lang w:val="nl-NL"/>
        </w:rPr>
        <w:t>-</w:t>
      </w:r>
      <w:r w:rsidRPr="00D147A7">
        <w:rPr>
          <w:rFonts w:ascii="Times New Roman" w:hAnsi="Times New Roman" w:cs="Times New Roman"/>
          <w:sz w:val="24"/>
          <w:szCs w:val="24"/>
          <w:lang w:val="nl-NL"/>
        </w:rPr>
        <w:t>ten artsen verzoek</w:t>
      </w:r>
      <w:r w:rsidR="00783316">
        <w:rPr>
          <w:rFonts w:ascii="Times New Roman" w:hAnsi="Times New Roman" w:cs="Times New Roman"/>
          <w:sz w:val="24"/>
          <w:szCs w:val="24"/>
          <w:lang w:val="nl-NL"/>
        </w:rPr>
        <w:t>en</w:t>
      </w:r>
      <w:r w:rsidRPr="00D147A7">
        <w:rPr>
          <w:rFonts w:ascii="Times New Roman" w:hAnsi="Times New Roman" w:cs="Times New Roman"/>
          <w:sz w:val="24"/>
          <w:szCs w:val="24"/>
          <w:lang w:val="nl-NL"/>
        </w:rPr>
        <w:t xml:space="preserve"> om (delen van) het patiëntendossier te vernietigen binnen de drie maan</w:t>
      </w:r>
      <w:r w:rsidR="00783316">
        <w:rPr>
          <w:rFonts w:ascii="Times New Roman" w:hAnsi="Times New Roman" w:cs="Times New Roman"/>
          <w:sz w:val="24"/>
          <w:szCs w:val="24"/>
          <w:lang w:val="nl-NL"/>
        </w:rPr>
        <w:t>-</w:t>
      </w:r>
      <w:r w:rsidRPr="00D147A7">
        <w:rPr>
          <w:rFonts w:ascii="Times New Roman" w:hAnsi="Times New Roman" w:cs="Times New Roman"/>
          <w:sz w:val="24"/>
          <w:szCs w:val="24"/>
          <w:lang w:val="nl-NL"/>
        </w:rPr>
        <w:t>den honoreren</w:t>
      </w:r>
      <w:r w:rsidRPr="00D147A7">
        <w:rPr>
          <w:rFonts w:ascii="Times New Roman" w:hAnsi="Times New Roman" w:cs="Times New Roman"/>
          <w:sz w:val="24"/>
          <w:szCs w:val="24"/>
          <w:vertAlign w:val="superscript"/>
          <w:lang w:val="nl-NL"/>
        </w:rPr>
        <w:footnoteReference w:id="879"/>
      </w:r>
      <w:r w:rsidRPr="00D147A7">
        <w:rPr>
          <w:rFonts w:ascii="Times New Roman" w:hAnsi="Times New Roman" w:cs="Times New Roman"/>
          <w:sz w:val="24"/>
          <w:szCs w:val="24"/>
          <w:lang w:val="nl-NL"/>
        </w:rPr>
        <w:t xml:space="preserve">, tenzij </w:t>
      </w:r>
      <w:r w:rsidR="00783316">
        <w:rPr>
          <w:rFonts w:ascii="Times New Roman" w:hAnsi="Times New Roman" w:cs="Times New Roman"/>
          <w:sz w:val="24"/>
          <w:szCs w:val="24"/>
          <w:lang w:val="nl-NL"/>
        </w:rPr>
        <w:t xml:space="preserve">(…) </w:t>
      </w:r>
      <w:r w:rsidRPr="00783316">
        <w:rPr>
          <w:rFonts w:ascii="Times New Roman" w:hAnsi="Times New Roman" w:cs="Times New Roman"/>
          <w:i/>
          <w:iCs/>
          <w:sz w:val="24"/>
          <w:szCs w:val="24"/>
          <w:lang w:val="nl-NL"/>
        </w:rPr>
        <w:t>redelijkerwijs aannemelijk is dat de bewaring van aanmerkelijk belang is voor een ander dan de patiënt, alsmede voor zover het bepaalde bij of krachtens de wet zich tegen vernietiging verzet</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80"/>
      </w:r>
    </w:p>
    <w:p w:rsidR="004E22A3" w:rsidRPr="00D147A7" w:rsidRDefault="00426625" w:rsidP="004E22A3">
      <w:pPr>
        <w:pStyle w:val="Geenafstand"/>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Daarnaast worden (uittreksels van) de ontvangen afschriften van rechterlijke beslissingen, af</w:t>
      </w:r>
      <w:r w:rsidR="00783316">
        <w:rPr>
          <w:rFonts w:ascii="Times New Roman" w:hAnsi="Times New Roman" w:cs="Times New Roman"/>
          <w:sz w:val="24"/>
          <w:szCs w:val="24"/>
          <w:lang w:val="nl-NL"/>
        </w:rPr>
        <w:t>-</w:t>
      </w:r>
      <w:r w:rsidRPr="00D147A7">
        <w:rPr>
          <w:rFonts w:ascii="Times New Roman" w:hAnsi="Times New Roman" w:cs="Times New Roman"/>
          <w:sz w:val="24"/>
          <w:szCs w:val="24"/>
          <w:lang w:val="nl-NL"/>
        </w:rPr>
        <w:t>schriften van beschikkingen van de burgemeester</w:t>
      </w:r>
      <w:r w:rsidRPr="00D147A7">
        <w:rPr>
          <w:rFonts w:ascii="Times New Roman" w:hAnsi="Times New Roman" w:cs="Times New Roman"/>
          <w:sz w:val="24"/>
          <w:szCs w:val="24"/>
          <w:vertAlign w:val="superscript"/>
          <w:lang w:val="nl-NL"/>
        </w:rPr>
        <w:footnoteReference w:id="881"/>
      </w:r>
      <w:r w:rsidRPr="00D147A7">
        <w:rPr>
          <w:rFonts w:ascii="Times New Roman" w:hAnsi="Times New Roman" w:cs="Times New Roman"/>
          <w:sz w:val="24"/>
          <w:szCs w:val="24"/>
          <w:lang w:val="nl-NL"/>
        </w:rPr>
        <w:t xml:space="preserve"> en ontvangen of afgegeven geneeskun</w:t>
      </w:r>
      <w:r w:rsidR="00783316">
        <w:rPr>
          <w:rFonts w:ascii="Times New Roman" w:hAnsi="Times New Roman" w:cs="Times New Roman"/>
          <w:sz w:val="24"/>
          <w:szCs w:val="24"/>
          <w:lang w:val="nl-NL"/>
        </w:rPr>
        <w:t>-</w:t>
      </w:r>
      <w:r w:rsidRPr="00D147A7">
        <w:rPr>
          <w:rFonts w:ascii="Times New Roman" w:hAnsi="Times New Roman" w:cs="Times New Roman"/>
          <w:sz w:val="24"/>
          <w:szCs w:val="24"/>
          <w:lang w:val="nl-NL"/>
        </w:rPr>
        <w:t>dige verklaringen</w:t>
      </w:r>
      <w:r w:rsidRPr="00D147A7">
        <w:rPr>
          <w:rFonts w:ascii="Times New Roman" w:hAnsi="Times New Roman" w:cs="Times New Roman"/>
          <w:sz w:val="24"/>
          <w:szCs w:val="24"/>
          <w:vertAlign w:val="superscript"/>
          <w:lang w:val="nl-NL"/>
        </w:rPr>
        <w:footnoteReference w:id="882"/>
      </w:r>
      <w:r w:rsidRPr="00D147A7">
        <w:rPr>
          <w:rFonts w:ascii="Times New Roman" w:hAnsi="Times New Roman" w:cs="Times New Roman"/>
          <w:sz w:val="24"/>
          <w:szCs w:val="24"/>
          <w:lang w:val="nl-NL"/>
        </w:rPr>
        <w:t xml:space="preserve"> in het </w:t>
      </w:r>
      <w:r w:rsidR="00E525B8">
        <w:rPr>
          <w:rFonts w:ascii="Times New Roman" w:hAnsi="Times New Roman" w:cs="Times New Roman"/>
          <w:sz w:val="24"/>
          <w:szCs w:val="24"/>
          <w:lang w:val="nl-NL"/>
        </w:rPr>
        <w:t xml:space="preserve">(…) </w:t>
      </w:r>
      <w:r w:rsidRPr="00E525B8">
        <w:rPr>
          <w:rFonts w:ascii="Times New Roman" w:hAnsi="Times New Roman" w:cs="Times New Roman"/>
          <w:i/>
          <w:sz w:val="24"/>
          <w:szCs w:val="24"/>
          <w:lang w:val="nl-NL"/>
        </w:rPr>
        <w:t>patiëntendossier bewaard gedurende ten minste vijf jaren na de dagtekening van de beschikking, doch ten hoogste tot na verloop van vijf jaren na het einde van het verblijf van de betrokkene in het ziekenhuis, en vervolgens vernietigd.</w:t>
      </w:r>
      <w:r w:rsidRPr="00D147A7">
        <w:rPr>
          <w:rFonts w:ascii="Times New Roman" w:hAnsi="Times New Roman" w:cs="Times New Roman"/>
          <w:sz w:val="24"/>
          <w:szCs w:val="24"/>
          <w:lang w:val="nl-NL"/>
        </w:rPr>
        <w:t xml:space="preserve"> </w:t>
      </w:r>
      <w:r w:rsidRPr="00783316">
        <w:rPr>
          <w:rFonts w:ascii="Times New Roman" w:hAnsi="Times New Roman" w:cs="Times New Roman"/>
          <w:i/>
          <w:sz w:val="24"/>
          <w:szCs w:val="24"/>
          <w:lang w:val="nl-NL"/>
        </w:rPr>
        <w:t>Bij het desbe</w:t>
      </w:r>
      <w:r w:rsidR="00783316" w:rsidRPr="00783316">
        <w:rPr>
          <w:rFonts w:ascii="Times New Roman" w:hAnsi="Times New Roman" w:cs="Times New Roman"/>
          <w:i/>
          <w:sz w:val="24"/>
          <w:szCs w:val="24"/>
          <w:lang w:val="nl-NL"/>
        </w:rPr>
        <w:t>-</w:t>
      </w:r>
      <w:r w:rsidRPr="00783316">
        <w:rPr>
          <w:rFonts w:ascii="Times New Roman" w:hAnsi="Times New Roman" w:cs="Times New Roman"/>
          <w:i/>
          <w:sz w:val="24"/>
          <w:szCs w:val="24"/>
          <w:lang w:val="nl-NL"/>
        </w:rPr>
        <w:t>treffende patiëntendossier wordt voorts een afschrift bewaard van het bewijs van ontvangst dat aan de patiënt</w:t>
      </w:r>
      <w:r w:rsidRPr="00D147A7">
        <w:rPr>
          <w:rFonts w:ascii="Times New Roman" w:hAnsi="Times New Roman" w:cs="Times New Roman"/>
          <w:sz w:val="24"/>
          <w:szCs w:val="24"/>
          <w:lang w:val="nl-NL"/>
        </w:rPr>
        <w:t xml:space="preserve"> (…) </w:t>
      </w:r>
      <w:r w:rsidRPr="00783316">
        <w:rPr>
          <w:rFonts w:ascii="Times New Roman" w:hAnsi="Times New Roman" w:cs="Times New Roman"/>
          <w:i/>
          <w:sz w:val="24"/>
          <w:szCs w:val="24"/>
          <w:lang w:val="nl-NL"/>
        </w:rPr>
        <w:t>is afgegeven</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83"/>
      </w:r>
      <w:r w:rsidRPr="00D147A7">
        <w:rPr>
          <w:rFonts w:ascii="Times New Roman" w:hAnsi="Times New Roman" w:cs="Times New Roman"/>
          <w:sz w:val="24"/>
          <w:szCs w:val="24"/>
          <w:lang w:val="nl-NL"/>
        </w:rPr>
        <w:t xml:space="preserve"> Het gaat om het aan de patiënt overhandigde ont</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 xml:space="preserve">vangstbewijs waarin de voorwerpen omschreven </w:t>
      </w:r>
      <w:r w:rsidR="00E525B8" w:rsidRPr="00D147A7">
        <w:rPr>
          <w:rFonts w:ascii="Times New Roman" w:hAnsi="Times New Roman" w:cs="Times New Roman"/>
          <w:sz w:val="24"/>
          <w:szCs w:val="24"/>
          <w:lang w:val="nl-NL"/>
        </w:rPr>
        <w:t xml:space="preserve">worden </w:t>
      </w:r>
      <w:r w:rsidRPr="00D147A7">
        <w:rPr>
          <w:rFonts w:ascii="Times New Roman" w:hAnsi="Times New Roman" w:cs="Times New Roman"/>
          <w:sz w:val="24"/>
          <w:szCs w:val="24"/>
          <w:lang w:val="nl-NL"/>
        </w:rPr>
        <w:t>die aan de patiënt werden ontnomen omdat ze een gevaar vormen voor de goede gang van zaken in het ziekenhuis, de veiligheid van de betrokkene of van anderen.</w:t>
      </w:r>
      <w:r w:rsidRPr="00D147A7">
        <w:rPr>
          <w:rFonts w:ascii="Times New Roman" w:hAnsi="Times New Roman" w:cs="Times New Roman"/>
          <w:sz w:val="24"/>
          <w:szCs w:val="24"/>
          <w:vertAlign w:val="superscript"/>
          <w:lang w:val="nl-NL"/>
        </w:rPr>
        <w:footnoteReference w:id="884"/>
      </w:r>
      <w:r w:rsidRPr="00D147A7">
        <w:rPr>
          <w:rFonts w:ascii="Times New Roman" w:hAnsi="Times New Roman" w:cs="Times New Roman"/>
          <w:sz w:val="24"/>
          <w:szCs w:val="24"/>
          <w:lang w:val="nl-NL"/>
        </w:rPr>
        <w:t xml:space="preserve">  </w:t>
      </w: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Gegevens over geestelijk gehandicapten en psychiatrische zieken moeten gedurende 25 jaar na de laatste behandeling</w:t>
      </w:r>
      <w:r w:rsidR="00E525B8" w:rsidRPr="00E525B8">
        <w:rPr>
          <w:rFonts w:ascii="Times New Roman" w:hAnsi="Times New Roman" w:cs="Times New Roman"/>
          <w:sz w:val="24"/>
          <w:szCs w:val="24"/>
          <w:lang w:val="nl-NL"/>
        </w:rPr>
        <w:t xml:space="preserve"> </w:t>
      </w:r>
      <w:r w:rsidR="00E525B8" w:rsidRPr="00D147A7">
        <w:rPr>
          <w:rFonts w:ascii="Times New Roman" w:hAnsi="Times New Roman" w:cs="Times New Roman"/>
          <w:sz w:val="24"/>
          <w:szCs w:val="24"/>
          <w:lang w:val="nl-NL"/>
        </w:rPr>
        <w:t>worden bijgehouden</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85"/>
      </w: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In overeenstemming met de oorspronkelijke grondgedachte van de algemene bewaar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termijn oordeelt de Nederlandse wetgever dat ook medische keuringsgegevens slechts be</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waard mogen worden zolang dat noodzakelijk is voor het doel van de keuring.</w:t>
      </w:r>
      <w:r w:rsidRPr="00D147A7">
        <w:rPr>
          <w:rFonts w:ascii="Times New Roman" w:hAnsi="Times New Roman" w:cs="Times New Roman"/>
          <w:sz w:val="24"/>
          <w:szCs w:val="24"/>
          <w:vertAlign w:val="superscript"/>
          <w:lang w:val="nl-NL"/>
        </w:rPr>
        <w:footnoteReference w:id="886"/>
      </w:r>
      <w:r w:rsidRPr="00D147A7">
        <w:rPr>
          <w:rFonts w:ascii="Times New Roman" w:hAnsi="Times New Roman" w:cs="Times New Roman"/>
          <w:sz w:val="24"/>
          <w:szCs w:val="24"/>
          <w:lang w:val="nl-NL"/>
        </w:rPr>
        <w:t xml:space="preserve"> De bewaar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termijn van keuringsgegevens is m.a.w. afhankelijk van het doel van de keuring en de naar aanleiding van deze keuring genomen beslissing. Ter illustratie worden medische keuringen in het kader van de toekenning van een levensverzekering aangehaald. Als de levensverzeke</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ring toegekend wordt, moeten deze gegevens gedurende de duur van de verzekeringsovereen</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 xml:space="preserve">komst </w:t>
      </w:r>
      <w:r w:rsidR="00E525B8" w:rsidRPr="00D147A7">
        <w:rPr>
          <w:rFonts w:ascii="Times New Roman" w:hAnsi="Times New Roman" w:cs="Times New Roman"/>
          <w:sz w:val="24"/>
          <w:szCs w:val="24"/>
          <w:lang w:val="nl-NL"/>
        </w:rPr>
        <w:t xml:space="preserve">worden </w:t>
      </w:r>
      <w:r w:rsidRPr="00D147A7">
        <w:rPr>
          <w:rFonts w:ascii="Times New Roman" w:hAnsi="Times New Roman" w:cs="Times New Roman"/>
          <w:sz w:val="24"/>
          <w:szCs w:val="24"/>
          <w:lang w:val="nl-NL"/>
        </w:rPr>
        <w:t>bewaard. Wordt de levensverzekering daarentegen geweigerd, dan moeten de gegevens binnen drie maanden na die beslissing worden vernietigd.</w:t>
      </w:r>
      <w:r w:rsidRPr="00D147A7">
        <w:rPr>
          <w:rFonts w:ascii="Times New Roman" w:hAnsi="Times New Roman" w:cs="Times New Roman"/>
          <w:sz w:val="24"/>
          <w:szCs w:val="24"/>
          <w:vertAlign w:val="superscript"/>
          <w:lang w:val="nl-NL"/>
        </w:rPr>
        <w:footnoteReference w:id="887"/>
      </w: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De</w:t>
      </w:r>
      <w:r w:rsidRPr="00D147A7">
        <w:rPr>
          <w:rFonts w:ascii="Times New Roman" w:hAnsi="Times New Roman" w:cs="Times New Roman"/>
          <w:i/>
          <w:sz w:val="24"/>
          <w:szCs w:val="24"/>
          <w:lang w:val="nl-NL"/>
        </w:rPr>
        <w:t xml:space="preserve"> </w:t>
      </w:r>
      <w:r w:rsidRPr="00D147A7">
        <w:rPr>
          <w:rFonts w:ascii="Times New Roman" w:hAnsi="Times New Roman" w:cs="Times New Roman"/>
          <w:sz w:val="24"/>
          <w:szCs w:val="24"/>
          <w:shd w:val="clear" w:color="auto" w:fill="FFFFFF"/>
          <w:lang w:val="nl-NL"/>
        </w:rPr>
        <w:t xml:space="preserve">stichting die een bureau jeugdzorg in stand houdt en de zorgverlener moeten, in overeenstemming met </w:t>
      </w:r>
      <w:r w:rsidRPr="00D147A7">
        <w:rPr>
          <w:rFonts w:ascii="Times New Roman" w:hAnsi="Times New Roman" w:cs="Times New Roman"/>
          <w:sz w:val="24"/>
          <w:szCs w:val="24"/>
          <w:lang w:val="nl-NL"/>
        </w:rPr>
        <w:t>de vigerende bepalingen van de WGBO</w:t>
      </w:r>
      <w:r w:rsidRPr="00D147A7">
        <w:rPr>
          <w:rFonts w:ascii="Times New Roman" w:hAnsi="Times New Roman" w:cs="Times New Roman"/>
          <w:sz w:val="24"/>
          <w:szCs w:val="24"/>
          <w:shd w:val="clear" w:color="auto" w:fill="FFFFFF"/>
          <w:lang w:val="nl-NL"/>
        </w:rPr>
        <w:t>, het patiëntendossier van een jeugdige, zijn ouders of stiefouder of anderen die de jeugdige als behorend tot hun gezin ver</w:t>
      </w:r>
      <w:r w:rsidR="00E525B8">
        <w:rPr>
          <w:rFonts w:ascii="Times New Roman" w:hAnsi="Times New Roman" w:cs="Times New Roman"/>
          <w:sz w:val="24"/>
          <w:szCs w:val="24"/>
          <w:shd w:val="clear" w:color="auto" w:fill="FFFFFF"/>
          <w:lang w:val="nl-NL"/>
        </w:rPr>
        <w:t>-</w:t>
      </w:r>
      <w:r w:rsidRPr="00D147A7">
        <w:rPr>
          <w:rFonts w:ascii="Times New Roman" w:hAnsi="Times New Roman" w:cs="Times New Roman"/>
          <w:sz w:val="24"/>
          <w:szCs w:val="24"/>
          <w:shd w:val="clear" w:color="auto" w:fill="FFFFFF"/>
          <w:lang w:val="nl-NL"/>
        </w:rPr>
        <w:t xml:space="preserve">zorgen en opvoeden </w:t>
      </w:r>
      <w:r w:rsidRPr="00D147A7">
        <w:rPr>
          <w:rFonts w:ascii="Times New Roman" w:hAnsi="Times New Roman" w:cs="Times New Roman"/>
          <w:i/>
          <w:sz w:val="24"/>
          <w:szCs w:val="24"/>
          <w:lang w:val="nl-NL"/>
        </w:rPr>
        <w:t xml:space="preserve">gedurende vijftien jaren </w:t>
      </w:r>
      <w:r w:rsidRPr="00D147A7">
        <w:rPr>
          <w:rFonts w:ascii="Times New Roman" w:hAnsi="Times New Roman" w:cs="Times New Roman"/>
          <w:sz w:val="24"/>
          <w:szCs w:val="24"/>
          <w:lang w:val="nl-NL"/>
        </w:rPr>
        <w:t>[bewaren]</w:t>
      </w:r>
      <w:r w:rsidRPr="00D147A7">
        <w:rPr>
          <w:rFonts w:ascii="Times New Roman" w:hAnsi="Times New Roman" w:cs="Times New Roman"/>
          <w:i/>
          <w:sz w:val="24"/>
          <w:szCs w:val="24"/>
          <w:lang w:val="nl-NL"/>
        </w:rPr>
        <w:t>, te rekenen van het tijdstip waarop zij zijn vervaardigd, of zoveel langer als redelijkerwijs in verband met een zorgvuldige hulpver</w:t>
      </w:r>
      <w:r w:rsidR="00E525B8">
        <w:rPr>
          <w:rFonts w:ascii="Times New Roman" w:hAnsi="Times New Roman" w:cs="Times New Roman"/>
          <w:i/>
          <w:sz w:val="24"/>
          <w:szCs w:val="24"/>
          <w:lang w:val="nl-NL"/>
        </w:rPr>
        <w:t>-</w:t>
      </w:r>
      <w:r w:rsidRPr="00D147A7">
        <w:rPr>
          <w:rFonts w:ascii="Times New Roman" w:hAnsi="Times New Roman" w:cs="Times New Roman"/>
          <w:i/>
          <w:sz w:val="24"/>
          <w:szCs w:val="24"/>
          <w:lang w:val="nl-NL"/>
        </w:rPr>
        <w:t>lening noodzakelijk is.</w:t>
      </w:r>
      <w:r w:rsidRPr="00E525B8">
        <w:rPr>
          <w:rFonts w:ascii="Times New Roman" w:hAnsi="Times New Roman" w:cs="Times New Roman"/>
          <w:sz w:val="24"/>
          <w:szCs w:val="24"/>
          <w:vertAlign w:val="superscript"/>
          <w:lang w:val="nl-NL"/>
        </w:rPr>
        <w:footnoteReference w:id="888"/>
      </w:r>
      <w:r w:rsidRPr="00E525B8">
        <w:rPr>
          <w:rFonts w:ascii="Times New Roman" w:hAnsi="Times New Roman" w:cs="Times New Roman"/>
          <w:sz w:val="24"/>
          <w:szCs w:val="24"/>
          <w:lang w:val="nl-NL"/>
        </w:rPr>
        <w:t xml:space="preserve"> </w:t>
      </w:r>
    </w:p>
    <w:p w:rsidR="00426625" w:rsidRPr="00D147A7" w:rsidRDefault="00426625" w:rsidP="00426625">
      <w:pPr>
        <w:widowControl/>
        <w:suppressAutoHyphens w:val="0"/>
        <w:jc w:val="both"/>
        <w:rPr>
          <w:kern w:val="0"/>
          <w:lang w:val="nl-NL" w:eastAsia="en-US" w:bidi="ar-SA"/>
        </w:rPr>
      </w:pPr>
      <w:r w:rsidRPr="00D147A7">
        <w:rPr>
          <w:i/>
          <w:kern w:val="0"/>
          <w:lang w:val="nl-NL" w:eastAsia="en-US" w:bidi="ar-SA"/>
        </w:rPr>
        <w:t>Als de stichting de voogdij of de voorlopige voogdij van de jeugdige uitoefent</w:t>
      </w:r>
      <w:r w:rsidRPr="00E525B8">
        <w:rPr>
          <w:kern w:val="0"/>
          <w:vertAlign w:val="superscript"/>
          <w:lang w:val="nl-NL" w:eastAsia="en-US" w:bidi="ar-SA"/>
        </w:rPr>
        <w:footnoteReference w:id="889"/>
      </w:r>
      <w:r w:rsidRPr="00D147A7">
        <w:rPr>
          <w:kern w:val="0"/>
          <w:lang w:val="nl-NL" w:eastAsia="en-US" w:bidi="ar-SA"/>
        </w:rPr>
        <w:t>;</w:t>
      </w:r>
      <w:r w:rsidRPr="00D147A7">
        <w:rPr>
          <w:i/>
          <w:kern w:val="0"/>
          <w:lang w:val="nl-NL" w:eastAsia="en-US" w:bidi="ar-SA"/>
        </w:rPr>
        <w:t xml:space="preserve"> toezicht </w:t>
      </w:r>
      <w:r w:rsidRPr="00D147A7">
        <w:rPr>
          <w:kern w:val="0"/>
          <w:lang w:val="nl-NL" w:eastAsia="en-US" w:bidi="ar-SA"/>
        </w:rPr>
        <w:t>[houdt]</w:t>
      </w:r>
      <w:r w:rsidRPr="00D147A7">
        <w:rPr>
          <w:i/>
          <w:kern w:val="0"/>
          <w:lang w:val="nl-NL" w:eastAsia="en-US" w:bidi="ar-SA"/>
        </w:rPr>
        <w:t xml:space="preserve"> op de minderjarige en zorgt dat aan de minderjarige en de met het gezag belaste ou</w:t>
      </w:r>
      <w:r w:rsidR="00E525B8">
        <w:rPr>
          <w:i/>
          <w:kern w:val="0"/>
          <w:lang w:val="nl-NL" w:eastAsia="en-US" w:bidi="ar-SA"/>
        </w:rPr>
        <w:t>-</w:t>
      </w:r>
      <w:r w:rsidRPr="00D147A7">
        <w:rPr>
          <w:i/>
          <w:kern w:val="0"/>
          <w:lang w:val="nl-NL" w:eastAsia="en-US" w:bidi="ar-SA"/>
        </w:rPr>
        <w:t>der hulp en steun worden geboden teneinde de bedreiging van de zedelijke of geestelijke be</w:t>
      </w:r>
      <w:r w:rsidR="00E525B8">
        <w:rPr>
          <w:i/>
          <w:kern w:val="0"/>
          <w:lang w:val="nl-NL" w:eastAsia="en-US" w:bidi="ar-SA"/>
        </w:rPr>
        <w:t>-</w:t>
      </w:r>
      <w:r w:rsidRPr="00D147A7">
        <w:rPr>
          <w:i/>
          <w:kern w:val="0"/>
          <w:lang w:val="nl-NL" w:eastAsia="en-US" w:bidi="ar-SA"/>
        </w:rPr>
        <w:lastRenderedPageBreak/>
        <w:t>langen of de gezondheid van de minderjarige af te wenden</w:t>
      </w:r>
      <w:r w:rsidRPr="00E525B8">
        <w:rPr>
          <w:kern w:val="0"/>
          <w:vertAlign w:val="superscript"/>
          <w:lang w:val="nl-NL" w:eastAsia="en-US" w:bidi="ar-SA"/>
        </w:rPr>
        <w:footnoteReference w:id="890"/>
      </w:r>
      <w:r w:rsidRPr="00D147A7">
        <w:rPr>
          <w:kern w:val="0"/>
          <w:lang w:val="nl-NL" w:eastAsia="en-US" w:bidi="ar-SA"/>
        </w:rPr>
        <w:t xml:space="preserve">; of </w:t>
      </w:r>
      <w:r w:rsidRPr="00D147A7">
        <w:rPr>
          <w:i/>
          <w:kern w:val="0"/>
          <w:lang w:val="nl-NL" w:eastAsia="en-US" w:bidi="ar-SA"/>
        </w:rPr>
        <w:t>als advies- en meldpunt kin</w:t>
      </w:r>
      <w:r w:rsidR="00E525B8">
        <w:rPr>
          <w:i/>
          <w:kern w:val="0"/>
          <w:lang w:val="nl-NL" w:eastAsia="en-US" w:bidi="ar-SA"/>
        </w:rPr>
        <w:t>-</w:t>
      </w:r>
      <w:r w:rsidRPr="00D147A7">
        <w:rPr>
          <w:i/>
          <w:kern w:val="0"/>
          <w:lang w:val="nl-NL" w:eastAsia="en-US" w:bidi="ar-SA"/>
        </w:rPr>
        <w:t>dermishandeling</w:t>
      </w:r>
      <w:r w:rsidRPr="00D147A7">
        <w:rPr>
          <w:kern w:val="0"/>
          <w:lang w:val="nl-NL" w:eastAsia="en-US" w:bidi="ar-SA"/>
        </w:rPr>
        <w:t xml:space="preserve"> fungeert</w:t>
      </w:r>
      <w:r w:rsidRPr="00D147A7">
        <w:rPr>
          <w:kern w:val="0"/>
          <w:vertAlign w:val="superscript"/>
          <w:lang w:val="nl-NL" w:eastAsia="en-US" w:bidi="ar-SA"/>
        </w:rPr>
        <w:footnoteReference w:id="891"/>
      </w:r>
      <w:r w:rsidRPr="00D147A7">
        <w:rPr>
          <w:kern w:val="0"/>
          <w:lang w:val="nl-NL" w:eastAsia="en-US" w:bidi="ar-SA"/>
        </w:rPr>
        <w:t>, moeten</w:t>
      </w:r>
      <w:r w:rsidRPr="00D147A7">
        <w:rPr>
          <w:i/>
          <w:kern w:val="0"/>
          <w:lang w:val="nl-NL" w:eastAsia="en-US" w:bidi="ar-SA"/>
        </w:rPr>
        <w:t xml:space="preserve"> de bescheiden </w:t>
      </w:r>
      <w:r w:rsidRPr="00D147A7">
        <w:rPr>
          <w:kern w:val="0"/>
          <w:lang w:val="nl-NL" w:eastAsia="en-US" w:bidi="ar-SA"/>
        </w:rPr>
        <w:t>[bewaard worden]</w:t>
      </w:r>
      <w:r w:rsidRPr="00D147A7">
        <w:rPr>
          <w:i/>
          <w:kern w:val="0"/>
          <w:lang w:val="nl-NL" w:eastAsia="en-US" w:bidi="ar-SA"/>
        </w:rPr>
        <w:t xml:space="preserve"> tot het jongste kind van het gezin waartoe de jeugdige behoort en met welk gezin het bureau bemoeienis heeft gehad, meerderjarig is geworden, een en ander voor zover aannemelijk gemaakt kan worden dat het bewaren een bijdrage kan leveren aan het beëindigen van een mogelijke situatie van kinder</w:t>
      </w:r>
      <w:r w:rsidR="00E525B8">
        <w:rPr>
          <w:i/>
          <w:kern w:val="0"/>
          <w:lang w:val="nl-NL" w:eastAsia="en-US" w:bidi="ar-SA"/>
        </w:rPr>
        <w:t>-</w:t>
      </w:r>
      <w:r w:rsidRPr="00D147A7">
        <w:rPr>
          <w:i/>
          <w:kern w:val="0"/>
          <w:lang w:val="nl-NL" w:eastAsia="en-US" w:bidi="ar-SA"/>
        </w:rPr>
        <w:t>mishandeling, of van belang kan zijn voor een situatie waarin een maatregel met betrekking tot het gezag over een minderjarige overwogen dient te worden</w:t>
      </w:r>
      <w:r w:rsidRPr="00E525B8">
        <w:rPr>
          <w:kern w:val="0"/>
          <w:lang w:val="nl-NL" w:eastAsia="en-US" w:bidi="ar-SA"/>
        </w:rPr>
        <w:t>.</w:t>
      </w:r>
      <w:r w:rsidRPr="00E525B8">
        <w:rPr>
          <w:kern w:val="0"/>
          <w:vertAlign w:val="superscript"/>
          <w:lang w:val="nl-NL" w:eastAsia="en-US" w:bidi="ar-SA"/>
        </w:rPr>
        <w:footnoteReference w:id="892"/>
      </w:r>
    </w:p>
    <w:p w:rsidR="00426625" w:rsidRPr="00D147A7" w:rsidRDefault="00426625" w:rsidP="004E22A3">
      <w:pPr>
        <w:pStyle w:val="Geenafstand"/>
        <w:numPr>
          <w:ilvl w:val="0"/>
          <w:numId w:val="38"/>
        </w:numPr>
        <w:ind w:left="0" w:firstLine="0"/>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De Stichting donorgegevens kunstmatige bevruchting draagt zorg voor een zorgvul</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dige bewaring van de gegevens van de donor gedurende ten minste tachtig jaren te rekenen van de dag waarop zij deze gegevens ontvangt.</w:t>
      </w:r>
      <w:r w:rsidRPr="00D147A7">
        <w:rPr>
          <w:rFonts w:ascii="Times New Roman" w:hAnsi="Times New Roman" w:cs="Times New Roman"/>
          <w:sz w:val="24"/>
          <w:szCs w:val="24"/>
          <w:vertAlign w:val="superscript"/>
          <w:lang w:val="nl-NL"/>
        </w:rPr>
        <w:footnoteReference w:id="893"/>
      </w:r>
    </w:p>
    <w:p w:rsidR="00426625" w:rsidRPr="00D147A7" w:rsidRDefault="00426625" w:rsidP="004E22A3">
      <w:pPr>
        <w:pStyle w:val="Geenafstand"/>
        <w:numPr>
          <w:ilvl w:val="0"/>
          <w:numId w:val="38"/>
        </w:numPr>
        <w:ind w:left="0" w:firstLine="0"/>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Gegevens over ongevallen van minderjarigen moeten bewaard worden tot de patiënt de leeftijd van 31 jaar bereikt.</w:t>
      </w:r>
      <w:r w:rsidRPr="00D147A7">
        <w:rPr>
          <w:rFonts w:ascii="Times New Roman" w:hAnsi="Times New Roman" w:cs="Times New Roman"/>
          <w:sz w:val="24"/>
          <w:szCs w:val="24"/>
          <w:vertAlign w:val="superscript"/>
          <w:lang w:val="nl-NL"/>
        </w:rPr>
        <w:footnoteReference w:id="894"/>
      </w:r>
    </w:p>
    <w:p w:rsidR="00426625" w:rsidRPr="00D147A7" w:rsidRDefault="00426625" w:rsidP="004E22A3">
      <w:pPr>
        <w:pStyle w:val="Geenafstand"/>
        <w:numPr>
          <w:ilvl w:val="0"/>
          <w:numId w:val="38"/>
        </w:numPr>
        <w:ind w:left="0" w:firstLine="0"/>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Ook voor de arbeidsgeneeskunde heeft de Nederlandse wetgever specifieke bewaarter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mijnen voorzien. Ze worden hieronder weergegeven.</w:t>
      </w:r>
    </w:p>
    <w:p w:rsidR="00426625" w:rsidRPr="00D147A7" w:rsidRDefault="00426625" w:rsidP="00E525B8">
      <w:pPr>
        <w:widowControl/>
        <w:suppressAutoHyphens w:val="0"/>
        <w:spacing w:line="240" w:lineRule="atLeast"/>
        <w:jc w:val="both"/>
        <w:rPr>
          <w:kern w:val="0"/>
          <w:lang w:val="nl-NL" w:eastAsia="en-US" w:bidi="ar-SA"/>
        </w:rPr>
      </w:pPr>
      <w:r w:rsidRPr="00D147A7">
        <w:rPr>
          <w:kern w:val="0"/>
          <w:lang w:val="nl-NL" w:eastAsia="en-US" w:bidi="ar-SA"/>
        </w:rPr>
        <w:fldChar w:fldCharType="begin"/>
      </w:r>
      <w:r w:rsidRPr="00D147A7">
        <w:rPr>
          <w:kern w:val="0"/>
          <w:lang w:val="nl-NL" w:eastAsia="en-US" w:bidi="ar-SA"/>
        </w:rPr>
        <w:instrText xml:space="preserve"> LINK Excel.Sheet.12 "G:\\3. Bewaring\\Arbeidsomstandighedenbesluit.xlsx" Blad1!R2K2:R11K7 \a \f 4 \h  \* MERGEFORMAT </w:instrText>
      </w:r>
      <w:r w:rsidRPr="00D147A7">
        <w:rPr>
          <w:kern w:val="0"/>
          <w:lang w:val="nl-NL" w:eastAsia="en-US" w:bidi="ar-SA"/>
        </w:rPr>
        <w:fldChar w:fldCharType="separate"/>
      </w:r>
    </w:p>
    <w:p w:rsidR="00426625" w:rsidRPr="00D147A7" w:rsidRDefault="00426625" w:rsidP="00426625">
      <w:pPr>
        <w:widowControl/>
        <w:suppressAutoHyphens w:val="0"/>
        <w:spacing w:after="200" w:line="276" w:lineRule="auto"/>
        <w:rPr>
          <w:rFonts w:eastAsiaTheme="minorHAnsi"/>
          <w:kern w:val="0"/>
          <w:sz w:val="22"/>
          <w:szCs w:val="22"/>
          <w:lang w:eastAsia="en-US" w:bidi="ar-SA"/>
        </w:rPr>
      </w:pPr>
      <w:r w:rsidRPr="00D147A7">
        <w:rPr>
          <w:rFonts w:eastAsiaTheme="minorHAnsi"/>
          <w:kern w:val="0"/>
          <w:sz w:val="22"/>
          <w:szCs w:val="22"/>
          <w:lang w:eastAsia="en-US" w:bidi="ar-SA"/>
        </w:rPr>
        <w:br w:type="page"/>
      </w:r>
    </w:p>
    <w:tbl>
      <w:tblPr>
        <w:tblW w:w="8697" w:type="dxa"/>
        <w:tblInd w:w="70" w:type="dxa"/>
        <w:tblCellMar>
          <w:left w:w="70" w:type="dxa"/>
          <w:right w:w="70" w:type="dxa"/>
        </w:tblCellMar>
        <w:tblLook w:val="04A0" w:firstRow="1" w:lastRow="0" w:firstColumn="1" w:lastColumn="0" w:noHBand="0" w:noVBand="1"/>
      </w:tblPr>
      <w:tblGrid>
        <w:gridCol w:w="1418"/>
        <w:gridCol w:w="1300"/>
        <w:gridCol w:w="1273"/>
        <w:gridCol w:w="1253"/>
        <w:gridCol w:w="2122"/>
        <w:gridCol w:w="1331"/>
      </w:tblGrid>
      <w:tr w:rsidR="00426625" w:rsidRPr="00D147A7" w:rsidTr="004721B1">
        <w:trPr>
          <w:trHeight w:val="300"/>
        </w:trPr>
        <w:tc>
          <w:tcPr>
            <w:tcW w:w="2718" w:type="dxa"/>
            <w:gridSpan w:val="2"/>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lastRenderedPageBreak/>
              <w:t>Gegevens betreffende de blootstelling van individuele medewerkers aan:</w:t>
            </w:r>
          </w:p>
        </w:tc>
        <w:tc>
          <w:tcPr>
            <w:tcW w:w="1273" w:type="dxa"/>
            <w:tcBorders>
              <w:top w:val="single" w:sz="8"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Bewaartermijn</w:t>
            </w:r>
          </w:p>
        </w:tc>
        <w:tc>
          <w:tcPr>
            <w:tcW w:w="1253" w:type="dxa"/>
            <w:tcBorders>
              <w:top w:val="single" w:sz="8"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Aanvang bewaartermijn</w:t>
            </w:r>
          </w:p>
        </w:tc>
        <w:tc>
          <w:tcPr>
            <w:tcW w:w="2122" w:type="dxa"/>
            <w:tcBorders>
              <w:top w:val="single" w:sz="8"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Wettelijke basis</w:t>
            </w:r>
          </w:p>
        </w:tc>
        <w:tc>
          <w:tcPr>
            <w:tcW w:w="1331" w:type="dxa"/>
            <w:tcBorders>
              <w:top w:val="single" w:sz="8" w:space="0" w:color="auto"/>
              <w:left w:val="nil"/>
              <w:bottom w:val="single" w:sz="4" w:space="0" w:color="auto"/>
              <w:right w:val="single" w:sz="8"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Opmerking</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Asbest</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75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Geboortedatum werknemer</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Handeling 12 van de selectie-lijst voor de handelingen van de Tweede Kamer der Staten-Generaal op het beleidsterrein van personeelszaken, t.w. het personeelsdossier over de periode vanaf 1945</w:t>
            </w:r>
            <w:r w:rsidRPr="00D147A7">
              <w:rPr>
                <w:rFonts w:eastAsia="Times New Roman"/>
                <w:color w:val="000000"/>
                <w:kern w:val="0"/>
                <w:sz w:val="16"/>
                <w:szCs w:val="16"/>
                <w:vertAlign w:val="superscript"/>
                <w:lang w:eastAsia="nl-BE" w:bidi="ar-SA"/>
              </w:rPr>
              <w:footnoteReference w:id="895"/>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Benzeen en gechloreerde koolwaterstoffen</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4.61a Arbeidsomstandighedenbesluit</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1418" w:type="dxa"/>
            <w:vMerge w:val="restart"/>
            <w:tcBorders>
              <w:top w:val="nil"/>
              <w:left w:val="single" w:sz="8"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Biologische agentia</w:t>
            </w:r>
          </w:p>
        </w:tc>
        <w:tc>
          <w:tcPr>
            <w:tcW w:w="130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4.90 § 3 Arbeidsomstandighedenbesluit</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1418" w:type="dxa"/>
            <w:vMerge/>
            <w:tcBorders>
              <w:top w:val="nil"/>
              <w:left w:val="single" w:sz="8"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30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Indien infectueus</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zoveel langer als nodig (max. 40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4.90 § 4 Arbeidsomstandighedenbesluit</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Kankerverwekkende stoffen en processen</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4.24 Arbeidsomstandighedenbesluit</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Lood en loodwit</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4.61b Arbeidsomstandighedenbesluit</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Radioactieve straling</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 (max. tot het 75e levensjaar van de werknemers)</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Beëindiging werkzaamheden</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100 besluit Stralingsbescherming</w:t>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Deze registraties berusten in het Nationaal Dosisregistratie- en Informatiesysteem (NDRIS) van de Dosimetriedienst NRG</w:t>
            </w:r>
          </w:p>
        </w:tc>
      </w:tr>
      <w:tr w:rsidR="00426625" w:rsidRPr="00D147A7" w:rsidTr="004721B1">
        <w:trPr>
          <w:trHeight w:val="300"/>
        </w:trPr>
        <w:tc>
          <w:tcPr>
            <w:tcW w:w="2718"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xml:space="preserve">Vinylchloridemonomeer </w:t>
            </w:r>
          </w:p>
        </w:tc>
        <w:tc>
          <w:tcPr>
            <w:tcW w:w="127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75 jaar</w:t>
            </w:r>
          </w:p>
        </w:tc>
        <w:tc>
          <w:tcPr>
            <w:tcW w:w="1253"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Geboortedatum werknemer</w:t>
            </w:r>
          </w:p>
        </w:tc>
        <w:tc>
          <w:tcPr>
            <w:tcW w:w="2122"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Handeling 12 van de selectielijst voor de handelingen van de Tweede Kamer der Staten-Generaal op het beleidsterrein van personeelszaken, t.w. het personeelsdossier over de periode vanaf 1945</w:t>
            </w:r>
            <w:r w:rsidRPr="00D147A7">
              <w:rPr>
                <w:rFonts w:eastAsia="Times New Roman"/>
                <w:color w:val="000000"/>
                <w:kern w:val="0"/>
                <w:sz w:val="16"/>
                <w:szCs w:val="16"/>
                <w:vertAlign w:val="superscript"/>
                <w:lang w:eastAsia="nl-BE" w:bidi="ar-SA"/>
              </w:rPr>
              <w:footnoteReference w:id="896"/>
            </w:r>
          </w:p>
        </w:tc>
        <w:tc>
          <w:tcPr>
            <w:tcW w:w="1331" w:type="dxa"/>
            <w:tcBorders>
              <w:top w:val="nil"/>
              <w:left w:val="nil"/>
              <w:bottom w:val="single" w:sz="4"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r w:rsidR="00426625" w:rsidRPr="00D147A7" w:rsidTr="004721B1">
        <w:trPr>
          <w:trHeight w:val="315"/>
        </w:trPr>
        <w:tc>
          <w:tcPr>
            <w:tcW w:w="2718"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Zandsteen</w:t>
            </w:r>
          </w:p>
        </w:tc>
        <w:tc>
          <w:tcPr>
            <w:tcW w:w="1273" w:type="dxa"/>
            <w:tcBorders>
              <w:top w:val="nil"/>
              <w:left w:val="nil"/>
              <w:bottom w:val="single" w:sz="8"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 jaar</w:t>
            </w:r>
          </w:p>
        </w:tc>
        <w:tc>
          <w:tcPr>
            <w:tcW w:w="1253" w:type="dxa"/>
            <w:tcBorders>
              <w:top w:val="nil"/>
              <w:left w:val="nil"/>
              <w:bottom w:val="single" w:sz="8"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Blootstelling</w:t>
            </w:r>
          </w:p>
        </w:tc>
        <w:tc>
          <w:tcPr>
            <w:tcW w:w="2122" w:type="dxa"/>
            <w:tcBorders>
              <w:top w:val="nil"/>
              <w:left w:val="nil"/>
              <w:bottom w:val="single" w:sz="8"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4.60 Arbeidsomstandighedenbesluit</w:t>
            </w:r>
          </w:p>
        </w:tc>
        <w:tc>
          <w:tcPr>
            <w:tcW w:w="1331" w:type="dxa"/>
            <w:tcBorders>
              <w:top w:val="nil"/>
              <w:left w:val="nil"/>
              <w:bottom w:val="single" w:sz="8" w:space="0" w:color="auto"/>
              <w:right w:val="single" w:sz="8"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bl>
    <w:p w:rsidR="00426625" w:rsidRPr="00D147A7" w:rsidRDefault="00426625" w:rsidP="00426625">
      <w:pPr>
        <w:widowControl/>
        <w:suppressAutoHyphens w:val="0"/>
        <w:spacing w:line="240" w:lineRule="atLeast"/>
        <w:jc w:val="center"/>
        <w:rPr>
          <w:kern w:val="0"/>
          <w:lang w:val="nl-NL" w:eastAsia="en-US" w:bidi="ar-SA"/>
        </w:rPr>
      </w:pPr>
      <w:r w:rsidRPr="00D147A7">
        <w:rPr>
          <w:kern w:val="0"/>
          <w:lang w:val="nl-NL" w:eastAsia="en-US" w:bidi="ar-SA"/>
        </w:rPr>
        <w:fldChar w:fldCharType="end"/>
      </w:r>
      <w:r w:rsidRPr="00D147A7">
        <w:rPr>
          <w:kern w:val="0"/>
          <w:lang w:val="nl-NL" w:eastAsia="en-US" w:bidi="ar-SA"/>
        </w:rPr>
        <w:t>Tabel 15: Afzonderlijke bewaarregeling voor de gezondheidsgegevens van de arbeidsgeneeskunde in Nederland</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In Universitair Medische Centra moeten een aantal basisdocumenten van de patiënten</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 xml:space="preserve">dossiers gedurende 115 jaar na de geboorte van de patiënt </w:t>
      </w:r>
      <w:r w:rsidR="00E525B8" w:rsidRPr="00D147A7">
        <w:rPr>
          <w:rFonts w:ascii="Times New Roman" w:hAnsi="Times New Roman" w:cs="Times New Roman"/>
          <w:sz w:val="24"/>
          <w:szCs w:val="24"/>
          <w:lang w:val="nl-NL"/>
        </w:rPr>
        <w:t xml:space="preserve">worden </w:t>
      </w:r>
      <w:r w:rsidRPr="00D147A7">
        <w:rPr>
          <w:rFonts w:ascii="Times New Roman" w:hAnsi="Times New Roman" w:cs="Times New Roman"/>
          <w:sz w:val="24"/>
          <w:szCs w:val="24"/>
          <w:lang w:val="nl-NL"/>
        </w:rPr>
        <w:t xml:space="preserve">bewaard. </w:t>
      </w:r>
      <w:r w:rsidR="00E525B8">
        <w:rPr>
          <w:rFonts w:ascii="Times New Roman" w:hAnsi="Times New Roman" w:cs="Times New Roman"/>
          <w:sz w:val="24"/>
          <w:szCs w:val="24"/>
          <w:lang w:val="nl-NL"/>
        </w:rPr>
        <w:t>Tot d</w:t>
      </w:r>
      <w:r w:rsidRPr="00D147A7">
        <w:rPr>
          <w:rFonts w:ascii="Times New Roman" w:hAnsi="Times New Roman" w:cs="Times New Roman"/>
          <w:sz w:val="24"/>
          <w:szCs w:val="24"/>
          <w:lang w:val="nl-NL"/>
        </w:rPr>
        <w:t>eze basis</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 xml:space="preserve">documenten </w:t>
      </w:r>
      <w:r w:rsidR="00E525B8">
        <w:rPr>
          <w:rFonts w:ascii="Times New Roman" w:hAnsi="Times New Roman" w:cs="Times New Roman"/>
          <w:sz w:val="24"/>
          <w:szCs w:val="24"/>
          <w:lang w:val="nl-NL"/>
        </w:rPr>
        <w:t xml:space="preserve">worden </w:t>
      </w:r>
      <w:r w:rsidRPr="00D147A7">
        <w:rPr>
          <w:rFonts w:ascii="Times New Roman" w:hAnsi="Times New Roman" w:cs="Times New Roman"/>
          <w:sz w:val="24"/>
          <w:szCs w:val="24"/>
          <w:lang w:val="nl-NL"/>
        </w:rPr>
        <w:t>de ontslagbrief, het operatieverslag, het anesthesieverslag, het patholo</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gisch-anatomisch verslag (histologie, cytologie en/of obductie), het eerste hulpverslag en be</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scheiden houdende gegevens over calamiteiten (zoals oorlogen, vliegtuigongevallen, gifram</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pen en kernexplosies)</w:t>
      </w:r>
      <w:r w:rsidR="00E525B8" w:rsidRPr="00E525B8">
        <w:rPr>
          <w:rFonts w:ascii="Times New Roman" w:hAnsi="Times New Roman" w:cs="Times New Roman"/>
          <w:sz w:val="24"/>
          <w:szCs w:val="24"/>
          <w:lang w:val="nl-NL"/>
        </w:rPr>
        <w:t xml:space="preserve"> </w:t>
      </w:r>
      <w:r w:rsidR="00E525B8">
        <w:rPr>
          <w:rFonts w:ascii="Times New Roman" w:hAnsi="Times New Roman" w:cs="Times New Roman"/>
          <w:sz w:val="24"/>
          <w:szCs w:val="24"/>
          <w:lang w:val="nl-NL"/>
        </w:rPr>
        <w:t>gerekend</w:t>
      </w:r>
      <w:r w:rsidRPr="00D147A7">
        <w:rPr>
          <w:rFonts w:ascii="Times New Roman" w:hAnsi="Times New Roman" w:cs="Times New Roman"/>
          <w:sz w:val="24"/>
          <w:szCs w:val="24"/>
          <w:lang w:val="nl-NL"/>
        </w:rPr>
        <w:t>.</w:t>
      </w:r>
      <w:r w:rsidRPr="00D147A7">
        <w:rPr>
          <w:rFonts w:ascii="Times New Roman" w:hAnsi="Times New Roman" w:cs="Times New Roman"/>
          <w:sz w:val="24"/>
          <w:szCs w:val="24"/>
          <w:vertAlign w:val="superscript"/>
          <w:lang w:val="nl-NL"/>
        </w:rPr>
        <w:footnoteReference w:id="897"/>
      </w:r>
      <w:r w:rsidRPr="00D147A7">
        <w:rPr>
          <w:rFonts w:ascii="Times New Roman" w:hAnsi="Times New Roman" w:cs="Times New Roman"/>
          <w:sz w:val="24"/>
          <w:szCs w:val="24"/>
          <w:lang w:val="nl-NL"/>
        </w:rPr>
        <w:t xml:space="preserve"> Terwijl de overige documenten vroeger aan de WGBO on</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lastRenderedPageBreak/>
        <w:t>derworpen bleven</w:t>
      </w:r>
      <w:r w:rsidRPr="00D147A7">
        <w:rPr>
          <w:rFonts w:ascii="Times New Roman" w:hAnsi="Times New Roman" w:cs="Times New Roman"/>
          <w:sz w:val="24"/>
          <w:szCs w:val="24"/>
          <w:vertAlign w:val="superscript"/>
          <w:lang w:val="nl-NL"/>
        </w:rPr>
        <w:footnoteReference w:id="898"/>
      </w:r>
      <w:r w:rsidRPr="00D147A7">
        <w:rPr>
          <w:rFonts w:ascii="Times New Roman" w:hAnsi="Times New Roman" w:cs="Times New Roman"/>
          <w:sz w:val="24"/>
          <w:szCs w:val="24"/>
          <w:lang w:val="nl-NL"/>
        </w:rPr>
        <w:t>, bepaalt de selectielijst van de Universitaire Medische Centra reeds dat patiëntendossiers twintig jaar na de laatste behandeling of het overlijden van de patiënt ver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nietigd mogen worden. Hetzelfde geldt voor de onderzoeksresultaten naar geneesmiddelen.</w:t>
      </w:r>
      <w:r w:rsidRPr="00D147A7">
        <w:rPr>
          <w:rFonts w:ascii="Times New Roman" w:hAnsi="Times New Roman" w:cs="Times New Roman"/>
          <w:sz w:val="24"/>
          <w:szCs w:val="24"/>
          <w:vertAlign w:val="superscript"/>
          <w:lang w:val="nl-NL"/>
        </w:rPr>
        <w:footnoteReference w:id="899"/>
      </w: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Hoewel hiervoor geen wetgeving is, heerst in de praktijk de gewoonte om gegevens over erfelijke aandoeningen – de zgn. klinische genetica – 115 jaar, ofwel drie generaties, na de geboortedatum van de patiënt te bewaren.</w:t>
      </w:r>
      <w:r w:rsidRPr="00D147A7">
        <w:rPr>
          <w:rFonts w:ascii="Times New Roman" w:hAnsi="Times New Roman" w:cs="Times New Roman"/>
          <w:sz w:val="24"/>
          <w:szCs w:val="24"/>
          <w:vertAlign w:val="superscript"/>
          <w:lang w:val="nl-NL"/>
        </w:rPr>
        <w:footnoteReference w:id="900"/>
      </w:r>
      <w:r w:rsidRPr="00D147A7">
        <w:rPr>
          <w:rFonts w:ascii="Times New Roman" w:hAnsi="Times New Roman" w:cs="Times New Roman"/>
          <w:sz w:val="24"/>
          <w:szCs w:val="24"/>
          <w:lang w:val="nl-NL"/>
        </w:rPr>
        <w:t xml:space="preserve"> </w:t>
      </w:r>
    </w:p>
    <w:p w:rsidR="00426625" w:rsidRPr="00D147A7" w:rsidRDefault="00426625" w:rsidP="004E22A3">
      <w:pPr>
        <w:pStyle w:val="Geenafstand"/>
        <w:numPr>
          <w:ilvl w:val="0"/>
          <w:numId w:val="38"/>
        </w:numPr>
        <w:ind w:left="0" w:hanging="11"/>
        <w:jc w:val="both"/>
        <w:rPr>
          <w:rFonts w:ascii="Times New Roman" w:hAnsi="Times New Roman" w:cs="Times New Roman"/>
          <w:sz w:val="24"/>
          <w:szCs w:val="24"/>
          <w:lang w:val="nl-NL"/>
        </w:rPr>
      </w:pPr>
      <w:r w:rsidRPr="00D147A7">
        <w:rPr>
          <w:rFonts w:ascii="Times New Roman" w:hAnsi="Times New Roman" w:cs="Times New Roman"/>
          <w:sz w:val="24"/>
          <w:szCs w:val="24"/>
          <w:lang w:val="nl-NL"/>
        </w:rPr>
        <w:t>Omdat alle voornoemde bewaartermijnen betrekking op persoonsgegevens</w:t>
      </w:r>
      <w:r w:rsidR="00E525B8" w:rsidRPr="00E525B8">
        <w:rPr>
          <w:rFonts w:ascii="Times New Roman" w:hAnsi="Times New Roman" w:cs="Times New Roman"/>
          <w:sz w:val="24"/>
          <w:szCs w:val="24"/>
          <w:lang w:val="nl-NL"/>
        </w:rPr>
        <w:t xml:space="preserve"> </w:t>
      </w:r>
      <w:r w:rsidR="00E525B8" w:rsidRPr="00D147A7">
        <w:rPr>
          <w:rFonts w:ascii="Times New Roman" w:hAnsi="Times New Roman" w:cs="Times New Roman"/>
          <w:sz w:val="24"/>
          <w:szCs w:val="24"/>
          <w:lang w:val="nl-NL"/>
        </w:rPr>
        <w:t>hebben</w:t>
      </w:r>
      <w:r w:rsidRPr="00D147A7">
        <w:rPr>
          <w:rFonts w:ascii="Times New Roman" w:hAnsi="Times New Roman" w:cs="Times New Roman"/>
          <w:sz w:val="24"/>
          <w:szCs w:val="24"/>
          <w:lang w:val="nl-NL"/>
        </w:rPr>
        <w:t>, mogen patiëntendossiers in geanonimiseerde vorm voor onbepaalde duur bewaard worden.</w:t>
      </w:r>
      <w:r w:rsidRPr="00D147A7">
        <w:rPr>
          <w:rFonts w:ascii="Times New Roman" w:hAnsi="Times New Roman" w:cs="Times New Roman"/>
          <w:sz w:val="24"/>
          <w:szCs w:val="24"/>
          <w:vertAlign w:val="superscript"/>
          <w:lang w:val="nl-NL"/>
        </w:rPr>
        <w:footnoteReference w:id="901"/>
      </w:r>
      <w:r w:rsidRPr="00D147A7">
        <w:rPr>
          <w:rFonts w:ascii="Times New Roman" w:hAnsi="Times New Roman" w:cs="Times New Roman"/>
          <w:sz w:val="24"/>
          <w:szCs w:val="24"/>
          <w:lang w:val="nl-NL"/>
        </w:rPr>
        <w:t xml:space="preserve"> Uit geanonimiseerde gegevens kan de identiteit van de betrokken personen immers niet her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leid</w:t>
      </w:r>
      <w:r w:rsidR="00E525B8" w:rsidRPr="00E525B8">
        <w:rPr>
          <w:rFonts w:ascii="Times New Roman" w:hAnsi="Times New Roman" w:cs="Times New Roman"/>
          <w:sz w:val="24"/>
          <w:szCs w:val="24"/>
          <w:lang w:val="nl-NL"/>
        </w:rPr>
        <w:t xml:space="preserve"> </w:t>
      </w:r>
      <w:r w:rsidR="00E525B8" w:rsidRPr="00D147A7">
        <w:rPr>
          <w:rFonts w:ascii="Times New Roman" w:hAnsi="Times New Roman" w:cs="Times New Roman"/>
          <w:sz w:val="24"/>
          <w:szCs w:val="24"/>
          <w:lang w:val="nl-NL"/>
        </w:rPr>
        <w:t>worden</w:t>
      </w:r>
      <w:r w:rsidRPr="00D147A7">
        <w:rPr>
          <w:rFonts w:ascii="Times New Roman" w:hAnsi="Times New Roman" w:cs="Times New Roman"/>
          <w:sz w:val="24"/>
          <w:szCs w:val="24"/>
          <w:lang w:val="nl-NL"/>
        </w:rPr>
        <w:t>, waardoor ze geen bedreiging voor de persoonlijke levenssfeer vormen. De per</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manente bewaring van patiëntendossiers is van belang voor wetenschappelijk onderzoek, al zullen geanonimiseerde gegevens slechts in een beperkt aantal gevallen volstaan om de ge</w:t>
      </w:r>
      <w:r w:rsidR="00E525B8">
        <w:rPr>
          <w:rFonts w:ascii="Times New Roman" w:hAnsi="Times New Roman" w:cs="Times New Roman"/>
          <w:sz w:val="24"/>
          <w:szCs w:val="24"/>
          <w:lang w:val="nl-NL"/>
        </w:rPr>
        <w:t>-</w:t>
      </w:r>
      <w:r w:rsidRPr="00D147A7">
        <w:rPr>
          <w:rFonts w:ascii="Times New Roman" w:hAnsi="Times New Roman" w:cs="Times New Roman"/>
          <w:sz w:val="24"/>
          <w:szCs w:val="24"/>
          <w:lang w:val="nl-NL"/>
        </w:rPr>
        <w:t>wenste resultaten te bereiken.</w:t>
      </w:r>
      <w:r w:rsidRPr="00D147A7">
        <w:rPr>
          <w:rFonts w:ascii="Times New Roman" w:hAnsi="Times New Roman" w:cs="Times New Roman"/>
          <w:sz w:val="24"/>
          <w:szCs w:val="24"/>
          <w:vertAlign w:val="superscript"/>
          <w:lang w:val="nl-NL"/>
        </w:rPr>
        <w:footnoteReference w:id="902"/>
      </w:r>
    </w:p>
    <w:p w:rsidR="00426625" w:rsidRPr="00D147A7" w:rsidRDefault="00426625" w:rsidP="00426625">
      <w:pPr>
        <w:widowControl/>
        <w:suppressAutoHyphens w:val="0"/>
        <w:spacing w:line="240" w:lineRule="atLeast"/>
        <w:jc w:val="both"/>
        <w:rPr>
          <w:b/>
          <w:bCs/>
          <w:smallCaps/>
          <w:kern w:val="0"/>
          <w:lang w:val="nl-NL" w:eastAsia="en-US" w:bidi="ar-SA"/>
        </w:rPr>
      </w:pPr>
    </w:p>
    <w:p w:rsidR="00426625" w:rsidRPr="00D147A7" w:rsidRDefault="00426625" w:rsidP="00426625">
      <w:pPr>
        <w:widowControl/>
        <w:suppressAutoHyphens w:val="0"/>
        <w:spacing w:line="240" w:lineRule="atLeast"/>
        <w:jc w:val="both"/>
        <w:rPr>
          <w:b/>
          <w:bCs/>
          <w:smallCaps/>
          <w:kern w:val="0"/>
          <w:lang w:val="nl-NL" w:eastAsia="en-US" w:bidi="ar-SA"/>
        </w:rPr>
      </w:pPr>
    </w:p>
    <w:p w:rsidR="00426625" w:rsidRPr="00D147A7" w:rsidRDefault="004E22A3" w:rsidP="004E22A3">
      <w:pPr>
        <w:pStyle w:val="Geenafstand"/>
        <w:rPr>
          <w:rFonts w:ascii="Times New Roman" w:hAnsi="Times New Roman" w:cs="Times New Roman"/>
          <w:smallCaps/>
          <w:sz w:val="24"/>
          <w:szCs w:val="24"/>
          <w:lang w:val="nl-NL"/>
        </w:rPr>
      </w:pPr>
      <w:r w:rsidRPr="00D147A7">
        <w:rPr>
          <w:rFonts w:ascii="Times New Roman" w:hAnsi="Times New Roman" w:cs="Times New Roman"/>
          <w:smallCaps/>
          <w:sz w:val="24"/>
          <w:szCs w:val="24"/>
          <w:lang w:val="nl-NL"/>
        </w:rPr>
        <w:t xml:space="preserve">3.3 </w:t>
      </w:r>
      <w:r w:rsidR="00426625" w:rsidRPr="00D147A7">
        <w:rPr>
          <w:rFonts w:ascii="Times New Roman" w:hAnsi="Times New Roman" w:cs="Times New Roman"/>
          <w:smallCaps/>
          <w:sz w:val="24"/>
          <w:szCs w:val="24"/>
          <w:lang w:val="nl-NL"/>
        </w:rPr>
        <w:t>Frankrijk</w:t>
      </w:r>
    </w:p>
    <w:p w:rsidR="00426625" w:rsidRPr="00D147A7" w:rsidRDefault="00426625" w:rsidP="00426625">
      <w:pPr>
        <w:widowControl/>
        <w:suppressAutoHyphens w:val="0"/>
        <w:spacing w:line="240" w:lineRule="atLeast"/>
        <w:jc w:val="both"/>
        <w:rPr>
          <w:b/>
          <w:bCs/>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1: Zorg versus beheer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Uit de </w:t>
      </w:r>
      <w:r w:rsidRPr="00D147A7">
        <w:rPr>
          <w:i/>
          <w:kern w:val="0"/>
          <w:lang w:val="nl-NL" w:eastAsia="en-US" w:bidi="ar-SA"/>
        </w:rPr>
        <w:t>code de santé publique</w:t>
      </w:r>
      <w:r w:rsidRPr="00D147A7">
        <w:rPr>
          <w:kern w:val="0"/>
          <w:lang w:val="nl-NL" w:eastAsia="en-US" w:bidi="ar-SA"/>
        </w:rPr>
        <w:t xml:space="preserve"> blijkt dat huisartsen, net als in België en Nederland, verant</w:t>
      </w:r>
      <w:r w:rsidR="00E525B8">
        <w:rPr>
          <w:kern w:val="0"/>
          <w:lang w:val="nl-NL" w:eastAsia="en-US" w:bidi="ar-SA"/>
        </w:rPr>
        <w:t>-</w:t>
      </w:r>
      <w:r w:rsidRPr="00D147A7">
        <w:rPr>
          <w:kern w:val="0"/>
          <w:lang w:val="nl-NL" w:eastAsia="en-US" w:bidi="ar-SA"/>
        </w:rPr>
        <w:t>woordelijk zijn voor de bewaring van de door hen gevormde patiëntendossiers.</w:t>
      </w:r>
      <w:r w:rsidRPr="00D147A7">
        <w:rPr>
          <w:kern w:val="0"/>
          <w:vertAlign w:val="superscript"/>
          <w:lang w:val="nl-NL" w:eastAsia="en-US" w:bidi="ar-SA"/>
        </w:rPr>
        <w:footnoteReference w:id="903"/>
      </w:r>
      <w:r w:rsidRPr="00D147A7">
        <w:rPr>
          <w:kern w:val="0"/>
          <w:lang w:val="nl-NL" w:eastAsia="en-US" w:bidi="ar-SA"/>
        </w:rPr>
        <w:t xml:space="preserve"> Bij hen be</w:t>
      </w:r>
      <w:r w:rsidR="00E525B8">
        <w:rPr>
          <w:kern w:val="0"/>
          <w:lang w:val="nl-NL" w:eastAsia="en-US" w:bidi="ar-SA"/>
        </w:rPr>
        <w:t>-</w:t>
      </w:r>
      <w:r w:rsidRPr="00D147A7">
        <w:rPr>
          <w:kern w:val="0"/>
          <w:lang w:val="nl-NL" w:eastAsia="en-US" w:bidi="ar-SA"/>
        </w:rPr>
        <w:t xml:space="preserve">rust dus de archiefzorg en het archiefbeheer.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In publiek- of privaatrechtelijke verzorgingsinstellingen berust de verantwoordelijkheid voor de archiefzorg bij de directeur van de instelling</w:t>
      </w:r>
      <w:r w:rsidRPr="00D147A7">
        <w:rPr>
          <w:kern w:val="0"/>
          <w:vertAlign w:val="superscript"/>
          <w:lang w:val="nl-NL" w:eastAsia="en-US" w:bidi="ar-SA"/>
        </w:rPr>
        <w:footnoteReference w:id="904"/>
      </w:r>
      <w:r w:rsidRPr="00D147A7">
        <w:rPr>
          <w:kern w:val="0"/>
          <w:lang w:val="nl-NL" w:eastAsia="en-US" w:bidi="ar-SA"/>
        </w:rPr>
        <w:t>, i.e. de ‘verantwoordelijke’ voor de ver</w:t>
      </w:r>
      <w:r w:rsidR="00E525B8">
        <w:rPr>
          <w:kern w:val="0"/>
          <w:lang w:val="nl-NL" w:eastAsia="en-US" w:bidi="ar-SA"/>
        </w:rPr>
        <w:t>-</w:t>
      </w:r>
      <w:r w:rsidRPr="00D147A7">
        <w:rPr>
          <w:kern w:val="0"/>
          <w:lang w:val="nl-NL" w:eastAsia="en-US" w:bidi="ar-SA"/>
        </w:rPr>
        <w:lastRenderedPageBreak/>
        <w:t>werking van persoonsgegevens.</w:t>
      </w:r>
      <w:r w:rsidRPr="00D147A7">
        <w:rPr>
          <w:kern w:val="0"/>
          <w:vertAlign w:val="superscript"/>
          <w:lang w:val="nl-NL" w:eastAsia="en-US" w:bidi="ar-SA"/>
        </w:rPr>
        <w:footnoteReference w:id="905"/>
      </w:r>
      <w:r w:rsidRPr="00D147A7">
        <w:rPr>
          <w:kern w:val="0"/>
          <w:lang w:val="nl-NL" w:eastAsia="en-US" w:bidi="ar-SA"/>
        </w:rPr>
        <w:t xml:space="preserve"> Aangezien het verlies of de beschadiging van een (deel van een) patiëntendossier – wegens een gebrekkige organisatie en werking van de archiefdienst – tot de veroordeling van de verzorgingsinstelling kan leiden</w:t>
      </w:r>
      <w:r w:rsidRPr="00D147A7">
        <w:rPr>
          <w:kern w:val="0"/>
          <w:vertAlign w:val="superscript"/>
          <w:lang w:val="nl-NL" w:eastAsia="en-US" w:bidi="ar-SA"/>
        </w:rPr>
        <w:footnoteReference w:id="906"/>
      </w:r>
      <w:r w:rsidRPr="00D147A7">
        <w:rPr>
          <w:kern w:val="0"/>
          <w:lang w:val="nl-NL" w:eastAsia="en-US" w:bidi="ar-SA"/>
        </w:rPr>
        <w:t>, staat de directeur in voor de or</w:t>
      </w:r>
      <w:r w:rsidR="00E525B8">
        <w:rPr>
          <w:kern w:val="0"/>
          <w:lang w:val="nl-NL" w:eastAsia="en-US" w:bidi="ar-SA"/>
        </w:rPr>
        <w:t>-</w:t>
      </w:r>
      <w:r w:rsidRPr="00D147A7">
        <w:rPr>
          <w:kern w:val="0"/>
          <w:lang w:val="nl-NL" w:eastAsia="en-US" w:bidi="ar-SA"/>
        </w:rPr>
        <w:t>ganisatie van de goede en veilige bewaring van de (medische) archieven in zijn instelling.</w:t>
      </w:r>
      <w:r w:rsidRPr="00D147A7">
        <w:rPr>
          <w:kern w:val="0"/>
          <w:vertAlign w:val="superscript"/>
          <w:lang w:val="nl-NL" w:eastAsia="en-US" w:bidi="ar-SA"/>
        </w:rPr>
        <w:footnoteReference w:id="907"/>
      </w:r>
      <w:r w:rsidRPr="00D147A7">
        <w:rPr>
          <w:kern w:val="0"/>
          <w:lang w:val="nl-NL" w:eastAsia="en-US" w:bidi="ar-SA"/>
        </w:rPr>
        <w:t xml:space="preserve"> Hij moet daartoe preventieve maatregelen treffen </w:t>
      </w:r>
      <w:r w:rsidR="00E525B8">
        <w:rPr>
          <w:kern w:val="0"/>
          <w:lang w:val="nl-NL" w:eastAsia="en-US" w:bidi="ar-SA"/>
        </w:rPr>
        <w:t>om</w:t>
      </w:r>
      <w:r w:rsidRPr="00D147A7">
        <w:rPr>
          <w:kern w:val="0"/>
          <w:lang w:val="nl-NL" w:eastAsia="en-US" w:bidi="ar-SA"/>
        </w:rPr>
        <w:t xml:space="preserve"> de beschadiging en vernietiging van ar</w:t>
      </w:r>
      <w:r w:rsidR="00E525B8">
        <w:rPr>
          <w:kern w:val="0"/>
          <w:lang w:val="nl-NL" w:eastAsia="en-US" w:bidi="ar-SA"/>
        </w:rPr>
        <w:t>-</w:t>
      </w:r>
      <w:r w:rsidRPr="00D147A7">
        <w:rPr>
          <w:kern w:val="0"/>
          <w:lang w:val="nl-NL" w:eastAsia="en-US" w:bidi="ar-SA"/>
        </w:rPr>
        <w:t>chiefbescheiden in de loop van hun bewaartermijn tot een minimum herleiden. Omdat sluiten</w:t>
      </w:r>
      <w:r w:rsidR="00E525B8">
        <w:rPr>
          <w:kern w:val="0"/>
          <w:lang w:val="nl-NL" w:eastAsia="en-US" w:bidi="ar-SA"/>
        </w:rPr>
        <w:t>-</w:t>
      </w:r>
      <w:r w:rsidRPr="00D147A7">
        <w:rPr>
          <w:kern w:val="0"/>
          <w:lang w:val="nl-NL" w:eastAsia="en-US" w:bidi="ar-SA"/>
        </w:rPr>
        <w:t>de regelingen die tegen alle mogelijke bedreigingen bestand zijn jammer genoeg niet bestaan, zijn directeurs wettelijk verplicht om een verzekering af te sluiten die alle mogelijke bewaarri</w:t>
      </w:r>
      <w:r w:rsidR="00E525B8">
        <w:rPr>
          <w:kern w:val="0"/>
          <w:lang w:val="nl-NL" w:eastAsia="en-US" w:bidi="ar-SA"/>
        </w:rPr>
        <w:t>-</w:t>
      </w:r>
      <w:r w:rsidRPr="00D147A7">
        <w:rPr>
          <w:kern w:val="0"/>
          <w:lang w:val="nl-NL" w:eastAsia="en-US" w:bidi="ar-SA"/>
        </w:rPr>
        <w:t>sico’s dekken.</w:t>
      </w:r>
      <w:r w:rsidRPr="00D147A7">
        <w:rPr>
          <w:kern w:val="0"/>
          <w:vertAlign w:val="superscript"/>
          <w:lang w:val="nl-NL" w:eastAsia="en-US" w:bidi="ar-SA"/>
        </w:rPr>
        <w:footnoteReference w:id="908"/>
      </w:r>
      <w:r w:rsidRPr="00D147A7">
        <w:rPr>
          <w:kern w:val="0"/>
          <w:lang w:val="nl-NL" w:eastAsia="en-US" w:bidi="ar-SA"/>
        </w:rPr>
        <w:t xml:space="preserve"> Verder moeten directeurs gespecialiseerde en goed opgeleide archivarissen en archiefmedewerkers aanstellen</w:t>
      </w:r>
      <w:r w:rsidRPr="00D147A7">
        <w:rPr>
          <w:kern w:val="0"/>
          <w:vertAlign w:val="superscript"/>
          <w:lang w:val="nl-NL" w:eastAsia="en-US" w:bidi="ar-SA"/>
        </w:rPr>
        <w:footnoteReference w:id="909"/>
      </w:r>
      <w:r w:rsidRPr="00D147A7">
        <w:rPr>
          <w:kern w:val="0"/>
          <w:lang w:val="nl-NL" w:eastAsia="en-US" w:bidi="ar-SA"/>
        </w:rPr>
        <w:t xml:space="preserve"> en moet de toegang tot de medische archieven zo goed mogelijk beschermd</w:t>
      </w:r>
      <w:r w:rsidR="00DF2357">
        <w:rPr>
          <w:kern w:val="0"/>
          <w:lang w:val="nl-NL" w:eastAsia="en-US" w:bidi="ar-SA"/>
        </w:rPr>
        <w:t xml:space="preserve"> worden</w:t>
      </w:r>
      <w:r w:rsidRPr="00D147A7">
        <w:rPr>
          <w:kern w:val="0"/>
          <w:lang w:val="nl-NL" w:eastAsia="en-US" w:bidi="ar-SA"/>
        </w:rPr>
        <w:t>, teneinde de vertrouwelijkheid van de patiëntendossiers te garan</w:t>
      </w:r>
      <w:r w:rsidR="00DF2357">
        <w:rPr>
          <w:kern w:val="0"/>
          <w:lang w:val="nl-NL" w:eastAsia="en-US" w:bidi="ar-SA"/>
        </w:rPr>
        <w:t>-</w:t>
      </w:r>
      <w:r w:rsidRPr="00D147A7">
        <w:rPr>
          <w:kern w:val="0"/>
          <w:lang w:val="nl-NL" w:eastAsia="en-US" w:bidi="ar-SA"/>
        </w:rPr>
        <w:t>deren.</w:t>
      </w:r>
      <w:r w:rsidRPr="00D147A7">
        <w:rPr>
          <w:kern w:val="0"/>
          <w:vertAlign w:val="superscript"/>
          <w:lang w:val="nl-NL" w:eastAsia="en-US" w:bidi="ar-SA"/>
        </w:rPr>
        <w:footnoteReference w:id="910"/>
      </w:r>
      <w:r w:rsidRPr="00D147A7">
        <w:rPr>
          <w:kern w:val="0"/>
          <w:lang w:val="nl-NL" w:eastAsia="en-US" w:bidi="ar-SA"/>
        </w:rPr>
        <w:t xml:space="preserve"> Bij elke directiewissel – een directeur wordt voor drie tot zes jaar</w:t>
      </w:r>
      <w:r w:rsidR="00DF2357" w:rsidRPr="00DF2357">
        <w:rPr>
          <w:kern w:val="0"/>
          <w:lang w:val="nl-NL" w:eastAsia="en-US" w:bidi="ar-SA"/>
        </w:rPr>
        <w:t xml:space="preserve"> </w:t>
      </w:r>
      <w:r w:rsidR="00DF2357">
        <w:rPr>
          <w:kern w:val="0"/>
          <w:lang w:val="nl-NL" w:eastAsia="en-US" w:bidi="ar-SA"/>
        </w:rPr>
        <w:t>benoemd</w:t>
      </w:r>
      <w:r w:rsidRPr="00D147A7">
        <w:rPr>
          <w:kern w:val="0"/>
          <w:vertAlign w:val="superscript"/>
          <w:lang w:val="nl-NL" w:eastAsia="en-US" w:bidi="ar-SA"/>
        </w:rPr>
        <w:footnoteReference w:id="911"/>
      </w:r>
      <w:r w:rsidRPr="00D147A7">
        <w:rPr>
          <w:kern w:val="0"/>
          <w:lang w:val="nl-NL" w:eastAsia="en-US" w:bidi="ar-SA"/>
        </w:rPr>
        <w:t xml:space="preserve"> – wordt de uittredende directeur van zijn verantwoordelijkheden en taken (inclusief de archief</w:t>
      </w:r>
      <w:r w:rsidR="00DF2357">
        <w:rPr>
          <w:kern w:val="0"/>
          <w:lang w:val="nl-NL" w:eastAsia="en-US" w:bidi="ar-SA"/>
        </w:rPr>
        <w:t>-</w:t>
      </w:r>
      <w:r w:rsidRPr="00D147A7">
        <w:rPr>
          <w:kern w:val="0"/>
          <w:lang w:val="nl-NL" w:eastAsia="en-US" w:bidi="ar-SA"/>
        </w:rPr>
        <w:t>zorg) ontlast. Deze worden, aan de hand van een officiële akte, formeel aan zijn opvolger overgedragen. De akte – waarvoor de departementale archiefdienst een model kan aanrei</w:t>
      </w:r>
      <w:r w:rsidR="00DF2357">
        <w:rPr>
          <w:kern w:val="0"/>
          <w:lang w:val="nl-NL" w:eastAsia="en-US" w:bidi="ar-SA"/>
        </w:rPr>
        <w:t>-</w:t>
      </w:r>
      <w:r w:rsidRPr="00D147A7">
        <w:rPr>
          <w:kern w:val="0"/>
          <w:lang w:val="nl-NL" w:eastAsia="en-US" w:bidi="ar-SA"/>
        </w:rPr>
        <w:t>ken</w:t>
      </w:r>
      <w:r w:rsidRPr="00D147A7">
        <w:rPr>
          <w:kern w:val="0"/>
          <w:vertAlign w:val="superscript"/>
          <w:lang w:val="nl-NL" w:eastAsia="en-US" w:bidi="ar-SA"/>
        </w:rPr>
        <w:footnoteReference w:id="912"/>
      </w:r>
      <w:r w:rsidRPr="00D147A7">
        <w:rPr>
          <w:kern w:val="0"/>
          <w:lang w:val="nl-NL" w:eastAsia="en-US" w:bidi="ar-SA"/>
        </w:rPr>
        <w:t xml:space="preserve"> – wordt in drievoud opgesteld en moet door zowel de oude als de nieuwe directeur on</w:t>
      </w:r>
      <w:r w:rsidR="00DF2357">
        <w:rPr>
          <w:kern w:val="0"/>
          <w:lang w:val="nl-NL" w:eastAsia="en-US" w:bidi="ar-SA"/>
        </w:rPr>
        <w:t>-</w:t>
      </w:r>
      <w:r w:rsidRPr="00D147A7">
        <w:rPr>
          <w:kern w:val="0"/>
          <w:lang w:val="nl-NL" w:eastAsia="en-US" w:bidi="ar-SA"/>
        </w:rPr>
        <w:t>dertekend worden.</w:t>
      </w:r>
      <w:r w:rsidRPr="00D147A7">
        <w:rPr>
          <w:kern w:val="0"/>
          <w:lang w:eastAsia="en-US" w:bidi="ar-SA"/>
        </w:rPr>
        <w:t xml:space="preserve"> </w:t>
      </w:r>
      <w:r w:rsidRPr="00D147A7">
        <w:rPr>
          <w:kern w:val="0"/>
          <w:lang w:val="nl-NL" w:eastAsia="en-US" w:bidi="ar-SA"/>
        </w:rPr>
        <w:t>De uittredende directeur, de departementale archiefdienst en de verzorg</w:t>
      </w:r>
      <w:r w:rsidR="00DF2357">
        <w:rPr>
          <w:kern w:val="0"/>
          <w:lang w:val="nl-NL" w:eastAsia="en-US" w:bidi="ar-SA"/>
        </w:rPr>
        <w:t>-</w:t>
      </w:r>
      <w:r w:rsidRPr="00D147A7">
        <w:rPr>
          <w:kern w:val="0"/>
          <w:lang w:val="nl-NL" w:eastAsia="en-US" w:bidi="ar-SA"/>
        </w:rPr>
        <w:t>ingsinstelling krijgen elk</w:t>
      </w:r>
      <w:r w:rsidR="00DF2357" w:rsidRPr="00DF2357">
        <w:rPr>
          <w:kern w:val="0"/>
          <w:lang w:val="nl-NL" w:eastAsia="en-US" w:bidi="ar-SA"/>
        </w:rPr>
        <w:t xml:space="preserve"> </w:t>
      </w:r>
      <w:r w:rsidR="00DF2357" w:rsidRPr="00D147A7">
        <w:rPr>
          <w:kern w:val="0"/>
          <w:lang w:val="nl-NL" w:eastAsia="en-US" w:bidi="ar-SA"/>
        </w:rPr>
        <w:t>een exemplaar van deze akte</w:t>
      </w:r>
      <w:r w:rsidRPr="00D147A7">
        <w:rPr>
          <w:kern w:val="0"/>
          <w:lang w:val="nl-NL" w:eastAsia="en-US" w:bidi="ar-SA"/>
        </w:rPr>
        <w:t>, samen met een geactualiseerde staat en een inventa</w:t>
      </w:r>
      <w:r w:rsidR="00DF2357">
        <w:rPr>
          <w:kern w:val="0"/>
          <w:lang w:val="nl-NL" w:eastAsia="en-US" w:bidi="ar-SA"/>
        </w:rPr>
        <w:t>ris van de instellingsarchieven</w:t>
      </w:r>
      <w:r w:rsidRPr="00D147A7">
        <w:rPr>
          <w:kern w:val="0"/>
          <w:lang w:val="nl-NL" w:eastAsia="en-US" w:bidi="ar-SA"/>
        </w:rPr>
        <w:t>.</w:t>
      </w:r>
      <w:r w:rsidRPr="00D147A7">
        <w:rPr>
          <w:kern w:val="0"/>
          <w:vertAlign w:val="superscript"/>
          <w:lang w:val="nl-NL" w:eastAsia="en-US" w:bidi="ar-SA"/>
        </w:rPr>
        <w:footnoteReference w:id="913"/>
      </w:r>
      <w:r w:rsidR="00DF235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In Frankrijk moeten directeurs van verzorgingsinstellingen een geneesheer aanstellen die ver</w:t>
      </w:r>
      <w:r w:rsidR="00DF2357">
        <w:rPr>
          <w:kern w:val="0"/>
          <w:lang w:val="nl-NL" w:eastAsia="en-US" w:bidi="ar-SA"/>
        </w:rPr>
        <w:t>-</w:t>
      </w:r>
      <w:r w:rsidRPr="00D147A7">
        <w:rPr>
          <w:kern w:val="0"/>
          <w:lang w:val="nl-NL" w:eastAsia="en-US" w:bidi="ar-SA"/>
        </w:rPr>
        <w:t>antwoordelijk gesteld wordt voor de medische informatie.</w:t>
      </w:r>
      <w:r w:rsidRPr="00D147A7">
        <w:rPr>
          <w:kern w:val="0"/>
          <w:vertAlign w:val="superscript"/>
          <w:lang w:val="nl-NL" w:eastAsia="en-US" w:bidi="ar-SA"/>
        </w:rPr>
        <w:footnoteReference w:id="914"/>
      </w:r>
      <w:r w:rsidRPr="00D147A7">
        <w:rPr>
          <w:kern w:val="0"/>
          <w:lang w:val="nl-NL" w:eastAsia="en-US" w:bidi="ar-SA"/>
        </w:rPr>
        <w:t xml:space="preserve"> Die functie is vergelijkbaar met deze van hoofdgeneesheer in België: de verantwoordelijke voor de medische informatie moet over de goede bewaring van de patiëntendossiers waken.</w:t>
      </w:r>
      <w:r w:rsidRPr="00D147A7">
        <w:rPr>
          <w:kern w:val="0"/>
          <w:vertAlign w:val="superscript"/>
          <w:lang w:val="nl-NL" w:eastAsia="en-US" w:bidi="ar-SA"/>
        </w:rPr>
        <w:footnoteReference w:id="915"/>
      </w:r>
      <w:r w:rsidRPr="00D147A7">
        <w:rPr>
          <w:kern w:val="0"/>
          <w:lang w:val="nl-NL" w:eastAsia="en-US" w:bidi="ar-SA"/>
        </w:rPr>
        <w:t xml:space="preserve"> In Frankrijk wordt deze functie </w:t>
      </w:r>
      <w:r w:rsidRPr="00D147A7">
        <w:rPr>
          <w:kern w:val="0"/>
          <w:lang w:val="nl-NL" w:eastAsia="en-US" w:bidi="ar-SA"/>
        </w:rPr>
        <w:lastRenderedPageBreak/>
        <w:t>nog belangrijker bevonden dan in België.</w:t>
      </w:r>
      <w:r w:rsidRPr="00D147A7">
        <w:rPr>
          <w:kern w:val="0"/>
          <w:vertAlign w:val="superscript"/>
          <w:lang w:val="nl-NL" w:eastAsia="en-US" w:bidi="ar-SA"/>
        </w:rPr>
        <w:footnoteReference w:id="916"/>
      </w:r>
      <w:r w:rsidRPr="00D147A7">
        <w:rPr>
          <w:kern w:val="0"/>
          <w:lang w:val="nl-NL" w:eastAsia="en-US" w:bidi="ar-SA"/>
        </w:rPr>
        <w:t xml:space="preserve"> Hoewel het archiefbeheer dus bij deze informa</w:t>
      </w:r>
      <w:r w:rsidR="00DF2357">
        <w:rPr>
          <w:kern w:val="0"/>
          <w:lang w:val="nl-NL" w:eastAsia="en-US" w:bidi="ar-SA"/>
        </w:rPr>
        <w:t>-</w:t>
      </w:r>
      <w:r w:rsidRPr="00D147A7">
        <w:rPr>
          <w:kern w:val="0"/>
          <w:lang w:val="nl-NL" w:eastAsia="en-US" w:bidi="ar-SA"/>
        </w:rPr>
        <w:t>tieverantwoordelijke berust, blijven individuele zorgverleners en archiefmedewerkers verant</w:t>
      </w:r>
      <w:r w:rsidR="00DF2357">
        <w:rPr>
          <w:kern w:val="0"/>
          <w:lang w:val="nl-NL" w:eastAsia="en-US" w:bidi="ar-SA"/>
        </w:rPr>
        <w:t>-</w:t>
      </w:r>
      <w:r w:rsidRPr="00D147A7">
        <w:rPr>
          <w:kern w:val="0"/>
          <w:lang w:val="nl-NL" w:eastAsia="en-US" w:bidi="ar-SA"/>
        </w:rPr>
        <w:t>woordelijk voor de archiefbescheiden die ze in uitoefening van hun functie verwerken.</w:t>
      </w:r>
      <w:r w:rsidRPr="00D147A7">
        <w:rPr>
          <w:kern w:val="0"/>
          <w:vertAlign w:val="superscript"/>
          <w:lang w:val="nl-NL" w:eastAsia="en-US" w:bidi="ar-SA"/>
        </w:rPr>
        <w:footnoteReference w:id="917"/>
      </w:r>
      <w:r w:rsidR="00DF235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Bovendien worden archieven van openbare verzorgingsinstellingen in Frankrijk aan de con</w:t>
      </w:r>
      <w:r w:rsidR="00DF2357">
        <w:rPr>
          <w:kern w:val="0"/>
          <w:lang w:val="nl-NL" w:eastAsia="en-US" w:bidi="ar-SA"/>
        </w:rPr>
        <w:t>-</w:t>
      </w:r>
      <w:r w:rsidRPr="00D147A7">
        <w:rPr>
          <w:kern w:val="0"/>
          <w:lang w:val="nl-NL" w:eastAsia="en-US" w:bidi="ar-SA"/>
        </w:rPr>
        <w:t xml:space="preserve">trole van de afgevaardigde van de minister van cultuur, zijnde de directeur van de </w:t>
      </w:r>
      <w:r w:rsidRPr="00D147A7">
        <w:rPr>
          <w:i/>
          <w:kern w:val="0"/>
          <w:lang w:val="nl-NL" w:eastAsia="en-US" w:bidi="ar-SA"/>
        </w:rPr>
        <w:t>Archives de France</w:t>
      </w:r>
      <w:r w:rsidRPr="00D147A7">
        <w:rPr>
          <w:kern w:val="0"/>
          <w:lang w:val="nl-NL" w:eastAsia="en-US" w:bidi="ar-SA"/>
        </w:rPr>
        <w:t>, onderworpen.</w:t>
      </w:r>
      <w:r w:rsidRPr="00D147A7">
        <w:rPr>
          <w:kern w:val="0"/>
          <w:vertAlign w:val="superscript"/>
          <w:lang w:val="nl-NL" w:eastAsia="en-US" w:bidi="ar-SA"/>
        </w:rPr>
        <w:footnoteReference w:id="918"/>
      </w:r>
      <w:r w:rsidRPr="00D147A7">
        <w:rPr>
          <w:kern w:val="0"/>
          <w:lang w:val="nl-NL" w:eastAsia="en-US" w:bidi="ar-SA"/>
        </w:rPr>
        <w:t xml:space="preserve"> Deze laatste delegeert dit t</w:t>
      </w:r>
      <w:r w:rsidR="00DF2357">
        <w:rPr>
          <w:kern w:val="0"/>
          <w:lang w:val="nl-NL" w:eastAsia="en-US" w:bidi="ar-SA"/>
        </w:rPr>
        <w:t>oezicht aan de directeur</w:t>
      </w:r>
      <w:r w:rsidRPr="00D147A7">
        <w:rPr>
          <w:kern w:val="0"/>
          <w:lang w:val="nl-NL" w:eastAsia="en-US" w:bidi="ar-SA"/>
        </w:rPr>
        <w:t xml:space="preserve"> van de </w:t>
      </w:r>
      <w:r w:rsidR="00DF2357">
        <w:rPr>
          <w:kern w:val="0"/>
          <w:lang w:val="nl-NL" w:eastAsia="en-US" w:bidi="ar-SA"/>
        </w:rPr>
        <w:t xml:space="preserve">bevoegde </w:t>
      </w:r>
      <w:r w:rsidRPr="00D147A7">
        <w:rPr>
          <w:kern w:val="0"/>
          <w:lang w:val="nl-NL" w:eastAsia="en-US" w:bidi="ar-SA"/>
        </w:rPr>
        <w:t>departemen</w:t>
      </w:r>
      <w:r w:rsidR="00DF2357">
        <w:rPr>
          <w:kern w:val="0"/>
          <w:lang w:val="nl-NL" w:eastAsia="en-US" w:bidi="ar-SA"/>
        </w:rPr>
        <w:t>tale archiefdienst</w:t>
      </w:r>
      <w:r w:rsidRPr="00D147A7">
        <w:rPr>
          <w:kern w:val="0"/>
          <w:lang w:val="nl-NL" w:eastAsia="en-US" w:bidi="ar-SA"/>
        </w:rPr>
        <w:t>.</w:t>
      </w:r>
      <w:r w:rsidRPr="00D147A7">
        <w:rPr>
          <w:kern w:val="0"/>
          <w:vertAlign w:val="superscript"/>
          <w:lang w:val="nl-NL" w:eastAsia="en-US" w:bidi="ar-SA"/>
        </w:rPr>
        <w:footnoteReference w:id="919"/>
      </w:r>
      <w:r w:rsidRPr="00D147A7">
        <w:rPr>
          <w:kern w:val="0"/>
          <w:lang w:val="nl-NL" w:eastAsia="en-US" w:bidi="ar-SA"/>
        </w:rPr>
        <w:t xml:space="preserve"> Naast de organisatie van deze inspectie hebben de directeurs van de departementale archiefdiensten bovendien ook een ondersteunende functie bij de orga</w:t>
      </w:r>
      <w:r w:rsidR="00DF2357">
        <w:rPr>
          <w:kern w:val="0"/>
          <w:lang w:val="nl-NL" w:eastAsia="en-US" w:bidi="ar-SA"/>
        </w:rPr>
        <w:t>-</w:t>
      </w:r>
      <w:r w:rsidRPr="00D147A7">
        <w:rPr>
          <w:kern w:val="0"/>
          <w:lang w:val="nl-NL" w:eastAsia="en-US" w:bidi="ar-SA"/>
        </w:rPr>
        <w:t>nisatie en het beheer van de administratieve archieven van de openbare ziekenhuizen in hun district.</w:t>
      </w:r>
      <w:r w:rsidRPr="00D147A7">
        <w:rPr>
          <w:kern w:val="0"/>
          <w:vertAlign w:val="superscript"/>
          <w:lang w:val="nl-NL" w:eastAsia="en-US" w:bidi="ar-SA"/>
        </w:rPr>
        <w:footnoteReference w:id="920"/>
      </w:r>
    </w:p>
    <w:p w:rsidR="00426625" w:rsidRPr="00D147A7" w:rsidRDefault="00426625" w:rsidP="00426625">
      <w:pPr>
        <w:widowControl/>
        <w:suppressAutoHyphens w:val="0"/>
        <w:spacing w:line="240" w:lineRule="atLeast"/>
        <w:jc w:val="both"/>
        <w:rPr>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2: Bewaarplaats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Wat de verzorgingsinstellingen betreft, is de Franse wetgever altijd zeer duidelijk geweest over de bewaarplaats van patiëntendossiers. Privaatrechtelijke verzorgingsinstellingen moeten hun archieven expliciet </w:t>
      </w:r>
      <w:r w:rsidRPr="00D147A7">
        <w:rPr>
          <w:i/>
          <w:kern w:val="0"/>
          <w:lang w:val="nl-NL" w:eastAsia="en-US" w:bidi="ar-SA"/>
        </w:rPr>
        <w:t xml:space="preserve">intra muros </w:t>
      </w:r>
      <w:r w:rsidRPr="00D147A7">
        <w:rPr>
          <w:kern w:val="0"/>
          <w:lang w:val="nl-NL" w:eastAsia="en-US" w:bidi="ar-SA"/>
        </w:rPr>
        <w:t>bewaren.</w:t>
      </w:r>
      <w:r w:rsidRPr="00D147A7">
        <w:rPr>
          <w:kern w:val="0"/>
          <w:vertAlign w:val="superscript"/>
          <w:lang w:val="nl-NL" w:eastAsia="en-US" w:bidi="ar-SA"/>
        </w:rPr>
        <w:footnoteReference w:id="921"/>
      </w:r>
      <w:r w:rsidRPr="00D147A7">
        <w:rPr>
          <w:kern w:val="0"/>
          <w:lang w:val="nl-NL" w:eastAsia="en-US" w:bidi="ar-SA"/>
        </w:rPr>
        <w:t xml:space="preserve"> D</w:t>
      </w:r>
      <w:r w:rsidR="00DF2357">
        <w:rPr>
          <w:kern w:val="0"/>
          <w:lang w:val="nl-NL" w:eastAsia="en-US" w:bidi="ar-SA"/>
        </w:rPr>
        <w:t>a</w:t>
      </w:r>
      <w:r w:rsidRPr="00D147A7">
        <w:rPr>
          <w:kern w:val="0"/>
          <w:lang w:val="nl-NL" w:eastAsia="en-US" w:bidi="ar-SA"/>
        </w:rPr>
        <w:t>t is altijd het geval geweest. Wat de be</w:t>
      </w:r>
      <w:r w:rsidR="00DF2357">
        <w:rPr>
          <w:kern w:val="0"/>
          <w:lang w:val="nl-NL" w:eastAsia="en-US" w:bidi="ar-SA"/>
        </w:rPr>
        <w:t>-</w:t>
      </w:r>
      <w:r w:rsidRPr="00D147A7">
        <w:rPr>
          <w:kern w:val="0"/>
          <w:lang w:val="nl-NL" w:eastAsia="en-US" w:bidi="ar-SA"/>
        </w:rPr>
        <w:t>waarplaats van archieven van openbare verzorgingsinstellingen betreft, is daarentegen wel een zekere evolutie te bespeuren.</w:t>
      </w:r>
      <w:r w:rsidRPr="00D147A7">
        <w:rPr>
          <w:kern w:val="0"/>
          <w:vertAlign w:val="superscript"/>
          <w:lang w:val="nl-NL" w:eastAsia="en-US" w:bidi="ar-SA"/>
        </w:rPr>
        <w:footnoteReference w:id="922"/>
      </w:r>
      <w:r w:rsidRPr="00D147A7">
        <w:rPr>
          <w:kern w:val="0"/>
          <w:lang w:val="nl-NL" w:eastAsia="en-US" w:bidi="ar-SA"/>
        </w:rPr>
        <w:t xml:space="preserve"> De eerste Franse archiefwet bood reeds de mogelijkheid om openbare archieven buitenshuis te bewaren. Terwijl dynamische archiefbescheiden wel nog in de archiefvormende instelling bewaard moeten worden, konden semi-dynamische en statische bescheiden ook in de depots van de </w:t>
      </w:r>
      <w:r w:rsidRPr="00D147A7">
        <w:rPr>
          <w:i/>
          <w:kern w:val="0"/>
          <w:lang w:val="nl-NL" w:eastAsia="en-US" w:bidi="ar-SA"/>
        </w:rPr>
        <w:t xml:space="preserve">Direction des Archives de France </w:t>
      </w:r>
      <w:r w:rsidRPr="00D147A7">
        <w:rPr>
          <w:kern w:val="0"/>
          <w:lang w:val="nl-NL" w:eastAsia="en-US" w:bidi="ar-SA"/>
        </w:rPr>
        <w:t>ondergebracht</w:t>
      </w:r>
      <w:r w:rsidR="00DF2357" w:rsidRPr="00DF2357">
        <w:rPr>
          <w:kern w:val="0"/>
          <w:lang w:val="nl-NL" w:eastAsia="en-US" w:bidi="ar-SA"/>
        </w:rPr>
        <w:t xml:space="preserve"> </w:t>
      </w:r>
      <w:r w:rsidR="00DF2357" w:rsidRPr="00D147A7">
        <w:rPr>
          <w:kern w:val="0"/>
          <w:lang w:val="nl-NL" w:eastAsia="en-US" w:bidi="ar-SA"/>
        </w:rPr>
        <w:t>wor</w:t>
      </w:r>
      <w:r w:rsidR="00DF2357">
        <w:rPr>
          <w:kern w:val="0"/>
          <w:lang w:val="nl-NL" w:eastAsia="en-US" w:bidi="ar-SA"/>
        </w:rPr>
        <w:t>-</w:t>
      </w:r>
      <w:r w:rsidR="00DF2357" w:rsidRPr="00D147A7">
        <w:rPr>
          <w:kern w:val="0"/>
          <w:lang w:val="nl-NL" w:eastAsia="en-US" w:bidi="ar-SA"/>
        </w:rPr>
        <w:t>den</w:t>
      </w:r>
      <w:r w:rsidRPr="00D147A7">
        <w:rPr>
          <w:kern w:val="0"/>
          <w:lang w:val="nl-NL" w:eastAsia="en-US" w:bidi="ar-SA"/>
        </w:rPr>
        <w:t>.</w:t>
      </w:r>
      <w:r w:rsidRPr="00D147A7">
        <w:rPr>
          <w:kern w:val="0"/>
          <w:vertAlign w:val="superscript"/>
          <w:lang w:val="nl-NL" w:eastAsia="en-US" w:bidi="ar-SA"/>
        </w:rPr>
        <w:footnoteReference w:id="923"/>
      </w:r>
      <w:r w:rsidRPr="00D147A7">
        <w:rPr>
          <w:kern w:val="0"/>
          <w:lang w:val="nl-NL" w:eastAsia="en-US" w:bidi="ar-SA"/>
        </w:rPr>
        <w:t xml:space="preserve"> In de regel gold deze mogelijkheid evenwel niet voor medische archieven van open</w:t>
      </w:r>
      <w:r w:rsidR="00DF2357">
        <w:rPr>
          <w:kern w:val="0"/>
          <w:lang w:val="nl-NL" w:eastAsia="en-US" w:bidi="ar-SA"/>
        </w:rPr>
        <w:t>-</w:t>
      </w:r>
      <w:r w:rsidRPr="00D147A7">
        <w:rPr>
          <w:kern w:val="0"/>
          <w:lang w:val="nl-NL" w:eastAsia="en-US" w:bidi="ar-SA"/>
        </w:rPr>
        <w:t>bare verzorgingsinstellingen.</w:t>
      </w:r>
      <w:r w:rsidRPr="00D147A7">
        <w:rPr>
          <w:kern w:val="0"/>
          <w:vertAlign w:val="superscript"/>
          <w:lang w:val="nl-NL" w:eastAsia="en-US" w:bidi="ar-SA"/>
        </w:rPr>
        <w:footnoteReference w:id="924"/>
      </w:r>
      <w:r w:rsidRPr="00D147A7">
        <w:rPr>
          <w:kern w:val="0"/>
          <w:lang w:val="nl-NL" w:eastAsia="en-US" w:bidi="ar-SA"/>
        </w:rPr>
        <w:t xml:space="preserve"> Dit verbod kon </w:t>
      </w:r>
      <w:r w:rsidR="00DF2357">
        <w:rPr>
          <w:kern w:val="0"/>
          <w:lang w:val="nl-NL" w:eastAsia="en-US" w:bidi="ar-SA"/>
        </w:rPr>
        <w:t xml:space="preserve">enkel </w:t>
      </w:r>
      <w:r w:rsidR="00DF2357" w:rsidRPr="00D147A7">
        <w:rPr>
          <w:kern w:val="0"/>
          <w:lang w:val="nl-NL" w:eastAsia="en-US" w:bidi="ar-SA"/>
        </w:rPr>
        <w:t xml:space="preserve">na positief advies van de </w:t>
      </w:r>
      <w:r w:rsidR="00DF2357" w:rsidRPr="00D147A7">
        <w:rPr>
          <w:i/>
          <w:kern w:val="0"/>
          <w:lang w:val="nl-NL" w:eastAsia="en-US" w:bidi="ar-SA"/>
        </w:rPr>
        <w:t>Direction des Archives de France</w:t>
      </w:r>
      <w:r w:rsidR="00DF2357" w:rsidRPr="00D147A7">
        <w:rPr>
          <w:kern w:val="0"/>
          <w:lang w:val="nl-NL" w:eastAsia="en-US" w:bidi="ar-SA"/>
        </w:rPr>
        <w:t xml:space="preserve"> </w:t>
      </w:r>
      <w:r w:rsidRPr="00D147A7">
        <w:rPr>
          <w:kern w:val="0"/>
          <w:lang w:val="nl-NL" w:eastAsia="en-US" w:bidi="ar-SA"/>
        </w:rPr>
        <w:t xml:space="preserve">(tijdelijk) buiten werking </w:t>
      </w:r>
      <w:r w:rsidR="00DF2357" w:rsidRPr="00D147A7">
        <w:rPr>
          <w:kern w:val="0"/>
          <w:lang w:val="nl-NL" w:eastAsia="en-US" w:bidi="ar-SA"/>
        </w:rPr>
        <w:t xml:space="preserve">worden gesteld </w:t>
      </w:r>
      <w:r w:rsidR="00DF2357">
        <w:rPr>
          <w:kern w:val="0"/>
          <w:lang w:val="nl-NL" w:eastAsia="en-US" w:bidi="ar-SA"/>
        </w:rPr>
        <w:t>wanneer</w:t>
      </w:r>
      <w:r w:rsidRPr="00D147A7">
        <w:rPr>
          <w:kern w:val="0"/>
          <w:lang w:val="nl-NL" w:eastAsia="en-US" w:bidi="ar-SA"/>
        </w:rPr>
        <w:t xml:space="preserve"> een openbare verzor</w:t>
      </w:r>
      <w:r w:rsidR="00DF2357">
        <w:rPr>
          <w:kern w:val="0"/>
          <w:lang w:val="nl-NL" w:eastAsia="en-US" w:bidi="ar-SA"/>
        </w:rPr>
        <w:t>-</w:t>
      </w:r>
      <w:r w:rsidRPr="00D147A7">
        <w:rPr>
          <w:kern w:val="0"/>
          <w:lang w:val="nl-NL" w:eastAsia="en-US" w:bidi="ar-SA"/>
        </w:rPr>
        <w:t>gingsinstelling verbouwingswerken uitvoerde.</w:t>
      </w:r>
      <w:r w:rsidRPr="00D147A7">
        <w:rPr>
          <w:kern w:val="0"/>
          <w:vertAlign w:val="superscript"/>
          <w:lang w:val="nl-NL" w:eastAsia="en-US" w:bidi="ar-SA"/>
        </w:rPr>
        <w:footnoteReference w:id="925"/>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De Franse wetgever </w:t>
      </w:r>
      <w:r w:rsidR="00DF2357">
        <w:rPr>
          <w:kern w:val="0"/>
          <w:lang w:val="nl-NL" w:eastAsia="en-US" w:bidi="ar-SA"/>
        </w:rPr>
        <w:t>opende</w:t>
      </w:r>
      <w:r w:rsidRPr="00D147A7">
        <w:rPr>
          <w:kern w:val="0"/>
          <w:lang w:val="nl-NL" w:eastAsia="en-US" w:bidi="ar-SA"/>
        </w:rPr>
        <w:t xml:space="preserve"> reeds voor de uitvaardiging van de nieuwe archiefwet perspec</w:t>
      </w:r>
      <w:r w:rsidR="00DF2357">
        <w:rPr>
          <w:kern w:val="0"/>
          <w:lang w:val="nl-NL" w:eastAsia="en-US" w:bidi="ar-SA"/>
        </w:rPr>
        <w:t>-</w:t>
      </w:r>
      <w:r w:rsidRPr="00D147A7">
        <w:rPr>
          <w:kern w:val="0"/>
          <w:lang w:val="nl-NL" w:eastAsia="en-US" w:bidi="ar-SA"/>
        </w:rPr>
        <w:t>tieven om patiëntendossiers van openbare verzorgingsinstellingen uit te besteden.</w:t>
      </w:r>
      <w:r w:rsidRPr="00D147A7">
        <w:rPr>
          <w:kern w:val="0"/>
          <w:vertAlign w:val="superscript"/>
          <w:lang w:val="nl-NL" w:eastAsia="en-US" w:bidi="ar-SA"/>
        </w:rPr>
        <w:footnoteReference w:id="926"/>
      </w:r>
      <w:r w:rsidRPr="00D147A7">
        <w:rPr>
          <w:kern w:val="0"/>
          <w:lang w:val="nl-NL" w:eastAsia="en-US" w:bidi="ar-SA"/>
        </w:rPr>
        <w:t xml:space="preserve"> Met name in 2002 en in 2006 werden stappen ondernomen om de uitbesteding van medische ar</w:t>
      </w:r>
      <w:r w:rsidR="00DF2357">
        <w:rPr>
          <w:kern w:val="0"/>
          <w:lang w:val="nl-NL" w:eastAsia="en-US" w:bidi="ar-SA"/>
        </w:rPr>
        <w:t>-</w:t>
      </w:r>
      <w:r w:rsidRPr="00D147A7">
        <w:rPr>
          <w:kern w:val="0"/>
          <w:lang w:val="nl-NL" w:eastAsia="en-US" w:bidi="ar-SA"/>
        </w:rPr>
        <w:t>chieven te legaliseren.</w:t>
      </w:r>
      <w:r w:rsidRPr="00D147A7">
        <w:rPr>
          <w:kern w:val="0"/>
          <w:vertAlign w:val="superscript"/>
          <w:lang w:val="nl-NL" w:eastAsia="en-US" w:bidi="ar-SA"/>
        </w:rPr>
        <w:footnoteReference w:id="927"/>
      </w:r>
      <w:r w:rsidRPr="00D147A7">
        <w:rPr>
          <w:kern w:val="0"/>
          <w:lang w:val="nl-NL" w:eastAsia="en-US" w:bidi="ar-SA"/>
        </w:rPr>
        <w:t xml:space="preserve"> De</w:t>
      </w:r>
      <w:r w:rsidR="00DF2357">
        <w:rPr>
          <w:kern w:val="0"/>
          <w:lang w:val="nl-NL" w:eastAsia="en-US" w:bidi="ar-SA"/>
        </w:rPr>
        <w:t>ze</w:t>
      </w:r>
      <w:r w:rsidRPr="00D147A7">
        <w:rPr>
          <w:kern w:val="0"/>
          <w:lang w:val="nl-NL" w:eastAsia="en-US" w:bidi="ar-SA"/>
        </w:rPr>
        <w:t xml:space="preserve"> initiatieven hadden wel enkel op digitale gezondheidsgege</w:t>
      </w:r>
      <w:r w:rsidR="00DF2357">
        <w:rPr>
          <w:kern w:val="0"/>
          <w:lang w:val="nl-NL" w:eastAsia="en-US" w:bidi="ar-SA"/>
        </w:rPr>
        <w:t>-</w:t>
      </w:r>
      <w:r w:rsidRPr="00D147A7">
        <w:rPr>
          <w:kern w:val="0"/>
          <w:lang w:val="nl-NL" w:eastAsia="en-US" w:bidi="ar-SA"/>
        </w:rPr>
        <w:t>vens</w:t>
      </w:r>
      <w:r w:rsidR="00DF2357" w:rsidRPr="00DF2357">
        <w:rPr>
          <w:kern w:val="0"/>
          <w:lang w:val="nl-NL" w:eastAsia="en-US" w:bidi="ar-SA"/>
        </w:rPr>
        <w:t xml:space="preserve"> </w:t>
      </w:r>
      <w:r w:rsidR="00DF2357" w:rsidRPr="00D147A7">
        <w:rPr>
          <w:kern w:val="0"/>
          <w:lang w:val="nl-NL" w:eastAsia="en-US" w:bidi="ar-SA"/>
        </w:rPr>
        <w:t>betrekking</w:t>
      </w:r>
      <w:r w:rsidRPr="00D147A7">
        <w:rPr>
          <w:kern w:val="0"/>
          <w:lang w:val="nl-NL" w:eastAsia="en-US" w:bidi="ar-SA"/>
        </w:rPr>
        <w:t>, die – mits toestemming van de betrokken patiënten – aan een erkende be</w:t>
      </w:r>
      <w:r w:rsidR="00DF2357">
        <w:rPr>
          <w:kern w:val="0"/>
          <w:lang w:val="nl-NL" w:eastAsia="en-US" w:bidi="ar-SA"/>
        </w:rPr>
        <w:t>-</w:t>
      </w:r>
      <w:r w:rsidRPr="00D147A7">
        <w:rPr>
          <w:kern w:val="0"/>
          <w:lang w:val="nl-NL" w:eastAsia="en-US" w:bidi="ar-SA"/>
        </w:rPr>
        <w:t xml:space="preserve">waarnemer (i.e. een externe provider of </w:t>
      </w:r>
      <w:r w:rsidRPr="00D147A7">
        <w:rPr>
          <w:i/>
          <w:kern w:val="0"/>
          <w:lang w:val="nl-NL" w:eastAsia="en-US" w:bidi="ar-SA"/>
        </w:rPr>
        <w:t>host</w:t>
      </w:r>
      <w:r w:rsidRPr="00D147A7">
        <w:rPr>
          <w:kern w:val="0"/>
          <w:lang w:val="nl-NL" w:eastAsia="en-US" w:bidi="ar-SA"/>
        </w:rPr>
        <w:t>) in bewaring gegeven konden worden.</w:t>
      </w:r>
      <w:r w:rsidRPr="00D147A7">
        <w:rPr>
          <w:kern w:val="0"/>
          <w:vertAlign w:val="superscript"/>
          <w:lang w:val="nl-NL" w:eastAsia="en-US" w:bidi="ar-SA"/>
        </w:rPr>
        <w:footnoteReference w:id="928"/>
      </w:r>
      <w:r w:rsidRPr="00D147A7">
        <w:rPr>
          <w:kern w:val="0"/>
          <w:lang w:val="nl-NL" w:eastAsia="en-US" w:bidi="ar-SA"/>
        </w:rPr>
        <w:t xml:space="preserve"> Om erkend te worden, was een goedkeuring van </w:t>
      </w:r>
      <w:r w:rsidR="00DF2357">
        <w:rPr>
          <w:kern w:val="0"/>
          <w:lang w:val="nl-NL" w:eastAsia="en-US" w:bidi="ar-SA"/>
        </w:rPr>
        <w:t xml:space="preserve">zowel </w:t>
      </w:r>
      <w:r w:rsidRPr="00D147A7">
        <w:rPr>
          <w:kern w:val="0"/>
          <w:lang w:val="nl-NL" w:eastAsia="en-US" w:bidi="ar-SA"/>
        </w:rPr>
        <w:t xml:space="preserve">het Ministerie van Volksgezondheid en Sport </w:t>
      </w:r>
      <w:r w:rsidR="00DF2357">
        <w:rPr>
          <w:kern w:val="0"/>
          <w:lang w:val="nl-NL" w:eastAsia="en-US" w:bidi="ar-SA"/>
        </w:rPr>
        <w:t>als</w:t>
      </w:r>
      <w:r w:rsidRPr="00D147A7">
        <w:rPr>
          <w:kern w:val="0"/>
          <w:lang w:val="nl-NL" w:eastAsia="en-US" w:bidi="ar-SA"/>
        </w:rPr>
        <w:t xml:space="preserve"> van het Ministerie van Cultuur vereist.</w:t>
      </w:r>
      <w:r w:rsidRPr="00D147A7">
        <w:rPr>
          <w:kern w:val="0"/>
          <w:vertAlign w:val="superscript"/>
          <w:lang w:val="nl-NL" w:eastAsia="en-US" w:bidi="ar-SA"/>
        </w:rPr>
        <w:footnoteReference w:id="929"/>
      </w:r>
      <w:r w:rsidRPr="00D147A7">
        <w:rPr>
          <w:kern w:val="0"/>
          <w:lang w:val="nl-NL" w:eastAsia="en-US" w:bidi="ar-SA"/>
        </w:rPr>
        <w:t xml:space="preserve"> Toch is het te allen tijde de taak van de di</w:t>
      </w:r>
      <w:r w:rsidR="00DF2357">
        <w:rPr>
          <w:kern w:val="0"/>
          <w:lang w:val="nl-NL" w:eastAsia="en-US" w:bidi="ar-SA"/>
        </w:rPr>
        <w:t>-</w:t>
      </w:r>
      <w:r w:rsidRPr="00D147A7">
        <w:rPr>
          <w:kern w:val="0"/>
          <w:lang w:val="nl-NL" w:eastAsia="en-US" w:bidi="ar-SA"/>
        </w:rPr>
        <w:t>recteur van de verzorgingsinstelling om de nodige maatregelen te treffen die de goede bewa</w:t>
      </w:r>
      <w:r w:rsidR="00DF2357">
        <w:rPr>
          <w:kern w:val="0"/>
          <w:lang w:val="nl-NL" w:eastAsia="en-US" w:bidi="ar-SA"/>
        </w:rPr>
        <w:t>-</w:t>
      </w:r>
      <w:r w:rsidRPr="00D147A7">
        <w:rPr>
          <w:kern w:val="0"/>
          <w:lang w:val="nl-NL" w:eastAsia="en-US" w:bidi="ar-SA"/>
        </w:rPr>
        <w:t>ring en de vertrouwelijkheid van de patiëntendossiers verzekeren.</w:t>
      </w:r>
      <w:r w:rsidRPr="00D147A7">
        <w:rPr>
          <w:kern w:val="0"/>
          <w:vertAlign w:val="superscript"/>
          <w:lang w:val="nl-NL" w:eastAsia="en-US" w:bidi="ar-SA"/>
        </w:rPr>
        <w:footnoteReference w:id="930"/>
      </w:r>
      <w:r w:rsidRPr="00D147A7">
        <w:rPr>
          <w:kern w:val="0"/>
          <w:lang w:val="nl-NL" w:eastAsia="en-US" w:bidi="ar-SA"/>
        </w:rPr>
        <w:t xml:space="preserve"> De directeur moet daar</w:t>
      </w:r>
      <w:r w:rsidR="00DF2357">
        <w:rPr>
          <w:kern w:val="0"/>
          <w:lang w:val="nl-NL" w:eastAsia="en-US" w:bidi="ar-SA"/>
        </w:rPr>
        <w:t>-</w:t>
      </w:r>
      <w:r w:rsidRPr="00D147A7">
        <w:rPr>
          <w:kern w:val="0"/>
          <w:lang w:val="nl-NL" w:eastAsia="en-US" w:bidi="ar-SA"/>
        </w:rPr>
        <w:t>om een contract met de bewaarnemer opstellen</w:t>
      </w:r>
      <w:r w:rsidRPr="00D147A7">
        <w:rPr>
          <w:kern w:val="0"/>
          <w:vertAlign w:val="superscript"/>
          <w:lang w:val="nl-NL" w:eastAsia="en-US" w:bidi="ar-SA"/>
        </w:rPr>
        <w:footnoteReference w:id="931"/>
      </w:r>
      <w:r w:rsidRPr="00D147A7">
        <w:rPr>
          <w:kern w:val="0"/>
          <w:lang w:val="nl-NL" w:eastAsia="en-US" w:bidi="ar-SA"/>
        </w:rPr>
        <w:t xml:space="preserve"> waarin onder meer de controle en beveili</w:t>
      </w:r>
      <w:r w:rsidR="00DF2357">
        <w:rPr>
          <w:kern w:val="0"/>
          <w:lang w:val="nl-NL" w:eastAsia="en-US" w:bidi="ar-SA"/>
        </w:rPr>
        <w:t>-</w:t>
      </w:r>
      <w:r w:rsidRPr="00D147A7">
        <w:rPr>
          <w:kern w:val="0"/>
          <w:lang w:val="nl-NL" w:eastAsia="en-US" w:bidi="ar-SA"/>
        </w:rPr>
        <w:t>ging van de toegang tot en de verwerking van gezondheidsgegevens gegarandeerd wordt.</w:t>
      </w:r>
      <w:r w:rsidRPr="00D147A7">
        <w:rPr>
          <w:kern w:val="0"/>
          <w:vertAlign w:val="superscript"/>
          <w:lang w:val="nl-NL" w:eastAsia="en-US" w:bidi="ar-SA"/>
        </w:rPr>
        <w:footnoteReference w:id="932"/>
      </w:r>
      <w:r w:rsidRPr="00D147A7">
        <w:rPr>
          <w:kern w:val="0"/>
          <w:lang w:val="nl-NL" w:eastAsia="en-US" w:bidi="ar-SA"/>
        </w:rPr>
        <w:t xml:space="preserve"> Bovendien worden </w:t>
      </w:r>
      <w:r w:rsidRPr="00D147A7">
        <w:rPr>
          <w:i/>
          <w:kern w:val="0"/>
          <w:lang w:val="nl-NL" w:eastAsia="en-US" w:bidi="ar-SA"/>
        </w:rPr>
        <w:t>hosts</w:t>
      </w:r>
      <w:r w:rsidRPr="00D147A7">
        <w:rPr>
          <w:kern w:val="0"/>
          <w:lang w:val="nl-NL" w:eastAsia="en-US" w:bidi="ar-SA"/>
        </w:rPr>
        <w:t xml:space="preserve"> </w:t>
      </w:r>
      <w:r w:rsidR="00DF2357" w:rsidRPr="00D147A7">
        <w:rPr>
          <w:kern w:val="0"/>
          <w:lang w:val="nl-NL" w:eastAsia="en-US" w:bidi="ar-SA"/>
        </w:rPr>
        <w:t xml:space="preserve">onderworpen </w:t>
      </w:r>
      <w:r w:rsidRPr="00D147A7">
        <w:rPr>
          <w:kern w:val="0"/>
          <w:lang w:val="nl-NL" w:eastAsia="en-US" w:bidi="ar-SA"/>
        </w:rPr>
        <w:t xml:space="preserve">aan een externe controle van staatsambtenaren en de algemene inspectie van de sociale zekerheid, die al dan niet bijgestaan </w:t>
      </w:r>
      <w:r w:rsidR="00DF2357" w:rsidRPr="00D147A7">
        <w:rPr>
          <w:kern w:val="0"/>
          <w:lang w:val="nl-NL" w:eastAsia="en-US" w:bidi="ar-SA"/>
        </w:rPr>
        <w:t xml:space="preserve">worden </w:t>
      </w:r>
      <w:r w:rsidRPr="00D147A7">
        <w:rPr>
          <w:kern w:val="0"/>
          <w:lang w:val="nl-NL" w:eastAsia="en-US" w:bidi="ar-SA"/>
        </w:rPr>
        <w:t>door aangestel</w:t>
      </w:r>
      <w:r w:rsidR="00DF2357">
        <w:rPr>
          <w:kern w:val="0"/>
          <w:lang w:val="nl-NL" w:eastAsia="en-US" w:bidi="ar-SA"/>
        </w:rPr>
        <w:t>-</w:t>
      </w:r>
      <w:r w:rsidRPr="00D147A7">
        <w:rPr>
          <w:kern w:val="0"/>
          <w:lang w:val="nl-NL" w:eastAsia="en-US" w:bidi="ar-SA"/>
        </w:rPr>
        <w:t>de deskundigen door de Minister van Volksgezondheid.</w:t>
      </w:r>
      <w:r w:rsidRPr="00D147A7">
        <w:rPr>
          <w:kern w:val="0"/>
          <w:vertAlign w:val="superscript"/>
          <w:lang w:val="nl-NL" w:eastAsia="en-US" w:bidi="ar-SA"/>
        </w:rPr>
        <w:footnoteReference w:id="933"/>
      </w:r>
      <w:r w:rsidRPr="00D147A7">
        <w:rPr>
          <w:kern w:val="0"/>
          <w:lang w:val="nl-NL" w:eastAsia="en-US" w:bidi="ar-SA"/>
        </w:rPr>
        <w:t xml:space="preserve"> Wanneer zij een overtreding van een wettelijke of reglementaire bepalingen vaststellen of wanneer blijkt dat aan de erken</w:t>
      </w:r>
      <w:r w:rsidR="00DF2357">
        <w:rPr>
          <w:kern w:val="0"/>
          <w:lang w:val="nl-NL" w:eastAsia="en-US" w:bidi="ar-SA"/>
        </w:rPr>
        <w:t>-</w:t>
      </w:r>
      <w:r w:rsidRPr="00D147A7">
        <w:rPr>
          <w:kern w:val="0"/>
          <w:lang w:val="nl-NL" w:eastAsia="en-US" w:bidi="ar-SA"/>
        </w:rPr>
        <w:t>ningsvoorwaarden niet voldaan</w:t>
      </w:r>
      <w:r w:rsidR="00DF2357" w:rsidRPr="00DF2357">
        <w:rPr>
          <w:kern w:val="0"/>
          <w:lang w:val="nl-NL" w:eastAsia="en-US" w:bidi="ar-SA"/>
        </w:rPr>
        <w:t xml:space="preserve"> </w:t>
      </w:r>
      <w:r w:rsidR="00DF2357" w:rsidRPr="00D147A7">
        <w:rPr>
          <w:kern w:val="0"/>
          <w:lang w:val="nl-NL" w:eastAsia="en-US" w:bidi="ar-SA"/>
        </w:rPr>
        <w:t>wordt</w:t>
      </w:r>
      <w:r w:rsidRPr="00D147A7">
        <w:rPr>
          <w:kern w:val="0"/>
          <w:lang w:val="nl-NL" w:eastAsia="en-US" w:bidi="ar-SA"/>
        </w:rPr>
        <w:t>, wordt hun vergunning ingetrokken.</w:t>
      </w:r>
      <w:r w:rsidRPr="00D147A7">
        <w:rPr>
          <w:kern w:val="0"/>
          <w:vertAlign w:val="superscript"/>
          <w:lang w:val="nl-NL" w:eastAsia="en-US" w:bidi="ar-SA"/>
        </w:rPr>
        <w:footnoteReference w:id="934"/>
      </w:r>
      <w:r w:rsidRPr="00D147A7">
        <w:rPr>
          <w:kern w:val="0"/>
          <w:lang w:val="nl-NL" w:eastAsia="en-US" w:bidi="ar-SA"/>
        </w:rPr>
        <w:t xml:space="preserve"> Verder kunnen </w:t>
      </w:r>
      <w:r w:rsidRPr="00D147A7">
        <w:rPr>
          <w:i/>
          <w:kern w:val="0"/>
          <w:lang w:val="nl-NL" w:eastAsia="en-US" w:bidi="ar-SA"/>
        </w:rPr>
        <w:lastRenderedPageBreak/>
        <w:t>hosts</w:t>
      </w:r>
      <w:r w:rsidRPr="00D147A7">
        <w:rPr>
          <w:kern w:val="0"/>
          <w:lang w:val="nl-NL" w:eastAsia="en-US" w:bidi="ar-SA"/>
        </w:rPr>
        <w:t xml:space="preserve"> – evenals de personen die onder hun gezag toegang hebben tot patiëntendossiers – straf</w:t>
      </w:r>
      <w:r w:rsidR="00DF2357">
        <w:rPr>
          <w:kern w:val="0"/>
          <w:lang w:val="nl-NL" w:eastAsia="en-US" w:bidi="ar-SA"/>
        </w:rPr>
        <w:t>-</w:t>
      </w:r>
      <w:r w:rsidRPr="00D147A7">
        <w:rPr>
          <w:kern w:val="0"/>
          <w:lang w:val="nl-NL" w:eastAsia="en-US" w:bidi="ar-SA"/>
        </w:rPr>
        <w:t xml:space="preserve">rechtelijk vervolgd </w:t>
      </w:r>
      <w:r w:rsidR="00DF2357" w:rsidRPr="00D147A7">
        <w:rPr>
          <w:kern w:val="0"/>
          <w:lang w:val="nl-NL" w:eastAsia="en-US" w:bidi="ar-SA"/>
        </w:rPr>
        <w:t xml:space="preserve">worden </w:t>
      </w:r>
      <w:r w:rsidRPr="00D147A7">
        <w:rPr>
          <w:kern w:val="0"/>
          <w:lang w:val="nl-NL" w:eastAsia="en-US" w:bidi="ar-SA"/>
        </w:rPr>
        <w:t>als zij hun geheimhoudingsplicht niet eerbiedigen.</w:t>
      </w:r>
      <w:r w:rsidRPr="00D147A7">
        <w:rPr>
          <w:kern w:val="0"/>
          <w:vertAlign w:val="superscript"/>
          <w:lang w:val="nl-NL" w:eastAsia="en-US" w:bidi="ar-SA"/>
        </w:rPr>
        <w:footnoteReference w:id="935"/>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Dat alle openbare archiefbescheiden aan een private bewaarnemer uitbesteed kunnen worden, werd in de nieuwe archiefwet van 2008 bevestigd. Als bijkomende vereiste moet, naast het bekomen van de goedkeuring van het Ministerie van Volksgezondheid en Sport en het Mini</w:t>
      </w:r>
      <w:r w:rsidR="00DF2357">
        <w:rPr>
          <w:kern w:val="0"/>
          <w:lang w:val="nl-NL" w:eastAsia="en-US" w:bidi="ar-SA"/>
        </w:rPr>
        <w:t>-</w:t>
      </w:r>
      <w:r w:rsidRPr="00D147A7">
        <w:rPr>
          <w:kern w:val="0"/>
          <w:lang w:val="nl-NL" w:eastAsia="en-US" w:bidi="ar-SA"/>
        </w:rPr>
        <w:t>sterie van Cultuur, het archiefbestuur eerst een wetenschappelijke en technische controle uit</w:t>
      </w:r>
      <w:r w:rsidR="00DF2357">
        <w:rPr>
          <w:kern w:val="0"/>
          <w:lang w:val="nl-NL" w:eastAsia="en-US" w:bidi="ar-SA"/>
        </w:rPr>
        <w:t>-</w:t>
      </w:r>
      <w:r w:rsidRPr="00D147A7">
        <w:rPr>
          <w:kern w:val="0"/>
          <w:lang w:val="nl-NL" w:eastAsia="en-US" w:bidi="ar-SA"/>
        </w:rPr>
        <w:t>oefenen. Bovendien is deze bepaling enkel van toepassing op dynamische en semi-dynami</w:t>
      </w:r>
      <w:r w:rsidR="00DF2357">
        <w:rPr>
          <w:kern w:val="0"/>
          <w:lang w:val="nl-NL" w:eastAsia="en-US" w:bidi="ar-SA"/>
        </w:rPr>
        <w:t>-</w:t>
      </w:r>
      <w:r w:rsidRPr="00D147A7">
        <w:rPr>
          <w:kern w:val="0"/>
          <w:lang w:val="nl-NL" w:eastAsia="en-US" w:bidi="ar-SA"/>
        </w:rPr>
        <w:t>sche archiefbescheiden die niet voor permanente bewaring in aanmerking komen.</w:t>
      </w:r>
      <w:r w:rsidRPr="00D147A7">
        <w:rPr>
          <w:kern w:val="0"/>
          <w:vertAlign w:val="superscript"/>
          <w:lang w:val="nl-NL" w:eastAsia="en-US" w:bidi="ar-SA"/>
        </w:rPr>
        <w:footnoteReference w:id="936"/>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De (voorlopig) laatste fase van de ontwikkeling situeert zich in 2009. Sindsdien kunnen alle op termijn te vernietigen archiefbescheiden, ongeacht hun vorm, aan een private bewaarnemer worden uitbesteed.</w:t>
      </w:r>
      <w:r w:rsidRPr="00D147A7">
        <w:rPr>
          <w:kern w:val="0"/>
          <w:vertAlign w:val="superscript"/>
          <w:lang w:val="nl-NL" w:eastAsia="en-US" w:bidi="ar-SA"/>
        </w:rPr>
        <w:footnoteReference w:id="937"/>
      </w:r>
      <w:r w:rsidRPr="00D147A7">
        <w:rPr>
          <w:kern w:val="0"/>
          <w:lang w:val="nl-NL" w:eastAsia="en-US" w:bidi="ar-SA"/>
        </w:rPr>
        <w:t xml:space="preserve"> De inhoud van de neerleggingscontracten werd wettelijk vastgelegd.</w:t>
      </w:r>
      <w:r w:rsidRPr="00D147A7">
        <w:rPr>
          <w:kern w:val="0"/>
          <w:vertAlign w:val="superscript"/>
          <w:lang w:val="nl-NL" w:eastAsia="en-US" w:bidi="ar-SA"/>
        </w:rPr>
        <w:footnoteReference w:id="938"/>
      </w:r>
      <w:r w:rsidRPr="00D147A7">
        <w:rPr>
          <w:kern w:val="0"/>
          <w:lang w:val="nl-NL" w:eastAsia="en-US" w:bidi="ar-SA"/>
        </w:rPr>
        <w:t xml:space="preserve"> Bovendien werden de bepalingen omtrent de aangifte bij het Ministerie van Volksgezondheid en Sport en het Ministerie van Cultuur, evenals de erkenningsvoorwaarden van bewaarnemers geactualiseerd.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De lange traditie van wettelijke bepalingen omtrent de bewaarplaats van archieven van open</w:t>
      </w:r>
      <w:r w:rsidR="004457B4">
        <w:rPr>
          <w:kern w:val="0"/>
          <w:lang w:val="nl-NL" w:eastAsia="en-US" w:bidi="ar-SA"/>
        </w:rPr>
        <w:t>-</w:t>
      </w:r>
      <w:r w:rsidRPr="00D147A7">
        <w:rPr>
          <w:kern w:val="0"/>
          <w:lang w:val="nl-NL" w:eastAsia="en-US" w:bidi="ar-SA"/>
        </w:rPr>
        <w:t xml:space="preserve">bare verzorgingsinstellingen staat in schril contrast met het gering aantal bepalingen voor </w:t>
      </w:r>
      <w:r w:rsidR="004457B4">
        <w:rPr>
          <w:kern w:val="0"/>
          <w:lang w:val="nl-NL" w:eastAsia="en-US" w:bidi="ar-SA"/>
        </w:rPr>
        <w:t xml:space="preserve">de door huisartsen gevormde </w:t>
      </w:r>
      <w:r w:rsidRPr="00D147A7">
        <w:rPr>
          <w:kern w:val="0"/>
          <w:lang w:val="nl-NL" w:eastAsia="en-US" w:bidi="ar-SA"/>
        </w:rPr>
        <w:t>patiëntendossiers. Het gebrek aan wettelijke bepaling</w:t>
      </w:r>
      <w:r w:rsidR="004457B4">
        <w:rPr>
          <w:kern w:val="0"/>
          <w:lang w:val="nl-NL" w:eastAsia="en-US" w:bidi="ar-SA"/>
        </w:rPr>
        <w:t>en</w:t>
      </w:r>
      <w:r w:rsidRPr="00D147A7">
        <w:rPr>
          <w:kern w:val="0"/>
          <w:lang w:val="nl-NL" w:eastAsia="en-US" w:bidi="ar-SA"/>
        </w:rPr>
        <w:t xml:space="preserve"> biedt twee mogelijkheden: ofwel worden huisartsen met private verzorgingsinstellingen</w:t>
      </w:r>
      <w:r w:rsidR="004457B4" w:rsidRPr="004457B4">
        <w:rPr>
          <w:kern w:val="0"/>
          <w:lang w:val="nl-NL" w:eastAsia="en-US" w:bidi="ar-SA"/>
        </w:rPr>
        <w:t xml:space="preserve"> </w:t>
      </w:r>
      <w:r w:rsidR="004457B4" w:rsidRPr="00D147A7">
        <w:rPr>
          <w:kern w:val="0"/>
          <w:lang w:val="nl-NL" w:eastAsia="en-US" w:bidi="ar-SA"/>
        </w:rPr>
        <w:t>gelijkgescha</w:t>
      </w:r>
      <w:r w:rsidR="004457B4">
        <w:rPr>
          <w:kern w:val="0"/>
          <w:lang w:val="nl-NL" w:eastAsia="en-US" w:bidi="ar-SA"/>
        </w:rPr>
        <w:t>-</w:t>
      </w:r>
      <w:r w:rsidR="004457B4" w:rsidRPr="00D147A7">
        <w:rPr>
          <w:kern w:val="0"/>
          <w:lang w:val="nl-NL" w:eastAsia="en-US" w:bidi="ar-SA"/>
        </w:rPr>
        <w:t>keld</w:t>
      </w:r>
      <w:r w:rsidRPr="00D147A7">
        <w:rPr>
          <w:kern w:val="0"/>
          <w:lang w:val="nl-NL" w:eastAsia="en-US" w:bidi="ar-SA"/>
        </w:rPr>
        <w:t>, ofwel buit men het gebrek</w:t>
      </w:r>
      <w:r w:rsidR="004457B4">
        <w:rPr>
          <w:kern w:val="0"/>
          <w:lang w:val="nl-NL" w:eastAsia="en-US" w:bidi="ar-SA"/>
        </w:rPr>
        <w:t xml:space="preserve"> aan een expliciet verbod uit. </w:t>
      </w:r>
      <w:r w:rsidRPr="00D147A7">
        <w:rPr>
          <w:kern w:val="0"/>
          <w:lang w:val="nl-NL" w:eastAsia="en-US" w:bidi="ar-SA"/>
        </w:rPr>
        <w:t xml:space="preserve">De pragmaticus in mij </w:t>
      </w:r>
      <w:r w:rsidR="004457B4">
        <w:rPr>
          <w:kern w:val="0"/>
          <w:lang w:val="nl-NL" w:eastAsia="en-US" w:bidi="ar-SA"/>
        </w:rPr>
        <w:t>geeft</w:t>
      </w:r>
      <w:r w:rsidRPr="00D147A7">
        <w:rPr>
          <w:kern w:val="0"/>
          <w:lang w:val="nl-NL" w:eastAsia="en-US" w:bidi="ar-SA"/>
        </w:rPr>
        <w:t xml:space="preserve"> </w:t>
      </w:r>
      <w:r w:rsidR="004457B4">
        <w:rPr>
          <w:kern w:val="0"/>
          <w:lang w:val="nl-NL" w:eastAsia="en-US" w:bidi="ar-SA"/>
        </w:rPr>
        <w:t xml:space="preserve">de voorkeur aan deze laatste mogelijkheid </w:t>
      </w:r>
      <w:r w:rsidRPr="00D147A7">
        <w:rPr>
          <w:kern w:val="0"/>
          <w:lang w:val="nl-NL" w:eastAsia="en-US" w:bidi="ar-SA"/>
        </w:rPr>
        <w:t>– zeker nu ook openbare verzorgingsinstellingen pa</w:t>
      </w:r>
      <w:r w:rsidR="00F116AF">
        <w:rPr>
          <w:kern w:val="0"/>
          <w:lang w:val="nl-NL" w:eastAsia="en-US" w:bidi="ar-SA"/>
        </w:rPr>
        <w:t>-</w:t>
      </w:r>
      <w:r w:rsidRPr="00D147A7">
        <w:rPr>
          <w:kern w:val="0"/>
          <w:lang w:val="nl-NL" w:eastAsia="en-US" w:bidi="ar-SA"/>
        </w:rPr>
        <w:t>tiëntendossiers kunnen uitbesteden. Huisartsen beschikken immers niet over permanent te be</w:t>
      </w:r>
      <w:r w:rsidR="00F116AF">
        <w:rPr>
          <w:kern w:val="0"/>
          <w:lang w:val="nl-NL" w:eastAsia="en-US" w:bidi="ar-SA"/>
        </w:rPr>
        <w:t>-</w:t>
      </w:r>
      <w:r w:rsidRPr="00D147A7">
        <w:rPr>
          <w:kern w:val="0"/>
          <w:lang w:val="nl-NL" w:eastAsia="en-US" w:bidi="ar-SA"/>
        </w:rPr>
        <w:t>waren archieven. D</w:t>
      </w:r>
      <w:r w:rsidR="004457B4">
        <w:rPr>
          <w:kern w:val="0"/>
          <w:lang w:val="nl-NL" w:eastAsia="en-US" w:bidi="ar-SA"/>
        </w:rPr>
        <w:t>ezelfde redenering</w:t>
      </w:r>
      <w:r w:rsidRPr="00D147A7">
        <w:rPr>
          <w:kern w:val="0"/>
          <w:lang w:val="nl-NL" w:eastAsia="en-US" w:bidi="ar-SA"/>
        </w:rPr>
        <w:t xml:space="preserve"> moet m.i. ook </w:t>
      </w:r>
      <w:r w:rsidR="004457B4">
        <w:rPr>
          <w:kern w:val="0"/>
          <w:lang w:val="nl-NL" w:eastAsia="en-US" w:bidi="ar-SA"/>
        </w:rPr>
        <w:t xml:space="preserve">doorgetrokken worden </w:t>
      </w:r>
      <w:r w:rsidRPr="00D147A7">
        <w:rPr>
          <w:kern w:val="0"/>
          <w:lang w:val="nl-NL" w:eastAsia="en-US" w:bidi="ar-SA"/>
        </w:rPr>
        <w:t xml:space="preserve">voor </w:t>
      </w:r>
      <w:r w:rsidR="004457B4">
        <w:rPr>
          <w:kern w:val="0"/>
          <w:lang w:val="nl-NL" w:eastAsia="en-US" w:bidi="ar-SA"/>
        </w:rPr>
        <w:t xml:space="preserve">de medische archieven van </w:t>
      </w:r>
      <w:r w:rsidRPr="00D147A7">
        <w:rPr>
          <w:kern w:val="0"/>
          <w:lang w:val="nl-NL" w:eastAsia="en-US" w:bidi="ar-SA"/>
        </w:rPr>
        <w:t xml:space="preserve">privaatrechtelijke verzorgingsinstellingen. </w:t>
      </w:r>
      <w:r w:rsidR="004457B4">
        <w:rPr>
          <w:kern w:val="0"/>
          <w:lang w:val="nl-NL" w:eastAsia="en-US" w:bidi="ar-SA"/>
        </w:rPr>
        <w:t>Huisartsen en privaatrechtelijke ver</w:t>
      </w:r>
      <w:r w:rsidR="00F116AF">
        <w:rPr>
          <w:kern w:val="0"/>
          <w:lang w:val="nl-NL" w:eastAsia="en-US" w:bidi="ar-SA"/>
        </w:rPr>
        <w:t>-</w:t>
      </w:r>
      <w:r w:rsidR="004457B4">
        <w:rPr>
          <w:kern w:val="0"/>
          <w:lang w:val="nl-NL" w:eastAsia="en-US" w:bidi="ar-SA"/>
        </w:rPr>
        <w:t>zorgingsinstellingen moeten w</w:t>
      </w:r>
      <w:r w:rsidRPr="00D147A7">
        <w:rPr>
          <w:kern w:val="0"/>
          <w:lang w:val="nl-NL" w:eastAsia="en-US" w:bidi="ar-SA"/>
        </w:rPr>
        <w:t xml:space="preserve">el te allen tijde de </w:t>
      </w:r>
      <w:r w:rsidR="004457B4">
        <w:rPr>
          <w:kern w:val="0"/>
          <w:lang w:val="nl-NL" w:eastAsia="en-US" w:bidi="ar-SA"/>
        </w:rPr>
        <w:t xml:space="preserve">voorafgaande </w:t>
      </w:r>
      <w:r w:rsidRPr="00D147A7">
        <w:rPr>
          <w:kern w:val="0"/>
          <w:lang w:val="nl-NL" w:eastAsia="en-US" w:bidi="ar-SA"/>
        </w:rPr>
        <w:t xml:space="preserve">goedkeuring van de betrokken patiënten bekomen en moeten bewaargever en -nemer steeds heldere contractuele afspraken maken m.b.t. de toegang </w:t>
      </w:r>
      <w:r w:rsidR="004457B4">
        <w:rPr>
          <w:kern w:val="0"/>
          <w:lang w:val="nl-NL" w:eastAsia="en-US" w:bidi="ar-SA"/>
        </w:rPr>
        <w:t>tot de uitbesteede patiëntendossiers</w:t>
      </w:r>
      <w:r w:rsidRPr="00D147A7">
        <w:rPr>
          <w:kern w:val="0"/>
          <w:lang w:val="nl-NL" w:eastAsia="en-US" w:bidi="ar-SA"/>
        </w:rPr>
        <w:t>.</w:t>
      </w:r>
    </w:p>
    <w:p w:rsidR="00426625" w:rsidRPr="00D147A7" w:rsidRDefault="00426625" w:rsidP="00426625">
      <w:pPr>
        <w:widowControl/>
        <w:suppressAutoHyphens w:val="0"/>
        <w:spacing w:line="240" w:lineRule="atLeast"/>
        <w:jc w:val="both"/>
        <w:rPr>
          <w:smallCaps/>
          <w:kern w:val="0"/>
          <w:lang w:val="nl-NL" w:eastAsia="en-US" w:bidi="ar-SA"/>
        </w:rPr>
      </w:pPr>
    </w:p>
    <w:p w:rsidR="00426625" w:rsidRPr="00D147A7" w:rsidRDefault="00426625" w:rsidP="00426625">
      <w:pPr>
        <w:widowControl/>
        <w:suppressAutoHyphens w:val="0"/>
        <w:spacing w:line="240" w:lineRule="atLeast"/>
        <w:ind w:left="360"/>
        <w:jc w:val="both"/>
        <w:rPr>
          <w:b/>
          <w:kern w:val="0"/>
          <w:lang w:val="nl-NL" w:eastAsia="en-US" w:bidi="ar-SA"/>
        </w:rPr>
      </w:pPr>
      <w:r w:rsidRPr="00D147A7">
        <w:rPr>
          <w:b/>
          <w:kern w:val="0"/>
          <w:lang w:val="nl-NL" w:eastAsia="en-US" w:bidi="ar-SA"/>
        </w:rPr>
        <w:t>Hoofdstuk 3: Bewaartermijnen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Reeds in 1968 legde de Franse wetgever de bewaartermijnen van patiëntendossiers en andere medische documenten voor verzorgingsinstellingen vast.</w:t>
      </w:r>
      <w:r w:rsidRPr="00D147A7">
        <w:rPr>
          <w:kern w:val="0"/>
          <w:vertAlign w:val="superscript"/>
          <w:lang w:val="nl-NL" w:eastAsia="en-US" w:bidi="ar-SA"/>
        </w:rPr>
        <w:footnoteReference w:id="939"/>
      </w:r>
      <w:r w:rsidRPr="00D147A7">
        <w:rPr>
          <w:kern w:val="0"/>
          <w:lang w:val="nl-NL" w:eastAsia="en-US" w:bidi="ar-SA"/>
        </w:rPr>
        <w:t xml:space="preserve"> De hieronder weergegeven be</w:t>
      </w:r>
      <w:r w:rsidR="002541CA">
        <w:rPr>
          <w:kern w:val="0"/>
          <w:lang w:val="nl-NL" w:eastAsia="en-US" w:bidi="ar-SA"/>
        </w:rPr>
        <w:t>-</w:t>
      </w:r>
      <w:r w:rsidRPr="00D147A7">
        <w:rPr>
          <w:kern w:val="0"/>
          <w:lang w:val="nl-NL" w:eastAsia="en-US" w:bidi="ar-SA"/>
        </w:rPr>
        <w:t>waartermijnen waren evenwel niet van toepassing op private verzorgingsinstellingen met winstoogmerk.</w:t>
      </w:r>
      <w:r w:rsidRPr="00D147A7">
        <w:rPr>
          <w:kern w:val="0"/>
          <w:vertAlign w:val="superscript"/>
          <w:lang w:val="nl-NL" w:eastAsia="en-US" w:bidi="ar-SA"/>
        </w:rPr>
        <w:footnoteReference w:id="940"/>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fldChar w:fldCharType="begin"/>
      </w:r>
      <w:r w:rsidRPr="00D147A7">
        <w:rPr>
          <w:kern w:val="0"/>
          <w:lang w:val="nl-NL" w:eastAsia="en-US" w:bidi="ar-SA"/>
        </w:rPr>
        <w:instrText xml:space="preserve"> LINK Excel.Sheet.12 Map1 Blad1!R1K3:R14K4 \a \f 4 \h  \* MERGEFORMAT </w:instrText>
      </w:r>
      <w:r w:rsidRPr="00D147A7">
        <w:rPr>
          <w:kern w:val="0"/>
          <w:lang w:val="nl-NL" w:eastAsia="en-US" w:bidi="ar-SA"/>
        </w:rPr>
        <w:fldChar w:fldCharType="separate"/>
      </w:r>
    </w:p>
    <w:p w:rsidR="004457B4" w:rsidRDefault="004457B4">
      <w:r>
        <w:br w:type="page"/>
      </w:r>
    </w:p>
    <w:tbl>
      <w:tblPr>
        <w:tblW w:w="6515" w:type="dxa"/>
        <w:tblInd w:w="1493" w:type="dxa"/>
        <w:tblCellMar>
          <w:left w:w="70" w:type="dxa"/>
          <w:right w:w="70" w:type="dxa"/>
        </w:tblCellMar>
        <w:tblLook w:val="04A0" w:firstRow="1" w:lastRow="0" w:firstColumn="1" w:lastColumn="0" w:noHBand="0" w:noVBand="1"/>
      </w:tblPr>
      <w:tblGrid>
        <w:gridCol w:w="1429"/>
        <w:gridCol w:w="5086"/>
      </w:tblGrid>
      <w:tr w:rsidR="00426625" w:rsidRPr="00D147A7" w:rsidTr="004721B1">
        <w:trPr>
          <w:trHeight w:val="300"/>
        </w:trPr>
        <w:tc>
          <w:tcPr>
            <w:tcW w:w="142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lastRenderedPageBreak/>
              <w:t>Bewaartermijn</w:t>
            </w:r>
          </w:p>
        </w:tc>
        <w:tc>
          <w:tcPr>
            <w:tcW w:w="5086"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color w:val="FFFFFF"/>
                <w:kern w:val="0"/>
                <w:sz w:val="20"/>
                <w:szCs w:val="20"/>
                <w:lang w:eastAsia="nl-BE" w:bidi="ar-SA"/>
              </w:rPr>
            </w:pPr>
            <w:r w:rsidRPr="00D147A7">
              <w:rPr>
                <w:rFonts w:eastAsia="Times New Roman"/>
                <w:color w:val="FFFFFF"/>
                <w:kern w:val="0"/>
                <w:sz w:val="20"/>
                <w:szCs w:val="20"/>
                <w:lang w:eastAsia="nl-BE" w:bidi="ar-SA"/>
              </w:rPr>
              <w:t>Documenten</w:t>
            </w:r>
          </w:p>
        </w:tc>
      </w:tr>
      <w:tr w:rsidR="00426625" w:rsidRPr="00D147A7" w:rsidTr="004721B1">
        <w:trPr>
          <w:trHeight w:val="300"/>
        </w:trPr>
        <w:tc>
          <w:tcPr>
            <w:tcW w:w="1429" w:type="dxa"/>
            <w:vMerge w:val="restart"/>
            <w:tcBorders>
              <w:top w:val="nil"/>
              <w:left w:val="single" w:sz="4" w:space="0" w:color="auto"/>
              <w:bottom w:val="single" w:sz="4" w:space="0" w:color="000000"/>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Permanent</w:t>
            </w: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In- en uitschrijvingsregisters van patiënten</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Diagnostische elementen (observaties, onderzoeksverslagen, röntgenfoto's, electrocardiogrammen etc.)</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Enquêtes</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Patiëntend</w:t>
            </w:r>
            <w:r w:rsidRPr="00D147A7">
              <w:rPr>
                <w:rFonts w:eastAsia="Times New Roman"/>
                <w:color w:val="000000"/>
                <w:kern w:val="0"/>
                <w:sz w:val="20"/>
                <w:szCs w:val="20"/>
                <w:lang w:val="nl-NL" w:eastAsia="nl-BE" w:bidi="ar-SA"/>
              </w:rPr>
              <w:t>ossiers met betrekking tot genetische aandoeningen die mogelijk van belang zijn voor het nageslacht</w:t>
            </w:r>
          </w:p>
        </w:tc>
      </w:tr>
      <w:tr w:rsidR="00426625" w:rsidRPr="00D147A7" w:rsidTr="004721B1">
        <w:trPr>
          <w:trHeight w:val="300"/>
        </w:trPr>
        <w:tc>
          <w:tcPr>
            <w:tcW w:w="1429" w:type="dxa"/>
            <w:vMerge w:val="restart"/>
            <w:tcBorders>
              <w:top w:val="nil"/>
              <w:left w:val="single" w:sz="4" w:space="0" w:color="auto"/>
              <w:bottom w:val="single" w:sz="4" w:space="0" w:color="000000"/>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70 jaar</w:t>
            </w: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Patiëntendossiers van de afdelingen kindergeneeskunde, neurologie, mondheelkunde en chronische ziekten</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Documenten van de sociale dienst</w:t>
            </w:r>
          </w:p>
        </w:tc>
      </w:tr>
      <w:tr w:rsidR="00426625" w:rsidRPr="00D147A7" w:rsidTr="004721B1">
        <w:trPr>
          <w:trHeight w:val="300"/>
        </w:trPr>
        <w:tc>
          <w:tcPr>
            <w:tcW w:w="1429" w:type="dxa"/>
            <w:vMerge w:val="restart"/>
            <w:tcBorders>
              <w:top w:val="nil"/>
              <w:left w:val="single" w:sz="4" w:space="0" w:color="auto"/>
              <w:bottom w:val="single" w:sz="4" w:space="0" w:color="000000"/>
              <w:right w:val="single" w:sz="4" w:space="0" w:color="auto"/>
            </w:tcBorders>
            <w:shd w:val="clear" w:color="auto" w:fill="auto"/>
            <w:noWrap/>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20 jaar</w:t>
            </w: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Overige patiëntendossiers</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Laboratoriadossiers en -boeken</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Transfusiedossiers</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Autopsierapporten</w:t>
            </w:r>
          </w:p>
        </w:tc>
      </w:tr>
      <w:tr w:rsidR="00426625" w:rsidRPr="00D147A7" w:rsidTr="004721B1">
        <w:trPr>
          <w:trHeight w:val="300"/>
        </w:trPr>
        <w:tc>
          <w:tcPr>
            <w:tcW w:w="142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Registers van farmaceutische bereidingen</w:t>
            </w:r>
          </w:p>
        </w:tc>
      </w:tr>
      <w:tr w:rsidR="00426625" w:rsidRPr="00D147A7" w:rsidTr="004721B1">
        <w:trPr>
          <w:trHeight w:val="300"/>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10 jaar</w:t>
            </w: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Facturen van geneesmiddelen, chemische en giftige producten</w:t>
            </w:r>
          </w:p>
        </w:tc>
      </w:tr>
      <w:tr w:rsidR="00426625" w:rsidRPr="00D147A7" w:rsidTr="004721B1">
        <w:trPr>
          <w:trHeight w:val="300"/>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 jaar</w:t>
            </w:r>
          </w:p>
        </w:tc>
        <w:tc>
          <w:tcPr>
            <w:tcW w:w="5086"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Vergunningen van autopsies en orgaanverwijdering</w:t>
            </w:r>
          </w:p>
        </w:tc>
      </w:tr>
    </w:tbl>
    <w:p w:rsidR="00426625" w:rsidRPr="00D147A7" w:rsidRDefault="00426625" w:rsidP="00426625">
      <w:pPr>
        <w:widowControl/>
        <w:suppressAutoHyphens w:val="0"/>
        <w:spacing w:line="240" w:lineRule="atLeast"/>
        <w:jc w:val="center"/>
        <w:rPr>
          <w:kern w:val="0"/>
          <w:lang w:val="nl-NL" w:eastAsia="en-US" w:bidi="ar-SA"/>
        </w:rPr>
      </w:pPr>
      <w:r w:rsidRPr="00D147A7">
        <w:rPr>
          <w:kern w:val="0"/>
          <w:lang w:val="nl-NL" w:eastAsia="en-US" w:bidi="ar-SA"/>
        </w:rPr>
        <w:fldChar w:fldCharType="end"/>
      </w:r>
      <w:r w:rsidRPr="00D147A7">
        <w:rPr>
          <w:kern w:val="0"/>
          <w:lang w:val="nl-NL" w:eastAsia="en-US" w:bidi="ar-SA"/>
        </w:rPr>
        <w:t>Tabel 16: Bewaartermijnen van medische documenten in Franse verzorgingsinstellingen tussen 11 maart 1968 en 4 januari 2006</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In deze regeling </w:t>
      </w:r>
      <w:r w:rsidR="009963A5">
        <w:rPr>
          <w:kern w:val="0"/>
          <w:lang w:val="nl-NL" w:eastAsia="en-US" w:bidi="ar-SA"/>
        </w:rPr>
        <w:t>w</w:t>
      </w:r>
      <w:r w:rsidR="00A45B17">
        <w:rPr>
          <w:kern w:val="0"/>
          <w:lang w:val="nl-NL" w:eastAsia="en-US" w:bidi="ar-SA"/>
        </w:rPr>
        <w:t>a</w:t>
      </w:r>
      <w:r w:rsidR="009963A5">
        <w:rPr>
          <w:kern w:val="0"/>
          <w:lang w:val="nl-NL" w:eastAsia="en-US" w:bidi="ar-SA"/>
        </w:rPr>
        <w:t>ren</w:t>
      </w:r>
      <w:r w:rsidRPr="00D147A7">
        <w:rPr>
          <w:kern w:val="0"/>
          <w:lang w:val="nl-NL" w:eastAsia="en-US" w:bidi="ar-SA"/>
        </w:rPr>
        <w:t xml:space="preserve"> bewaartermijnen van patiëntendossiers van drie criteria afhankelijk: medische specialismen (neurologie, mondheelkunde), pathologieën (chronische en genetische ziekten) en de leeftijd van patiënten tijdens de behandeling (kindergeneeskunde).</w:t>
      </w:r>
      <w:r w:rsidRPr="00D147A7">
        <w:rPr>
          <w:kern w:val="0"/>
          <w:vertAlign w:val="superscript"/>
          <w:lang w:val="nl-NL" w:eastAsia="en-US" w:bidi="ar-SA"/>
        </w:rPr>
        <w:footnoteReference w:id="941"/>
      </w:r>
      <w:r w:rsidRPr="00D147A7">
        <w:rPr>
          <w:kern w:val="0"/>
          <w:lang w:val="nl-NL" w:eastAsia="en-US" w:bidi="ar-SA"/>
        </w:rPr>
        <w:t xml:space="preserve"> Voor alle andere patiëntendossiers gold een – in overeenstemming met de maximale verjaringster</w:t>
      </w:r>
      <w:r w:rsidR="009963A5">
        <w:rPr>
          <w:kern w:val="0"/>
          <w:lang w:val="nl-NL" w:eastAsia="en-US" w:bidi="ar-SA"/>
        </w:rPr>
        <w:t>-</w:t>
      </w:r>
      <w:r w:rsidRPr="00D147A7">
        <w:rPr>
          <w:kern w:val="0"/>
          <w:lang w:val="nl-NL" w:eastAsia="en-US" w:bidi="ar-SA"/>
        </w:rPr>
        <w:t>mijn</w:t>
      </w:r>
      <w:r w:rsidRPr="00D147A7">
        <w:rPr>
          <w:kern w:val="0"/>
          <w:vertAlign w:val="superscript"/>
          <w:lang w:val="nl-NL" w:eastAsia="en-US" w:bidi="ar-SA"/>
        </w:rPr>
        <w:footnoteReference w:id="942"/>
      </w:r>
      <w:r w:rsidRPr="00D147A7">
        <w:rPr>
          <w:kern w:val="0"/>
          <w:lang w:val="nl-NL" w:eastAsia="en-US" w:bidi="ar-SA"/>
        </w:rPr>
        <w:t xml:space="preserve"> – algemene bewaartermijn van twintig jaar. Dat openbare archieven niet voor verja</w:t>
      </w:r>
      <w:r w:rsidR="009963A5">
        <w:rPr>
          <w:kern w:val="0"/>
          <w:lang w:val="nl-NL" w:eastAsia="en-US" w:bidi="ar-SA"/>
        </w:rPr>
        <w:t>-</w:t>
      </w:r>
      <w:r w:rsidRPr="00D147A7">
        <w:rPr>
          <w:kern w:val="0"/>
          <w:lang w:val="nl-NL" w:eastAsia="en-US" w:bidi="ar-SA"/>
        </w:rPr>
        <w:t>ring vatbaar zijn</w:t>
      </w:r>
      <w:r w:rsidRPr="00D147A7">
        <w:rPr>
          <w:kern w:val="0"/>
          <w:vertAlign w:val="superscript"/>
          <w:lang w:val="nl-NL" w:eastAsia="en-US" w:bidi="ar-SA"/>
        </w:rPr>
        <w:footnoteReference w:id="943"/>
      </w:r>
      <w:r w:rsidRPr="00D147A7">
        <w:rPr>
          <w:kern w:val="0"/>
          <w:lang w:val="nl-NL" w:eastAsia="en-US" w:bidi="ar-SA"/>
        </w:rPr>
        <w:t>, kan er dus niet toe leiden dat alle patiëntendossiers van openbare verzor</w:t>
      </w:r>
      <w:r w:rsidR="009963A5">
        <w:rPr>
          <w:kern w:val="0"/>
          <w:lang w:val="nl-NL" w:eastAsia="en-US" w:bidi="ar-SA"/>
        </w:rPr>
        <w:t>-</w:t>
      </w:r>
      <w:r w:rsidRPr="00D147A7">
        <w:rPr>
          <w:kern w:val="0"/>
          <w:lang w:val="nl-NL" w:eastAsia="en-US" w:bidi="ar-SA"/>
        </w:rPr>
        <w:t>gingsinstellingen voor onbepaalde duur moeten worden bijgehouden. Al deze bewaarter</w:t>
      </w:r>
      <w:r w:rsidR="009963A5">
        <w:rPr>
          <w:kern w:val="0"/>
          <w:lang w:val="nl-NL" w:eastAsia="en-US" w:bidi="ar-SA"/>
        </w:rPr>
        <w:t>-</w:t>
      </w:r>
      <w:r w:rsidRPr="00D147A7">
        <w:rPr>
          <w:kern w:val="0"/>
          <w:lang w:val="nl-NL" w:eastAsia="en-US" w:bidi="ar-SA"/>
        </w:rPr>
        <w:t>mijnen vangen, net als in België, na het laatste contact van de patiënt met de instelling aan. Ook in Frankrijk gold de ongeschreven regel om de bewaartermijn van dossiers van minder</w:t>
      </w:r>
      <w:r w:rsidR="009963A5">
        <w:rPr>
          <w:kern w:val="0"/>
          <w:lang w:val="nl-NL" w:eastAsia="en-US" w:bidi="ar-SA"/>
        </w:rPr>
        <w:t>-</w:t>
      </w:r>
      <w:r w:rsidRPr="00D147A7">
        <w:rPr>
          <w:kern w:val="0"/>
          <w:lang w:val="nl-NL" w:eastAsia="en-US" w:bidi="ar-SA"/>
        </w:rPr>
        <w:t xml:space="preserve">jarige patiënten pas </w:t>
      </w:r>
      <w:r w:rsidR="00A45B17">
        <w:rPr>
          <w:kern w:val="0"/>
          <w:lang w:val="nl-NL" w:eastAsia="en-US" w:bidi="ar-SA"/>
        </w:rPr>
        <w:t xml:space="preserve">aan </w:t>
      </w:r>
      <w:r w:rsidRPr="00D147A7">
        <w:rPr>
          <w:kern w:val="0"/>
          <w:lang w:val="nl-NL" w:eastAsia="en-US" w:bidi="ar-SA"/>
        </w:rPr>
        <w:t xml:space="preserve">te laten </w:t>
      </w:r>
      <w:r w:rsidR="00A45B17">
        <w:rPr>
          <w:kern w:val="0"/>
          <w:lang w:val="nl-NL" w:eastAsia="en-US" w:bidi="ar-SA"/>
        </w:rPr>
        <w:t>vangen</w:t>
      </w:r>
      <w:r w:rsidRPr="00D147A7">
        <w:rPr>
          <w:kern w:val="0"/>
          <w:lang w:val="nl-NL" w:eastAsia="en-US" w:bidi="ar-SA"/>
        </w:rPr>
        <w:t xml:space="preserve"> op het moment dat de betrokkene de meerderjarigheid bereikte. Tot slot moet opgemerkt worden dat deze bewaarregeling verzorgingsinstelling ver</w:t>
      </w:r>
      <w:r w:rsidR="009963A5">
        <w:rPr>
          <w:kern w:val="0"/>
          <w:lang w:val="nl-NL" w:eastAsia="en-US" w:bidi="ar-SA"/>
        </w:rPr>
        <w:t>-</w:t>
      </w:r>
      <w:r w:rsidRPr="00D147A7">
        <w:rPr>
          <w:kern w:val="0"/>
          <w:lang w:val="nl-NL" w:eastAsia="en-US" w:bidi="ar-SA"/>
        </w:rPr>
        <w:t>hindert om gebruik te maken van unieke patiëntendossiers.</w:t>
      </w:r>
      <w:r w:rsidRPr="00D147A7">
        <w:rPr>
          <w:kern w:val="0"/>
          <w:vertAlign w:val="superscript"/>
          <w:lang w:val="nl-NL" w:eastAsia="en-US" w:bidi="ar-SA"/>
        </w:rPr>
        <w:footnoteReference w:id="944"/>
      </w:r>
      <w:r w:rsidRPr="00D147A7">
        <w:rPr>
          <w:kern w:val="0"/>
          <w:lang w:val="nl-NL" w:eastAsia="en-US" w:bidi="ar-SA"/>
        </w:rPr>
        <w:t xml:space="preserve"> Het schonen van individuele pa</w:t>
      </w:r>
      <w:r w:rsidR="009963A5">
        <w:rPr>
          <w:kern w:val="0"/>
          <w:lang w:val="nl-NL" w:eastAsia="en-US" w:bidi="ar-SA"/>
        </w:rPr>
        <w:t>-</w:t>
      </w:r>
      <w:r w:rsidRPr="00D147A7">
        <w:rPr>
          <w:kern w:val="0"/>
          <w:lang w:val="nl-NL" w:eastAsia="en-US" w:bidi="ar-SA"/>
        </w:rPr>
        <w:t>tiëntendossiers is immers een veel te arbeidsintensieve – en daardoor dure – aangelegen</w:t>
      </w:r>
      <w:r w:rsidR="009963A5">
        <w:rPr>
          <w:kern w:val="0"/>
          <w:lang w:val="nl-NL" w:eastAsia="en-US" w:bidi="ar-SA"/>
        </w:rPr>
        <w:t>-</w:t>
      </w:r>
      <w:r w:rsidRPr="00D147A7">
        <w:rPr>
          <w:kern w:val="0"/>
          <w:lang w:val="nl-NL" w:eastAsia="en-US" w:bidi="ar-SA"/>
        </w:rPr>
        <w:t>heid.</w:t>
      </w:r>
      <w:r w:rsidRPr="00D147A7">
        <w:rPr>
          <w:kern w:val="0"/>
          <w:vertAlign w:val="superscript"/>
          <w:lang w:val="nl-NL" w:eastAsia="en-US" w:bidi="ar-SA"/>
        </w:rPr>
        <w:footnoteReference w:id="945"/>
      </w:r>
      <w:r w:rsidRPr="00D147A7">
        <w:rPr>
          <w:kern w:val="0"/>
          <w:lang w:val="nl-NL" w:eastAsia="en-US" w:bidi="ar-SA"/>
        </w:rPr>
        <w:t xml:space="preserve">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Sinds 2006 moeten álle patiëntendossiers van álle verzorgingsinstellingen twintig jaar </w:t>
      </w:r>
      <w:r w:rsidR="00A45B17" w:rsidRPr="00D147A7">
        <w:rPr>
          <w:kern w:val="0"/>
          <w:lang w:val="nl-NL" w:eastAsia="en-US" w:bidi="ar-SA"/>
        </w:rPr>
        <w:t xml:space="preserve">worden </w:t>
      </w:r>
      <w:r w:rsidRPr="00D147A7">
        <w:rPr>
          <w:kern w:val="0"/>
          <w:lang w:val="nl-NL" w:eastAsia="en-US" w:bidi="ar-SA"/>
        </w:rPr>
        <w:t>bewaard.</w:t>
      </w:r>
      <w:r w:rsidRPr="00D147A7">
        <w:rPr>
          <w:kern w:val="0"/>
          <w:vertAlign w:val="superscript"/>
          <w:lang w:val="nl-NL" w:eastAsia="en-US" w:bidi="ar-SA"/>
        </w:rPr>
        <w:footnoteReference w:id="946"/>
      </w:r>
      <w:r w:rsidRPr="00D147A7">
        <w:rPr>
          <w:kern w:val="0"/>
          <w:lang w:val="nl-NL" w:eastAsia="en-US" w:bidi="ar-SA"/>
        </w:rPr>
        <w:t xml:space="preserve"> Dat de </w:t>
      </w:r>
      <w:r w:rsidRPr="00D147A7">
        <w:rPr>
          <w:i/>
          <w:kern w:val="0"/>
          <w:lang w:val="nl-NL" w:eastAsia="en-US" w:bidi="ar-SA"/>
        </w:rPr>
        <w:t xml:space="preserve">code de la santé publique </w:t>
      </w:r>
      <w:r w:rsidRPr="00D147A7">
        <w:rPr>
          <w:kern w:val="0"/>
          <w:lang w:val="nl-NL" w:eastAsia="en-US" w:bidi="ar-SA"/>
        </w:rPr>
        <w:t>sinds 2002 expliciet stelt dat medische aan</w:t>
      </w:r>
      <w:r w:rsidR="00A45B17">
        <w:rPr>
          <w:kern w:val="0"/>
          <w:lang w:val="nl-NL" w:eastAsia="en-US" w:bidi="ar-SA"/>
        </w:rPr>
        <w:t>-</w:t>
      </w:r>
      <w:r w:rsidRPr="00D147A7">
        <w:rPr>
          <w:kern w:val="0"/>
          <w:lang w:val="nl-NL" w:eastAsia="en-US" w:bidi="ar-SA"/>
        </w:rPr>
        <w:t>sprakelijkheid reeds na tien jaar verjaart</w:t>
      </w:r>
      <w:r w:rsidRPr="00D147A7">
        <w:rPr>
          <w:kern w:val="0"/>
          <w:vertAlign w:val="superscript"/>
          <w:lang w:val="nl-NL" w:eastAsia="en-US" w:bidi="ar-SA"/>
        </w:rPr>
        <w:footnoteReference w:id="947"/>
      </w:r>
      <w:r w:rsidRPr="00D147A7">
        <w:rPr>
          <w:kern w:val="0"/>
          <w:lang w:val="nl-NL" w:eastAsia="en-US" w:bidi="ar-SA"/>
        </w:rPr>
        <w:t>, heeft de wetgever niet overtuigd om de algemene bewaartermijn te halveren. De nieuwe inzichten omtrent de verjaring van medische aanspra</w:t>
      </w:r>
      <w:r w:rsidR="00A45B17">
        <w:rPr>
          <w:kern w:val="0"/>
          <w:lang w:val="nl-NL" w:eastAsia="en-US" w:bidi="ar-SA"/>
        </w:rPr>
        <w:t>-</w:t>
      </w:r>
      <w:r w:rsidRPr="00D147A7">
        <w:rPr>
          <w:kern w:val="0"/>
          <w:lang w:val="nl-NL" w:eastAsia="en-US" w:bidi="ar-SA"/>
        </w:rPr>
        <w:t>kelijkheidsvorderingen kreeg daarentegen wel doorwerking in de uitzonderingsbepalingen. Zo moeten dossiers van patiënten die minder dan tien jaar na het laatste contact met de verzor</w:t>
      </w:r>
      <w:r w:rsidR="00A45B17">
        <w:rPr>
          <w:kern w:val="0"/>
          <w:lang w:val="nl-NL" w:eastAsia="en-US" w:bidi="ar-SA"/>
        </w:rPr>
        <w:t>-</w:t>
      </w:r>
      <w:r w:rsidRPr="00D147A7">
        <w:rPr>
          <w:kern w:val="0"/>
          <w:lang w:val="nl-NL" w:eastAsia="en-US" w:bidi="ar-SA"/>
        </w:rPr>
        <w:t>gingsinstelling overleden zijn slechts tien jaar na de overlijdensdatum bewaard worden. Een andere uitzondering betreft de dossiers van patiënten die tijdens de laatste behandeling acht jaar of jonger waren. Deze moeten slechts tien jaar bewaard worden nadat de betrokken pa</w:t>
      </w:r>
      <w:r w:rsidR="00A45B17">
        <w:rPr>
          <w:kern w:val="0"/>
          <w:lang w:val="nl-NL" w:eastAsia="en-US" w:bidi="ar-SA"/>
        </w:rPr>
        <w:t>-</w:t>
      </w:r>
      <w:r w:rsidRPr="00D147A7">
        <w:rPr>
          <w:kern w:val="0"/>
          <w:lang w:val="nl-NL" w:eastAsia="en-US" w:bidi="ar-SA"/>
        </w:rPr>
        <w:t>tiënt de meerderjarigheid heeft bereikt. De uitzonderingen op de algemene bewaartermijn hebben dus niet langer betrekking op de inhoud van patiëntendossiers, maar op de toestand van de patiënten. In de nieuwe regeling heeft de wetgever dus wel degelijk aandacht besteed aan het recht van patiënten om een schadeclaim in te dienen tegen hun arts. In die optiek werd nog een bijkomende maatregel getroffen. De bewaartermijn van patiëntendossiers wordt ‘be</w:t>
      </w:r>
      <w:r w:rsidR="00A45B17">
        <w:rPr>
          <w:kern w:val="0"/>
          <w:lang w:val="nl-NL" w:eastAsia="en-US" w:bidi="ar-SA"/>
        </w:rPr>
        <w:t>-</w:t>
      </w:r>
      <w:r w:rsidRPr="00D147A7">
        <w:rPr>
          <w:kern w:val="0"/>
          <w:lang w:val="nl-NL" w:eastAsia="en-US" w:bidi="ar-SA"/>
        </w:rPr>
        <w:t>vroren’ zolang een rechtszaak tegen de behandelende zorgverlener hangende is. Pas als de rechter een oordeel geveld heeft en alle mogelijkheden op verder beroep uitgeput zijn, vangt de bewaartermijn opnieuw aan. Voor een algemeen overzicht van de bewaartermijnen van patiëntendossiers en documenten met gezondheidsgegevens in verzorgingsinstellingen, wordt naar de tabel op de volgende bladzijde verwezen.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Deze nieuwe bewaartermijnen zijn wellicht geen lang leven beschoren aangezien ze reeds in 2008 het voorwerp waren van discussie.</w:t>
      </w:r>
      <w:r w:rsidRPr="00D147A7">
        <w:rPr>
          <w:kern w:val="0"/>
          <w:vertAlign w:val="superscript"/>
          <w:lang w:val="nl-NL" w:eastAsia="en-US" w:bidi="ar-SA"/>
        </w:rPr>
        <w:footnoteReference w:id="948"/>
      </w:r>
      <w:r w:rsidRPr="00D147A7">
        <w:rPr>
          <w:kern w:val="0"/>
          <w:lang w:val="nl-NL" w:eastAsia="en-US" w:bidi="ar-SA"/>
        </w:rPr>
        <w:t xml:space="preserve"> Medici hekelen zich aan het feit dat er slechts één termijn bestaat, die voor bepaalde patiëntendossiers tekort schiet. Ook archivarissen van verzorgingsinstellingen stellen zich vragen over de vernietiging en ordening van patiëntendossiers. Er zijn zelfs archivarissen die artikel R. 1112-7 van de </w:t>
      </w:r>
      <w:r w:rsidRPr="00D147A7">
        <w:rPr>
          <w:i/>
          <w:kern w:val="0"/>
          <w:lang w:val="nl-NL" w:eastAsia="en-US" w:bidi="ar-SA"/>
        </w:rPr>
        <w:t>code de la santé publique</w:t>
      </w:r>
      <w:r w:rsidRPr="00D147A7">
        <w:rPr>
          <w:kern w:val="0"/>
          <w:lang w:val="nl-NL" w:eastAsia="en-US" w:bidi="ar-SA"/>
        </w:rPr>
        <w:t xml:space="preserve"> – waarin de algemenen bewaartermijnen van patiëntendossiers opgenomen is – willen afschaffen om de beslissingsbevoegdheid inzake selectie aan de verantwoordelijke voor de medische informatie van verzorginstellingen toe te vertrouwen, op voorwaarde dat het fiat van de directeur van de departementale archiefdienst bekomen wordt.</w:t>
      </w:r>
      <w:r w:rsidRPr="00D147A7">
        <w:rPr>
          <w:kern w:val="0"/>
          <w:vertAlign w:val="superscript"/>
          <w:lang w:val="nl-NL" w:eastAsia="en-US" w:bidi="ar-SA"/>
        </w:rPr>
        <w:footnoteReference w:id="949"/>
      </w:r>
      <w:r w:rsidRPr="00D147A7">
        <w:rPr>
          <w:kern w:val="0"/>
          <w:lang w:val="nl-NL" w:eastAsia="en-US" w:bidi="ar-SA"/>
        </w:rPr>
        <w:t xml:space="preserve"> De verwezenlijking van dit voorstel zou aan vele problemen die men de dag van vandaag in de praktijk ondervindt het hoofd kunnen bieden, maar is m.i. volkomen onrealistisch. De selectie van patiëntendossiers in verzorgingsinstellingen is immers een arbeidsintensieve en complexe bezigheid die niet aan één enkele persoon kan en mag worden toevertrouwd. Het zou beter zijn om hiervoor een multidisciplinaire werkgroep op te richten, waarin alle categorieën zorgverleners die in de instelling werken vertegenwoordigd zijn, samen met gespecialiseerde archivarissen, juristen, historici, informatici, managers et cetera.</w:t>
      </w:r>
      <w:r w:rsidRPr="00D147A7">
        <w:rPr>
          <w:kern w:val="0"/>
          <w:vertAlign w:val="superscript"/>
          <w:lang w:val="nl-NL" w:eastAsia="en-US" w:bidi="ar-SA"/>
        </w:rPr>
        <w:footnoteReference w:id="950"/>
      </w:r>
    </w:p>
    <w:p w:rsidR="00426625" w:rsidRPr="00D147A7" w:rsidRDefault="00426625" w:rsidP="00426625">
      <w:pPr>
        <w:widowControl/>
        <w:suppressAutoHyphens w:val="0"/>
        <w:spacing w:line="240" w:lineRule="atLeast"/>
        <w:jc w:val="both"/>
        <w:rPr>
          <w:kern w:val="0"/>
          <w:lang w:eastAsia="en-US" w:bidi="ar-SA"/>
        </w:rPr>
      </w:pPr>
    </w:p>
    <w:p w:rsidR="00426625" w:rsidRPr="00A45B1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Wat de bewaartermijn van de patiëntendossiers van huisartsen betreft, is het opvallend stil in de wetgeving en rechtsleer. Huisartsen – die eens te meer het zwakke broertje van het Franse gezondheidsrecht zijn – moeten enkel rekening houden met de verjaringstermijn en </w:t>
      </w:r>
      <w:r w:rsidR="00A45B17">
        <w:rPr>
          <w:kern w:val="0"/>
          <w:lang w:val="nl-NL" w:eastAsia="en-US" w:bidi="ar-SA"/>
        </w:rPr>
        <w:t xml:space="preserve">moeten </w:t>
      </w:r>
      <w:r w:rsidRPr="00D147A7">
        <w:rPr>
          <w:kern w:val="0"/>
          <w:lang w:val="nl-NL" w:eastAsia="en-US" w:bidi="ar-SA"/>
        </w:rPr>
        <w:t>hun patiëntendossiers dus tien jaar</w:t>
      </w:r>
      <w:r w:rsidR="00A45B17" w:rsidRPr="00A45B17">
        <w:rPr>
          <w:kern w:val="0"/>
          <w:lang w:val="nl-NL" w:eastAsia="en-US" w:bidi="ar-SA"/>
        </w:rPr>
        <w:t xml:space="preserve"> </w:t>
      </w:r>
      <w:r w:rsidR="00A45B17" w:rsidRPr="00D147A7">
        <w:rPr>
          <w:kern w:val="0"/>
          <w:lang w:val="nl-NL" w:eastAsia="en-US" w:bidi="ar-SA"/>
        </w:rPr>
        <w:t>bewaren</w:t>
      </w:r>
      <w:r w:rsidRPr="00D147A7">
        <w:rPr>
          <w:kern w:val="0"/>
          <w:lang w:val="nl-NL" w:eastAsia="en-US" w:bidi="ar-SA"/>
        </w:rPr>
        <w:t>.</w:t>
      </w:r>
      <w:r w:rsidRPr="00D147A7">
        <w:rPr>
          <w:kern w:val="0"/>
          <w:lang w:val="fr-BE" w:eastAsia="en-US" w:bidi="ar-SA"/>
        </w:rPr>
        <w:fldChar w:fldCharType="begin"/>
      </w:r>
      <w:r w:rsidRPr="00D147A7">
        <w:rPr>
          <w:kern w:val="0"/>
          <w:lang w:eastAsia="en-US" w:bidi="ar-SA"/>
        </w:rPr>
        <w:instrText xml:space="preserve"> LINK Excel.Sheet.12 "G:\\3. Bewaring\\!! GENOT-POK BEWAARTERMIJNEN.xlsx" Blad1!R13K5:R50K10 \a \f 4 \h  \* MERGEFORMAT </w:instrText>
      </w:r>
      <w:r w:rsidRPr="00D147A7">
        <w:rPr>
          <w:kern w:val="0"/>
          <w:lang w:val="fr-BE" w:eastAsia="en-US" w:bidi="ar-SA"/>
        </w:rPr>
        <w:fldChar w:fldCharType="separate"/>
      </w:r>
    </w:p>
    <w:tbl>
      <w:tblPr>
        <w:tblW w:w="9509" w:type="dxa"/>
        <w:tblInd w:w="70" w:type="dxa"/>
        <w:tblCellMar>
          <w:left w:w="70" w:type="dxa"/>
          <w:right w:w="70" w:type="dxa"/>
        </w:tblCellMar>
        <w:tblLook w:val="04A0" w:firstRow="1" w:lastRow="0" w:firstColumn="1" w:lastColumn="0" w:noHBand="0" w:noVBand="1"/>
      </w:tblPr>
      <w:tblGrid>
        <w:gridCol w:w="1496"/>
        <w:gridCol w:w="1824"/>
        <w:gridCol w:w="1345"/>
        <w:gridCol w:w="2015"/>
        <w:gridCol w:w="1189"/>
        <w:gridCol w:w="1640"/>
      </w:tblGrid>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16"/>
                <w:szCs w:val="16"/>
                <w:lang w:eastAsia="nl-BE" w:bidi="ar-SA"/>
              </w:rPr>
            </w:pPr>
            <w:r w:rsidRPr="00D147A7">
              <w:rPr>
                <w:rFonts w:eastAsia="Times New Roman"/>
                <w:b/>
                <w:bCs/>
                <w:smallCaps/>
                <w:color w:val="FFFFFF"/>
                <w:kern w:val="0"/>
                <w:sz w:val="16"/>
                <w:szCs w:val="16"/>
                <w:lang w:eastAsia="nl-BE" w:bidi="ar-SA"/>
              </w:rPr>
              <w:lastRenderedPageBreak/>
              <w:t>Soorten documenten en gegevens</w:t>
            </w:r>
          </w:p>
        </w:tc>
        <w:tc>
          <w:tcPr>
            <w:tcW w:w="1345"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16"/>
                <w:szCs w:val="16"/>
                <w:lang w:eastAsia="nl-BE" w:bidi="ar-SA"/>
              </w:rPr>
            </w:pPr>
            <w:r w:rsidRPr="00D147A7">
              <w:rPr>
                <w:rFonts w:eastAsia="Times New Roman"/>
                <w:b/>
                <w:bCs/>
                <w:smallCaps/>
                <w:color w:val="FFFFFF"/>
                <w:kern w:val="0"/>
                <w:sz w:val="16"/>
                <w:szCs w:val="16"/>
                <w:lang w:eastAsia="nl-BE" w:bidi="ar-SA"/>
              </w:rPr>
              <w:t>Bewaartermijn</w:t>
            </w:r>
          </w:p>
        </w:tc>
        <w:tc>
          <w:tcPr>
            <w:tcW w:w="2015"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16"/>
                <w:szCs w:val="16"/>
                <w:lang w:eastAsia="nl-BE" w:bidi="ar-SA"/>
              </w:rPr>
            </w:pPr>
            <w:r w:rsidRPr="00D147A7">
              <w:rPr>
                <w:rFonts w:eastAsia="Times New Roman"/>
                <w:b/>
                <w:bCs/>
                <w:smallCaps/>
                <w:color w:val="FFFFFF"/>
                <w:kern w:val="0"/>
                <w:sz w:val="16"/>
                <w:szCs w:val="16"/>
                <w:lang w:eastAsia="nl-BE" w:bidi="ar-SA"/>
              </w:rPr>
              <w:t>Aanvang</w:t>
            </w:r>
          </w:p>
        </w:tc>
        <w:tc>
          <w:tcPr>
            <w:tcW w:w="1189"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16"/>
                <w:szCs w:val="16"/>
                <w:lang w:eastAsia="nl-BE" w:bidi="ar-SA"/>
              </w:rPr>
            </w:pPr>
            <w:r w:rsidRPr="00D147A7">
              <w:rPr>
                <w:rFonts w:eastAsia="Times New Roman"/>
                <w:b/>
                <w:bCs/>
                <w:smallCaps/>
                <w:color w:val="FFFFFF"/>
                <w:kern w:val="0"/>
                <w:sz w:val="16"/>
                <w:szCs w:val="16"/>
                <w:lang w:eastAsia="nl-BE" w:bidi="ar-SA"/>
              </w:rPr>
              <w:t>Wettelijke basis</w:t>
            </w:r>
          </w:p>
        </w:tc>
        <w:tc>
          <w:tcPr>
            <w:tcW w:w="1640" w:type="dxa"/>
            <w:tcBorders>
              <w:top w:val="single" w:sz="4" w:space="0" w:color="auto"/>
              <w:left w:val="nil"/>
              <w:bottom w:val="single" w:sz="4" w:space="0" w:color="auto"/>
              <w:right w:val="single" w:sz="4" w:space="0" w:color="auto"/>
            </w:tcBorders>
            <w:shd w:val="clear" w:color="000000" w:fill="000000"/>
            <w:noWrap/>
            <w:vAlign w:val="center"/>
            <w:hideMark/>
          </w:tcPr>
          <w:p w:rsidR="00426625" w:rsidRPr="00D147A7" w:rsidRDefault="00426625" w:rsidP="00426625">
            <w:pPr>
              <w:widowControl/>
              <w:suppressAutoHyphens w:val="0"/>
              <w:jc w:val="center"/>
              <w:rPr>
                <w:rFonts w:eastAsia="Times New Roman"/>
                <w:b/>
                <w:bCs/>
                <w:smallCaps/>
                <w:color w:val="FFFFFF"/>
                <w:kern w:val="0"/>
                <w:sz w:val="16"/>
                <w:szCs w:val="16"/>
                <w:lang w:eastAsia="nl-BE" w:bidi="ar-SA"/>
              </w:rPr>
            </w:pPr>
            <w:r w:rsidRPr="00D147A7">
              <w:rPr>
                <w:rFonts w:eastAsia="Times New Roman"/>
                <w:b/>
                <w:bCs/>
                <w:smallCaps/>
                <w:color w:val="FFFFFF"/>
                <w:kern w:val="0"/>
                <w:sz w:val="16"/>
                <w:szCs w:val="16"/>
                <w:lang w:eastAsia="nl-BE" w:bidi="ar-SA"/>
              </w:rPr>
              <w:t>Verjaringstermijn (indien geen bewaartermijn)</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Medisch dossier van een gehospitaliseerde patiënt</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contact</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1112-2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Medisch dossier van een overleden patiënt</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Als de patiënt minder dan 10 jaar na het laatste contact overleed: 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Overlijdensdatum</w:t>
            </w:r>
          </w:p>
        </w:tc>
        <w:tc>
          <w:tcPr>
            <w:tcW w:w="11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1112-2 CSP</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contact</w:t>
            </w:r>
          </w:p>
        </w:tc>
        <w:tc>
          <w:tcPr>
            <w:tcW w:w="1189"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33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Medisch dossier van een minderjarige gehospitaliseerde patiënt</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Als de patiënt tijdens het laatste contact 8 jaar of jonger was: tot de 28</w:t>
            </w:r>
            <w:r w:rsidRPr="00D147A7">
              <w:rPr>
                <w:rFonts w:eastAsia="Times New Roman"/>
                <w:kern w:val="0"/>
                <w:sz w:val="16"/>
                <w:szCs w:val="16"/>
                <w:vertAlign w:val="superscript"/>
                <w:lang w:eastAsia="nl-BE" w:bidi="ar-SA"/>
              </w:rPr>
              <w:t>ste</w:t>
            </w:r>
            <w:r w:rsidRPr="00D147A7">
              <w:rPr>
                <w:rFonts w:eastAsia="Times New Roman"/>
                <w:kern w:val="0"/>
                <w:sz w:val="16"/>
                <w:szCs w:val="16"/>
                <w:lang w:eastAsia="nl-BE" w:bidi="ar-SA"/>
              </w:rPr>
              <w:t xml:space="preserve"> verjaardag van de patiënt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N.v.t.</w:t>
            </w:r>
          </w:p>
        </w:tc>
        <w:tc>
          <w:tcPr>
            <w:tcW w:w="11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1112-2 CSP</w:t>
            </w:r>
          </w:p>
        </w:tc>
        <w:tc>
          <w:tcPr>
            <w:tcW w:w="1640"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00"/>
        </w:trPr>
        <w:tc>
          <w:tcPr>
            <w:tcW w:w="3320" w:type="dxa"/>
            <w:gridSpan w:val="2"/>
            <w:vMerge/>
            <w:tcBorders>
              <w:top w:val="single" w:sz="4" w:space="0" w:color="auto"/>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contact</w:t>
            </w:r>
          </w:p>
        </w:tc>
        <w:tc>
          <w:tcPr>
            <w:tcW w:w="1189"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Bloedtransfusiedossiers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Beëindiging transfusie</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Europese richtlijn 2005/61/CE</w:t>
            </w:r>
            <w:r w:rsidRPr="00D147A7">
              <w:rPr>
                <w:rFonts w:eastAsia="Times New Roman"/>
                <w:color w:val="000000"/>
                <w:kern w:val="0"/>
                <w:sz w:val="16"/>
                <w:szCs w:val="16"/>
                <w:vertAlign w:val="superscript"/>
                <w:lang w:eastAsia="nl-BE" w:bidi="ar-SA"/>
              </w:rPr>
              <w:footnoteReference w:id="951"/>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Medisch dossier van een externe patiënt (consultatiedossier)</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contact</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1112-2 CSP; interministeriële instructie DHOS/DAF</w:t>
            </w:r>
            <w:r w:rsidRPr="00D147A7">
              <w:rPr>
                <w:rFonts w:eastAsia="Times New Roman"/>
                <w:color w:val="000000"/>
                <w:kern w:val="0"/>
                <w:sz w:val="16"/>
                <w:szCs w:val="16"/>
                <w:vertAlign w:val="superscript"/>
                <w:lang w:eastAsia="nl-BE" w:bidi="ar-SA"/>
              </w:rPr>
              <w:footnoteReference w:id="952"/>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Autopsierapport</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Beëindiging autopsie</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Serie R van het besluit van 11 maart 1968</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Elektronisch medisch dossier (DMP)</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contact</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L. 1111-18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Medisch bijstand bij de voortplanting (AMP)</w:t>
            </w: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Medisch dossier van de patiënte</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Bevruchting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Besluit van 11 april 2008</w:t>
            </w:r>
            <w:r w:rsidRPr="00D147A7">
              <w:rPr>
                <w:rFonts w:eastAsia="Times New Roman"/>
                <w:color w:val="000000"/>
                <w:kern w:val="0"/>
                <w:sz w:val="16"/>
                <w:szCs w:val="16"/>
                <w:vertAlign w:val="superscript"/>
                <w:lang w:eastAsia="nl-BE" w:bidi="ar-SA"/>
              </w:rPr>
              <w:footnoteReference w:id="953"/>
            </w:r>
            <w:r w:rsidRPr="00D147A7">
              <w:rPr>
                <w:rFonts w:eastAsia="Times New Roman"/>
                <w:color w:val="000000"/>
                <w:kern w:val="0"/>
                <w:sz w:val="16"/>
                <w:szCs w:val="16"/>
                <w:lang w:eastAsia="nl-BE" w:bidi="ar-SA"/>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Donordossier</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Bevruchting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1244-5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Register van donorregistraties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 (maar de wet raadt aan om permanent te bewaren)</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Klinisch gebruik</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Bijlage bij het besluit van 11 april 2008</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Bewaringsregisters m.b.t. geslachtscellen, kiemweefsel en embryo's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40 jaar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Inseminatie geslachtscellen/transplantatie kiemweefsel/overdracht embryo's</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2142-21-2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Informatie m.b.t. de personen die de embryo bevruchtten en informatie die toelaat om deze personen aan de (on)geboren kinderen te koppelen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Bevruchting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2141-8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Gegevens m.b.t. genetisch onderzoek (schriftelijke toestemming, kopieën van voorschriften voor genetisch onderzoek, verslagen van klinische analyses, verslagen van klinische analyses en toelichtende commentaar)</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 in het medisch dossier van de patiënt</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Bevruchting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1131-20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Registerboeken van voorschriften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aantekening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5125-45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lastRenderedPageBreak/>
              <w:t>Registers m.b.t. bloedafdrijvende geneesmiddelen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aantekening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5121-195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Registers m.b.t. in- en uitgang van verdovende middelen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Laatste aantekening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R. 5132-10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Negatieven van röntgenfoto's uitgevoerd in dienst van externe consultaties op ambulante patiënten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Meegegeven aan patiënten of worden aan diens behandelende arts bezorgd</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N.v.t.</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Rondzendbrief van 2 augustus 1960</w:t>
            </w:r>
            <w:r w:rsidRPr="00D147A7">
              <w:rPr>
                <w:rFonts w:eastAsia="Times New Roman"/>
                <w:kern w:val="0"/>
                <w:sz w:val="16"/>
                <w:szCs w:val="16"/>
                <w:vertAlign w:val="superscript"/>
                <w:lang w:eastAsia="nl-BE" w:bidi="ar-SA"/>
              </w:rPr>
              <w:footnoteReference w:id="954"/>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Negatieven van röntgenfoto's uitgevoerd in dienst van externe consultaties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5 jaar (indien niet meegegeven aan de patiënt)</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Ontwikkeling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Rondzendbrief van 2 augustus 1960</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b/>
                <w:bCs/>
                <w:kern w:val="0"/>
                <w:sz w:val="16"/>
                <w:szCs w:val="16"/>
                <w:lang w:eastAsia="nl-BE" w:bidi="ar-SA"/>
              </w:rPr>
              <w:t xml:space="preserve">Negatieven van radiografieën uitgevoerd in dienst van hospitalisaties </w:t>
            </w:r>
            <w:r w:rsidRPr="00D147A7">
              <w:rPr>
                <w:rFonts w:eastAsia="Times New Roman"/>
                <w:bCs/>
                <w:kern w:val="0"/>
                <w:sz w:val="16"/>
                <w:szCs w:val="16"/>
                <w:lang w:eastAsia="nl-BE" w:bidi="ar-SA"/>
              </w:rPr>
              <w:t>(zijn integraal onderdeel van de medische dossiers; het ziekenhuis moet</w:t>
            </w:r>
            <w:r w:rsidRPr="00D147A7">
              <w:rPr>
                <w:rFonts w:eastAsia="Times New Roman"/>
                <w:b/>
                <w:bCs/>
                <w:kern w:val="0"/>
                <w:sz w:val="16"/>
                <w:szCs w:val="16"/>
                <w:lang w:eastAsia="nl-BE" w:bidi="ar-SA"/>
              </w:rPr>
              <w:t xml:space="preserve"> </w:t>
            </w:r>
            <w:r w:rsidRPr="00D147A7">
              <w:rPr>
                <w:rFonts w:eastAsia="Times New Roman"/>
                <w:bCs/>
                <w:kern w:val="0"/>
                <w:sz w:val="16"/>
                <w:szCs w:val="16"/>
                <w:lang w:eastAsia="nl-BE" w:bidi="ar-SA"/>
              </w:rPr>
              <w:t>dus</w:t>
            </w:r>
            <w:r w:rsidRPr="00D147A7">
              <w:rPr>
                <w:rFonts w:eastAsia="Times New Roman"/>
                <w:b/>
                <w:bCs/>
                <w:kern w:val="0"/>
                <w:sz w:val="16"/>
                <w:szCs w:val="16"/>
                <w:lang w:eastAsia="nl-BE" w:bidi="ar-SA"/>
              </w:rPr>
              <w:t xml:space="preserve"> </w:t>
            </w:r>
            <w:r w:rsidRPr="00D147A7">
              <w:rPr>
                <w:rFonts w:eastAsia="Times New Roman"/>
                <w:color w:val="000000"/>
                <w:kern w:val="0"/>
                <w:sz w:val="16"/>
                <w:szCs w:val="16"/>
                <w:lang w:eastAsia="nl-BE" w:bidi="ar-SA"/>
              </w:rPr>
              <w:t>de originele clichés van radiografieën bewaren)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20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Ontwikkeling</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Rondzendbrief van 2 augustus 1960; art. R. 1111-7 en art. R. 1112-2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Orgaandonaties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Donatie</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Rondzendbrief 94-11 van 20 oktober 1994</w:t>
            </w:r>
            <w:r w:rsidRPr="00D147A7">
              <w:rPr>
                <w:rFonts w:eastAsia="Times New Roman"/>
                <w:color w:val="000000"/>
                <w:kern w:val="0"/>
                <w:sz w:val="16"/>
                <w:szCs w:val="16"/>
                <w:vertAlign w:val="superscript"/>
                <w:lang w:eastAsia="nl-BE" w:bidi="ar-SA"/>
              </w:rPr>
              <w:footnoteReference w:id="955"/>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Consultatiedossiers in het informatie- en (anoniem en gratis) opsporingscentrum (CIDAG)</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 na vaststelling</w:t>
            </w:r>
          </w:p>
        </w:tc>
      </w:tr>
      <w:tr w:rsidR="00426625" w:rsidRPr="00D147A7" w:rsidTr="004721B1">
        <w:trPr>
          <w:trHeight w:val="315"/>
        </w:trPr>
        <w:tc>
          <w:tcPr>
            <w:tcW w:w="1496"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 xml:space="preserve">Biomedische onderzoeksdossiers. </w:t>
            </w: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Dossiers, rapporten, beraadslagingen en adviezen (door het CNIL bewaard)</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10 jaar na het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1123-16 en art. R. 1123-61 CSP; besluit van 8 november 2006</w:t>
            </w:r>
            <w:r w:rsidRPr="00D147A7">
              <w:rPr>
                <w:rFonts w:eastAsia="Times New Roman"/>
                <w:color w:val="000000"/>
                <w:kern w:val="0"/>
                <w:sz w:val="16"/>
                <w:szCs w:val="16"/>
                <w:vertAlign w:val="superscript"/>
                <w:lang w:eastAsia="nl-BE" w:bidi="ar-SA"/>
              </w:rPr>
              <w:footnoteReference w:id="956"/>
            </w:r>
            <w:r w:rsidRPr="00D147A7">
              <w:rPr>
                <w:rFonts w:eastAsia="Times New Roman"/>
                <w:color w:val="000000"/>
                <w:kern w:val="0"/>
                <w:sz w:val="16"/>
                <w:szCs w:val="16"/>
                <w:lang w:eastAsia="nl-BE" w:bidi="ar-SA"/>
              </w:rPr>
              <w:t>; besluit van 11 augustus 2008</w:t>
            </w:r>
            <w:r w:rsidRPr="00D147A7">
              <w:rPr>
                <w:rFonts w:eastAsia="Times New Roman"/>
                <w:color w:val="000000"/>
                <w:kern w:val="0"/>
                <w:sz w:val="16"/>
                <w:szCs w:val="16"/>
                <w:vertAlign w:val="superscript"/>
                <w:lang w:eastAsia="nl-BE" w:bidi="ar-SA"/>
              </w:rPr>
              <w:footnoteReference w:id="957"/>
            </w:r>
          </w:p>
        </w:tc>
        <w:tc>
          <w:tcPr>
            <w:tcW w:w="1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6625" w:rsidRPr="00D147A7" w:rsidRDefault="00426625" w:rsidP="00426625">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Documenten en gegevens m.b.t. het onderzoek (door promotor en onderzoeker bewaard)</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15 jaar </w:t>
            </w:r>
          </w:p>
        </w:tc>
        <w:tc>
          <w:tcPr>
            <w:tcW w:w="2015" w:type="dxa"/>
            <w:vMerge w:val="restart"/>
            <w:tcBorders>
              <w:top w:val="nil"/>
              <w:left w:val="single" w:sz="4" w:space="0" w:color="auto"/>
              <w:bottom w:val="single" w:sz="4" w:space="0" w:color="auto"/>
              <w:right w:val="single" w:sz="4" w:space="0" w:color="auto"/>
            </w:tcBorders>
            <w:shd w:val="clear" w:color="auto" w:fill="auto"/>
            <w:noWrap/>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6"/>
                <w:szCs w:val="16"/>
                <w:lang w:eastAsia="nl-BE" w:bidi="ar-SA"/>
              </w:rPr>
            </w:pP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Kunnen langer bewaard worden op grond van een overeenkomst tussen promotor en onderzoeker</w:t>
            </w:r>
          </w:p>
        </w:tc>
        <w:tc>
          <w:tcPr>
            <w:tcW w:w="2015"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kern w:val="0"/>
                <w:sz w:val="16"/>
                <w:szCs w:val="16"/>
                <w:lang w:eastAsia="nl-BE" w:bidi="ar-SA"/>
              </w:rPr>
            </w:pP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Documenten m.b.t. biomedische onderzoeken naar bloedafdrijvende geneesmiddelen (door promotor en onderzoeker bewaard)</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Documenten m.b.t. medische apparatuur en medische apparatuur voor het stellen van in vitro-diagnoses</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15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Documenten over medische apparatuur m.b.t. stoffen die als bloedafdrijvend geneesmiddel kunnen worden beschouwd </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Documenten over cosmetische producten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xml:space="preserve">Documenten over onstabiele bloedstalen, organen, menselijk of dierlijk weefsel en cellulaire preparaten </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Documenten die geen betrekking hebben op een product als bedoeld in art. L. 5311-1 CSP</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15 jaar</w:t>
            </w:r>
          </w:p>
          <w:p w:rsidR="00426625" w:rsidRPr="00D147A7" w:rsidRDefault="00426625" w:rsidP="00426625">
            <w:pPr>
              <w:widowControl/>
              <w:suppressAutoHyphens w:val="0"/>
              <w:rPr>
                <w:rFonts w:eastAsia="Times New Roman"/>
                <w:kern w:val="0"/>
                <w:sz w:val="16"/>
                <w:szCs w:val="16"/>
                <w:lang w:eastAsia="nl-BE" w:bidi="ar-SA"/>
              </w:rPr>
            </w:pPr>
          </w:p>
          <w:p w:rsidR="00426625" w:rsidRPr="00D147A7" w:rsidRDefault="00426625" w:rsidP="00426625">
            <w:pPr>
              <w:widowControl/>
              <w:suppressAutoHyphens w:val="0"/>
              <w:rPr>
                <w:rFonts w:eastAsia="Times New Roman"/>
                <w:kern w:val="0"/>
                <w:sz w:val="16"/>
                <w:szCs w:val="16"/>
                <w:lang w:eastAsia="nl-BE" w:bidi="ar-SA"/>
              </w:rPr>
            </w:pPr>
          </w:p>
          <w:p w:rsidR="00426625" w:rsidRPr="00D147A7" w:rsidRDefault="00426625" w:rsidP="00426625">
            <w:pPr>
              <w:widowControl/>
              <w:suppressAutoHyphens w:val="0"/>
              <w:rPr>
                <w:rFonts w:eastAsia="Times New Roman"/>
                <w:kern w:val="0"/>
                <w:sz w:val="16"/>
                <w:szCs w:val="16"/>
                <w:lang w:eastAsia="nl-BE" w:bidi="ar-SA"/>
              </w:rPr>
            </w:pP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Einde of voortijdige beëindiging van het biomedisch onderzoek</w:t>
            </w:r>
          </w:p>
        </w:tc>
        <w:tc>
          <w:tcPr>
            <w:tcW w:w="1189"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c>
          <w:tcPr>
            <w:tcW w:w="1640" w:type="dxa"/>
            <w:vMerge/>
            <w:tcBorders>
              <w:top w:val="nil"/>
              <w:left w:val="single" w:sz="4" w:space="0" w:color="auto"/>
              <w:bottom w:val="single" w:sz="4" w:space="0" w:color="auto"/>
              <w:right w:val="single" w:sz="4" w:space="0" w:color="auto"/>
            </w:tcBorders>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p>
        </w:tc>
      </w:tr>
      <w:tr w:rsidR="00426625" w:rsidRPr="00D147A7" w:rsidTr="004721B1">
        <w:trPr>
          <w:trHeight w:val="315"/>
        </w:trPr>
        <w:tc>
          <w:tcPr>
            <w:tcW w:w="1496" w:type="dxa"/>
            <w:vMerge w:val="restart"/>
            <w:tcBorders>
              <w:top w:val="nil"/>
              <w:left w:val="single" w:sz="4" w:space="0" w:color="auto"/>
              <w:bottom w:val="single" w:sz="4" w:space="0" w:color="000000"/>
              <w:right w:val="single" w:sz="4" w:space="0" w:color="auto"/>
            </w:tcBorders>
            <w:shd w:val="clear" w:color="auto" w:fill="auto"/>
            <w:noWrap/>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Materiovigilantie</w:t>
            </w: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Opsporing van gegevens over medische hulpmiddelen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10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 R. 5212-37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1496" w:type="dxa"/>
            <w:vMerge/>
            <w:tcBorders>
              <w:top w:val="nil"/>
              <w:left w:val="single" w:sz="4" w:space="0" w:color="auto"/>
              <w:bottom w:val="single" w:sz="4" w:space="0" w:color="000000"/>
              <w:right w:val="single" w:sz="4" w:space="0" w:color="auto"/>
            </w:tcBorders>
            <w:vAlign w:val="center"/>
            <w:hideMark/>
          </w:tcPr>
          <w:p w:rsidR="00426625" w:rsidRPr="00D147A7" w:rsidRDefault="00426625" w:rsidP="00426625">
            <w:pPr>
              <w:widowControl/>
              <w:suppressAutoHyphens w:val="0"/>
              <w:rPr>
                <w:rFonts w:eastAsia="Times New Roman"/>
                <w:b/>
                <w:bCs/>
                <w:kern w:val="0"/>
                <w:sz w:val="16"/>
                <w:szCs w:val="16"/>
                <w:lang w:eastAsia="nl-BE" w:bidi="ar-SA"/>
              </w:rPr>
            </w:pP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Voor medische hulpmiddelen die een stof kunnen opnemen, die als bloedafdrijvend geneesmiddel kan worden beschouwd</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40 jaar</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r>
      <w:tr w:rsidR="00426625" w:rsidRPr="00D147A7" w:rsidTr="004721B1">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Protocollen van in-vitrofertilisatie</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 jaar</w:t>
            </w:r>
          </w:p>
        </w:tc>
      </w:tr>
      <w:tr w:rsidR="00426625" w:rsidRPr="00D147A7" w:rsidTr="004721B1">
        <w:trPr>
          <w:trHeight w:val="315"/>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Spoeddienst (SAMU)</w:t>
            </w: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Bandopnames van oproepen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Tussen 3 maanden en 1 jaar (naar analogie met de antigifcentra, die eenzelfde werkwijze hebben)</w:t>
            </w:r>
          </w:p>
        </w:tc>
      </w:tr>
      <w:tr w:rsidR="00426625" w:rsidRPr="00D147A7" w:rsidTr="004721B1">
        <w:trPr>
          <w:trHeight w:val="315"/>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b/>
                <w:bCs/>
                <w:kern w:val="0"/>
                <w:sz w:val="16"/>
                <w:szCs w:val="16"/>
                <w:lang w:eastAsia="nl-BE" w:bidi="ar-SA"/>
              </w:rPr>
            </w:pPr>
            <w:r w:rsidRPr="00D147A7">
              <w:rPr>
                <w:rFonts w:eastAsia="Times New Roman"/>
                <w:b/>
                <w:bCs/>
                <w:kern w:val="0"/>
                <w:sz w:val="16"/>
                <w:szCs w:val="16"/>
                <w:lang w:eastAsia="nl-BE" w:bidi="ar-SA"/>
              </w:rPr>
              <w:t>Antigifcentrum</w:t>
            </w:r>
          </w:p>
        </w:tc>
        <w:tc>
          <w:tcPr>
            <w:tcW w:w="1824"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Bandopnames van oproepen</w:t>
            </w:r>
          </w:p>
        </w:tc>
        <w:tc>
          <w:tcPr>
            <w:tcW w:w="134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3 maanden</w:t>
            </w:r>
          </w:p>
        </w:tc>
        <w:tc>
          <w:tcPr>
            <w:tcW w:w="2015"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 </w:t>
            </w:r>
          </w:p>
        </w:tc>
        <w:tc>
          <w:tcPr>
            <w:tcW w:w="1189"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kern w:val="0"/>
                <w:sz w:val="16"/>
                <w:szCs w:val="16"/>
                <w:lang w:eastAsia="nl-BE" w:bidi="ar-SA"/>
              </w:rPr>
            </w:pPr>
            <w:r w:rsidRPr="00D147A7">
              <w:rPr>
                <w:rFonts w:eastAsia="Times New Roman"/>
                <w:kern w:val="0"/>
                <w:sz w:val="16"/>
                <w:szCs w:val="16"/>
                <w:lang w:eastAsia="nl-BE" w:bidi="ar-SA"/>
              </w:rPr>
              <w:t>Art. D. 6141-46 CSP</w:t>
            </w:r>
          </w:p>
        </w:tc>
        <w:tc>
          <w:tcPr>
            <w:tcW w:w="1640" w:type="dxa"/>
            <w:tcBorders>
              <w:top w:val="nil"/>
              <w:left w:val="nil"/>
              <w:bottom w:val="single" w:sz="4" w:space="0" w:color="auto"/>
              <w:right w:val="single" w:sz="4" w:space="0" w:color="auto"/>
            </w:tcBorders>
            <w:shd w:val="clear" w:color="auto" w:fill="auto"/>
            <w:noWrap/>
            <w:vAlign w:val="center"/>
            <w:hideMark/>
          </w:tcPr>
          <w:p w:rsidR="00426625" w:rsidRPr="00D147A7" w:rsidRDefault="00426625" w:rsidP="00426625">
            <w:pPr>
              <w:widowControl/>
              <w:suppressAutoHyphens w:val="0"/>
              <w:rPr>
                <w:rFonts w:eastAsia="Times New Roman"/>
                <w:color w:val="000000"/>
                <w:kern w:val="0"/>
                <w:sz w:val="22"/>
                <w:szCs w:val="22"/>
                <w:lang w:eastAsia="nl-BE" w:bidi="ar-SA"/>
              </w:rPr>
            </w:pPr>
            <w:r w:rsidRPr="00D147A7">
              <w:rPr>
                <w:rFonts w:eastAsia="Times New Roman"/>
                <w:color w:val="000000"/>
                <w:kern w:val="0"/>
                <w:sz w:val="22"/>
                <w:szCs w:val="22"/>
                <w:lang w:eastAsia="nl-BE" w:bidi="ar-SA"/>
              </w:rPr>
              <w:t> </w:t>
            </w:r>
          </w:p>
        </w:tc>
      </w:tr>
    </w:tbl>
    <w:p w:rsidR="00426625" w:rsidRPr="00D147A7" w:rsidRDefault="00426625" w:rsidP="00426625">
      <w:pPr>
        <w:widowControl/>
        <w:suppressAutoHyphens w:val="0"/>
        <w:spacing w:line="240" w:lineRule="atLeast"/>
        <w:jc w:val="center"/>
        <w:rPr>
          <w:kern w:val="0"/>
          <w:lang w:eastAsia="en-US" w:bidi="ar-SA"/>
        </w:rPr>
      </w:pPr>
      <w:r w:rsidRPr="00D147A7">
        <w:rPr>
          <w:kern w:val="0"/>
          <w:lang w:val="fr-BE" w:eastAsia="en-US" w:bidi="ar-SA"/>
        </w:rPr>
        <w:fldChar w:fldCharType="end"/>
      </w:r>
      <w:r w:rsidRPr="00D147A7">
        <w:rPr>
          <w:kern w:val="0"/>
          <w:lang w:eastAsia="en-US" w:bidi="ar-SA"/>
        </w:rPr>
        <w:t>Tabel 17: Bewaartermijnen van medische documenten en gegevens in Franse verzorgingsinstellingen</w:t>
      </w:r>
      <w:r w:rsidRPr="00D147A7">
        <w:rPr>
          <w:kern w:val="0"/>
          <w:vertAlign w:val="superscript"/>
          <w:lang w:val="fr-BE" w:eastAsia="en-US" w:bidi="ar-SA"/>
        </w:rPr>
        <w:footnoteReference w:id="958"/>
      </w:r>
    </w:p>
    <w:p w:rsidR="00426625" w:rsidRPr="00D147A7" w:rsidRDefault="00426625" w:rsidP="00426625">
      <w:pPr>
        <w:widowControl/>
        <w:suppressAutoHyphens w:val="0"/>
        <w:spacing w:line="240" w:lineRule="atLeast"/>
        <w:jc w:val="both"/>
        <w:rPr>
          <w:kern w:val="0"/>
          <w:lang w:eastAsia="en-US" w:bidi="ar-SA"/>
        </w:rPr>
      </w:pPr>
    </w:p>
    <w:p w:rsidR="00426625" w:rsidRPr="00D147A7" w:rsidRDefault="00426625" w:rsidP="00426625">
      <w:pPr>
        <w:widowControl/>
        <w:suppressAutoHyphens w:val="0"/>
        <w:spacing w:line="240" w:lineRule="atLeast"/>
        <w:jc w:val="both"/>
        <w:rPr>
          <w:b/>
          <w:bCs/>
          <w:smallCaps/>
          <w:kern w:val="0"/>
          <w:lang w:val="nl-NL" w:eastAsia="en-US" w:bidi="ar-SA"/>
        </w:rPr>
      </w:pPr>
    </w:p>
    <w:p w:rsidR="00426625" w:rsidRPr="00D147A7" w:rsidRDefault="004E22A3" w:rsidP="004E22A3">
      <w:pPr>
        <w:pStyle w:val="Geenafstand"/>
        <w:rPr>
          <w:rFonts w:ascii="Times New Roman" w:hAnsi="Times New Roman" w:cs="Times New Roman"/>
          <w:smallCaps/>
          <w:sz w:val="24"/>
          <w:szCs w:val="24"/>
          <w:lang w:val="nl-NL"/>
        </w:rPr>
      </w:pPr>
      <w:r w:rsidRPr="00D147A7">
        <w:rPr>
          <w:rFonts w:ascii="Times New Roman" w:hAnsi="Times New Roman" w:cs="Times New Roman"/>
          <w:smallCaps/>
          <w:sz w:val="24"/>
          <w:szCs w:val="24"/>
          <w:lang w:val="nl-NL"/>
        </w:rPr>
        <w:t xml:space="preserve">3.4 </w:t>
      </w:r>
      <w:r w:rsidR="00426625" w:rsidRPr="00D147A7">
        <w:rPr>
          <w:rFonts w:ascii="Times New Roman" w:hAnsi="Times New Roman" w:cs="Times New Roman"/>
          <w:smallCaps/>
          <w:sz w:val="24"/>
          <w:szCs w:val="24"/>
          <w:lang w:val="nl-NL"/>
        </w:rPr>
        <w:t xml:space="preserve">Conclusie en aanbevelingen </w:t>
      </w:r>
      <w:r w:rsidR="00426625" w:rsidRPr="00D147A7">
        <w:rPr>
          <w:rFonts w:ascii="Times New Roman" w:hAnsi="Times New Roman" w:cs="Times New Roman"/>
          <w:i/>
          <w:smallCaps/>
          <w:sz w:val="24"/>
          <w:szCs w:val="24"/>
          <w:lang w:val="nl-NL"/>
        </w:rPr>
        <w:t>de lege ferenda</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In België, Nederland en Frankrijk zijn de bepalingen omtrent de verantwoordelijkheden bij de bewaring van patiëntendossiers nagenoeg identiek. Omdat gezondheidsgegevens krachtens de privacywetgeving enkel onder het toezicht van een beroepsbeoefenaar in de gezondheidszorg verwerkt </w:t>
      </w:r>
      <w:r w:rsidR="00A45B17" w:rsidRPr="00D147A7">
        <w:rPr>
          <w:kern w:val="0"/>
          <w:lang w:val="nl-NL" w:eastAsia="en-US" w:bidi="ar-SA"/>
        </w:rPr>
        <w:t xml:space="preserve">mogen worden </w:t>
      </w:r>
      <w:r w:rsidRPr="00D147A7">
        <w:rPr>
          <w:kern w:val="0"/>
          <w:lang w:val="nl-NL" w:eastAsia="en-US" w:bidi="ar-SA"/>
        </w:rPr>
        <w:t xml:space="preserve">– waartoe ook de bewaring gerekend wordt –, zijn zorgverleners verantwoordelijk voor het archiefbeheer. Het verdient wel aanbeveling om het archiefbeheer in verzorgingsinstellingen te decentraliseren door deze verantwoordelijkheid </w:t>
      </w:r>
      <w:r w:rsidR="00A45B17">
        <w:rPr>
          <w:kern w:val="0"/>
          <w:lang w:val="nl-NL" w:eastAsia="en-US" w:bidi="ar-SA"/>
        </w:rPr>
        <w:t xml:space="preserve">toe te vertrou-wen </w:t>
      </w:r>
      <w:r w:rsidRPr="00D147A7">
        <w:rPr>
          <w:kern w:val="0"/>
          <w:lang w:val="nl-NL" w:eastAsia="en-US" w:bidi="ar-SA"/>
        </w:rPr>
        <w:t xml:space="preserve">aan verschillende soorten in een medische archiefcommissie </w:t>
      </w:r>
      <w:r w:rsidR="00A45B17" w:rsidRPr="00D147A7">
        <w:rPr>
          <w:kern w:val="0"/>
          <w:lang w:val="nl-NL" w:eastAsia="en-US" w:bidi="ar-SA"/>
        </w:rPr>
        <w:t>verenigd</w:t>
      </w:r>
      <w:r w:rsidR="00A45B17">
        <w:rPr>
          <w:kern w:val="0"/>
          <w:lang w:val="nl-NL" w:eastAsia="en-US" w:bidi="ar-SA"/>
        </w:rPr>
        <w:t>e</w:t>
      </w:r>
      <w:r w:rsidR="00A45B17" w:rsidRPr="00D147A7">
        <w:rPr>
          <w:kern w:val="0"/>
          <w:lang w:val="nl-NL" w:eastAsia="en-US" w:bidi="ar-SA"/>
        </w:rPr>
        <w:t xml:space="preserve"> geneesheren</w:t>
      </w:r>
      <w:r w:rsidRPr="00D147A7">
        <w:rPr>
          <w:kern w:val="0"/>
          <w:lang w:val="nl-NL" w:eastAsia="en-US" w:bidi="ar-SA"/>
        </w:rPr>
        <w:t>. De archiefzorg kan daarentegen ook door niet-zorgverleners, zoals directeurs of raden van be</w:t>
      </w:r>
      <w:r w:rsidR="00A45B17">
        <w:rPr>
          <w:kern w:val="0"/>
          <w:lang w:val="nl-NL" w:eastAsia="en-US" w:bidi="ar-SA"/>
        </w:rPr>
        <w:t>-</w:t>
      </w:r>
      <w:r w:rsidRPr="00D147A7">
        <w:rPr>
          <w:kern w:val="0"/>
          <w:lang w:val="nl-NL" w:eastAsia="en-US" w:bidi="ar-SA"/>
        </w:rPr>
        <w:t xml:space="preserve">stuur van verzorgingsinstellingen, berusten. In Nederlandse verzorgingsinstellingen </w:t>
      </w:r>
      <w:r w:rsidR="00A45B17">
        <w:rPr>
          <w:kern w:val="0"/>
          <w:lang w:val="nl-NL" w:eastAsia="en-US" w:bidi="ar-SA"/>
        </w:rPr>
        <w:t>zijn alle</w:t>
      </w:r>
      <w:r w:rsidRPr="00D147A7">
        <w:rPr>
          <w:kern w:val="0"/>
          <w:lang w:val="nl-NL" w:eastAsia="en-US" w:bidi="ar-SA"/>
        </w:rPr>
        <w:t xml:space="preserve"> zorgverlener</w:t>
      </w:r>
      <w:r w:rsidR="00A45B17">
        <w:rPr>
          <w:kern w:val="0"/>
          <w:lang w:val="nl-NL" w:eastAsia="en-US" w:bidi="ar-SA"/>
        </w:rPr>
        <w:t>s</w:t>
      </w:r>
      <w:r w:rsidRPr="00D147A7">
        <w:rPr>
          <w:kern w:val="0"/>
          <w:lang w:val="nl-NL" w:eastAsia="en-US" w:bidi="ar-SA"/>
        </w:rPr>
        <w:t xml:space="preserve"> verantwoordelijk voor het beheer van </w:t>
      </w:r>
      <w:r w:rsidR="00A45B17">
        <w:rPr>
          <w:kern w:val="0"/>
          <w:lang w:val="nl-NL" w:eastAsia="en-US" w:bidi="ar-SA"/>
        </w:rPr>
        <w:t>de door hen gevormde</w:t>
      </w:r>
      <w:r w:rsidRPr="00D147A7">
        <w:rPr>
          <w:kern w:val="0"/>
          <w:lang w:val="nl-NL" w:eastAsia="en-US" w:bidi="ar-SA"/>
        </w:rPr>
        <w:t xml:space="preserve"> patiëntendossiers. Hoewel in Belgische en Franse verzorgingsinstellingen een afzonderlijke geneesheer aange</w:t>
      </w:r>
      <w:r w:rsidR="00A45B17">
        <w:rPr>
          <w:kern w:val="0"/>
          <w:lang w:val="nl-NL" w:eastAsia="en-US" w:bidi="ar-SA"/>
        </w:rPr>
        <w:t>-</w:t>
      </w:r>
      <w:r w:rsidRPr="00D147A7">
        <w:rPr>
          <w:kern w:val="0"/>
          <w:lang w:val="nl-NL" w:eastAsia="en-US" w:bidi="ar-SA"/>
        </w:rPr>
        <w:t>steld wordt voor het beheer van alle patiëntendossiers van de instelling, blijven individuele zorgverleners medeverantwoordelijk voor de bewaring van ‘hun’ patiëntendossiers. In navol</w:t>
      </w:r>
      <w:r w:rsidR="00A45B17">
        <w:rPr>
          <w:kern w:val="0"/>
          <w:lang w:val="nl-NL" w:eastAsia="en-US" w:bidi="ar-SA"/>
        </w:rPr>
        <w:t>-</w:t>
      </w:r>
      <w:r w:rsidRPr="00D147A7">
        <w:rPr>
          <w:kern w:val="0"/>
          <w:lang w:val="nl-NL" w:eastAsia="en-US" w:bidi="ar-SA"/>
        </w:rPr>
        <w:t xml:space="preserve">ging van de Franse wetgeving </w:t>
      </w:r>
      <w:r w:rsidR="00A45B17">
        <w:rPr>
          <w:kern w:val="0"/>
          <w:lang w:val="nl-NL" w:eastAsia="en-US" w:bidi="ar-SA"/>
        </w:rPr>
        <w:t>zou</w:t>
      </w:r>
      <w:r w:rsidRPr="00D147A7">
        <w:rPr>
          <w:kern w:val="0"/>
          <w:lang w:val="nl-NL" w:eastAsia="en-US" w:bidi="ar-SA"/>
        </w:rPr>
        <w:t xml:space="preserve"> de archiefzorg in verzorgingsinstellingen beter geregeld </w:t>
      </w:r>
      <w:r w:rsidR="00A45B17">
        <w:rPr>
          <w:kern w:val="0"/>
          <w:lang w:val="nl-NL" w:eastAsia="en-US" w:bidi="ar-SA"/>
        </w:rPr>
        <w:t xml:space="preserve">moeten </w:t>
      </w:r>
      <w:r w:rsidRPr="00D147A7">
        <w:rPr>
          <w:kern w:val="0"/>
          <w:lang w:val="nl-NL" w:eastAsia="en-US" w:bidi="ar-SA"/>
        </w:rPr>
        <w:t xml:space="preserve">worden. Zo </w:t>
      </w:r>
      <w:r w:rsidR="00A45B17">
        <w:rPr>
          <w:kern w:val="0"/>
          <w:lang w:val="nl-NL" w:eastAsia="en-US" w:bidi="ar-SA"/>
        </w:rPr>
        <w:t>moet</w:t>
      </w:r>
      <w:r w:rsidRPr="00D147A7">
        <w:rPr>
          <w:kern w:val="0"/>
          <w:lang w:val="nl-NL" w:eastAsia="en-US" w:bidi="ar-SA"/>
        </w:rPr>
        <w:t xml:space="preserve"> er een juridisch waterdichte regeling uitgewerkt </w:t>
      </w:r>
      <w:r w:rsidR="00A45B17" w:rsidRPr="00D147A7">
        <w:rPr>
          <w:kern w:val="0"/>
          <w:lang w:val="nl-NL" w:eastAsia="en-US" w:bidi="ar-SA"/>
        </w:rPr>
        <w:t xml:space="preserve">worden </w:t>
      </w:r>
      <w:r w:rsidRPr="00D147A7">
        <w:rPr>
          <w:kern w:val="0"/>
          <w:lang w:val="nl-NL" w:eastAsia="en-US" w:bidi="ar-SA"/>
        </w:rPr>
        <w:t xml:space="preserve">waarbij zorgdragers hun verantwoordelijkheden </w:t>
      </w:r>
      <w:r w:rsidR="00A45B17">
        <w:rPr>
          <w:kern w:val="0"/>
          <w:lang w:val="nl-NL" w:eastAsia="en-US" w:bidi="ar-SA"/>
        </w:rPr>
        <w:t xml:space="preserve">formeel </w:t>
      </w:r>
      <w:r w:rsidRPr="00D147A7">
        <w:rPr>
          <w:kern w:val="0"/>
          <w:lang w:val="nl-NL" w:eastAsia="en-US" w:bidi="ar-SA"/>
        </w:rPr>
        <w:t>aan hun opvolger over</w:t>
      </w:r>
      <w:r w:rsidR="00A45B17">
        <w:rPr>
          <w:kern w:val="0"/>
          <w:lang w:val="nl-NL" w:eastAsia="en-US" w:bidi="ar-SA"/>
        </w:rPr>
        <w:t xml:space="preserve"> zouden </w:t>
      </w:r>
      <w:r w:rsidRPr="00D147A7">
        <w:rPr>
          <w:kern w:val="0"/>
          <w:lang w:val="nl-NL" w:eastAsia="en-US" w:bidi="ar-SA"/>
        </w:rPr>
        <w:t>dragen. Het is ook aanbevelenswaardig om zorgdragers er wettelijk toe te verplichten om een verzekering af te sluiten die alle mogelijke bewaarrisico’s dek</w:t>
      </w:r>
      <w:r w:rsidR="00A45B17">
        <w:rPr>
          <w:kern w:val="0"/>
          <w:lang w:val="nl-NL" w:eastAsia="en-US" w:bidi="ar-SA"/>
        </w:rPr>
        <w:t>ken</w:t>
      </w:r>
      <w:r w:rsidRPr="00D147A7">
        <w:rPr>
          <w:kern w:val="0"/>
          <w:lang w:val="nl-NL" w:eastAsia="en-US" w:bidi="ar-SA"/>
        </w:rPr>
        <w:t xml:space="preserve">. Bovendien zou aan het Rijksarchief een controlerende en ondersteunende rol toegekend </w:t>
      </w:r>
      <w:r w:rsidR="00A45B17" w:rsidRPr="00D147A7">
        <w:rPr>
          <w:kern w:val="0"/>
          <w:lang w:val="nl-NL" w:eastAsia="en-US" w:bidi="ar-SA"/>
        </w:rPr>
        <w:t xml:space="preserve">moeten worden </w:t>
      </w:r>
      <w:r w:rsidR="00A45B17">
        <w:rPr>
          <w:kern w:val="0"/>
          <w:lang w:val="nl-NL" w:eastAsia="en-US" w:bidi="ar-SA"/>
        </w:rPr>
        <w:t>m.b.t.</w:t>
      </w:r>
      <w:r w:rsidRPr="00D147A7">
        <w:rPr>
          <w:kern w:val="0"/>
          <w:lang w:val="nl-NL" w:eastAsia="en-US" w:bidi="ar-SA"/>
        </w:rPr>
        <w:t xml:space="preserve"> de bewaring van medi</w:t>
      </w:r>
      <w:r w:rsidR="00A45B17">
        <w:rPr>
          <w:kern w:val="0"/>
          <w:lang w:val="nl-NL" w:eastAsia="en-US" w:bidi="ar-SA"/>
        </w:rPr>
        <w:t>-</w:t>
      </w:r>
      <w:r w:rsidRPr="00D147A7">
        <w:rPr>
          <w:kern w:val="0"/>
          <w:lang w:val="nl-NL" w:eastAsia="en-US" w:bidi="ar-SA"/>
        </w:rPr>
        <w:t xml:space="preserve">sche </w:t>
      </w:r>
      <w:r w:rsidR="00A45B17">
        <w:rPr>
          <w:kern w:val="0"/>
          <w:lang w:val="nl-NL" w:eastAsia="en-US" w:bidi="ar-SA"/>
        </w:rPr>
        <w:t xml:space="preserve">en administratieve </w:t>
      </w:r>
      <w:r w:rsidRPr="00D147A7">
        <w:rPr>
          <w:kern w:val="0"/>
          <w:lang w:val="nl-NL" w:eastAsia="en-US" w:bidi="ar-SA"/>
        </w:rPr>
        <w:t>archieven van openbare verzorgingsinstellingen.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Patiëntendossiers moeten niet noodzakelijk bewaard worden op de plaats waar het dossier ge</w:t>
      </w:r>
      <w:r w:rsidR="00A45B17">
        <w:rPr>
          <w:kern w:val="0"/>
          <w:lang w:val="nl-NL" w:eastAsia="en-US" w:bidi="ar-SA"/>
        </w:rPr>
        <w:t>-</w:t>
      </w:r>
      <w:r w:rsidRPr="00D147A7">
        <w:rPr>
          <w:kern w:val="0"/>
          <w:lang w:val="nl-NL" w:eastAsia="en-US" w:bidi="ar-SA"/>
        </w:rPr>
        <w:t xml:space="preserve">vormd </w:t>
      </w:r>
      <w:r w:rsidR="00A45B17">
        <w:rPr>
          <w:kern w:val="0"/>
          <w:lang w:val="nl-NL" w:eastAsia="en-US" w:bidi="ar-SA"/>
        </w:rPr>
        <w:t xml:space="preserve">en gebruikt </w:t>
      </w:r>
      <w:r w:rsidRPr="00D147A7">
        <w:rPr>
          <w:kern w:val="0"/>
          <w:lang w:val="nl-NL" w:eastAsia="en-US" w:bidi="ar-SA"/>
        </w:rPr>
        <w:t xml:space="preserve">werd. Met uitzondering van </w:t>
      </w:r>
      <w:r w:rsidR="00A45B17">
        <w:rPr>
          <w:kern w:val="0"/>
          <w:lang w:val="nl-NL" w:eastAsia="en-US" w:bidi="ar-SA"/>
        </w:rPr>
        <w:t>publiekrechtelijke</w:t>
      </w:r>
      <w:r w:rsidRPr="00D147A7">
        <w:rPr>
          <w:kern w:val="0"/>
          <w:lang w:val="nl-NL" w:eastAsia="en-US" w:bidi="ar-SA"/>
        </w:rPr>
        <w:t xml:space="preserve"> verzorgingsinstellingen in Frankrijk hebben wetgevers geen bepalingen met betrekking tot de bewaarplaats van patiënt</w:t>
      </w:r>
      <w:r w:rsidR="00A45B17">
        <w:rPr>
          <w:kern w:val="0"/>
          <w:lang w:val="nl-NL" w:eastAsia="en-US" w:bidi="ar-SA"/>
        </w:rPr>
        <w:t>-</w:t>
      </w:r>
      <w:r w:rsidRPr="00D147A7">
        <w:rPr>
          <w:kern w:val="0"/>
          <w:lang w:val="nl-NL" w:eastAsia="en-US" w:bidi="ar-SA"/>
        </w:rPr>
        <w:lastRenderedPageBreak/>
        <w:t>endossiers voorzien. Omdat het de bewaring ongetwijfeld ten goede komt als deze aan externe archiveringsbedrijven uitbesteed</w:t>
      </w:r>
      <w:r w:rsidR="00A45B17" w:rsidRPr="00A45B17">
        <w:rPr>
          <w:kern w:val="0"/>
          <w:lang w:val="nl-NL" w:eastAsia="en-US" w:bidi="ar-SA"/>
        </w:rPr>
        <w:t xml:space="preserve"> </w:t>
      </w:r>
      <w:r w:rsidR="00A45B17" w:rsidRPr="00D147A7">
        <w:rPr>
          <w:kern w:val="0"/>
          <w:lang w:val="nl-NL" w:eastAsia="en-US" w:bidi="ar-SA"/>
        </w:rPr>
        <w:t>word</w:t>
      </w:r>
      <w:r w:rsidR="00A45B17">
        <w:rPr>
          <w:kern w:val="0"/>
          <w:lang w:val="nl-NL" w:eastAsia="en-US" w:bidi="ar-SA"/>
        </w:rPr>
        <w:t>t</w:t>
      </w:r>
      <w:r w:rsidRPr="00D147A7">
        <w:rPr>
          <w:kern w:val="0"/>
          <w:lang w:val="nl-NL" w:eastAsia="en-US" w:bidi="ar-SA"/>
        </w:rPr>
        <w:t xml:space="preserve">, moet de wetgever deze mogelijkheid – zowel voor papieren als voor digitale bescheiden – </w:t>
      </w:r>
      <w:r w:rsidR="00A45B17">
        <w:rPr>
          <w:kern w:val="0"/>
          <w:lang w:val="nl-NL" w:eastAsia="en-US" w:bidi="ar-SA"/>
        </w:rPr>
        <w:t xml:space="preserve">expliciet </w:t>
      </w:r>
      <w:r w:rsidRPr="00D147A7">
        <w:rPr>
          <w:kern w:val="0"/>
          <w:lang w:val="nl-NL" w:eastAsia="en-US" w:bidi="ar-SA"/>
        </w:rPr>
        <w:t>creëren. Daarnaast moet de wetgever de in</w:t>
      </w:r>
      <w:r w:rsidR="00A45B17">
        <w:rPr>
          <w:kern w:val="0"/>
          <w:lang w:val="nl-NL" w:eastAsia="en-US" w:bidi="ar-SA"/>
        </w:rPr>
        <w:t>-</w:t>
      </w:r>
      <w:r w:rsidRPr="00D147A7">
        <w:rPr>
          <w:kern w:val="0"/>
          <w:lang w:val="nl-NL" w:eastAsia="en-US" w:bidi="ar-SA"/>
        </w:rPr>
        <w:t>houd van contracten tussen bewaargever en bewaarnemer verordenen, voorwaarden vastleg</w:t>
      </w:r>
      <w:r w:rsidR="00A45B17">
        <w:rPr>
          <w:kern w:val="0"/>
          <w:lang w:val="nl-NL" w:eastAsia="en-US" w:bidi="ar-SA"/>
        </w:rPr>
        <w:t>-</w:t>
      </w:r>
      <w:r w:rsidRPr="00D147A7">
        <w:rPr>
          <w:kern w:val="0"/>
          <w:lang w:val="nl-NL" w:eastAsia="en-US" w:bidi="ar-SA"/>
        </w:rPr>
        <w:t>gen aan dewelke bewaarnemers moeten voldoen om officieel te worden erkend en zorgverle</w:t>
      </w:r>
      <w:r w:rsidR="00A45B17">
        <w:rPr>
          <w:kern w:val="0"/>
          <w:lang w:val="nl-NL" w:eastAsia="en-US" w:bidi="ar-SA"/>
        </w:rPr>
        <w:t>-</w:t>
      </w:r>
      <w:r w:rsidRPr="00D147A7">
        <w:rPr>
          <w:kern w:val="0"/>
          <w:lang w:val="nl-NL" w:eastAsia="en-US" w:bidi="ar-SA"/>
        </w:rPr>
        <w:t xml:space="preserve">ners en verzorgingsinstellingen </w:t>
      </w:r>
      <w:r w:rsidR="000D662A">
        <w:rPr>
          <w:kern w:val="0"/>
          <w:lang w:val="nl-NL" w:eastAsia="en-US" w:bidi="ar-SA"/>
        </w:rPr>
        <w:t xml:space="preserve">ertoe </w:t>
      </w:r>
      <w:r w:rsidRPr="00D147A7">
        <w:rPr>
          <w:kern w:val="0"/>
          <w:lang w:val="nl-NL" w:eastAsia="en-US" w:bidi="ar-SA"/>
        </w:rPr>
        <w:t>verplichten om eerst de toestemming van het Ministerie van Volksgezondheid te vragen alvorens de bewaring van patiëntendossiers uitbesteed kan worden. Omdat de bewaarnemer een verwerker in de zin van de privacywetgeving</w:t>
      </w:r>
      <w:r w:rsidR="000D662A" w:rsidRPr="000D662A">
        <w:rPr>
          <w:kern w:val="0"/>
          <w:lang w:val="nl-NL" w:eastAsia="en-US" w:bidi="ar-SA"/>
        </w:rPr>
        <w:t xml:space="preserve"> </w:t>
      </w:r>
      <w:r w:rsidR="000D662A" w:rsidRPr="00D147A7">
        <w:rPr>
          <w:kern w:val="0"/>
          <w:lang w:val="nl-NL" w:eastAsia="en-US" w:bidi="ar-SA"/>
        </w:rPr>
        <w:t>is</w:t>
      </w:r>
      <w:r w:rsidRPr="00D147A7">
        <w:rPr>
          <w:kern w:val="0"/>
          <w:lang w:val="nl-NL" w:eastAsia="en-US" w:bidi="ar-SA"/>
        </w:rPr>
        <w:t xml:space="preserve">, moet eerst de toestemming van de patiënten gevraagd </w:t>
      </w:r>
      <w:r w:rsidR="000D662A">
        <w:rPr>
          <w:kern w:val="0"/>
          <w:lang w:val="nl-NL" w:eastAsia="en-US" w:bidi="ar-SA"/>
        </w:rPr>
        <w:t xml:space="preserve">(en bekomen) </w:t>
      </w:r>
      <w:r w:rsidRPr="00D147A7">
        <w:rPr>
          <w:kern w:val="0"/>
          <w:lang w:val="nl-NL" w:eastAsia="en-US" w:bidi="ar-SA"/>
        </w:rPr>
        <w:t>worden. Stemmen de betrok</w:t>
      </w:r>
      <w:r w:rsidR="000D662A">
        <w:rPr>
          <w:kern w:val="0"/>
          <w:lang w:val="nl-NL" w:eastAsia="en-US" w:bidi="ar-SA"/>
        </w:rPr>
        <w:t>-</w:t>
      </w:r>
      <w:r w:rsidRPr="00D147A7">
        <w:rPr>
          <w:kern w:val="0"/>
          <w:lang w:val="nl-NL" w:eastAsia="en-US" w:bidi="ar-SA"/>
        </w:rPr>
        <w:t xml:space="preserve">ken patiënten hiermee in, dan </w:t>
      </w:r>
      <w:r w:rsidR="000D662A">
        <w:rPr>
          <w:kern w:val="0"/>
          <w:lang w:val="nl-NL" w:eastAsia="en-US" w:bidi="ar-SA"/>
        </w:rPr>
        <w:t>moeten</w:t>
      </w:r>
      <w:r w:rsidRPr="00D147A7">
        <w:rPr>
          <w:kern w:val="0"/>
          <w:lang w:val="nl-NL" w:eastAsia="en-US" w:bidi="ar-SA"/>
        </w:rPr>
        <w:t xml:space="preserve"> </w:t>
      </w:r>
      <w:r w:rsidR="000D662A">
        <w:rPr>
          <w:kern w:val="0"/>
          <w:lang w:val="nl-NL" w:eastAsia="en-US" w:bidi="ar-SA"/>
        </w:rPr>
        <w:t>zij op de hoogte gebracht worden bij welke</w:t>
      </w:r>
      <w:r w:rsidRPr="00D147A7">
        <w:rPr>
          <w:kern w:val="0"/>
          <w:lang w:val="nl-NL" w:eastAsia="en-US" w:bidi="ar-SA"/>
        </w:rPr>
        <w:t xml:space="preserve"> bewaar</w:t>
      </w:r>
      <w:r w:rsidR="000D662A">
        <w:rPr>
          <w:kern w:val="0"/>
          <w:lang w:val="nl-NL" w:eastAsia="en-US" w:bidi="ar-SA"/>
        </w:rPr>
        <w:t>-</w:t>
      </w:r>
      <w:r w:rsidRPr="00D147A7">
        <w:rPr>
          <w:kern w:val="0"/>
          <w:lang w:val="nl-NL" w:eastAsia="en-US" w:bidi="ar-SA"/>
        </w:rPr>
        <w:t xml:space="preserve">gever </w:t>
      </w:r>
      <w:r w:rsidR="000D662A">
        <w:rPr>
          <w:kern w:val="0"/>
          <w:lang w:val="nl-NL" w:eastAsia="en-US" w:bidi="ar-SA"/>
        </w:rPr>
        <w:t>de hen betreffende dossiers worden ondergebracht</w:t>
      </w:r>
      <w:r w:rsidRPr="00D147A7">
        <w:rPr>
          <w:kern w:val="0"/>
          <w:lang w:val="nl-NL" w:eastAsia="en-US" w:bidi="ar-SA"/>
        </w:rPr>
        <w:t xml:space="preserve">. De </w:t>
      </w:r>
      <w:r w:rsidR="000D662A">
        <w:rPr>
          <w:kern w:val="0"/>
          <w:lang w:val="nl-NL" w:eastAsia="en-US" w:bidi="ar-SA"/>
        </w:rPr>
        <w:t xml:space="preserve">aandacht van de </w:t>
      </w:r>
      <w:r w:rsidRPr="00D147A7">
        <w:rPr>
          <w:kern w:val="0"/>
          <w:lang w:val="nl-NL" w:eastAsia="en-US" w:bidi="ar-SA"/>
        </w:rPr>
        <w:t xml:space="preserve">wetgever moet </w:t>
      </w:r>
      <w:r w:rsidR="000D662A">
        <w:rPr>
          <w:kern w:val="0"/>
          <w:lang w:val="nl-NL" w:eastAsia="en-US" w:bidi="ar-SA"/>
        </w:rPr>
        <w:t xml:space="preserve">in het bijzonder </w:t>
      </w:r>
      <w:r w:rsidRPr="00D147A7">
        <w:rPr>
          <w:kern w:val="0"/>
          <w:lang w:val="nl-NL" w:eastAsia="en-US" w:bidi="ar-SA"/>
        </w:rPr>
        <w:t xml:space="preserve">naar de uitbesteding van elektronische </w:t>
      </w:r>
      <w:r w:rsidR="000D662A">
        <w:rPr>
          <w:kern w:val="0"/>
          <w:lang w:val="nl-NL" w:eastAsia="en-US" w:bidi="ar-SA"/>
        </w:rPr>
        <w:t>gezondheids</w:t>
      </w:r>
      <w:r w:rsidRPr="00D147A7">
        <w:rPr>
          <w:kern w:val="0"/>
          <w:lang w:val="nl-NL" w:eastAsia="en-US" w:bidi="ar-SA"/>
        </w:rPr>
        <w:t>gegevens uitgaan.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Uit grafiek 3 blijkt dat de bewaartermijnen van patiëntendossiers erg nationaal gebonden zijn. Hoewel dat in beperkte mate ook het geval is voor de drie bestudeerde landen, zal binnen af</w:t>
      </w:r>
      <w:r w:rsidR="000D662A">
        <w:rPr>
          <w:kern w:val="0"/>
          <w:lang w:val="nl-NL" w:eastAsia="en-US" w:bidi="ar-SA"/>
        </w:rPr>
        <w:t>-</w:t>
      </w:r>
      <w:r w:rsidRPr="00D147A7">
        <w:rPr>
          <w:kern w:val="0"/>
          <w:lang w:val="nl-NL" w:eastAsia="en-US" w:bidi="ar-SA"/>
        </w:rPr>
        <w:t xml:space="preserve">zienbare tijd voor twee van de drie landen </w:t>
      </w:r>
      <w:r w:rsidR="000D662A">
        <w:rPr>
          <w:kern w:val="0"/>
          <w:lang w:val="nl-NL" w:eastAsia="en-US" w:bidi="ar-SA"/>
        </w:rPr>
        <w:t xml:space="preserve">(nl. Nederland en Frankrijk) </w:t>
      </w:r>
      <w:r w:rsidRPr="00D147A7">
        <w:rPr>
          <w:kern w:val="0"/>
          <w:lang w:val="nl-NL" w:eastAsia="en-US" w:bidi="ar-SA"/>
        </w:rPr>
        <w:t>een algemene be</w:t>
      </w:r>
      <w:r w:rsidR="000D662A">
        <w:rPr>
          <w:kern w:val="0"/>
          <w:lang w:val="nl-NL" w:eastAsia="en-US" w:bidi="ar-SA"/>
        </w:rPr>
        <w:t>-</w:t>
      </w:r>
      <w:r w:rsidRPr="00D147A7">
        <w:rPr>
          <w:kern w:val="0"/>
          <w:lang w:val="nl-NL" w:eastAsia="en-US" w:bidi="ar-SA"/>
        </w:rPr>
        <w:t xml:space="preserve">waartermijn van twintig jaar gelden. In België is er geen algemene bewaartermijn, maar </w:t>
      </w:r>
      <w:r w:rsidR="000D662A">
        <w:rPr>
          <w:kern w:val="0"/>
          <w:lang w:val="nl-NL" w:eastAsia="en-US" w:bidi="ar-SA"/>
        </w:rPr>
        <w:t>geldt</w:t>
      </w:r>
      <w:r w:rsidRPr="00D147A7">
        <w:rPr>
          <w:kern w:val="0"/>
          <w:lang w:val="nl-NL" w:eastAsia="en-US" w:bidi="ar-SA"/>
        </w:rPr>
        <w:t xml:space="preserve"> een mozaïek aan verschillende, disparate regels. Toch kunnen vraagtekens geplaatst worden bij het gebruik van één bewaartermijn voor alle patiëntendossiers. </w:t>
      </w:r>
      <w:r w:rsidR="000D662A">
        <w:rPr>
          <w:kern w:val="0"/>
          <w:lang w:val="nl-NL" w:eastAsia="en-US" w:bidi="ar-SA"/>
        </w:rPr>
        <w:t>Het is immers vanzelfspre-kend dat sommige (zoals</w:t>
      </w:r>
      <w:r w:rsidR="000D662A" w:rsidRPr="00D147A7">
        <w:rPr>
          <w:kern w:val="0"/>
          <w:lang w:val="nl-NL" w:eastAsia="en-US" w:bidi="ar-SA"/>
        </w:rPr>
        <w:t xml:space="preserve"> genetische</w:t>
      </w:r>
      <w:r w:rsidR="000D662A">
        <w:rPr>
          <w:kern w:val="0"/>
          <w:lang w:val="nl-NL" w:eastAsia="en-US" w:bidi="ar-SA"/>
        </w:rPr>
        <w:t xml:space="preserve">) gegevens </w:t>
      </w:r>
      <w:r w:rsidRPr="00D147A7">
        <w:rPr>
          <w:kern w:val="0"/>
          <w:lang w:val="nl-NL" w:eastAsia="en-US" w:bidi="ar-SA"/>
        </w:rPr>
        <w:t xml:space="preserve">langer bewaard </w:t>
      </w:r>
      <w:r w:rsidR="000D662A">
        <w:rPr>
          <w:kern w:val="0"/>
          <w:lang w:val="nl-NL" w:eastAsia="en-US" w:bidi="ar-SA"/>
        </w:rPr>
        <w:t xml:space="preserve">moeten </w:t>
      </w:r>
      <w:r w:rsidRPr="00D147A7">
        <w:rPr>
          <w:kern w:val="0"/>
          <w:lang w:val="nl-NL" w:eastAsia="en-US" w:bidi="ar-SA"/>
        </w:rPr>
        <w:t>worden dan gegevens m.b.t. routine-ingrepen.</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Een bewaartermijn staat in principe in verhouding tot de verjaringstermijn – i.e. de periode tij</w:t>
      </w:r>
      <w:r w:rsidR="00B03BC2">
        <w:rPr>
          <w:kern w:val="0"/>
          <w:lang w:val="nl-NL" w:eastAsia="en-US" w:bidi="ar-SA"/>
        </w:rPr>
        <w:t>-</w:t>
      </w:r>
      <w:r w:rsidRPr="00D147A7">
        <w:rPr>
          <w:kern w:val="0"/>
          <w:lang w:val="nl-NL" w:eastAsia="en-US" w:bidi="ar-SA"/>
        </w:rPr>
        <w:t xml:space="preserve">dens dewelke de archiefvormer administratief en juridisch aansprakelijk gesteld </w:t>
      </w:r>
      <w:r w:rsidR="00B03BC2" w:rsidRPr="00D147A7">
        <w:rPr>
          <w:kern w:val="0"/>
          <w:lang w:val="nl-NL" w:eastAsia="en-US" w:bidi="ar-SA"/>
        </w:rPr>
        <w:t xml:space="preserve">kan worden </w:t>
      </w:r>
      <w:r w:rsidRPr="00D147A7">
        <w:rPr>
          <w:kern w:val="0"/>
          <w:lang w:val="nl-NL" w:eastAsia="en-US" w:bidi="ar-SA"/>
        </w:rPr>
        <w:t>voor zijn daden. De aansprakelijkheid kan aan de hand van het dossier worden</w:t>
      </w:r>
      <w:r w:rsidR="00BB6978" w:rsidRPr="00BB6978">
        <w:rPr>
          <w:kern w:val="0"/>
          <w:lang w:val="nl-NL" w:eastAsia="en-US" w:bidi="ar-SA"/>
        </w:rPr>
        <w:t xml:space="preserve"> </w:t>
      </w:r>
      <w:r w:rsidR="00BB6978" w:rsidRPr="00D147A7">
        <w:rPr>
          <w:kern w:val="0"/>
          <w:lang w:val="nl-NL" w:eastAsia="en-US" w:bidi="ar-SA"/>
        </w:rPr>
        <w:t>aangetoond</w:t>
      </w:r>
      <w:r w:rsidRPr="00D147A7">
        <w:rPr>
          <w:kern w:val="0"/>
          <w:lang w:val="nl-NL" w:eastAsia="en-US" w:bidi="ar-SA"/>
        </w:rPr>
        <w:t>. Vooralsnog heeft enkel de Franse wetgever – zij het alleen voor de uitzonderingen op de alge</w:t>
      </w:r>
      <w:r w:rsidR="00BB6978">
        <w:rPr>
          <w:kern w:val="0"/>
          <w:lang w:val="nl-NL" w:eastAsia="en-US" w:bidi="ar-SA"/>
        </w:rPr>
        <w:t>-</w:t>
      </w:r>
      <w:r w:rsidRPr="00D147A7">
        <w:rPr>
          <w:kern w:val="0"/>
          <w:lang w:val="nl-NL" w:eastAsia="en-US" w:bidi="ar-SA"/>
        </w:rPr>
        <w:t>mene bewaartermijn – rekening gehouden met de verjaringstermijn. Ook in Nederland zal in de nabije toekomst de bewaartermijn van patiëntendossiers met de verjaringstermijn overeen</w:t>
      </w:r>
      <w:r w:rsidR="00BB6978">
        <w:rPr>
          <w:kern w:val="0"/>
          <w:lang w:val="nl-NL" w:eastAsia="en-US" w:bidi="ar-SA"/>
        </w:rPr>
        <w:t>-</w:t>
      </w:r>
      <w:r w:rsidRPr="00D147A7">
        <w:rPr>
          <w:kern w:val="0"/>
          <w:lang w:val="nl-NL" w:eastAsia="en-US" w:bidi="ar-SA"/>
        </w:rPr>
        <w:t>stemmen. Hoewel in België de bewaartermijn van het verpleegkundig dossier in ziekenhuis</w:t>
      </w:r>
      <w:r w:rsidR="00BB6978">
        <w:rPr>
          <w:kern w:val="0"/>
          <w:lang w:val="nl-NL" w:eastAsia="en-US" w:bidi="ar-SA"/>
        </w:rPr>
        <w:t>-</w:t>
      </w:r>
      <w:r w:rsidRPr="00D147A7">
        <w:rPr>
          <w:kern w:val="0"/>
          <w:lang w:val="nl-NL" w:eastAsia="en-US" w:bidi="ar-SA"/>
        </w:rPr>
        <w:t xml:space="preserve">verband </w:t>
      </w:r>
      <w:r w:rsidR="00BB6978">
        <w:rPr>
          <w:kern w:val="0"/>
          <w:lang w:val="nl-NL" w:eastAsia="en-US" w:bidi="ar-SA"/>
        </w:rPr>
        <w:t>aan</w:t>
      </w:r>
      <w:r w:rsidRPr="00D147A7">
        <w:rPr>
          <w:kern w:val="0"/>
          <w:lang w:val="nl-NL" w:eastAsia="en-US" w:bidi="ar-SA"/>
        </w:rPr>
        <w:t xml:space="preserve"> de verjaringstermijn </w:t>
      </w:r>
      <w:r w:rsidR="00BB6978">
        <w:rPr>
          <w:kern w:val="0"/>
          <w:lang w:val="nl-NL" w:eastAsia="en-US" w:bidi="ar-SA"/>
        </w:rPr>
        <w:t>beantwoordt</w:t>
      </w:r>
      <w:r w:rsidRPr="00D147A7">
        <w:rPr>
          <w:kern w:val="0"/>
          <w:lang w:val="nl-NL" w:eastAsia="en-US" w:bidi="ar-SA"/>
        </w:rPr>
        <w:t xml:space="preserve">, is hier in de praktijk niet veel van te merken. Het medisch dossier, dat samen met het verpleegkundig dossier het patiëntendossier vormt, moet immers dertig jaar bewaard worden. Omdat het schonen van </w:t>
      </w:r>
      <w:r w:rsidR="00BB6978">
        <w:rPr>
          <w:kern w:val="0"/>
          <w:lang w:val="nl-NL" w:eastAsia="en-US" w:bidi="ar-SA"/>
        </w:rPr>
        <w:t xml:space="preserve">(papieren) </w:t>
      </w:r>
      <w:r w:rsidRPr="00D147A7">
        <w:rPr>
          <w:kern w:val="0"/>
          <w:lang w:val="nl-NL" w:eastAsia="en-US" w:bidi="ar-SA"/>
        </w:rPr>
        <w:t>patiëntendos</w:t>
      </w:r>
      <w:r w:rsidR="00BB6978">
        <w:rPr>
          <w:kern w:val="0"/>
          <w:lang w:val="nl-NL" w:eastAsia="en-US" w:bidi="ar-SA"/>
        </w:rPr>
        <w:t>-</w:t>
      </w:r>
      <w:r w:rsidRPr="00D147A7">
        <w:rPr>
          <w:kern w:val="0"/>
          <w:lang w:val="nl-NL" w:eastAsia="en-US" w:bidi="ar-SA"/>
        </w:rPr>
        <w:t xml:space="preserve">siers een veel te arbeidsintensieve bezigheid is, zal de twintigjarige bewaartermijn </w:t>
      </w:r>
      <w:r w:rsidR="00BB6978">
        <w:rPr>
          <w:kern w:val="0"/>
          <w:lang w:val="nl-NL" w:eastAsia="en-US" w:bidi="ar-SA"/>
        </w:rPr>
        <w:t xml:space="preserve">van ver-pleegkundige dossiers </w:t>
      </w:r>
      <w:r w:rsidRPr="00D147A7">
        <w:rPr>
          <w:kern w:val="0"/>
          <w:lang w:val="nl-NL" w:eastAsia="en-US" w:bidi="ar-SA"/>
        </w:rPr>
        <w:t xml:space="preserve">pas ingang vinden als alle patiëntendossiers gedigitaliseerd zijn en </w:t>
      </w:r>
      <w:r w:rsidR="00BB6978">
        <w:rPr>
          <w:kern w:val="0"/>
          <w:lang w:val="nl-NL" w:eastAsia="en-US" w:bidi="ar-SA"/>
        </w:rPr>
        <w:t xml:space="preserve">er automatisch </w:t>
      </w:r>
      <w:r w:rsidR="00AA7AD3" w:rsidRPr="00D147A7">
        <w:rPr>
          <w:kern w:val="0"/>
          <w:lang w:val="nl-NL" w:eastAsia="en-US" w:bidi="ar-SA"/>
        </w:rPr>
        <w:t xml:space="preserve">kan </w:t>
      </w:r>
      <w:r w:rsidR="00AA7AD3">
        <w:rPr>
          <w:kern w:val="0"/>
          <w:lang w:val="nl-NL" w:eastAsia="en-US" w:bidi="ar-SA"/>
        </w:rPr>
        <w:t xml:space="preserve">worden </w:t>
      </w:r>
      <w:r w:rsidR="00BB6978">
        <w:rPr>
          <w:kern w:val="0"/>
          <w:lang w:val="nl-NL" w:eastAsia="en-US" w:bidi="ar-SA"/>
        </w:rPr>
        <w:t>vernietigd</w:t>
      </w:r>
      <w:r w:rsidRPr="00D147A7">
        <w:rPr>
          <w:kern w:val="0"/>
          <w:lang w:val="nl-NL" w:eastAsia="en-US" w:bidi="ar-SA"/>
        </w:rPr>
        <w:t xml:space="preserve">. Toch moet de wetgever hier niet </w:t>
      </w:r>
      <w:r w:rsidR="00AA7AD3">
        <w:rPr>
          <w:kern w:val="0"/>
          <w:lang w:val="nl-NL" w:eastAsia="en-US" w:bidi="ar-SA"/>
        </w:rPr>
        <w:t xml:space="preserve">op </w:t>
      </w:r>
      <w:r w:rsidRPr="00D147A7">
        <w:rPr>
          <w:kern w:val="0"/>
          <w:lang w:val="nl-NL" w:eastAsia="en-US" w:bidi="ar-SA"/>
        </w:rPr>
        <w:t>wachten. Het is im</w:t>
      </w:r>
      <w:r w:rsidR="00AA7AD3">
        <w:rPr>
          <w:kern w:val="0"/>
          <w:lang w:val="nl-NL" w:eastAsia="en-US" w:bidi="ar-SA"/>
        </w:rPr>
        <w:t>-</w:t>
      </w:r>
      <w:r w:rsidRPr="00D147A7">
        <w:rPr>
          <w:kern w:val="0"/>
          <w:lang w:val="nl-NL" w:eastAsia="en-US" w:bidi="ar-SA"/>
        </w:rPr>
        <w:t xml:space="preserve">mers niet logisch dat voor de </w:t>
      </w:r>
      <w:r w:rsidR="00AA7AD3">
        <w:rPr>
          <w:kern w:val="0"/>
          <w:lang w:val="nl-NL" w:eastAsia="en-US" w:bidi="ar-SA"/>
        </w:rPr>
        <w:t xml:space="preserve">verschillende </w:t>
      </w:r>
      <w:r w:rsidRPr="00D147A7">
        <w:rPr>
          <w:kern w:val="0"/>
          <w:lang w:val="nl-NL" w:eastAsia="en-US" w:bidi="ar-SA"/>
        </w:rPr>
        <w:t>onderdelen van één patiëntendossier verschillen</w:t>
      </w:r>
      <w:r w:rsidR="00AA7AD3">
        <w:rPr>
          <w:kern w:val="0"/>
          <w:lang w:val="nl-NL" w:eastAsia="en-US" w:bidi="ar-SA"/>
        </w:rPr>
        <w:t>-</w:t>
      </w:r>
      <w:r w:rsidRPr="00D147A7">
        <w:rPr>
          <w:kern w:val="0"/>
          <w:lang w:val="nl-NL" w:eastAsia="en-US" w:bidi="ar-SA"/>
        </w:rPr>
        <w:t xml:space="preserve">de </w:t>
      </w:r>
      <w:r w:rsidR="00AA7AD3">
        <w:rPr>
          <w:kern w:val="0"/>
          <w:lang w:val="nl-NL" w:eastAsia="en-US" w:bidi="ar-SA"/>
        </w:rPr>
        <w:t>bewaar</w:t>
      </w:r>
      <w:r w:rsidRPr="00D147A7">
        <w:rPr>
          <w:kern w:val="0"/>
          <w:lang w:val="nl-NL" w:eastAsia="en-US" w:bidi="ar-SA"/>
        </w:rPr>
        <w:t>regimes gelden. Dit onderscheid wordt noch in Nederland noch in Frankrijk ge</w:t>
      </w:r>
      <w:r w:rsidR="00AA7AD3">
        <w:rPr>
          <w:kern w:val="0"/>
          <w:lang w:val="nl-NL" w:eastAsia="en-US" w:bidi="ar-SA"/>
        </w:rPr>
        <w:t>-</w:t>
      </w:r>
      <w:r w:rsidRPr="00D147A7">
        <w:rPr>
          <w:kern w:val="0"/>
          <w:lang w:val="nl-NL" w:eastAsia="en-US" w:bidi="ar-SA"/>
        </w:rPr>
        <w:t xml:space="preserve">maakt. Tot slot kan het – wederom naar Frans voorbeeld – nuttig zijn om de bewaartermijn van een patiëntendossier te bevriezen zolang de betrokkene in een rechtszaak verwikkeld is.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Wat het aanvangspunt van de bewaartermijn betreft</w:t>
      </w:r>
      <w:r w:rsidR="00AA7AD3">
        <w:rPr>
          <w:kern w:val="0"/>
          <w:lang w:val="nl-NL" w:eastAsia="en-US" w:bidi="ar-SA"/>
        </w:rPr>
        <w:t>,</w:t>
      </w:r>
      <w:r w:rsidRPr="00D147A7">
        <w:rPr>
          <w:kern w:val="0"/>
          <w:lang w:val="nl-NL" w:eastAsia="en-US" w:bidi="ar-SA"/>
        </w:rPr>
        <w:t xml:space="preserve"> is er geen discussie. </w:t>
      </w:r>
      <w:r w:rsidR="00AA7AD3">
        <w:rPr>
          <w:kern w:val="0"/>
          <w:lang w:val="nl-NL" w:eastAsia="en-US" w:bidi="ar-SA"/>
        </w:rPr>
        <w:t xml:space="preserve">Doorgaans start de bewaartermijn na </w:t>
      </w:r>
      <w:r w:rsidR="00AA7AD3" w:rsidRPr="00D147A7">
        <w:rPr>
          <w:kern w:val="0"/>
          <w:lang w:val="nl-NL" w:eastAsia="en-US" w:bidi="ar-SA"/>
        </w:rPr>
        <w:t>het laatste contact tussen zorgverlener en patiënt</w:t>
      </w:r>
      <w:r w:rsidR="00AA7AD3">
        <w:rPr>
          <w:kern w:val="0"/>
          <w:lang w:val="nl-NL" w:eastAsia="en-US" w:bidi="ar-SA"/>
        </w:rPr>
        <w:t>. Als deze laatste op dat ogenblik minderjarig is, vangt de bewaartermijn pas aan op het moment dat deze de meerder-jarigheid bereikt.</w:t>
      </w:r>
    </w:p>
    <w:p w:rsidR="00426625" w:rsidRPr="00D147A7" w:rsidRDefault="00426625" w:rsidP="00426625">
      <w:pPr>
        <w:widowControl/>
        <w:suppressAutoHyphens w:val="0"/>
        <w:spacing w:after="200" w:line="276" w:lineRule="auto"/>
        <w:rPr>
          <w:kern w:val="0"/>
          <w:lang w:val="nl-NL" w:eastAsia="en-US" w:bidi="ar-SA"/>
        </w:rPr>
      </w:pPr>
      <w:r w:rsidRPr="00D147A7">
        <w:rPr>
          <w:rFonts w:eastAsiaTheme="minorHAnsi"/>
          <w:kern w:val="0"/>
          <w:sz w:val="22"/>
          <w:szCs w:val="22"/>
          <w:lang w:eastAsia="en-US" w:bidi="ar-SA"/>
        </w:rPr>
        <w:br w:type="page"/>
      </w:r>
    </w:p>
    <w:p w:rsidR="00426625" w:rsidRPr="00D147A7" w:rsidRDefault="00426625" w:rsidP="00426625">
      <w:pPr>
        <w:widowControl/>
        <w:suppressAutoHyphens w:val="0"/>
        <w:spacing w:line="240" w:lineRule="atLeast"/>
        <w:jc w:val="both"/>
        <w:rPr>
          <w:smallCaps/>
          <w:kern w:val="0"/>
          <w:lang w:val="nl-NL" w:eastAsia="en-US" w:bidi="ar-SA"/>
        </w:rPr>
      </w:pPr>
      <w:r w:rsidRPr="00D147A7">
        <w:rPr>
          <w:smallCaps/>
          <w:kern w:val="0"/>
          <w:lang w:val="nl-NL" w:eastAsia="en-US" w:bidi="ar-SA"/>
        </w:rPr>
        <w:lastRenderedPageBreak/>
        <w:t>3.5 Bibliografie</w:t>
      </w:r>
    </w:p>
    <w:p w:rsidR="00426625" w:rsidRPr="00D147A7" w:rsidRDefault="00426625" w:rsidP="00426625">
      <w:pPr>
        <w:widowControl/>
        <w:suppressAutoHyphens w:val="0"/>
        <w:spacing w:line="240" w:lineRule="atLeast"/>
        <w:jc w:val="both"/>
        <w:rPr>
          <w:b/>
          <w:smallCaps/>
          <w:kern w:val="0"/>
          <w:lang w:val="nl-NL" w:eastAsia="en-US" w:bidi="ar-SA"/>
        </w:rPr>
      </w:pPr>
    </w:p>
    <w:p w:rsidR="00426625" w:rsidRPr="00D147A7" w:rsidRDefault="00426625" w:rsidP="00426625">
      <w:pPr>
        <w:widowControl/>
        <w:suppressAutoHyphens w:val="0"/>
        <w:spacing w:line="240" w:lineRule="atLeast"/>
        <w:ind w:firstLine="708"/>
        <w:jc w:val="both"/>
        <w:rPr>
          <w:b/>
          <w:smallCaps/>
          <w:kern w:val="0"/>
          <w:lang w:val="nl-NL" w:eastAsia="en-US" w:bidi="ar-SA"/>
        </w:rPr>
      </w:pPr>
      <w:r w:rsidRPr="00D147A7">
        <w:rPr>
          <w:b/>
          <w:smallCaps/>
          <w:kern w:val="0"/>
          <w:lang w:val="nl-NL" w:eastAsia="en-US" w:bidi="ar-SA"/>
        </w:rPr>
        <w:t>3.5.1 Internationaal</w:t>
      </w: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3.5.1.1 Wetgeving</w:t>
      </w:r>
    </w:p>
    <w:p w:rsidR="00426625" w:rsidRPr="00D147A7" w:rsidRDefault="00426625" w:rsidP="00426625">
      <w:pPr>
        <w:widowControl/>
        <w:suppressAutoHyphens w:val="0"/>
        <w:spacing w:line="240" w:lineRule="atLeast"/>
        <w:jc w:val="both"/>
        <w:rPr>
          <w:b/>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Verdrag nr. 108 van de Raad van Europa van 28 januari 1981 tot bescherming van personen ten opzichte van de geautomatiseerde verwerking van persoonsgegevens (Verdrag van Straatsburg) en verklarend rapport bij dit Verdrag (</w:t>
      </w:r>
      <w:r w:rsidRPr="00D147A7">
        <w:rPr>
          <w:i/>
          <w:kern w:val="0"/>
          <w:lang w:val="nl-NL" w:eastAsia="en-US" w:bidi="ar-SA"/>
        </w:rPr>
        <w:t>E.T.S.</w:t>
      </w:r>
      <w:r w:rsidRPr="00D147A7">
        <w:rPr>
          <w:kern w:val="0"/>
          <w:lang w:val="nl-NL" w:eastAsia="en-US" w:bidi="ar-SA"/>
        </w:rPr>
        <w:t xml:space="preserve">, nr. 108 en </w:t>
      </w:r>
      <w:hyperlink w:history="1">
        <w:r w:rsidR="000F3B3F" w:rsidRPr="00D147A7">
          <w:rPr>
            <w:rStyle w:val="Hyperlink"/>
            <w:kern w:val="0"/>
            <w:lang w:val="nl-NL" w:eastAsia="en-US" w:bidi="ar-SA"/>
          </w:rPr>
          <w:t>http://conventions.coe. int/treaty/fr/treaties/html/108.htm</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Aanbeveling R(86)1 van het Comité van Ministers aan de Lidstaten van 23 januari 1986 betreffende de bescherming van persoonsgegevens die voor sociale zekerheidsdoeleinden gebruikt worden (</w:t>
      </w:r>
      <w:hyperlink r:id="rId321" w:history="1">
        <w:r w:rsidR="000F3B3F" w:rsidRPr="00D147A7">
          <w:rPr>
            <w:rStyle w:val="Hyperlink"/>
            <w:kern w:val="0"/>
            <w:lang w:val="nl-NL" w:eastAsia="en-US" w:bidi="ar-SA"/>
          </w:rPr>
          <w:t>http://www.coe.int/T/E/Legal_affairs/Legal_co-operation/Data_protection/ Documents</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Richtlijn 95/46/EG van het Europees Parlement en de Raad van 24 oktober 1995 betreffende de bescherming van natuurlijke personen in verband met de verwerking van persoonsgege</w:t>
      </w:r>
      <w:r w:rsidR="000B6F28">
        <w:rPr>
          <w:kern w:val="0"/>
          <w:lang w:val="nl-NL" w:eastAsia="en-US" w:bidi="ar-SA"/>
        </w:rPr>
        <w:t>-</w:t>
      </w:r>
      <w:r w:rsidRPr="00D147A7">
        <w:rPr>
          <w:kern w:val="0"/>
          <w:lang w:val="nl-NL" w:eastAsia="en-US" w:bidi="ar-SA"/>
        </w:rPr>
        <w:t>vens en betreffende het vrije verkeer van die gegevens (</w:t>
      </w:r>
      <w:r w:rsidRPr="00D147A7">
        <w:rPr>
          <w:i/>
          <w:kern w:val="0"/>
          <w:lang w:val="nl-NL" w:eastAsia="en-US" w:bidi="ar-SA"/>
        </w:rPr>
        <w:t>Pb.EG L.</w:t>
      </w:r>
      <w:r w:rsidRPr="00D147A7">
        <w:rPr>
          <w:kern w:val="0"/>
          <w:lang w:val="nl-NL" w:eastAsia="en-US" w:bidi="ar-SA"/>
        </w:rPr>
        <w:t xml:space="preserve"> 281, 23 november 1995).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Aanbeveling R(97)5 van het Comité van Ministers aan de Lidstaten van 13 februari 1997 be</w:t>
      </w:r>
      <w:r w:rsidR="000B6F28">
        <w:rPr>
          <w:kern w:val="0"/>
          <w:lang w:val="nl-NL" w:eastAsia="en-US" w:bidi="ar-SA"/>
        </w:rPr>
        <w:t>-</w:t>
      </w:r>
      <w:r w:rsidRPr="00D147A7">
        <w:rPr>
          <w:kern w:val="0"/>
          <w:lang w:val="nl-NL" w:eastAsia="en-US" w:bidi="ar-SA"/>
        </w:rPr>
        <w:t>treffende de bescherming van medische gegevens (</w:t>
      </w:r>
      <w:hyperlink r:id="rId322" w:history="1">
        <w:r w:rsidR="000B6F28" w:rsidRPr="00FD343F">
          <w:rPr>
            <w:rStyle w:val="Hyperlink"/>
            <w:kern w:val="0"/>
            <w:lang w:val="nl-NL" w:eastAsia="en-US" w:bidi="ar-SA"/>
          </w:rPr>
          <w:t>https://wcd.coe.int/ViewDoc.jsp?id= 571047</w:t>
        </w:r>
      </w:hyperlink>
      <w:r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Richtlijn 2001/20/EG van het Europees Parlement en de Raad van 24 april 2001 betreffende de onderlinge aanpassing van de wettelijke en bestuursrechtelijke bepalingen van de lidstaten inzake de toepassing van goede klinische praktijken bij de uitvoering van klinische proeven met geneesmiddelen voor menselijk gebruik (</w:t>
      </w:r>
      <w:r w:rsidRPr="00D147A7">
        <w:rPr>
          <w:i/>
          <w:kern w:val="0"/>
          <w:lang w:val="nl-NL" w:eastAsia="en-US" w:bidi="ar-SA"/>
        </w:rPr>
        <w:t>Pb.EG L.</w:t>
      </w:r>
      <w:r w:rsidRPr="00D147A7">
        <w:rPr>
          <w:kern w:val="0"/>
          <w:lang w:val="nl-NL" w:eastAsia="en-US" w:bidi="ar-SA"/>
        </w:rPr>
        <w:t xml:space="preserve"> 121, 1 mei 2001).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Verordening (EG) nr. 45/2001 van het Europees Parlement en de Raad van 18 december 2000 betreffende de bescherming van natuurlijke personen in verband met de verwerking van per</w:t>
      </w:r>
      <w:r w:rsidR="000B6F28">
        <w:rPr>
          <w:kern w:val="0"/>
          <w:lang w:val="nl-NL" w:eastAsia="en-US" w:bidi="ar-SA"/>
        </w:rPr>
        <w:t>-</w:t>
      </w:r>
      <w:r w:rsidRPr="00D147A7">
        <w:rPr>
          <w:kern w:val="0"/>
          <w:lang w:val="nl-NL" w:eastAsia="en-US" w:bidi="ar-SA"/>
        </w:rPr>
        <w:t>soonsgegevens door de communautaire instellingen en organen en betreffende het vrije ver</w:t>
      </w:r>
      <w:r w:rsidR="000B6F28">
        <w:rPr>
          <w:kern w:val="0"/>
          <w:lang w:val="nl-NL" w:eastAsia="en-US" w:bidi="ar-SA"/>
        </w:rPr>
        <w:t>-</w:t>
      </w:r>
      <w:r w:rsidRPr="00D147A7">
        <w:rPr>
          <w:kern w:val="0"/>
          <w:lang w:val="nl-NL" w:eastAsia="en-US" w:bidi="ar-SA"/>
        </w:rPr>
        <w:t>keer van die gegevens (</w:t>
      </w:r>
      <w:r w:rsidRPr="00D147A7">
        <w:rPr>
          <w:i/>
          <w:kern w:val="0"/>
          <w:lang w:val="nl-NL" w:eastAsia="en-US" w:bidi="ar-SA"/>
        </w:rPr>
        <w:t>Pb.EG L.</w:t>
      </w:r>
      <w:r w:rsidRPr="00D147A7">
        <w:rPr>
          <w:kern w:val="0"/>
          <w:lang w:val="nl-NL" w:eastAsia="en-US" w:bidi="ar-SA"/>
        </w:rPr>
        <w:t xml:space="preserve"> 8, 12 januari 2001).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Richtlijn 2005/61/EG van de Commissie van 30 september 2005 ter uitvoering van Richtlijn 2002/98/EG van het Europees Parlement en de Raad wat betreft de traceerbaarheidsvoor</w:t>
      </w:r>
      <w:r w:rsidR="000B6F28">
        <w:rPr>
          <w:kern w:val="0"/>
          <w:lang w:val="nl-NL" w:eastAsia="en-US" w:bidi="ar-SA"/>
        </w:rPr>
        <w:t>-</w:t>
      </w:r>
      <w:r w:rsidRPr="00D147A7">
        <w:rPr>
          <w:kern w:val="0"/>
          <w:lang w:val="nl-NL" w:eastAsia="en-US" w:bidi="ar-SA"/>
        </w:rPr>
        <w:t>schriften en de melding van ernstige ongewenste bijwerkingen en voorvallen (</w:t>
      </w:r>
      <w:r w:rsidRPr="00D147A7">
        <w:rPr>
          <w:i/>
          <w:kern w:val="0"/>
          <w:lang w:val="nl-NL" w:eastAsia="en-US" w:bidi="ar-SA"/>
        </w:rPr>
        <w:t>Pb.EG L.</w:t>
      </w:r>
      <w:r w:rsidRPr="00D147A7">
        <w:rPr>
          <w:kern w:val="0"/>
          <w:lang w:val="nl-NL" w:eastAsia="en-US" w:bidi="ar-SA"/>
        </w:rPr>
        <w:t xml:space="preserve"> 256, 1 oktober 2005).</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3.5.1.2 Websites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2E7E12" w:rsidP="00426625">
      <w:pPr>
        <w:widowControl/>
        <w:suppressAutoHyphens w:val="0"/>
        <w:spacing w:line="240" w:lineRule="atLeast"/>
        <w:jc w:val="both"/>
        <w:rPr>
          <w:kern w:val="0"/>
          <w:lang w:val="nl-NL" w:eastAsia="en-US" w:bidi="ar-SA"/>
        </w:rPr>
      </w:pPr>
      <w:hyperlink r:id="rId323" w:history="1">
        <w:r w:rsidR="00426625" w:rsidRPr="00D147A7">
          <w:rPr>
            <w:color w:val="0000FF"/>
            <w:kern w:val="0"/>
            <w:u w:val="single"/>
            <w:lang w:val="nl-NL" w:eastAsia="en-US" w:bidi="ar-SA"/>
          </w:rPr>
          <w:t>http://coe.int/</w:t>
        </w:r>
      </w:hyperlink>
      <w:r w:rsidR="00426625" w:rsidRPr="00D147A7">
        <w:rPr>
          <w:kern w:val="0"/>
          <w:lang w:val="nl-NL" w:eastAsia="en-US" w:bidi="ar-SA"/>
        </w:rPr>
        <w:t xml:space="preserve">. </w:t>
      </w:r>
    </w:p>
    <w:p w:rsidR="00426625" w:rsidRPr="00D147A7" w:rsidRDefault="002E7E12" w:rsidP="00426625">
      <w:pPr>
        <w:widowControl/>
        <w:suppressAutoHyphens w:val="0"/>
        <w:spacing w:line="240" w:lineRule="atLeast"/>
        <w:jc w:val="both"/>
        <w:rPr>
          <w:kern w:val="0"/>
          <w:lang w:val="nl-NL" w:eastAsia="en-US" w:bidi="ar-SA"/>
        </w:rPr>
      </w:pPr>
      <w:hyperlink r:id="rId324" w:history="1">
        <w:r w:rsidR="00426625" w:rsidRPr="00D147A7">
          <w:rPr>
            <w:color w:val="0000FF"/>
            <w:kern w:val="0"/>
            <w:u w:val="single"/>
            <w:lang w:val="nl-NL" w:eastAsia="en-US" w:bidi="ar-SA"/>
          </w:rPr>
          <w:t>http://conventions.coe.int/</w:t>
        </w:r>
      </w:hyperlink>
      <w:r w:rsidR="00426625"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ind w:firstLine="708"/>
        <w:jc w:val="both"/>
        <w:rPr>
          <w:b/>
          <w:smallCaps/>
          <w:kern w:val="0"/>
          <w:lang w:val="nl-NL" w:eastAsia="en-US" w:bidi="ar-SA"/>
        </w:rPr>
      </w:pPr>
      <w:r w:rsidRPr="00D147A7">
        <w:rPr>
          <w:b/>
          <w:smallCaps/>
          <w:kern w:val="0"/>
          <w:lang w:val="nl-NL" w:eastAsia="en-US" w:bidi="ar-SA"/>
        </w:rPr>
        <w:t>3.5.2 België</w:t>
      </w:r>
    </w:p>
    <w:p w:rsidR="00426625" w:rsidRPr="00D147A7" w:rsidRDefault="00426625" w:rsidP="00426625">
      <w:pPr>
        <w:widowControl/>
        <w:suppressAutoHyphens w:val="0"/>
        <w:spacing w:line="240" w:lineRule="atLeast"/>
        <w:jc w:val="both"/>
        <w:rPr>
          <w:b/>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3.5.2.1 Parlementaire voorbereidingen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Antwoord van Philippe Busquin als Minister van Volksgezondheid op vraag nr. 61 van de heer T. Van Parys op 10 november 1988. Vr. en Antw., 20 december 1988, p. 2586;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Antwoord van Magda Aelvoet als Minister van Volksgezondheid op vraag nr. 191 van de heer F. Antheunis op 13 september 2000. Vr. en antw., 23 oktober 2000, p. 5822; De Geneesheer-Specialist, 46/9 (2000), (</w:t>
      </w:r>
      <w:hyperlink r:id="rId325" w:history="1">
        <w:r w:rsidRPr="00D147A7">
          <w:rPr>
            <w:color w:val="0000FF"/>
            <w:kern w:val="0"/>
            <w:u w:val="single"/>
            <w:lang w:val="nl-NL" w:eastAsia="en-US" w:bidi="ar-SA"/>
          </w:rPr>
          <w:t>http://www.vbs-gbs.org/dgs/gs2000/gs0009/gs0009-05.asp</w:t>
        </w:r>
      </w:hyperlink>
      <w:r w:rsidRPr="00D147A7">
        <w:rPr>
          <w:kern w:val="0"/>
          <w:lang w:val="nl-NL" w:eastAsia="en-US" w:bidi="ar-SA"/>
        </w:rPr>
        <w:t>, laatst ge</w:t>
      </w:r>
      <w:r w:rsidR="000B6F28">
        <w:rPr>
          <w:kern w:val="0"/>
          <w:lang w:val="nl-NL" w:eastAsia="en-US" w:bidi="ar-SA"/>
        </w:rPr>
        <w:t>-</w:t>
      </w:r>
      <w:r w:rsidRPr="00D147A7">
        <w:rPr>
          <w:kern w:val="0"/>
          <w:lang w:val="nl-NL" w:eastAsia="en-US" w:bidi="ar-SA"/>
        </w:rPr>
        <w:t xml:space="preserve">raadpleegd op 23 juli 2012).  </w:t>
      </w:r>
    </w:p>
    <w:p w:rsidR="000B6F28" w:rsidRDefault="000B6F28" w:rsidP="00426625">
      <w:pPr>
        <w:widowControl/>
        <w:suppressAutoHyphens w:val="0"/>
        <w:spacing w:line="240" w:lineRule="atLeast"/>
        <w:jc w:val="both"/>
        <w:rPr>
          <w:b/>
          <w:kern w:val="0"/>
          <w:lang w:val="nl-NL" w:eastAsia="en-US" w:bidi="ar-SA"/>
        </w:rPr>
      </w:pPr>
    </w:p>
    <w:p w:rsidR="00426625" w:rsidRPr="00D147A7" w:rsidRDefault="000B6F28" w:rsidP="00426625">
      <w:pPr>
        <w:widowControl/>
        <w:suppressAutoHyphens w:val="0"/>
        <w:spacing w:line="240" w:lineRule="atLeast"/>
        <w:jc w:val="both"/>
        <w:rPr>
          <w:b/>
          <w:kern w:val="0"/>
          <w:lang w:val="nl-NL" w:eastAsia="en-US" w:bidi="ar-SA"/>
        </w:rPr>
      </w:pPr>
      <w:r>
        <w:rPr>
          <w:b/>
          <w:kern w:val="0"/>
          <w:lang w:val="nl-NL" w:eastAsia="en-US" w:bidi="ar-SA"/>
        </w:rPr>
        <w:lastRenderedPageBreak/>
        <w:tab/>
      </w:r>
      <w:r w:rsidR="00426625" w:rsidRPr="00D147A7">
        <w:rPr>
          <w:b/>
          <w:kern w:val="0"/>
          <w:lang w:val="nl-NL" w:eastAsia="en-US" w:bidi="ar-SA"/>
        </w:rPr>
        <w:tab/>
        <w:t>3.5.2.2 Wetgeving</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Organieke wet van 8 juli 1976 betreffende de openbare centra voor maatschappelijk welzijn (</w:t>
      </w:r>
      <w:r w:rsidRPr="00D147A7">
        <w:rPr>
          <w:i/>
          <w:kern w:val="0"/>
          <w:lang w:val="nl-NL" w:eastAsia="en-US" w:bidi="ar-SA"/>
        </w:rPr>
        <w:t>BS</w:t>
      </w:r>
      <w:r w:rsidRPr="00D147A7">
        <w:rPr>
          <w:kern w:val="0"/>
          <w:lang w:val="nl-NL" w:eastAsia="en-US" w:bidi="ar-SA"/>
        </w:rPr>
        <w:t xml:space="preserve"> 5 augsutus 1976, err. </w:t>
      </w:r>
      <w:r w:rsidRPr="00D147A7">
        <w:rPr>
          <w:i/>
          <w:kern w:val="0"/>
          <w:lang w:val="nl-NL" w:eastAsia="en-US" w:bidi="ar-SA"/>
        </w:rPr>
        <w:t>BS</w:t>
      </w:r>
      <w:r w:rsidRPr="00D147A7">
        <w:rPr>
          <w:kern w:val="0"/>
          <w:lang w:val="nl-NL" w:eastAsia="en-US" w:bidi="ar-SA"/>
        </w:rPr>
        <w:t xml:space="preserve"> 26 november 1976).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KB van 14 september 1984 tot vaststelling van de nomenclatuur van de geneeskundige ver</w:t>
      </w:r>
      <w:r w:rsidR="000B6F28">
        <w:rPr>
          <w:kern w:val="0"/>
          <w:lang w:val="nl-NL" w:eastAsia="en-US" w:bidi="ar-SA"/>
        </w:rPr>
        <w:t>-</w:t>
      </w:r>
      <w:r w:rsidRPr="00D147A7">
        <w:rPr>
          <w:kern w:val="0"/>
          <w:lang w:val="nl-NL" w:eastAsia="en-US" w:bidi="ar-SA"/>
        </w:rPr>
        <w:t>strekkingen inzake verplichte ziekte- en invaliditeitsverzekering (</w:t>
      </w:r>
      <w:r w:rsidRPr="00D147A7">
        <w:rPr>
          <w:i/>
          <w:kern w:val="0"/>
          <w:lang w:val="nl-NL" w:eastAsia="en-US" w:bidi="ar-SA"/>
        </w:rPr>
        <w:t>BS</w:t>
      </w:r>
      <w:r w:rsidRPr="00D147A7">
        <w:rPr>
          <w:kern w:val="0"/>
          <w:lang w:val="nl-NL" w:eastAsia="en-US" w:bidi="ar-SA"/>
        </w:rPr>
        <w:t xml:space="preserve"> 29 september 1984).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Gecoördineerd KB van 14 september 1984 tot vaststelling van de nomenclatuur van de ge</w:t>
      </w:r>
      <w:r w:rsidR="006F2926">
        <w:rPr>
          <w:kern w:val="0"/>
          <w:lang w:val="nl-NL" w:eastAsia="en-US" w:bidi="ar-SA"/>
        </w:rPr>
        <w:t>-</w:t>
      </w:r>
      <w:r w:rsidRPr="00D147A7">
        <w:rPr>
          <w:kern w:val="0"/>
          <w:lang w:val="nl-NL" w:eastAsia="en-US" w:bidi="ar-SA"/>
        </w:rPr>
        <w:t>neeskundige verstrekkingen inzake verplichte ziekte- en invaliditeitsverzekering (BS 29 sep</w:t>
      </w:r>
      <w:r w:rsidR="006F2926">
        <w:rPr>
          <w:kern w:val="0"/>
          <w:lang w:val="nl-NL" w:eastAsia="en-US" w:bidi="ar-SA"/>
        </w:rPr>
        <w:t>-</w:t>
      </w:r>
      <w:r w:rsidRPr="00D147A7">
        <w:rPr>
          <w:kern w:val="0"/>
          <w:lang w:val="nl-NL" w:eastAsia="en-US" w:bidi="ar-SA"/>
        </w:rPr>
        <w:t>tember 1984).</w:t>
      </w:r>
      <w:r w:rsidRPr="00D147A7">
        <w:rPr>
          <w:kern w:val="0"/>
          <w:vertAlign w:val="superscript"/>
          <w:lang w:val="nl-NL" w:eastAsia="en-US" w:bidi="ar-SA"/>
        </w:rPr>
        <w:footnoteReference w:id="959"/>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MB van 15 maart 1985 tot vastlegging van het model en het gebruik van de getuigschriften voor verstrekte hulp en van de overeenstemmingstrook die moeten worden gebruikt door de inrichtingen voor geneeskundige verzorging (BS 28 maart 1985).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KB van 14 december 1987 houdende bepaling van de regels en de termijn volgens dewelke de beheerder van het ziekenhuis mededeling doet van de financiële toestand, van de bedrijfsuit</w:t>
      </w:r>
      <w:r w:rsidR="006F2926">
        <w:rPr>
          <w:kern w:val="0"/>
          <w:lang w:val="nl-NL" w:eastAsia="en-US" w:bidi="ar-SA"/>
        </w:rPr>
        <w:t>-</w:t>
      </w:r>
      <w:r w:rsidRPr="00D147A7">
        <w:rPr>
          <w:kern w:val="0"/>
          <w:lang w:val="nl-NL" w:eastAsia="en-US" w:bidi="ar-SA"/>
        </w:rPr>
        <w:t xml:space="preserve">komsten, van het verslag van de bedrijfsrevisor en van alle statistische gegevens die met zijn inrichting verband houden (BS 18 mei 1988).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KB van 25 november 1996 tot vaststelling van de regelen inzake het bijhouden van een ver</w:t>
      </w:r>
      <w:r w:rsidR="006F2926">
        <w:rPr>
          <w:kern w:val="0"/>
          <w:lang w:val="nl-NL" w:eastAsia="en-US" w:bidi="ar-SA"/>
        </w:rPr>
        <w:t>-</w:t>
      </w:r>
      <w:r w:rsidRPr="00D147A7">
        <w:rPr>
          <w:kern w:val="0"/>
          <w:lang w:val="nl-NL" w:eastAsia="en-US" w:bidi="ar-SA"/>
        </w:rPr>
        <w:t>strekkingenregister door de zorgverleners bedoeld in art. 76 van de wet betreffende de ver</w:t>
      </w:r>
      <w:r w:rsidR="006F2926">
        <w:rPr>
          <w:kern w:val="0"/>
          <w:lang w:val="nl-NL" w:eastAsia="en-US" w:bidi="ar-SA"/>
        </w:rPr>
        <w:t>-</w:t>
      </w:r>
      <w:r w:rsidRPr="00D147A7">
        <w:rPr>
          <w:kern w:val="0"/>
          <w:lang w:val="nl-NL" w:eastAsia="en-US" w:bidi="ar-SA"/>
        </w:rPr>
        <w:t>plichte verzekering voor geneeskundige verzorging en uitkeringen, gecoördineerd op 14 juli 1994 en tot bepaling van de administratieve geldboetes in geval van inbreuk op deze voor</w:t>
      </w:r>
      <w:r w:rsidR="006F2926">
        <w:rPr>
          <w:kern w:val="0"/>
          <w:lang w:val="nl-NL" w:eastAsia="en-US" w:bidi="ar-SA"/>
        </w:rPr>
        <w:t>-</w:t>
      </w:r>
      <w:r w:rsidRPr="00D147A7">
        <w:rPr>
          <w:kern w:val="0"/>
          <w:lang w:val="nl-NL" w:eastAsia="en-US" w:bidi="ar-SA"/>
        </w:rPr>
        <w:t>schriften (BS 13 december 1996).</w:t>
      </w:r>
    </w:p>
    <w:p w:rsidR="00426625" w:rsidRPr="00D147A7" w:rsidRDefault="006F2926" w:rsidP="00426625">
      <w:pPr>
        <w:widowControl/>
        <w:suppressAutoHyphens w:val="0"/>
        <w:spacing w:line="240" w:lineRule="atLeast"/>
        <w:jc w:val="both"/>
        <w:rPr>
          <w:kern w:val="0"/>
          <w:lang w:val="nl-NL" w:eastAsia="en-US" w:bidi="ar-SA"/>
        </w:rPr>
      </w:pPr>
      <w:r>
        <w:rPr>
          <w:kern w:val="0"/>
          <w:lang w:val="nl-NL" w:eastAsia="en-US" w:bidi="ar-SA"/>
        </w:rPr>
        <w:t>W</w:t>
      </w:r>
      <w:r w:rsidR="00426625" w:rsidRPr="00D147A7">
        <w:rPr>
          <w:kern w:val="0"/>
          <w:lang w:val="nl-NL" w:eastAsia="en-US" w:bidi="ar-SA"/>
        </w:rPr>
        <w:t>et van 10 juni 1998 tot wijziging van sommige bepalingen betreffende de verjaring (BS 17 juli 1998)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KB van 4 maart 2004 tot wijziging van het KB van 3 juli 1969 betreffende de registratie van geneesmiddelen en tot wijziging van het KB van 6 juni 1960 betreffende de fabricage, de dis</w:t>
      </w:r>
      <w:r w:rsidR="006F2926">
        <w:rPr>
          <w:kern w:val="0"/>
          <w:lang w:val="nl-NL" w:eastAsia="en-US" w:bidi="ar-SA"/>
        </w:rPr>
        <w:t>-</w:t>
      </w:r>
      <w:r w:rsidRPr="00D147A7">
        <w:rPr>
          <w:kern w:val="0"/>
          <w:lang w:val="nl-NL" w:eastAsia="en-US" w:bidi="ar-SA"/>
        </w:rPr>
        <w:t>tributie in het groot en de terhandstelling van geneesmiddelen (BS 10 maart 2004)</w:t>
      </w:r>
      <w:r w:rsidR="006F2926">
        <w:rPr>
          <w:kern w:val="0"/>
          <w:lang w:val="nl-NL" w:eastAsia="en-US" w:bidi="ar-SA"/>
        </w:rPr>
        <w:t>.</w:t>
      </w:r>
    </w:p>
    <w:p w:rsidR="00426625" w:rsidRPr="00D147A7" w:rsidRDefault="006F2926" w:rsidP="00426625">
      <w:pPr>
        <w:widowControl/>
        <w:suppressAutoHyphens w:val="0"/>
        <w:spacing w:line="240" w:lineRule="atLeast"/>
        <w:jc w:val="both"/>
        <w:rPr>
          <w:kern w:val="0"/>
          <w:lang w:val="nl-NL" w:eastAsia="en-US" w:bidi="ar-SA"/>
        </w:rPr>
      </w:pPr>
      <w:r>
        <w:rPr>
          <w:kern w:val="0"/>
          <w:lang w:val="nl-NL" w:eastAsia="en-US" w:bidi="ar-SA"/>
        </w:rPr>
        <w:t>D</w:t>
      </w:r>
      <w:r w:rsidR="00426625" w:rsidRPr="00D147A7">
        <w:rPr>
          <w:kern w:val="0"/>
          <w:lang w:val="nl-NL" w:eastAsia="en-US" w:bidi="ar-SA"/>
        </w:rPr>
        <w:t>ecreet van 19 december 2008 betreffende de organisatie van de openbare centra voor maat</w:t>
      </w:r>
      <w:r>
        <w:rPr>
          <w:kern w:val="0"/>
          <w:lang w:val="nl-NL" w:eastAsia="en-US" w:bidi="ar-SA"/>
        </w:rPr>
        <w:t>-</w:t>
      </w:r>
      <w:r w:rsidR="00426625" w:rsidRPr="00D147A7">
        <w:rPr>
          <w:kern w:val="0"/>
          <w:lang w:val="nl-NL" w:eastAsia="en-US" w:bidi="ar-SA"/>
        </w:rPr>
        <w:t>schappelijk welzijn I (BS 24 december 2008)</w:t>
      </w:r>
      <w:r>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Vlaams Archiefdecreet.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KB van 15 december 1987 houdende uitvoering van de artikels 13 tot en met 17 van de wet op de ziekenhuizen, zoals gecoördineerd door het KB van 7 augustus 1987 (BS 25 december 1987).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MB van 1 maart 2010 tot vaststelling van de criteria voor de erkenning van huisartsen (BS 4 maart 2010)</w:t>
      </w:r>
      <w:r w:rsidR="006F2926">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3.5.2.3 Nationale Raad van de Orde der geneesheren</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‘Bewaring medische dossiers (PR Antwerpen)’, </w:t>
      </w:r>
      <w:r w:rsidRPr="00D147A7">
        <w:rPr>
          <w:i/>
          <w:kern w:val="0"/>
          <w:lang w:val="nl-NL" w:eastAsia="en-US" w:bidi="ar-SA"/>
        </w:rPr>
        <w:t>T.N.R.</w:t>
      </w:r>
      <w:r w:rsidRPr="00D147A7">
        <w:rPr>
          <w:kern w:val="0"/>
          <w:lang w:val="nl-NL" w:eastAsia="en-US" w:bidi="ar-SA"/>
        </w:rPr>
        <w:t>, 33 (1985), p. 60.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‘Bewaring medische dossiers’, </w:t>
      </w:r>
      <w:r w:rsidRPr="00D147A7">
        <w:rPr>
          <w:i/>
          <w:kern w:val="0"/>
          <w:lang w:val="nl-NL" w:eastAsia="en-US" w:bidi="ar-SA"/>
        </w:rPr>
        <w:t>T.N.R.</w:t>
      </w:r>
      <w:r w:rsidRPr="00D147A7">
        <w:rPr>
          <w:kern w:val="0"/>
          <w:lang w:val="nl-NL" w:eastAsia="en-US" w:bidi="ar-SA"/>
        </w:rPr>
        <w:t>, 44 (1989), p. 19.</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‘Bewaring van medische dossiers op microfilm’, </w:t>
      </w:r>
      <w:r w:rsidRPr="00D147A7">
        <w:rPr>
          <w:i/>
          <w:kern w:val="0"/>
          <w:lang w:val="nl-NL" w:eastAsia="en-US" w:bidi="ar-SA"/>
        </w:rPr>
        <w:t>T.N.R.</w:t>
      </w:r>
      <w:r w:rsidRPr="00D147A7">
        <w:rPr>
          <w:kern w:val="0"/>
          <w:lang w:val="nl-NL" w:eastAsia="en-US" w:bidi="ar-SA"/>
        </w:rPr>
        <w:t>, 57 (1992), p. 20.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‘Klinische biologie: bewaring en archivering van medische dossiers, accreditering van de la</w:t>
      </w:r>
      <w:r w:rsidR="006F2926">
        <w:rPr>
          <w:kern w:val="0"/>
          <w:lang w:val="nl-NL" w:eastAsia="en-US" w:bidi="ar-SA"/>
        </w:rPr>
        <w:t>-</w:t>
      </w:r>
      <w:r w:rsidRPr="00D147A7">
        <w:rPr>
          <w:kern w:val="0"/>
          <w:lang w:val="nl-NL" w:eastAsia="en-US" w:bidi="ar-SA"/>
        </w:rPr>
        <w:t xml:space="preserve">boratoria’, </w:t>
      </w:r>
      <w:r w:rsidRPr="00D147A7">
        <w:rPr>
          <w:i/>
          <w:kern w:val="0"/>
          <w:lang w:val="nl-NL" w:eastAsia="en-US" w:bidi="ar-SA"/>
        </w:rPr>
        <w:t>T.N.R.</w:t>
      </w:r>
      <w:r w:rsidRPr="00D147A7">
        <w:rPr>
          <w:kern w:val="0"/>
          <w:lang w:val="nl-NL" w:eastAsia="en-US" w:bidi="ar-SA"/>
        </w:rPr>
        <w:t>, 70 (1995), p. 17.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‘Wegnemingen - Bewaartermijn’, </w:t>
      </w:r>
      <w:r w:rsidRPr="00D147A7">
        <w:rPr>
          <w:i/>
          <w:kern w:val="0"/>
          <w:lang w:val="nl-NL" w:eastAsia="en-US" w:bidi="ar-SA"/>
        </w:rPr>
        <w:t>T.N.R.</w:t>
      </w:r>
      <w:r w:rsidRPr="00D147A7">
        <w:rPr>
          <w:kern w:val="0"/>
          <w:lang w:val="nl-NL" w:eastAsia="en-US" w:bidi="ar-SA"/>
        </w:rPr>
        <w:t>, 72 (1996), p. 29.</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‘Medische dossiers – Dertigjarige bewaartermijn’, </w:t>
      </w:r>
      <w:r w:rsidRPr="00D147A7">
        <w:rPr>
          <w:i/>
          <w:kern w:val="0"/>
          <w:lang w:val="nl-NL" w:eastAsia="en-US" w:bidi="ar-SA"/>
        </w:rPr>
        <w:t>T.N.R.</w:t>
      </w:r>
      <w:r w:rsidRPr="00D147A7">
        <w:rPr>
          <w:kern w:val="0"/>
          <w:lang w:val="nl-NL" w:eastAsia="en-US" w:bidi="ar-SA"/>
        </w:rPr>
        <w:t>, 81 (1998), p. 19.</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‘Stockering van medische gegevens door een handelsfirma’, </w:t>
      </w:r>
      <w:r w:rsidRPr="00D147A7">
        <w:rPr>
          <w:i/>
          <w:kern w:val="0"/>
          <w:lang w:val="nl-NL" w:eastAsia="en-US" w:bidi="ar-SA"/>
        </w:rPr>
        <w:t>T.N.R.</w:t>
      </w:r>
      <w:r w:rsidRPr="00D147A7">
        <w:rPr>
          <w:kern w:val="0"/>
          <w:lang w:val="nl-NL" w:eastAsia="en-US" w:bidi="ar-SA"/>
        </w:rPr>
        <w:t>, 84 (1999), p.18.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‘Medisch archief – Verantwoordelijke voor de opslag ervan in het ziekenhuis’, </w:t>
      </w:r>
      <w:r w:rsidRPr="00D147A7">
        <w:rPr>
          <w:i/>
          <w:kern w:val="0"/>
          <w:lang w:val="nl-NL" w:eastAsia="en-US" w:bidi="ar-SA"/>
        </w:rPr>
        <w:t>T.N.R.</w:t>
      </w:r>
      <w:r w:rsidRPr="00D147A7">
        <w:rPr>
          <w:kern w:val="0"/>
          <w:lang w:val="nl-NL" w:eastAsia="en-US" w:bidi="ar-SA"/>
        </w:rPr>
        <w:t>, 86 (1999), p. 15.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‘Bewaartermijn van radiografieën en elektro-encefalografische tracés’, </w:t>
      </w:r>
      <w:r w:rsidRPr="00D147A7">
        <w:rPr>
          <w:i/>
          <w:kern w:val="0"/>
          <w:lang w:val="nl-NL" w:eastAsia="en-US" w:bidi="ar-SA"/>
        </w:rPr>
        <w:t>T.N.R.</w:t>
      </w:r>
      <w:r w:rsidRPr="00D147A7">
        <w:rPr>
          <w:kern w:val="0"/>
          <w:lang w:val="nl-NL" w:eastAsia="en-US" w:bidi="ar-SA"/>
        </w:rPr>
        <w:t>, 92 (2001), p. 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‘Bewaring van medische ziekenhuisgegevens’, </w:t>
      </w:r>
      <w:r w:rsidRPr="00D147A7">
        <w:rPr>
          <w:i/>
          <w:kern w:val="0"/>
          <w:lang w:val="nl-NL" w:eastAsia="en-US" w:bidi="ar-SA"/>
        </w:rPr>
        <w:t>T.N.R.</w:t>
      </w:r>
      <w:r w:rsidRPr="00D147A7">
        <w:rPr>
          <w:kern w:val="0"/>
          <w:lang w:val="nl-NL" w:eastAsia="en-US" w:bidi="ar-SA"/>
        </w:rPr>
        <w:t>, 93 (2001), p. 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‘Bewaartermijn van Guthrie-kaartjes’, </w:t>
      </w:r>
      <w:r w:rsidRPr="00D147A7">
        <w:rPr>
          <w:i/>
          <w:kern w:val="0"/>
          <w:lang w:val="nl-NL" w:eastAsia="en-US" w:bidi="ar-SA"/>
        </w:rPr>
        <w:t>T.N.R.</w:t>
      </w:r>
      <w:r w:rsidRPr="00D147A7">
        <w:rPr>
          <w:kern w:val="0"/>
          <w:lang w:val="nl-NL" w:eastAsia="en-US" w:bidi="ar-SA"/>
        </w:rPr>
        <w:t>, 95 (2001), p. 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‘Commissie voor medische ethiek: bewaartermijn van de protocollen’, </w:t>
      </w:r>
      <w:r w:rsidRPr="00D147A7">
        <w:rPr>
          <w:i/>
          <w:kern w:val="0"/>
          <w:lang w:val="nl-NL" w:eastAsia="en-US" w:bidi="ar-SA"/>
        </w:rPr>
        <w:t>T.N.R.</w:t>
      </w:r>
      <w:r w:rsidRPr="00D147A7">
        <w:rPr>
          <w:kern w:val="0"/>
          <w:lang w:val="nl-NL" w:eastAsia="en-US" w:bidi="ar-SA"/>
        </w:rPr>
        <w:t>, 96 (2002), p. 9.</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‘Bewaartermijnen van ziekenhuisdossiers’, </w:t>
      </w:r>
      <w:r w:rsidRPr="00D147A7">
        <w:rPr>
          <w:i/>
          <w:kern w:val="0"/>
          <w:lang w:val="nl-NL" w:eastAsia="en-US" w:bidi="ar-SA"/>
        </w:rPr>
        <w:t>T.N.R.</w:t>
      </w:r>
      <w:r w:rsidRPr="00D147A7">
        <w:rPr>
          <w:kern w:val="0"/>
          <w:lang w:val="nl-NL" w:eastAsia="en-US" w:bidi="ar-SA"/>
        </w:rPr>
        <w:t>, 98 (2002), p. 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‘Het beroepsgeheim na (het) overlijden (van de patiënt)’, </w:t>
      </w:r>
      <w:r w:rsidRPr="00D147A7">
        <w:rPr>
          <w:i/>
          <w:kern w:val="0"/>
          <w:lang w:val="nl-NL" w:eastAsia="en-US" w:bidi="ar-SA"/>
        </w:rPr>
        <w:t>T.N.R.</w:t>
      </w:r>
      <w:r w:rsidRPr="00D147A7">
        <w:rPr>
          <w:kern w:val="0"/>
          <w:lang w:val="nl-NL" w:eastAsia="en-US" w:bidi="ar-SA"/>
        </w:rPr>
        <w:t>, 105 (2004), p. 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‘Bewaringstermijn van medische dossiers van adviserende geneesheren van verzekerings</w:t>
      </w:r>
      <w:r w:rsidR="006F2926">
        <w:rPr>
          <w:kern w:val="0"/>
          <w:lang w:val="nl-NL" w:eastAsia="en-US" w:bidi="ar-SA"/>
        </w:rPr>
        <w:t>-</w:t>
      </w:r>
      <w:r w:rsidRPr="00D147A7">
        <w:rPr>
          <w:kern w:val="0"/>
          <w:lang w:val="nl-NL" w:eastAsia="en-US" w:bidi="ar-SA"/>
        </w:rPr>
        <w:t xml:space="preserve">maatschappijen en van artsen-deskundigen’, </w:t>
      </w:r>
      <w:r w:rsidRPr="00D147A7">
        <w:rPr>
          <w:i/>
          <w:kern w:val="0"/>
          <w:lang w:val="nl-NL" w:eastAsia="en-US" w:bidi="ar-SA"/>
        </w:rPr>
        <w:t>T.N.R.</w:t>
      </w:r>
      <w:r w:rsidRPr="00D147A7">
        <w:rPr>
          <w:kern w:val="0"/>
          <w:lang w:val="nl-NL" w:eastAsia="en-US" w:bidi="ar-SA"/>
        </w:rPr>
        <w:t>, 109 (2005), p. 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‘Onverenigbaarheid tussen de functie van hoofdarts en deze van directeur van het ziekenhuis’, </w:t>
      </w:r>
      <w:r w:rsidRPr="00D147A7">
        <w:rPr>
          <w:i/>
          <w:kern w:val="0"/>
          <w:lang w:val="nl-NL" w:eastAsia="en-US" w:bidi="ar-SA"/>
        </w:rPr>
        <w:t>T.N.R.</w:t>
      </w:r>
      <w:r w:rsidRPr="00D147A7">
        <w:rPr>
          <w:kern w:val="0"/>
          <w:lang w:val="nl-NL" w:eastAsia="en-US" w:bidi="ar-SA"/>
        </w:rPr>
        <w:t>, 123 (2008).</w:t>
      </w: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r>
    </w:p>
    <w:p w:rsidR="00426625" w:rsidRPr="00D147A7" w:rsidRDefault="00426625" w:rsidP="00426625">
      <w:pPr>
        <w:widowControl/>
        <w:suppressAutoHyphens w:val="0"/>
        <w:spacing w:line="240" w:lineRule="atLeast"/>
        <w:ind w:left="708" w:firstLine="708"/>
        <w:jc w:val="both"/>
        <w:rPr>
          <w:b/>
          <w:kern w:val="0"/>
          <w:lang w:val="nl-NL" w:eastAsia="en-US" w:bidi="ar-SA"/>
        </w:rPr>
      </w:pPr>
      <w:r w:rsidRPr="00D147A7">
        <w:rPr>
          <w:b/>
          <w:kern w:val="0"/>
          <w:lang w:val="nl-NL" w:eastAsia="en-US" w:bidi="ar-SA"/>
        </w:rPr>
        <w:t>3.5.2.4 Privacycommissie</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DEKEYSER, H., </w:t>
      </w:r>
      <w:r w:rsidRPr="00D147A7">
        <w:rPr>
          <w:i/>
          <w:kern w:val="0"/>
          <w:lang w:val="nl-NL" w:eastAsia="en-US" w:bidi="ar-SA"/>
        </w:rPr>
        <w:t>Dossier betreffende de bewaring van medische dossiers langer dan 30 jaar voor historisch, statistisch en wetenschappelijk onderzoek – Wet van 8 december 1992 (hierna de “privacywet”)</w:t>
      </w:r>
      <w:r w:rsidRPr="00D147A7">
        <w:rPr>
          <w:kern w:val="0"/>
          <w:lang w:val="nl-NL" w:eastAsia="en-US" w:bidi="ar-SA"/>
        </w:rPr>
        <w:t xml:space="preserve">, Brussel, 20 december 2011, 9p. </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3.5.2.5 Rechtsleer en literatuur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i/>
          <w:kern w:val="0"/>
          <w:lang w:val="nl-NL" w:eastAsia="en-US" w:bidi="ar-SA"/>
        </w:rPr>
        <w:t>Verpleegkunde &amp; vroedkunde zakboekje 2009-2010</w:t>
      </w:r>
      <w:r w:rsidRPr="00D147A7">
        <w:rPr>
          <w:kern w:val="0"/>
          <w:lang w:val="nl-NL" w:eastAsia="en-US" w:bidi="ar-SA"/>
        </w:rPr>
        <w:t>, Mechelen, Kluwer, 2009, 478p.</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BEAUTHIER, J.P., ‘Dossier médical et justice. La bonne tenue d’un dossier médical. Sa sai</w:t>
      </w:r>
      <w:r w:rsidR="006F2926">
        <w:rPr>
          <w:kern w:val="0"/>
          <w:lang w:val="fr-BE" w:eastAsia="en-US" w:bidi="ar-SA"/>
        </w:rPr>
        <w:t>-</w:t>
      </w:r>
      <w:r w:rsidRPr="00D147A7">
        <w:rPr>
          <w:kern w:val="0"/>
          <w:lang w:val="fr-BE" w:eastAsia="en-US" w:bidi="ar-SA"/>
        </w:rPr>
        <w:t>sie, sa conservation, la communication des données, quelques questions à propos de la respon</w:t>
      </w:r>
      <w:r w:rsidR="006F2926">
        <w:rPr>
          <w:kern w:val="0"/>
          <w:lang w:val="fr-BE" w:eastAsia="en-US" w:bidi="ar-SA"/>
        </w:rPr>
        <w:t>-</w:t>
      </w:r>
      <w:r w:rsidRPr="00D147A7">
        <w:rPr>
          <w:kern w:val="0"/>
          <w:lang w:val="fr-BE" w:eastAsia="en-US" w:bidi="ar-SA"/>
        </w:rPr>
        <w:t xml:space="preserve">sabilité, de la préscription et des réserves’, </w:t>
      </w:r>
      <w:r w:rsidRPr="006F2926">
        <w:rPr>
          <w:i/>
          <w:kern w:val="0"/>
          <w:lang w:val="fr-BE" w:eastAsia="en-US" w:bidi="ar-SA"/>
        </w:rPr>
        <w:t>Con.M.</w:t>
      </w:r>
      <w:r w:rsidRPr="00D147A7">
        <w:rPr>
          <w:kern w:val="0"/>
          <w:lang w:val="fr-BE" w:eastAsia="en-US" w:bidi="ar-SA"/>
        </w:rPr>
        <w:t>, 30/3 (2003), p. 99-114.</w:t>
      </w:r>
    </w:p>
    <w:p w:rsidR="00426625" w:rsidRPr="00D147A7" w:rsidRDefault="00426625" w:rsidP="00426625">
      <w:pPr>
        <w:widowControl/>
        <w:suppressAutoHyphens w:val="0"/>
        <w:spacing w:line="240" w:lineRule="atLeast"/>
        <w:jc w:val="both"/>
        <w:rPr>
          <w:kern w:val="0"/>
          <w:lang w:val="en-US" w:eastAsia="en-US" w:bidi="ar-SA"/>
        </w:rPr>
      </w:pPr>
      <w:r w:rsidRPr="00D147A7">
        <w:rPr>
          <w:kern w:val="0"/>
          <w:lang w:val="en-US" w:eastAsia="en-US" w:bidi="ar-SA"/>
        </w:rPr>
        <w:t>BRILLON, S., ‘The European Data Protection Legislation and the Medical Records’, CAL</w:t>
      </w:r>
      <w:r w:rsidR="006F2926">
        <w:rPr>
          <w:kern w:val="0"/>
          <w:lang w:val="en-US" w:eastAsia="en-US" w:bidi="ar-SA"/>
        </w:rPr>
        <w:t>-</w:t>
      </w:r>
      <w:r w:rsidRPr="00D147A7">
        <w:rPr>
          <w:kern w:val="0"/>
          <w:lang w:val="en-US" w:eastAsia="en-US" w:bidi="ar-SA"/>
        </w:rPr>
        <w:t xml:space="preserve">LENS, S. (red.), </w:t>
      </w:r>
      <w:r w:rsidRPr="00D147A7">
        <w:rPr>
          <w:i/>
          <w:kern w:val="0"/>
          <w:lang w:val="en-US" w:eastAsia="en-US" w:bidi="ar-SA"/>
        </w:rPr>
        <w:t>E-Health and the Law</w:t>
      </w:r>
      <w:r w:rsidRPr="00D147A7">
        <w:rPr>
          <w:kern w:val="0"/>
          <w:lang w:val="en-US" w:eastAsia="en-US" w:bidi="ar-SA"/>
        </w:rPr>
        <w:t>, International Bar Association series, Den Haag, Klu</w:t>
      </w:r>
      <w:r w:rsidR="006F2926">
        <w:rPr>
          <w:kern w:val="0"/>
          <w:lang w:val="en-US" w:eastAsia="en-US" w:bidi="ar-SA"/>
        </w:rPr>
        <w:t>-</w:t>
      </w:r>
      <w:r w:rsidRPr="00D147A7">
        <w:rPr>
          <w:kern w:val="0"/>
          <w:lang w:val="en-US" w:eastAsia="en-US" w:bidi="ar-SA"/>
        </w:rPr>
        <w:t>wer law international, 2003, p. 87-97.</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BRILLON, S.; CALLENS, S.; ‘La conservation du dossier patient’, </w:t>
      </w:r>
      <w:r w:rsidRPr="00D147A7">
        <w:rPr>
          <w:i/>
          <w:kern w:val="0"/>
          <w:lang w:val="fr-BE" w:eastAsia="en-US" w:bidi="ar-SA"/>
        </w:rPr>
        <w:t>T.Gez.</w:t>
      </w:r>
      <w:r w:rsidRPr="00D147A7">
        <w:rPr>
          <w:kern w:val="0"/>
          <w:lang w:val="fr-BE" w:eastAsia="en-US" w:bidi="ar-SA"/>
        </w:rPr>
        <w:t>, 2001-2002, 4, p. 176-182.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CLAEYS, I., ‘De nieuwe verjaringstermijn: een inleidende verkenning’, </w:t>
      </w:r>
      <w:r w:rsidRPr="00D147A7">
        <w:rPr>
          <w:i/>
          <w:kern w:val="0"/>
          <w:lang w:val="nl-NL" w:eastAsia="en-US" w:bidi="ar-SA"/>
        </w:rPr>
        <w:t>R.W.</w:t>
      </w:r>
      <w:r w:rsidRPr="00D147A7">
        <w:rPr>
          <w:kern w:val="0"/>
          <w:lang w:val="nl-NL" w:eastAsia="en-US" w:bidi="ar-SA"/>
        </w:rPr>
        <w:t>, 1998-1999, k. 377-403.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CLEPKENS, C., ‘Overhandigen van medische gegevens uit het RVT-dossier’, p. 182.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 HERT, P., ‘Doden hebben (nog) geen privacy’, </w:t>
      </w:r>
      <w:r w:rsidRPr="00D147A7">
        <w:rPr>
          <w:i/>
          <w:kern w:val="0"/>
          <w:lang w:val="nl-NL" w:eastAsia="en-US" w:bidi="ar-SA"/>
        </w:rPr>
        <w:t>Juristenkrant</w:t>
      </w:r>
      <w:r w:rsidRPr="00D147A7">
        <w:rPr>
          <w:kern w:val="0"/>
          <w:lang w:val="nl-NL" w:eastAsia="en-US" w:bidi="ar-SA"/>
        </w:rPr>
        <w:t>, 18 (2000), p. 12-13.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DEKNUDT, G., ‘Inzage in het Patiëntendossier door nabestaanden inzake de betwisting van een testament – volgt de praktijk stilaan de wet’, </w:t>
      </w:r>
      <w:r w:rsidRPr="00D147A7">
        <w:rPr>
          <w:i/>
          <w:kern w:val="0"/>
          <w:lang w:val="nl-NL" w:eastAsia="en-US" w:bidi="ar-SA"/>
        </w:rPr>
        <w:t>Nieuwsbrief Notariaat</w:t>
      </w:r>
      <w:r w:rsidRPr="00D147A7">
        <w:rPr>
          <w:kern w:val="0"/>
          <w:lang w:val="nl-NL" w:eastAsia="en-US" w:bidi="ar-SA"/>
        </w:rPr>
        <w:t xml:space="preserve">, 2007, 4, p. 3-5. </w:t>
      </w:r>
    </w:p>
    <w:p w:rsidR="00426625" w:rsidRPr="00D147A7" w:rsidRDefault="00426625" w:rsidP="00426625">
      <w:pPr>
        <w:widowControl/>
        <w:suppressAutoHyphens w:val="0"/>
        <w:spacing w:line="240" w:lineRule="atLeast"/>
        <w:jc w:val="both"/>
        <w:rPr>
          <w:kern w:val="0"/>
          <w:lang w:val="en-US" w:eastAsia="en-US" w:bidi="ar-SA"/>
        </w:rPr>
      </w:pPr>
      <w:r w:rsidRPr="00D147A7">
        <w:rPr>
          <w:kern w:val="0"/>
          <w:lang w:val="en-US" w:eastAsia="en-US" w:bidi="ar-SA"/>
        </w:rPr>
        <w:t xml:space="preserve">DIERKS, C., ‘Data Subject’s Consent and Cross-Border Data Processing’, CALLENS, S. (red.), </w:t>
      </w:r>
      <w:r w:rsidRPr="00D147A7">
        <w:rPr>
          <w:i/>
          <w:kern w:val="0"/>
          <w:lang w:val="en-US" w:eastAsia="en-US" w:bidi="ar-SA"/>
        </w:rPr>
        <w:t>E-Health and the Law</w:t>
      </w:r>
      <w:r w:rsidRPr="00D147A7">
        <w:rPr>
          <w:kern w:val="0"/>
          <w:lang w:val="en-US" w:eastAsia="en-US" w:bidi="ar-SA"/>
        </w:rPr>
        <w:t>, International Bar Association series, Den Haag, Kluwer law international, 2003, p. 111-120.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DIERCKX, A., ‘De burgerrechtelijke aansprakelijkheid van de algemeen directeur, de hoofd</w:t>
      </w:r>
      <w:r w:rsidR="006F2926">
        <w:rPr>
          <w:kern w:val="0"/>
          <w:lang w:val="nl-NL" w:eastAsia="en-US" w:bidi="ar-SA"/>
        </w:rPr>
        <w:t>-</w:t>
      </w:r>
      <w:r w:rsidRPr="00D147A7">
        <w:rPr>
          <w:kern w:val="0"/>
          <w:lang w:val="nl-NL" w:eastAsia="en-US" w:bidi="ar-SA"/>
        </w:rPr>
        <w:t xml:space="preserve">geneesheer, het ethisch comité, de medische raad en het comité hygiëne in ziekenhuisverband; een literatuurstudie’, </w:t>
      </w:r>
      <w:r w:rsidRPr="00D147A7">
        <w:rPr>
          <w:i/>
          <w:kern w:val="0"/>
          <w:lang w:val="nl-NL" w:eastAsia="en-US" w:bidi="ar-SA"/>
        </w:rPr>
        <w:t>Hosp.</w:t>
      </w:r>
      <w:r w:rsidRPr="00D147A7">
        <w:rPr>
          <w:kern w:val="0"/>
          <w:lang w:val="nl-NL" w:eastAsia="en-US" w:bidi="ar-SA"/>
        </w:rPr>
        <w:t xml:space="preserve">, 49/1 (2005), p. 27-36. </w:t>
      </w:r>
    </w:p>
    <w:p w:rsidR="00426625" w:rsidRPr="00D147A7" w:rsidRDefault="00426625" w:rsidP="00426625">
      <w:pPr>
        <w:widowControl/>
        <w:suppressAutoHyphens w:val="0"/>
        <w:spacing w:line="240" w:lineRule="atLeast"/>
        <w:jc w:val="both"/>
        <w:rPr>
          <w:kern w:val="0"/>
          <w:lang w:val="en-US" w:eastAsia="en-US" w:bidi="ar-SA"/>
        </w:rPr>
      </w:pPr>
      <w:r w:rsidRPr="00D147A7">
        <w:rPr>
          <w:kern w:val="0"/>
          <w:lang w:val="en-US" w:eastAsia="en-US" w:bidi="ar-SA"/>
        </w:rPr>
        <w:t xml:space="preserve">FORESTI, S., </w:t>
      </w:r>
      <w:r w:rsidRPr="00D147A7">
        <w:rPr>
          <w:i/>
          <w:kern w:val="0"/>
          <w:lang w:val="en-US" w:eastAsia="en-US" w:bidi="ar-SA"/>
        </w:rPr>
        <w:t>Preserving Privacy in Data Outsourcing</w:t>
      </w:r>
      <w:r w:rsidRPr="00D147A7">
        <w:rPr>
          <w:kern w:val="0"/>
          <w:lang w:val="en-US" w:eastAsia="en-US" w:bidi="ar-SA"/>
        </w:rPr>
        <w:t>, Advances in Information Security, 51, New York-Dordrecht-Heidelberg-Londen, Springer, 2011, 196p.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KIEVITS, F.; ADRIAANSE, M.T.; ‘Duitse artsen zeggen nee tegen centrale opslag patiënten</w:t>
      </w:r>
      <w:r w:rsidR="006F2926">
        <w:rPr>
          <w:kern w:val="0"/>
          <w:lang w:val="nl-NL" w:eastAsia="en-US" w:bidi="ar-SA"/>
        </w:rPr>
        <w:t>-</w:t>
      </w:r>
      <w:r w:rsidRPr="00D147A7">
        <w:rPr>
          <w:kern w:val="0"/>
          <w:lang w:val="nl-NL" w:eastAsia="en-US" w:bidi="ar-SA"/>
        </w:rPr>
        <w:t xml:space="preserve">gegevens’, </w:t>
      </w:r>
      <w:r w:rsidRPr="00D147A7">
        <w:rPr>
          <w:i/>
          <w:kern w:val="0"/>
          <w:lang w:val="nl-NL" w:eastAsia="en-US" w:bidi="ar-SA"/>
        </w:rPr>
        <w:t>N.T.G.</w:t>
      </w:r>
      <w:r w:rsidRPr="00D147A7">
        <w:rPr>
          <w:kern w:val="0"/>
          <w:lang w:val="nl-NL" w:eastAsia="en-US" w:bidi="ar-SA"/>
        </w:rPr>
        <w:t>, 152 (2008), p. 343-344.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Kind en Gezin, </w:t>
      </w:r>
      <w:r w:rsidRPr="00D147A7">
        <w:rPr>
          <w:i/>
          <w:kern w:val="0"/>
          <w:lang w:val="nl-NL" w:eastAsia="en-US" w:bidi="ar-SA"/>
        </w:rPr>
        <w:t>Kwaliteitsnieuwsbrief</w:t>
      </w:r>
      <w:r w:rsidRPr="00D147A7">
        <w:rPr>
          <w:kern w:val="0"/>
          <w:lang w:val="nl-NL" w:eastAsia="en-US" w:bidi="ar-SA"/>
        </w:rPr>
        <w:t>, 7 (2003), p. 4 (</w:t>
      </w:r>
      <w:hyperlink r:id="rId326" w:history="1">
        <w:r w:rsidRPr="00D147A7">
          <w:rPr>
            <w:color w:val="0000FF"/>
            <w:kern w:val="0"/>
            <w:u w:val="single"/>
            <w:lang w:val="nl-NL" w:eastAsia="en-US" w:bidi="ar-SA"/>
          </w:rPr>
          <w:t>www.kindengezin.be</w:t>
        </w:r>
      </w:hyperlink>
      <w:r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LIERMAN, S., ‘Het pleit beslecht: de patiënt draagt de bewijslast van de informatiemisken</w:t>
      </w:r>
      <w:r w:rsidR="006F2926">
        <w:rPr>
          <w:kern w:val="0"/>
          <w:lang w:val="nl-NL" w:eastAsia="en-US" w:bidi="ar-SA"/>
        </w:rPr>
        <w:t>-</w:t>
      </w:r>
      <w:r w:rsidRPr="00D147A7">
        <w:rPr>
          <w:kern w:val="0"/>
          <w:lang w:val="nl-NL" w:eastAsia="en-US" w:bidi="ar-SA"/>
        </w:rPr>
        <w:t xml:space="preserve">ning door de arts’, </w:t>
      </w:r>
      <w:r w:rsidRPr="00D147A7">
        <w:rPr>
          <w:i/>
          <w:kern w:val="0"/>
          <w:lang w:val="nl-NL" w:eastAsia="en-US" w:bidi="ar-SA"/>
        </w:rPr>
        <w:t>T.Gez.</w:t>
      </w:r>
      <w:r w:rsidRPr="00D147A7">
        <w:rPr>
          <w:kern w:val="0"/>
          <w:lang w:val="nl-NL" w:eastAsia="en-US" w:bidi="ar-SA"/>
        </w:rPr>
        <w:t>, 2004-2005, p. 302-308.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MARECHAL, G., ‘Het O.C.M.W.-archief: taak en uitdaging voor de secretaris’, </w:t>
      </w:r>
      <w:r w:rsidRPr="00D147A7">
        <w:rPr>
          <w:i/>
          <w:kern w:val="0"/>
          <w:lang w:val="nl-NL" w:eastAsia="en-US" w:bidi="ar-SA"/>
        </w:rPr>
        <w:t>O.C.M.W.-visies</w:t>
      </w:r>
      <w:r w:rsidRPr="00D147A7">
        <w:rPr>
          <w:kern w:val="0"/>
          <w:lang w:val="nl-NL" w:eastAsia="en-US" w:bidi="ar-SA"/>
        </w:rPr>
        <w:t>, 1/6 (1991), p. 24-29.</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MEIRESONNE, A., </w:t>
      </w:r>
      <w:r w:rsidRPr="00D147A7">
        <w:rPr>
          <w:i/>
          <w:kern w:val="0"/>
          <w:lang w:val="nl-NL" w:eastAsia="en-US" w:bidi="ar-SA"/>
        </w:rPr>
        <w:t>Het medisch archief. Casus Universitair Ziekenhuis Brugmann – Univer</w:t>
      </w:r>
      <w:r w:rsidR="006F2926">
        <w:rPr>
          <w:i/>
          <w:kern w:val="0"/>
          <w:lang w:val="nl-NL" w:eastAsia="en-US" w:bidi="ar-SA"/>
        </w:rPr>
        <w:t>-</w:t>
      </w:r>
      <w:r w:rsidRPr="00D147A7">
        <w:rPr>
          <w:i/>
          <w:kern w:val="0"/>
          <w:lang w:val="nl-NL" w:eastAsia="en-US" w:bidi="ar-SA"/>
        </w:rPr>
        <w:t>sitair Kinderziekenhuis Koningin Fabiola</w:t>
      </w:r>
      <w:r w:rsidRPr="00D147A7">
        <w:rPr>
          <w:kern w:val="0"/>
          <w:lang w:val="nl-NL" w:eastAsia="en-US" w:bidi="ar-SA"/>
        </w:rPr>
        <w:t>, onuitgeg. verhandeling, Archivistiek en Heden</w:t>
      </w:r>
      <w:r w:rsidR="006F2926">
        <w:rPr>
          <w:kern w:val="0"/>
          <w:lang w:val="nl-NL" w:eastAsia="en-US" w:bidi="ar-SA"/>
        </w:rPr>
        <w:t>-</w:t>
      </w:r>
      <w:r w:rsidRPr="00D147A7">
        <w:rPr>
          <w:kern w:val="0"/>
          <w:lang w:val="nl-NL" w:eastAsia="en-US" w:bidi="ar-SA"/>
        </w:rPr>
        <w:t xml:space="preserve">daags Documentbeheer, promotor prof. dr. J. Verhelst, Vrije Universiteit Brussel, 1992-1993.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Nationale Raad voor Ziekenhuisvoorziening,  ‘Opmerkingen m.b.t. adviezen 7 en 8 van de Telematicacommissie’, Brussel, 2005, 11p. (</w:t>
      </w:r>
      <w:hyperlink r:id="rId327" w:history="1">
        <w:r w:rsidR="006F2926" w:rsidRPr="00FD343F">
          <w:rPr>
            <w:rStyle w:val="Hyperlink"/>
            <w:kern w:val="0"/>
            <w:lang w:val="nl-NL" w:eastAsia="en-US" w:bidi="ar-SA"/>
          </w:rPr>
          <w:t>http://www.health.belgium.be/filestore/4152387/ 2005%252011%252010%2520-%2520NRZV%2520D%2520250-2%2520NL_4152387_nl. 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NUYTTENS, M., </w:t>
      </w:r>
      <w:r w:rsidRPr="00D147A7">
        <w:rPr>
          <w:i/>
          <w:kern w:val="0"/>
          <w:lang w:val="nl-NL" w:eastAsia="en-US" w:bidi="ar-SA"/>
        </w:rPr>
        <w:t>Inspectieverslag betreffende het archief van openbare ziekenhuizen in de provincie West-Vlaanderen: met voorstel van richtlijnen voor het beheer en de selectie van ziekenhuisarchieven</w:t>
      </w:r>
      <w:r w:rsidRPr="00D147A7">
        <w:rPr>
          <w:kern w:val="0"/>
          <w:lang w:val="nl-NL" w:eastAsia="en-US" w:bidi="ar-SA"/>
        </w:rPr>
        <w:t>, Miscellania archivistica. Studia 165, Brussel, Algemeen rijksarchief, 2005, 77p.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NYS, H., </w:t>
      </w:r>
      <w:r w:rsidRPr="00D147A7">
        <w:rPr>
          <w:i/>
          <w:kern w:val="0"/>
          <w:lang w:val="nl-NL" w:eastAsia="en-US" w:bidi="ar-SA"/>
        </w:rPr>
        <w:t>Geneeskunde – Recht en medisch handelen</w:t>
      </w:r>
      <w:r w:rsidRPr="00D147A7">
        <w:rPr>
          <w:kern w:val="0"/>
          <w:lang w:val="nl-NL" w:eastAsia="en-US" w:bidi="ar-SA"/>
        </w:rPr>
        <w:t>, Algemene praktische rechtsverzame</w:t>
      </w:r>
      <w:r w:rsidR="006F2926">
        <w:rPr>
          <w:kern w:val="0"/>
          <w:lang w:val="nl-NL" w:eastAsia="en-US" w:bidi="ar-SA"/>
        </w:rPr>
        <w:t>-</w:t>
      </w:r>
      <w:r w:rsidRPr="00D147A7">
        <w:rPr>
          <w:kern w:val="0"/>
          <w:lang w:val="nl-NL" w:eastAsia="en-US" w:bidi="ar-SA"/>
        </w:rPr>
        <w:t>ling, Brussel, Story-Scientia, 2005, 714p.</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NYS, H., </w:t>
      </w:r>
      <w:r w:rsidRPr="00D147A7">
        <w:rPr>
          <w:i/>
          <w:kern w:val="0"/>
          <w:lang w:val="fr-BE" w:eastAsia="en-US" w:bidi="ar-SA"/>
        </w:rPr>
        <w:t>La médecine et le droit</w:t>
      </w:r>
      <w:r w:rsidRPr="00D147A7">
        <w:rPr>
          <w:kern w:val="0"/>
          <w:lang w:val="fr-BE" w:eastAsia="en-US" w:bidi="ar-SA"/>
        </w:rPr>
        <w:t>, Kluwer, Diegem, 1995, 511p.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SCHUTYSER, K., ‘Eigendomsrecht en medische dossiers’, </w:t>
      </w:r>
      <w:r w:rsidRPr="00D147A7">
        <w:rPr>
          <w:i/>
          <w:kern w:val="0"/>
          <w:lang w:val="nl-NL" w:eastAsia="en-US" w:bidi="ar-SA"/>
        </w:rPr>
        <w:t>R.W.</w:t>
      </w:r>
      <w:r w:rsidRPr="00D147A7">
        <w:rPr>
          <w:kern w:val="0"/>
          <w:lang w:val="nl-NL" w:eastAsia="en-US" w:bidi="ar-SA"/>
        </w:rPr>
        <w:t>, 1984-1985, k. 3021-3048.</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SOYEZ, S., ‘Attardons-nous sur… Dossiers médicaux’, VASTESAEGER, A.M.; SOYEZ, S.; DELPLANCQ, T.; </w:t>
      </w:r>
      <w:r w:rsidRPr="00D147A7">
        <w:rPr>
          <w:i/>
          <w:kern w:val="0"/>
          <w:lang w:val="fr-BE" w:eastAsia="en-US" w:bidi="ar-SA"/>
        </w:rPr>
        <w:t>Questions d’archivage</w:t>
      </w:r>
      <w:r w:rsidRPr="00D147A7">
        <w:rPr>
          <w:kern w:val="0"/>
          <w:lang w:val="fr-BE" w:eastAsia="en-US" w:bidi="ar-SA"/>
        </w:rPr>
        <w:t>, Brussel, Politeia, 2012², p. 219-234.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Telematicacommissie, </w:t>
      </w:r>
      <w:r w:rsidRPr="00D147A7">
        <w:rPr>
          <w:i/>
          <w:kern w:val="0"/>
          <w:lang w:val="nl-NL" w:eastAsia="en-US" w:bidi="ar-SA"/>
        </w:rPr>
        <w:t>Advies nr. 7: Langetermijnbewaring van patiëntendossiers door zie</w:t>
      </w:r>
      <w:r w:rsidR="006F2926">
        <w:rPr>
          <w:i/>
          <w:kern w:val="0"/>
          <w:lang w:val="nl-NL" w:eastAsia="en-US" w:bidi="ar-SA"/>
        </w:rPr>
        <w:t>-</w:t>
      </w:r>
      <w:r w:rsidRPr="00D147A7">
        <w:rPr>
          <w:i/>
          <w:kern w:val="0"/>
          <w:lang w:val="nl-NL" w:eastAsia="en-US" w:bidi="ar-SA"/>
        </w:rPr>
        <w:t>kenhuizen</w:t>
      </w:r>
      <w:r w:rsidRPr="00D147A7">
        <w:rPr>
          <w:kern w:val="0"/>
          <w:lang w:val="nl-NL" w:eastAsia="en-US" w:bidi="ar-SA"/>
        </w:rPr>
        <w:t>, s.l., 2002, 4p. (</w:t>
      </w:r>
      <w:hyperlink r:id="rId328" w:history="1">
        <w:r w:rsidR="006F2926" w:rsidRPr="00FD343F">
          <w:rPr>
            <w:rStyle w:val="Hyperlink"/>
            <w:kern w:val="0"/>
            <w:lang w:val="nl-NL" w:eastAsia="en-US" w:bidi="ar-SA"/>
          </w:rPr>
          <w:t>http://www.health.belgium.be/eportal/Healthcare/Telematics/ Studygroups/TelematicsCommission/index.htm</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VAN DEN BOSSCHE, A., ‘Objectieve aansprakelijkheid geldt ook voor medische sector’, </w:t>
      </w:r>
      <w:r w:rsidRPr="00D147A7">
        <w:rPr>
          <w:i/>
          <w:kern w:val="0"/>
          <w:lang w:val="nl-NL" w:eastAsia="en-US" w:bidi="ar-SA"/>
        </w:rPr>
        <w:t>Juristenkrant</w:t>
      </w:r>
      <w:r w:rsidRPr="00D147A7">
        <w:rPr>
          <w:kern w:val="0"/>
          <w:lang w:val="nl-NL" w:eastAsia="en-US" w:bidi="ar-SA"/>
        </w:rPr>
        <w:t>, 33 (2001), p. 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VAN DEN EEDEN, E., ‘De uitoefening van de geneeskunde’, </w:t>
      </w:r>
      <w:r w:rsidRPr="00D147A7">
        <w:rPr>
          <w:i/>
          <w:kern w:val="0"/>
          <w:lang w:val="nl-NL" w:eastAsia="en-US" w:bidi="ar-SA"/>
        </w:rPr>
        <w:t>Zakboekje voor de ziekenhuis</w:t>
      </w:r>
      <w:r w:rsidR="006F2926">
        <w:rPr>
          <w:i/>
          <w:kern w:val="0"/>
          <w:lang w:val="nl-NL" w:eastAsia="en-US" w:bidi="ar-SA"/>
        </w:rPr>
        <w:t>-</w:t>
      </w:r>
      <w:r w:rsidRPr="00D147A7">
        <w:rPr>
          <w:i/>
          <w:kern w:val="0"/>
          <w:lang w:val="nl-NL" w:eastAsia="en-US" w:bidi="ar-SA"/>
        </w:rPr>
        <w:t>arts</w:t>
      </w:r>
      <w:r w:rsidRPr="00D147A7">
        <w:rPr>
          <w:kern w:val="0"/>
          <w:lang w:val="nl-NL" w:eastAsia="en-US" w:bidi="ar-SA"/>
        </w:rPr>
        <w:t>, Mechelen, Kluwer, 2009, p. 21-47.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VAN DIJCK, J., </w:t>
      </w:r>
      <w:r w:rsidRPr="00D147A7">
        <w:rPr>
          <w:i/>
          <w:kern w:val="0"/>
          <w:lang w:val="nl-NL" w:eastAsia="en-US" w:bidi="ar-SA"/>
        </w:rPr>
        <w:t>De Hoofdgeneesheer</w:t>
      </w:r>
      <w:r w:rsidRPr="00D147A7">
        <w:rPr>
          <w:kern w:val="0"/>
          <w:lang w:val="nl-NL" w:eastAsia="en-US" w:bidi="ar-SA"/>
        </w:rPr>
        <w:t>, s.l., Vlaamse Vereniging van Hoofdgeneesheren, 2005, 51p.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VERSCHAEREN, J., ‘O.C.M.W.-ziekenhuisarchieven: problemen van selectie en bewaring’, MARECHAL, G. (red.), </w:t>
      </w:r>
      <w:r w:rsidRPr="00D147A7">
        <w:rPr>
          <w:i/>
          <w:kern w:val="0"/>
          <w:lang w:val="nl-NL" w:eastAsia="en-US" w:bidi="ar-SA"/>
        </w:rPr>
        <w:t>‘Een kompas met vele streken’. Studies over Antwerpen, scheepvaart en archivistiek aangeboden aan dr. Gustaaf Asaert ter gelegenheid van zijn 65ste verjaardag</w:t>
      </w:r>
      <w:r w:rsidRPr="00D147A7">
        <w:rPr>
          <w:kern w:val="0"/>
          <w:lang w:val="nl-NL" w:eastAsia="en-US" w:bidi="ar-SA"/>
        </w:rPr>
        <w:t>, VVBAD, Antwerpen, 1994, p. 216-222.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WOSTYN, L., ‘[Het overmaken van medische gegevens na overlijden] In het geval van testa</w:t>
      </w:r>
      <w:r w:rsidR="006F2926">
        <w:rPr>
          <w:kern w:val="0"/>
          <w:lang w:val="nl-NL" w:eastAsia="en-US" w:bidi="ar-SA"/>
        </w:rPr>
        <w:t>-</w:t>
      </w:r>
      <w:r w:rsidRPr="00D147A7">
        <w:rPr>
          <w:kern w:val="0"/>
          <w:lang w:val="nl-NL" w:eastAsia="en-US" w:bidi="ar-SA"/>
        </w:rPr>
        <w:t xml:space="preserve">mentaire betwistingen’, ID., </w:t>
      </w:r>
      <w:r w:rsidRPr="00D147A7">
        <w:rPr>
          <w:i/>
          <w:kern w:val="0"/>
          <w:lang w:val="nl-NL" w:eastAsia="en-US" w:bidi="ar-SA"/>
        </w:rPr>
        <w:t>Het overmaken van medische gegevens na het overlijden van de patiënt</w:t>
      </w:r>
      <w:r w:rsidRPr="00D147A7">
        <w:rPr>
          <w:kern w:val="0"/>
          <w:lang w:val="nl-NL" w:eastAsia="en-US" w:bidi="ar-SA"/>
        </w:rPr>
        <w:t>, Gent, Story Publishers, 2011, p. 40-55.</w:t>
      </w:r>
    </w:p>
    <w:p w:rsidR="00426625" w:rsidRPr="00D147A7" w:rsidRDefault="00426625" w:rsidP="00426625">
      <w:pPr>
        <w:widowControl/>
        <w:suppressAutoHyphens w:val="0"/>
        <w:spacing w:line="240" w:lineRule="atLeast"/>
        <w:jc w:val="both"/>
        <w:rPr>
          <w:smallCaps/>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3.5.2.6 Websites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2E7E12" w:rsidP="00426625">
      <w:pPr>
        <w:widowControl/>
        <w:suppressAutoHyphens w:val="0"/>
        <w:spacing w:line="240" w:lineRule="atLeast"/>
        <w:jc w:val="both"/>
        <w:rPr>
          <w:kern w:val="0"/>
          <w:lang w:val="nl-NL" w:eastAsia="en-US" w:bidi="ar-SA"/>
        </w:rPr>
      </w:pPr>
      <w:hyperlink r:id="rId329" w:history="1">
        <w:r w:rsidR="00426625" w:rsidRPr="00D147A7">
          <w:rPr>
            <w:color w:val="0000FF"/>
            <w:kern w:val="0"/>
            <w:u w:val="single"/>
            <w:lang w:val="nl-NL" w:eastAsia="en-US" w:bidi="ar-SA"/>
          </w:rPr>
          <w:t>http://www.goudengids.be/</w:t>
        </w:r>
      </w:hyperlink>
      <w:r w:rsidR="00426625" w:rsidRPr="00D147A7">
        <w:rPr>
          <w:kern w:val="0"/>
          <w:lang w:val="nl-NL" w:eastAsia="en-US" w:bidi="ar-SA"/>
        </w:rPr>
        <w:t xml:space="preserve">. </w:t>
      </w:r>
    </w:p>
    <w:p w:rsidR="00426625" w:rsidRPr="00D147A7" w:rsidRDefault="002E7E12" w:rsidP="00426625">
      <w:pPr>
        <w:widowControl/>
        <w:suppressAutoHyphens w:val="0"/>
        <w:spacing w:line="240" w:lineRule="atLeast"/>
        <w:jc w:val="both"/>
        <w:rPr>
          <w:kern w:val="0"/>
          <w:lang w:val="nl-NL" w:eastAsia="en-US" w:bidi="ar-SA"/>
        </w:rPr>
      </w:pPr>
      <w:hyperlink r:id="rId330" w:history="1">
        <w:r w:rsidR="00426625" w:rsidRPr="00D147A7">
          <w:rPr>
            <w:color w:val="0000FF"/>
            <w:kern w:val="0"/>
            <w:u w:val="single"/>
            <w:lang w:val="nl-NL" w:eastAsia="en-US" w:bidi="ar-SA"/>
          </w:rPr>
          <w:t>http://www.health.belgium.be/</w:t>
        </w:r>
      </w:hyperlink>
      <w:r w:rsidR="00426625" w:rsidRPr="00D147A7">
        <w:rPr>
          <w:kern w:val="0"/>
          <w:lang w:val="nl-NL" w:eastAsia="en-US" w:bidi="ar-SA"/>
        </w:rPr>
        <w:t xml:space="preserve">. </w:t>
      </w:r>
    </w:p>
    <w:p w:rsidR="00426625" w:rsidRPr="00D147A7" w:rsidRDefault="002E7E12" w:rsidP="00426625">
      <w:pPr>
        <w:widowControl/>
        <w:suppressAutoHyphens w:val="0"/>
        <w:spacing w:line="240" w:lineRule="atLeast"/>
        <w:jc w:val="both"/>
        <w:rPr>
          <w:kern w:val="0"/>
          <w:lang w:val="nl-NL" w:eastAsia="en-US" w:bidi="ar-SA"/>
        </w:rPr>
      </w:pPr>
      <w:hyperlink r:id="rId331" w:history="1">
        <w:r w:rsidR="00426625" w:rsidRPr="00D147A7">
          <w:rPr>
            <w:color w:val="0000FF"/>
            <w:kern w:val="0"/>
            <w:u w:val="single"/>
            <w:lang w:val="nl-NL" w:eastAsia="en-US" w:bidi="ar-SA"/>
          </w:rPr>
          <w:t>http://www.kindengezin.be/</w:t>
        </w:r>
      </w:hyperlink>
      <w:r w:rsidR="00426625" w:rsidRPr="00D147A7">
        <w:rPr>
          <w:kern w:val="0"/>
          <w:lang w:val="nl-NL" w:eastAsia="en-US" w:bidi="ar-SA"/>
        </w:rPr>
        <w:t>.</w:t>
      </w:r>
    </w:p>
    <w:p w:rsidR="00426625" w:rsidRPr="00D147A7" w:rsidRDefault="002E7E12" w:rsidP="00426625">
      <w:pPr>
        <w:widowControl/>
        <w:suppressAutoHyphens w:val="0"/>
        <w:spacing w:line="240" w:lineRule="atLeast"/>
        <w:jc w:val="both"/>
        <w:rPr>
          <w:kern w:val="0"/>
          <w:lang w:val="nl-NL" w:eastAsia="en-US" w:bidi="ar-SA"/>
        </w:rPr>
      </w:pPr>
      <w:hyperlink r:id="rId332" w:history="1">
        <w:r w:rsidR="00426625" w:rsidRPr="00D147A7">
          <w:rPr>
            <w:color w:val="0000FF"/>
            <w:kern w:val="0"/>
            <w:u w:val="single"/>
            <w:lang w:val="nl-NL" w:eastAsia="en-US" w:bidi="ar-SA"/>
          </w:rPr>
          <w:t>http://www.riziv.be/</w:t>
        </w:r>
      </w:hyperlink>
      <w:r w:rsidR="00426625"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smallCaps/>
          <w:kern w:val="0"/>
          <w:lang w:val="nl-NL" w:eastAsia="en-US" w:bidi="ar-SA"/>
        </w:rPr>
      </w:pPr>
    </w:p>
    <w:p w:rsidR="00426625" w:rsidRPr="00D147A7" w:rsidRDefault="00426625" w:rsidP="00426625">
      <w:pPr>
        <w:widowControl/>
        <w:suppressAutoHyphens w:val="0"/>
        <w:spacing w:line="240" w:lineRule="atLeast"/>
        <w:ind w:firstLine="708"/>
        <w:jc w:val="both"/>
        <w:rPr>
          <w:b/>
          <w:smallCaps/>
          <w:kern w:val="0"/>
          <w:lang w:val="nl-NL" w:eastAsia="en-US" w:bidi="ar-SA"/>
        </w:rPr>
      </w:pPr>
      <w:r w:rsidRPr="00D147A7">
        <w:rPr>
          <w:b/>
          <w:smallCaps/>
          <w:kern w:val="0"/>
          <w:lang w:val="nl-NL" w:eastAsia="en-US" w:bidi="ar-SA"/>
        </w:rPr>
        <w:t>3.5.3 Nederland</w:t>
      </w:r>
    </w:p>
    <w:p w:rsidR="00426625" w:rsidRPr="00D147A7" w:rsidRDefault="00426625" w:rsidP="00426625">
      <w:pPr>
        <w:widowControl/>
        <w:suppressAutoHyphens w:val="0"/>
        <w:spacing w:line="240" w:lineRule="atLeast"/>
        <w:jc w:val="both"/>
        <w:rPr>
          <w:b/>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3.5.3.1 Parlementaire voorbereidingen</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ab/>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1989-1990, 21 561, nr. 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1990-1991, 21 561, nr. 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1990-1991, 21 561, nr. 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1991-1992, 21 561, nr. 11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Kamerstukken II, vergaderjaar 2001-2002, 28 000 XVI, nr. 14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2004-2005, 30 049, nr. 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Kamerstukken II, vergaderjaar 2009-2010, 32 402, nr. 2 (in de tekst vermeld als Wetsvoorstel cliëntenrechten zorg of, kortweg, Wcz).</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3.5.3.2 Wetgeving</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Bopz.</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patiëntendossier Bopz.</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WGBO.</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15 december 1995, houdende regelen ter uitvoering van een aantal bepalingen van de Archiefwet 1995 (</w:t>
      </w:r>
      <w:r w:rsidRPr="00D147A7">
        <w:rPr>
          <w:i/>
          <w:kern w:val="0"/>
          <w:lang w:val="nl-NL" w:eastAsia="en-US" w:bidi="ar-SA"/>
        </w:rPr>
        <w:t>Stb.</w:t>
      </w:r>
      <w:r w:rsidRPr="00D147A7">
        <w:rPr>
          <w:kern w:val="0"/>
          <w:lang w:val="nl-NL" w:eastAsia="en-US" w:bidi="ar-SA"/>
        </w:rPr>
        <w:t xml:space="preserve"> 671, 28 december 1995).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donorgegevens.</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op de jeugdzorg.</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van 22 december 2005 tot wijziging van enige bepalingen van het Burgerlijk Wetboek omtrent de overeenkomst inzake geneeskundige behandeling en van artikel IV van de wet van 17 november 1994 (</w:t>
      </w:r>
      <w:r w:rsidRPr="00D147A7">
        <w:rPr>
          <w:i/>
          <w:kern w:val="0"/>
          <w:lang w:val="nl-NL" w:eastAsia="en-US" w:bidi="ar-SA"/>
        </w:rPr>
        <w:t>Stb.</w:t>
      </w:r>
      <w:r w:rsidRPr="00D147A7">
        <w:rPr>
          <w:kern w:val="0"/>
          <w:lang w:val="nl-NL" w:eastAsia="en-US" w:bidi="ar-SA"/>
        </w:rPr>
        <w:t xml:space="preserve"> 837, 31 januari 2006)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VAN HEEZIK, N.; BROEKHUIS, W.; PRINZ, E.M.; AUGUSTIJN, A.; KWINT, M.; STRIJ</w:t>
      </w:r>
      <w:r w:rsidR="006F2926">
        <w:rPr>
          <w:kern w:val="0"/>
          <w:lang w:val="nl-NL" w:eastAsia="en-US" w:bidi="ar-SA"/>
        </w:rPr>
        <w:t>-</w:t>
      </w:r>
      <w:r w:rsidRPr="00D147A7">
        <w:rPr>
          <w:kern w:val="0"/>
          <w:lang w:val="nl-NL" w:eastAsia="en-US" w:bidi="ar-SA"/>
        </w:rPr>
        <w:t xml:space="preserve">BOSCH, A.; </w:t>
      </w:r>
      <w:r w:rsidRPr="00D147A7">
        <w:rPr>
          <w:i/>
          <w:kern w:val="0"/>
          <w:lang w:val="nl-NL" w:eastAsia="en-US" w:bidi="ar-SA"/>
        </w:rPr>
        <w:t>Basisselectiedocument openbare en bijzondere ziekenhuizen 1985-</w:t>
      </w:r>
      <w:r w:rsidRPr="00D147A7">
        <w:rPr>
          <w:kern w:val="0"/>
          <w:lang w:val="nl-NL" w:eastAsia="en-US" w:bidi="ar-SA"/>
        </w:rPr>
        <w:t>, s.l., 2006, 187p. (</w:t>
      </w:r>
      <w:r w:rsidRPr="00D147A7">
        <w:rPr>
          <w:i/>
          <w:kern w:val="0"/>
          <w:lang w:val="nl-NL" w:eastAsia="en-US" w:bidi="ar-SA"/>
        </w:rPr>
        <w:t>Stcrt.</w:t>
      </w:r>
      <w:r w:rsidRPr="00D147A7">
        <w:rPr>
          <w:kern w:val="0"/>
          <w:lang w:val="nl-NL" w:eastAsia="en-US" w:bidi="ar-SA"/>
        </w:rPr>
        <w:t xml:space="preserve"> 35, 19 februari 2007 en </w:t>
      </w:r>
      <w:hyperlink r:id="rId333" w:history="1">
        <w:r w:rsidR="006F2926" w:rsidRPr="00FD343F">
          <w:rPr>
            <w:rStyle w:val="Hyperlink"/>
            <w:kern w:val="0"/>
            <w:lang w:val="nl-NL" w:eastAsia="en-US" w:bidi="ar-SA"/>
          </w:rPr>
          <w:t>http://www.handelingenbank.info/informatiebronnen/ 097%20Openbare%20en%20bijzondere%20academische%20ziekenhuizen/BSD/097%20BSD %202006.pdf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16 april 2009, nr. 09.001007 houdende vaststelling van een selectielijst van de Tweede Kamer der Staten-Generaal op het deelbeleidsterrein van personeelszaken, t.w. perso</w:t>
      </w:r>
      <w:r w:rsidR="006F2926">
        <w:rPr>
          <w:kern w:val="0"/>
          <w:lang w:val="nl-NL" w:eastAsia="en-US" w:bidi="ar-SA"/>
        </w:rPr>
        <w:t>-</w:t>
      </w:r>
      <w:r w:rsidRPr="00D147A7">
        <w:rPr>
          <w:kern w:val="0"/>
          <w:lang w:val="nl-NL" w:eastAsia="en-US" w:bidi="ar-SA"/>
        </w:rPr>
        <w:t>neelsdossiers (</w:t>
      </w:r>
      <w:r w:rsidRPr="00D147A7">
        <w:rPr>
          <w:i/>
          <w:kern w:val="0"/>
          <w:lang w:val="nl-NL" w:eastAsia="en-US" w:bidi="ar-SA"/>
        </w:rPr>
        <w:t>Stcrt.</w:t>
      </w:r>
      <w:r w:rsidRPr="00D147A7">
        <w:rPr>
          <w:kern w:val="0"/>
          <w:lang w:val="nl-NL" w:eastAsia="en-US" w:bidi="ar-SA"/>
        </w:rPr>
        <w:t xml:space="preserve"> 105, 16 april 2009).</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3.5.3.3 Cbp</w:t>
      </w:r>
    </w:p>
    <w:p w:rsidR="00426625" w:rsidRPr="00D147A7" w:rsidRDefault="00426625" w:rsidP="00426625">
      <w:pPr>
        <w:widowControl/>
        <w:suppressAutoHyphens w:val="0"/>
        <w:spacing w:line="240" w:lineRule="atLeast"/>
        <w:jc w:val="both"/>
        <w:rPr>
          <w:b/>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Brief van J. Beuving aan Minister Klink betreffende ASP’s in de zorg, den Haag, 15 decem</w:t>
      </w:r>
      <w:r w:rsidR="006F2926">
        <w:rPr>
          <w:kern w:val="0"/>
          <w:lang w:val="nl-NL" w:eastAsia="en-US" w:bidi="ar-SA"/>
        </w:rPr>
        <w:t>-</w:t>
      </w:r>
      <w:r w:rsidRPr="00D147A7">
        <w:rPr>
          <w:kern w:val="0"/>
          <w:lang w:val="nl-NL" w:eastAsia="en-US" w:bidi="ar-SA"/>
        </w:rPr>
        <w:t>ber 2009, 3p. (</w:t>
      </w:r>
      <w:hyperlink r:id="rId334" w:history="1">
        <w:r w:rsidR="006F2926" w:rsidRPr="00FD343F">
          <w:rPr>
            <w:rStyle w:val="Hyperlink"/>
            <w:kern w:val="0"/>
            <w:lang w:val="nl-NL" w:eastAsia="en-US" w:bidi="ar-SA"/>
          </w:rPr>
          <w:t>http://www.cbpweb.nl/downloads_med/med_20100219_uitbesteding_ verwerking_pati%C3%ABntgegevens.pdf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3.5.3.4 KNMG</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KNMG, ‘Bewaartermijn patiëntendossiers voorlopig van tien naar vijftien jaar’, </w:t>
      </w:r>
      <w:r w:rsidRPr="00D147A7">
        <w:rPr>
          <w:i/>
          <w:kern w:val="0"/>
          <w:lang w:val="nl-NL" w:eastAsia="en-US" w:bidi="ar-SA"/>
        </w:rPr>
        <w:t>M.C.</w:t>
      </w:r>
      <w:r w:rsidRPr="00D147A7">
        <w:rPr>
          <w:kern w:val="0"/>
          <w:lang w:val="nl-NL" w:eastAsia="en-US" w:bidi="ar-SA"/>
        </w:rPr>
        <w:t>, 61/7 (2006), p. 298.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KNMG, ‘Dringend advies medische gegevens niet te vernietigen’, </w:t>
      </w:r>
      <w:r w:rsidRPr="00D147A7">
        <w:rPr>
          <w:i/>
          <w:kern w:val="0"/>
          <w:lang w:val="nl-NL" w:eastAsia="en-US" w:bidi="ar-SA"/>
        </w:rPr>
        <w:t>M.C.</w:t>
      </w:r>
      <w:r w:rsidRPr="00D147A7">
        <w:rPr>
          <w:kern w:val="0"/>
          <w:lang w:val="nl-NL" w:eastAsia="en-US" w:bidi="ar-SA"/>
        </w:rPr>
        <w:t>, 60/12 (2005), p. 510.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KNMG, ‘Vernietig uw oude patiëntendossiers niet!’, 2010 (knmg.artsennet.nl)</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KNMG, ‘Opvattingen en ervaringen van artsen inzake de WGBO. KNMG-bijdrage aan de eerste evaluatie van de WGBO’, </w:t>
      </w:r>
      <w:r w:rsidRPr="00D147A7">
        <w:rPr>
          <w:i/>
          <w:kern w:val="0"/>
          <w:lang w:val="nl-NL" w:eastAsia="en-US" w:bidi="ar-SA"/>
        </w:rPr>
        <w:t>M.C.</w:t>
      </w:r>
      <w:r w:rsidRPr="00D147A7">
        <w:rPr>
          <w:kern w:val="0"/>
          <w:lang w:val="nl-NL" w:eastAsia="en-US" w:bidi="ar-SA"/>
        </w:rPr>
        <w:t>, 1999, nr. 44. p. 1530-1531.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WITMER, J.M.; DE ROODE, R.P.; </w:t>
      </w:r>
      <w:r w:rsidRPr="00D147A7">
        <w:rPr>
          <w:i/>
          <w:kern w:val="0"/>
          <w:lang w:val="nl-NL" w:eastAsia="en-US" w:bidi="ar-SA"/>
        </w:rPr>
        <w:t>Van wet naar praktijk. Implementatie van de WGBO. Deel 3: Dossier en bewaartermijnen</w:t>
      </w:r>
      <w:r w:rsidR="000F3B3F" w:rsidRPr="00D147A7">
        <w:rPr>
          <w:kern w:val="0"/>
          <w:lang w:val="nl-NL" w:eastAsia="en-US" w:bidi="ar-SA"/>
        </w:rPr>
        <w:t xml:space="preserve">, Utrecht, KNMG, 2004, 73p. </w:t>
      </w:r>
      <w:r w:rsidRPr="00D147A7">
        <w:rPr>
          <w:kern w:val="0"/>
          <w:lang w:val="nl-NL" w:eastAsia="en-US" w:bidi="ar-SA"/>
        </w:rPr>
        <w:t>(</w:t>
      </w:r>
      <w:hyperlink r:id="rId335" w:history="1">
        <w:r w:rsidR="006F2926" w:rsidRPr="00FD343F">
          <w:rPr>
            <w:rStyle w:val="Hyperlink"/>
            <w:kern w:val="0"/>
            <w:lang w:val="nl-NL" w:eastAsia="en-US" w:bidi="ar-SA"/>
          </w:rPr>
          <w:t>http://knmg.artsennet.nl/ Publicaties/KNMGpublicatie/Van-wet-naar-praktijk-implementatie-van-de-WGBO-Deel-3.-Dossier-en-bewaartermijnen-2004.htm</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WITMER, J.M.; DE ROODE, R.P.; </w:t>
      </w:r>
      <w:r w:rsidRPr="00D147A7">
        <w:rPr>
          <w:i/>
          <w:kern w:val="0"/>
          <w:lang w:val="nl-NL" w:eastAsia="en-US" w:bidi="ar-SA"/>
        </w:rPr>
        <w:t>Van wet naar praktijk. Implementatie van de WGBO. Deel 4</w:t>
      </w:r>
      <w:r w:rsidRPr="00D147A7">
        <w:rPr>
          <w:kern w:val="0"/>
          <w:lang w:val="nl-NL" w:eastAsia="en-US" w:bidi="ar-SA"/>
        </w:rPr>
        <w:t>: Toegang tot patiëntengegevens, Utrecht, KNMG, 2004, 105p. (</w:t>
      </w:r>
      <w:hyperlink w:history="1">
        <w:r w:rsidR="006F2926" w:rsidRPr="00FD343F">
          <w:rPr>
            <w:rStyle w:val="Hyperlink"/>
            <w:kern w:val="0"/>
            <w:lang w:val="nl-NL" w:eastAsia="en-US" w:bidi="ar-SA"/>
          </w:rPr>
          <w:t>http://knmg.artsennet. nl/Publicaties/KNMGpublicatie/Van-wet-naar-praktijk-implementatie-van-de-WGBO-Deel-4. -Toegang-tot-patientengegevens-2004.htm</w:t>
        </w:r>
      </w:hyperlink>
      <w:r w:rsidRPr="00D147A7">
        <w:rPr>
          <w:kern w:val="0"/>
          <w:lang w:val="nl-NL" w:eastAsia="en-US" w:bidi="ar-SA"/>
        </w:rPr>
        <w:t>, laatst geraadpleegd op 23 juli 2012).</w:t>
      </w:r>
    </w:p>
    <w:p w:rsidR="006F2926" w:rsidRDefault="006F2926" w:rsidP="00426625">
      <w:pPr>
        <w:widowControl/>
        <w:suppressAutoHyphens w:val="0"/>
        <w:spacing w:line="240" w:lineRule="atLeast"/>
        <w:jc w:val="both"/>
        <w:rPr>
          <w:kern w:val="0"/>
          <w:lang w:val="nl-NL" w:eastAsia="en-US" w:bidi="ar-SA"/>
        </w:rPr>
      </w:pPr>
    </w:p>
    <w:p w:rsidR="006F2926" w:rsidRDefault="006F2926">
      <w:pPr>
        <w:widowControl/>
        <w:suppressAutoHyphens w:val="0"/>
        <w:spacing w:after="200" w:line="276" w:lineRule="auto"/>
        <w:rPr>
          <w:b/>
          <w:kern w:val="0"/>
          <w:lang w:val="nl-NL" w:eastAsia="en-US" w:bidi="ar-SA"/>
        </w:rPr>
      </w:pPr>
      <w:r>
        <w:rPr>
          <w:b/>
          <w:kern w:val="0"/>
          <w:lang w:val="nl-NL" w:eastAsia="en-US" w:bidi="ar-SA"/>
        </w:rPr>
        <w:br w:type="page"/>
      </w: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lastRenderedPageBreak/>
        <w:tab/>
      </w:r>
      <w:r w:rsidRPr="00D147A7">
        <w:rPr>
          <w:b/>
          <w:kern w:val="0"/>
          <w:lang w:val="nl-NL" w:eastAsia="en-US" w:bidi="ar-SA"/>
        </w:rPr>
        <w:tab/>
        <w:t>3.5.3.5 Rechtsleer en literatuur</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‘Bewaartermijn patiëntendossiers naar vijftien jaar’, </w:t>
      </w:r>
      <w:r w:rsidRPr="00D147A7">
        <w:rPr>
          <w:i/>
          <w:kern w:val="0"/>
          <w:lang w:val="nl-NL" w:eastAsia="en-US" w:bidi="ar-SA"/>
        </w:rPr>
        <w:t>P&amp;I</w:t>
      </w:r>
      <w:r w:rsidRPr="00D147A7">
        <w:rPr>
          <w:kern w:val="0"/>
          <w:lang w:val="nl-NL" w:eastAsia="en-US" w:bidi="ar-SA"/>
        </w:rPr>
        <w:t>, 9/3 (2006), p. 143-144 (nr. 158).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‘Bewaartermijn patiëntengegevens’, </w:t>
      </w:r>
      <w:r w:rsidRPr="00D147A7">
        <w:rPr>
          <w:i/>
          <w:kern w:val="0"/>
          <w:lang w:val="nl-NL" w:eastAsia="en-US" w:bidi="ar-SA"/>
        </w:rPr>
        <w:t>Computerr.</w:t>
      </w:r>
      <w:r w:rsidRPr="00D147A7">
        <w:rPr>
          <w:kern w:val="0"/>
          <w:lang w:val="nl-NL" w:eastAsia="en-US" w:bidi="ar-SA"/>
        </w:rPr>
        <w:t xml:space="preserve">, 2005, 3, p. 164.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‘Bewaartermijn medische dossiers verlengd’,</w:t>
      </w:r>
      <w:r w:rsidRPr="00D147A7">
        <w:rPr>
          <w:i/>
          <w:kern w:val="0"/>
          <w:lang w:val="nl-NL" w:eastAsia="en-US" w:bidi="ar-SA"/>
        </w:rPr>
        <w:t xml:space="preserve"> M.C.</w:t>
      </w:r>
      <w:r w:rsidRPr="00D147A7">
        <w:rPr>
          <w:kern w:val="0"/>
          <w:lang w:val="nl-NL" w:eastAsia="en-US" w:bidi="ar-SA"/>
        </w:rPr>
        <w:t xml:space="preserve">, 59/3 (2004), p. 92.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BERGKAMP, P.; VAN WERSCH, P.J.M.; ‘De Wet Persoonsregistraties niet van toepassing op het medisch dossier’, </w:t>
      </w:r>
      <w:r w:rsidRPr="00D147A7">
        <w:rPr>
          <w:i/>
          <w:kern w:val="0"/>
          <w:lang w:val="nl-NL" w:eastAsia="en-US" w:bidi="ar-SA"/>
        </w:rPr>
        <w:t>Het Ziekenhuis</w:t>
      </w:r>
      <w:r w:rsidRPr="00D147A7">
        <w:rPr>
          <w:kern w:val="0"/>
          <w:lang w:val="nl-NL" w:eastAsia="en-US" w:bidi="ar-SA"/>
        </w:rPr>
        <w:t>, 1990, nr. 1, p. 15-16.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BREUNING, M.H.; ROSCAM ABBING, H.D.C.; ‘Verantwoord omgaan met bewaartermijn medische gegevens’, </w:t>
      </w:r>
      <w:r w:rsidRPr="00D147A7">
        <w:rPr>
          <w:i/>
          <w:kern w:val="0"/>
          <w:lang w:val="nl-NL" w:eastAsia="en-US" w:bidi="ar-SA"/>
        </w:rPr>
        <w:t>N.T.G.</w:t>
      </w:r>
      <w:r w:rsidRPr="00D147A7">
        <w:rPr>
          <w:kern w:val="0"/>
          <w:lang w:val="nl-NL" w:eastAsia="en-US" w:bidi="ar-SA"/>
        </w:rPr>
        <w:t>, 145 (2001), p. 1376.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DE ROODE, R.P.; WITMER, J.M.; WIGERSMA, L.; ‘Een moeilijke wet. Artsen over de im</w:t>
      </w:r>
      <w:r w:rsidR="006F2926">
        <w:rPr>
          <w:kern w:val="0"/>
          <w:lang w:val="nl-NL" w:eastAsia="en-US" w:bidi="ar-SA"/>
        </w:rPr>
        <w:t>-</w:t>
      </w:r>
      <w:r w:rsidRPr="00D147A7">
        <w:rPr>
          <w:kern w:val="0"/>
          <w:lang w:val="nl-NL" w:eastAsia="en-US" w:bidi="ar-SA"/>
        </w:rPr>
        <w:t xml:space="preserve">plementatie van de WGBO’, </w:t>
      </w:r>
      <w:r w:rsidRPr="00D147A7">
        <w:rPr>
          <w:i/>
          <w:kern w:val="0"/>
          <w:lang w:val="nl-NL" w:eastAsia="en-US" w:bidi="ar-SA"/>
        </w:rPr>
        <w:t>M.C.</w:t>
      </w:r>
      <w:r w:rsidRPr="00D147A7">
        <w:rPr>
          <w:kern w:val="0"/>
          <w:lang w:val="nl-NL" w:eastAsia="en-US" w:bidi="ar-SA"/>
        </w:rPr>
        <w:t>, 54/46 (2003), p. 1779-1781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DONDORP, W.J.; LEGEMAATE, J.; VAN DE KLIPPE, C.J.; ‘Bewaartermijn voor patiëntengegevens. Gezondheidsraad bepleit wetswijziging’, </w:t>
      </w:r>
      <w:r w:rsidRPr="00D147A7">
        <w:rPr>
          <w:i/>
          <w:kern w:val="0"/>
          <w:lang w:val="nl-NL" w:eastAsia="en-US" w:bidi="ar-SA"/>
        </w:rPr>
        <w:t>N.T.G.</w:t>
      </w:r>
      <w:r w:rsidRPr="00D147A7">
        <w:rPr>
          <w:kern w:val="0"/>
          <w:lang w:val="nl-NL" w:eastAsia="en-US" w:bidi="ar-SA"/>
        </w:rPr>
        <w:t>, 148/15 (2004), p. 743-747.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DUTE, J.C.J.; PLOEM, M.C.; ‘Kanttekeningen bij het advies ‘Bewaartermijn patiëntengege</w:t>
      </w:r>
      <w:r w:rsidR="006F2926">
        <w:rPr>
          <w:kern w:val="0"/>
          <w:lang w:val="nl-NL" w:eastAsia="en-US" w:bidi="ar-SA"/>
        </w:rPr>
        <w:t>-</w:t>
      </w:r>
      <w:r w:rsidRPr="00D147A7">
        <w:rPr>
          <w:kern w:val="0"/>
          <w:lang w:val="nl-NL" w:eastAsia="en-US" w:bidi="ar-SA"/>
        </w:rPr>
        <w:t xml:space="preserve">vens’ van de Gezondheidsraad’, </w:t>
      </w:r>
      <w:r w:rsidRPr="00D147A7">
        <w:rPr>
          <w:i/>
          <w:kern w:val="0"/>
          <w:lang w:val="nl-NL" w:eastAsia="en-US" w:bidi="ar-SA"/>
        </w:rPr>
        <w:t>T.G.</w:t>
      </w:r>
      <w:r w:rsidRPr="00D147A7">
        <w:rPr>
          <w:kern w:val="0"/>
          <w:lang w:val="nl-NL" w:eastAsia="en-US" w:bidi="ar-SA"/>
        </w:rPr>
        <w:t>, 28/4 (2004), p. 246-248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DUTE, J.C.J., ‘Het geknoei met de bewaartermijn’, </w:t>
      </w:r>
      <w:r w:rsidRPr="00D147A7">
        <w:rPr>
          <w:i/>
          <w:kern w:val="0"/>
          <w:lang w:val="nl-NL" w:eastAsia="en-US" w:bidi="ar-SA"/>
        </w:rPr>
        <w:t>T.G.</w:t>
      </w:r>
      <w:r w:rsidRPr="00D147A7">
        <w:rPr>
          <w:kern w:val="0"/>
          <w:lang w:val="nl-NL" w:eastAsia="en-US" w:bidi="ar-SA"/>
        </w:rPr>
        <w:t>, 34/3 (2010), p. 167.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GEVERS, J.K.M., ‘Het wetsvoorstel betreffende de geneeskundige behandelingsovereen</w:t>
      </w:r>
      <w:r w:rsidR="006F2926">
        <w:rPr>
          <w:kern w:val="0"/>
          <w:lang w:val="nl-NL" w:eastAsia="en-US" w:bidi="ar-SA"/>
        </w:rPr>
        <w:t>-</w:t>
      </w:r>
      <w:r w:rsidRPr="00D147A7">
        <w:rPr>
          <w:kern w:val="0"/>
          <w:lang w:val="nl-NL" w:eastAsia="en-US" w:bidi="ar-SA"/>
        </w:rPr>
        <w:t xml:space="preserve">komst en de bescherming van de privacy’, </w:t>
      </w:r>
      <w:r w:rsidRPr="00D147A7">
        <w:rPr>
          <w:i/>
          <w:kern w:val="0"/>
          <w:lang w:val="nl-NL" w:eastAsia="en-US" w:bidi="ar-SA"/>
        </w:rPr>
        <w:t>Computerr.</w:t>
      </w:r>
      <w:r w:rsidRPr="00D147A7">
        <w:rPr>
          <w:kern w:val="0"/>
          <w:lang w:val="nl-NL" w:eastAsia="en-US" w:bidi="ar-SA"/>
        </w:rPr>
        <w:t>, 1991, 1, p. 1-7.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Gezondheidsraad, </w:t>
      </w:r>
      <w:r w:rsidRPr="00D147A7">
        <w:rPr>
          <w:i/>
          <w:kern w:val="0"/>
          <w:lang w:val="nl-NL" w:eastAsia="en-US" w:bidi="ar-SA"/>
        </w:rPr>
        <w:t>Bewaartermijn patiëntengegevens. Pleidooi voor wetswijziging</w:t>
      </w:r>
      <w:r w:rsidRPr="00D147A7">
        <w:rPr>
          <w:kern w:val="0"/>
          <w:lang w:val="nl-NL" w:eastAsia="en-US" w:bidi="ar-SA"/>
        </w:rPr>
        <w:t>, nr. 2004/08, Den Haag, 156p. (</w:t>
      </w:r>
      <w:hyperlink r:id="rId336" w:history="1">
        <w:r w:rsidRPr="00D147A7">
          <w:rPr>
            <w:color w:val="0000FF"/>
            <w:kern w:val="0"/>
            <w:u w:val="single"/>
            <w:lang w:val="nl-NL" w:eastAsia="en-US" w:bidi="ar-SA"/>
          </w:rPr>
          <w:t>http://www.gezondheidsraad.nl/sites/default/files/04@08n1.pdf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Gezondheidsraad, </w:t>
      </w:r>
      <w:r w:rsidRPr="00D147A7">
        <w:rPr>
          <w:i/>
          <w:kern w:val="0"/>
          <w:lang w:val="nl-NL" w:eastAsia="en-US" w:bidi="ar-SA"/>
        </w:rPr>
        <w:t>De bewaartermijn voor medische gegevens. Signalement</w:t>
      </w:r>
      <w:r w:rsidRPr="00D147A7">
        <w:rPr>
          <w:kern w:val="0"/>
          <w:lang w:val="nl-NL" w:eastAsia="en-US" w:bidi="ar-SA"/>
        </w:rPr>
        <w:t>, nr. 2000/15, Den Haag, 2000, 49p. (</w:t>
      </w:r>
      <w:hyperlink r:id="rId337" w:history="1">
        <w:r w:rsidRPr="00D147A7">
          <w:rPr>
            <w:color w:val="0000FF"/>
            <w:kern w:val="0"/>
            <w:u w:val="single"/>
            <w:lang w:val="nl-NL" w:eastAsia="en-US" w:bidi="ar-SA"/>
          </w:rPr>
          <w:t>http://www.gezondheidsraad.nl/sites/default/files/00@15N.PDF</w:t>
        </w:r>
      </w:hyperlink>
      <w:r w:rsidRPr="00D147A7">
        <w:rPr>
          <w:kern w:val="0"/>
          <w:lang w:val="nl-NL" w:eastAsia="en-US" w:bidi="ar-SA"/>
        </w:rPr>
        <w:t>, laatst ge</w:t>
      </w:r>
      <w:r w:rsidR="006F2926">
        <w:rPr>
          <w:kern w:val="0"/>
          <w:lang w:val="nl-NL" w:eastAsia="en-US" w:bidi="ar-SA"/>
        </w:rPr>
        <w:t>-</w:t>
      </w:r>
      <w:r w:rsidRPr="00D147A7">
        <w:rPr>
          <w:kern w:val="0"/>
          <w:lang w:val="nl-NL" w:eastAsia="en-US" w:bidi="ar-SA"/>
        </w:rPr>
        <w:t>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HELMER, F.M.M.; BUITING, H.P.J.; ‘Ziekenhuis ontwikkelt criteria verantwoorde bewaar</w:t>
      </w:r>
      <w:r w:rsidR="006F2926">
        <w:rPr>
          <w:kern w:val="0"/>
          <w:lang w:val="nl-NL" w:eastAsia="en-US" w:bidi="ar-SA"/>
        </w:rPr>
        <w:t>-</w:t>
      </w:r>
      <w:r w:rsidRPr="00D147A7">
        <w:rPr>
          <w:kern w:val="0"/>
          <w:lang w:val="nl-NL" w:eastAsia="en-US" w:bidi="ar-SA"/>
        </w:rPr>
        <w:t xml:space="preserve">termijnen’, </w:t>
      </w:r>
      <w:r w:rsidRPr="00D147A7">
        <w:rPr>
          <w:i/>
          <w:kern w:val="0"/>
          <w:lang w:val="nl-NL" w:eastAsia="en-US" w:bidi="ar-SA"/>
        </w:rPr>
        <w:t>M.C.</w:t>
      </w:r>
      <w:r w:rsidRPr="00D147A7">
        <w:rPr>
          <w:kern w:val="0"/>
          <w:lang w:val="nl-NL" w:eastAsia="en-US" w:bidi="ar-SA"/>
        </w:rPr>
        <w:t>, 54/19 (1999), p. 691-694.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HOEFNAGELS, J.J., ‘Weggooien medische dossiers bedreigt de volksgezondheid’, </w:t>
      </w:r>
      <w:r w:rsidRPr="00D147A7">
        <w:rPr>
          <w:i/>
          <w:kern w:val="0"/>
          <w:lang w:val="nl-NL" w:eastAsia="en-US" w:bidi="ar-SA"/>
        </w:rPr>
        <w:t>N.T.G.</w:t>
      </w:r>
      <w:r w:rsidRPr="00D147A7">
        <w:rPr>
          <w:kern w:val="0"/>
          <w:lang w:val="nl-NL" w:eastAsia="en-US" w:bidi="ar-SA"/>
        </w:rPr>
        <w:t>, 143 (1999), p. 1537.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KETELAAR, E., ‘Elke handeling telt. Archiefdiensten en de Wet bescherming persoonsge</w:t>
      </w:r>
      <w:r w:rsidR="006F2926">
        <w:rPr>
          <w:kern w:val="0"/>
          <w:lang w:val="nl-NL" w:eastAsia="en-US" w:bidi="ar-SA"/>
        </w:rPr>
        <w:t>-</w:t>
      </w:r>
      <w:r w:rsidRPr="00D147A7">
        <w:rPr>
          <w:kern w:val="0"/>
          <w:lang w:val="nl-NL" w:eastAsia="en-US" w:bidi="ar-SA"/>
        </w:rPr>
        <w:t xml:space="preserve">gevens’, </w:t>
      </w:r>
      <w:r w:rsidRPr="00D147A7">
        <w:rPr>
          <w:i/>
          <w:kern w:val="0"/>
          <w:lang w:val="nl-NL" w:eastAsia="en-US" w:bidi="ar-SA"/>
        </w:rPr>
        <w:t>Archievenblad</w:t>
      </w:r>
      <w:r w:rsidRPr="00D147A7">
        <w:rPr>
          <w:kern w:val="0"/>
          <w:lang w:val="nl-NL" w:eastAsia="en-US" w:bidi="ar-SA"/>
        </w:rPr>
        <w:t>, 104/3 (2000), p. 18-23; 104/4 (2000), p. 26-29 (</w:t>
      </w:r>
      <w:hyperlink r:id="rId338" w:history="1">
        <w:r w:rsidR="006F2926" w:rsidRPr="00FD343F">
          <w:rPr>
            <w:rStyle w:val="Hyperlink"/>
            <w:kern w:val="0"/>
            <w:lang w:val="nl-NL" w:eastAsia="en-US" w:bidi="ar-SA"/>
          </w:rPr>
          <w:t>http://cf.hum.uva.nl/ bai/home/eketelaar/WBP.doc</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KORTMANN, C.A.J.M.; BOVEND’EERT, P.P.T.; ACKERMANS-WIJN, J.C.E.; FLEU</w:t>
      </w:r>
      <w:r w:rsidR="006F2926">
        <w:rPr>
          <w:kern w:val="0"/>
          <w:lang w:val="nl-NL" w:eastAsia="en-US" w:bidi="ar-SA"/>
        </w:rPr>
        <w:t>-</w:t>
      </w:r>
      <w:r w:rsidRPr="00D147A7">
        <w:rPr>
          <w:kern w:val="0"/>
          <w:lang w:val="nl-NL" w:eastAsia="en-US" w:bidi="ar-SA"/>
        </w:rPr>
        <w:t xml:space="preserve">REN, J.W.A.; VAN DER NAT, M.N.H.; </w:t>
      </w:r>
      <w:r w:rsidRPr="00D147A7">
        <w:rPr>
          <w:i/>
          <w:kern w:val="0"/>
          <w:lang w:val="nl-NL" w:eastAsia="en-US" w:bidi="ar-SA"/>
        </w:rPr>
        <w:t>Grondwet voor het Koninkrijk der Nederlanden</w:t>
      </w:r>
      <w:r w:rsidRPr="00D147A7">
        <w:rPr>
          <w:kern w:val="0"/>
          <w:lang w:val="nl-NL" w:eastAsia="en-US" w:bidi="ar-SA"/>
        </w:rPr>
        <w:t>,</w:t>
      </w:r>
      <w:r w:rsidRPr="00D147A7">
        <w:rPr>
          <w:i/>
          <w:kern w:val="0"/>
          <w:lang w:val="nl-NL" w:eastAsia="en-US" w:bidi="ar-SA"/>
        </w:rPr>
        <w:t xml:space="preserve"> </w:t>
      </w:r>
      <w:r w:rsidRPr="00D147A7">
        <w:rPr>
          <w:kern w:val="0"/>
          <w:lang w:val="nl-NL" w:eastAsia="en-US" w:bidi="ar-SA"/>
        </w:rPr>
        <w:t>Tekst &amp; Commentaar, Deventer, Kluwer, 1998, 160p.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LEGEMAATE, J., ‘De klok tikt door, vernietiging dossiers dreigt’, </w:t>
      </w:r>
      <w:r w:rsidRPr="00D147A7">
        <w:rPr>
          <w:i/>
          <w:kern w:val="0"/>
          <w:lang w:val="nl-NL" w:eastAsia="en-US" w:bidi="ar-SA"/>
        </w:rPr>
        <w:t>M.C.</w:t>
      </w:r>
      <w:r w:rsidRPr="00D147A7">
        <w:rPr>
          <w:kern w:val="0"/>
          <w:lang w:val="nl-NL" w:eastAsia="en-US" w:bidi="ar-SA"/>
        </w:rPr>
        <w:t>, 57/45 (2002), p. 1661-1662.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LEGEMAATE, J.; DUTE, J.C.J.; KASTELEIN, W.R.; RAAS, G.P.M.; VAN VEEN, E.B.; </w:t>
      </w:r>
      <w:r w:rsidRPr="00D147A7">
        <w:rPr>
          <w:i/>
          <w:kern w:val="0"/>
          <w:lang w:val="nl-NL" w:eastAsia="en-US" w:bidi="ar-SA"/>
        </w:rPr>
        <w:t>Beroepenwetgeving gezondheidszorg 2010/2011</w:t>
      </w:r>
      <w:r w:rsidRPr="00D147A7">
        <w:rPr>
          <w:kern w:val="0"/>
          <w:lang w:val="nl-NL" w:eastAsia="en-US" w:bidi="ar-SA"/>
        </w:rPr>
        <w:t xml:space="preserve">, Houten, Bohn Stafleu van Loghum, 2010, 754p.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MARKENSTEIN, L.E., ‘De Wet Medische Keuringen: een stukje van een (nog) onvoltooide puzzel’, </w:t>
      </w:r>
      <w:r w:rsidRPr="00D147A7">
        <w:rPr>
          <w:i/>
          <w:kern w:val="0"/>
          <w:lang w:val="nl-NL" w:eastAsia="en-US" w:bidi="ar-SA"/>
        </w:rPr>
        <w:t>T.G.</w:t>
      </w:r>
      <w:r w:rsidRPr="00D147A7">
        <w:rPr>
          <w:kern w:val="0"/>
          <w:lang w:val="nl-NL" w:eastAsia="en-US" w:bidi="ar-SA"/>
        </w:rPr>
        <w:t>, 21/5 (1998), p. 262-273.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OLSTHOORN-HEIM, E.T.M., ‘De bewaartermijn van patiëntengegevens’, </w:t>
      </w:r>
      <w:r w:rsidRPr="00D147A7">
        <w:rPr>
          <w:i/>
          <w:kern w:val="0"/>
          <w:lang w:val="nl-NL" w:eastAsia="en-US" w:bidi="ar-SA"/>
        </w:rPr>
        <w:t>T.G.</w:t>
      </w:r>
      <w:r w:rsidRPr="00D147A7">
        <w:rPr>
          <w:kern w:val="0"/>
          <w:lang w:val="nl-NL" w:eastAsia="en-US" w:bidi="ar-SA"/>
        </w:rPr>
        <w:t>, 24/2 (2000), p. 26.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OOSTERVINK, F.; DEKKER, M.J.G.M.; KARS, P.; ‘Herbezinnen op dossiervernietiging’, </w:t>
      </w:r>
      <w:r w:rsidRPr="00D147A7">
        <w:rPr>
          <w:i/>
          <w:kern w:val="0"/>
          <w:lang w:val="nl-NL" w:eastAsia="en-US" w:bidi="ar-SA"/>
        </w:rPr>
        <w:t>M.C.</w:t>
      </w:r>
      <w:r w:rsidRPr="00D147A7">
        <w:rPr>
          <w:kern w:val="0"/>
          <w:lang w:val="nl-NL" w:eastAsia="en-US" w:bidi="ar-SA"/>
        </w:rPr>
        <w:t>, 54/45 (1999), p. 1550-1552.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OVERKLEEFT-VERBURG, G., ‘Het grondrecht op eerbiediging van de persoonlijke levens</w:t>
      </w:r>
      <w:r w:rsidR="006F2926">
        <w:rPr>
          <w:kern w:val="0"/>
          <w:lang w:val="nl-NL" w:eastAsia="en-US" w:bidi="ar-SA"/>
        </w:rPr>
        <w:t>-</w:t>
      </w:r>
      <w:r w:rsidRPr="00D147A7">
        <w:rPr>
          <w:kern w:val="0"/>
          <w:lang w:val="nl-NL" w:eastAsia="en-US" w:bidi="ar-SA"/>
        </w:rPr>
        <w:t xml:space="preserve">sfeer’, KOEKKOEK, A.K. (red.), </w:t>
      </w:r>
      <w:r w:rsidRPr="00D147A7">
        <w:rPr>
          <w:i/>
          <w:kern w:val="0"/>
          <w:lang w:val="nl-NL" w:eastAsia="en-US" w:bidi="ar-SA"/>
        </w:rPr>
        <w:t>De Grondwet, een systematisch en artikelsgewijs commen</w:t>
      </w:r>
      <w:r w:rsidR="006F2926">
        <w:rPr>
          <w:i/>
          <w:kern w:val="0"/>
          <w:lang w:val="nl-NL" w:eastAsia="en-US" w:bidi="ar-SA"/>
        </w:rPr>
        <w:t>-</w:t>
      </w:r>
      <w:r w:rsidRPr="00D147A7">
        <w:rPr>
          <w:i/>
          <w:kern w:val="0"/>
          <w:lang w:val="nl-NL" w:eastAsia="en-US" w:bidi="ar-SA"/>
        </w:rPr>
        <w:t>taar</w:t>
      </w:r>
      <w:r w:rsidRPr="00D147A7">
        <w:rPr>
          <w:kern w:val="0"/>
          <w:lang w:val="nl-NL" w:eastAsia="en-US" w:bidi="ar-SA"/>
        </w:rPr>
        <w:t>, Deventer, 20003, p. 155-178.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PLOEM, M.C., </w:t>
      </w:r>
      <w:r w:rsidRPr="00D147A7">
        <w:rPr>
          <w:i/>
          <w:kern w:val="0"/>
          <w:lang w:val="nl-NL" w:eastAsia="en-US" w:bidi="ar-SA"/>
        </w:rPr>
        <w:t>Wetenschapsbeoefening en belemmerende privacywetgeving: de wetgever in balans?</w:t>
      </w:r>
      <w:r w:rsidRPr="00D147A7">
        <w:rPr>
          <w:kern w:val="0"/>
          <w:lang w:val="nl-NL" w:eastAsia="en-US" w:bidi="ar-SA"/>
        </w:rPr>
        <w:t>, Den Haag, SDU Uitgevers, 2002, 134p.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PLOEM, M.C., </w:t>
      </w:r>
      <w:r w:rsidRPr="00D147A7">
        <w:rPr>
          <w:i/>
          <w:kern w:val="0"/>
          <w:lang w:val="nl-NL" w:eastAsia="en-US" w:bidi="ar-SA"/>
        </w:rPr>
        <w:t>Tussen privacy en wetenschapsvrijheid. Regulering van gegevensverwerking voor medisch-wetenschappelijk onderzoek</w:t>
      </w:r>
      <w:r w:rsidRPr="00D147A7">
        <w:rPr>
          <w:kern w:val="0"/>
          <w:lang w:val="nl-NL" w:eastAsia="en-US" w:bidi="ar-SA"/>
        </w:rPr>
        <w:t xml:space="preserve">, Gezondheidsrecht, 24, Den Haag, SDU Uitgevers, 284p.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POPELIER, P., </w:t>
      </w:r>
      <w:r w:rsidRPr="00D147A7">
        <w:rPr>
          <w:i/>
          <w:kern w:val="0"/>
          <w:lang w:val="nl-NL" w:eastAsia="en-US" w:bidi="ar-SA"/>
        </w:rPr>
        <w:t>De wet juridisch bekeken</w:t>
      </w:r>
      <w:r w:rsidRPr="00D147A7">
        <w:rPr>
          <w:kern w:val="0"/>
          <w:lang w:val="nl-NL" w:eastAsia="en-US" w:bidi="ar-SA"/>
        </w:rPr>
        <w:t>, Tijdschrift voor Wetgeving-reeks, Brugge, die Keure, 2004, 424p.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RIJKSEN, W.P., </w:t>
      </w:r>
      <w:r w:rsidRPr="00D147A7">
        <w:rPr>
          <w:i/>
          <w:kern w:val="0"/>
          <w:lang w:val="nl-NL" w:eastAsia="en-US" w:bidi="ar-SA"/>
        </w:rPr>
        <w:t>Bewaartermijnen Patiëntengegevens. Wet- en regelgeving</w:t>
      </w:r>
      <w:r w:rsidRPr="00D147A7">
        <w:rPr>
          <w:kern w:val="0"/>
          <w:lang w:val="nl-NL" w:eastAsia="en-US" w:bidi="ar-SA"/>
        </w:rPr>
        <w:t>, Alphen aan den Rijn, Samson H.D. Tjeenk Willink, 1994, 46p.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RIJKSEN, </w:t>
      </w:r>
      <w:r w:rsidRPr="00D147A7">
        <w:rPr>
          <w:i/>
          <w:kern w:val="0"/>
          <w:lang w:val="nl-NL" w:eastAsia="en-US" w:bidi="ar-SA"/>
        </w:rPr>
        <w:t>Bewaartermijnen patiëntengegevens. Jaarboek 1995/96</w:t>
      </w:r>
      <w:r w:rsidRPr="00D147A7">
        <w:rPr>
          <w:kern w:val="0"/>
          <w:lang w:val="nl-NL" w:eastAsia="en-US" w:bidi="ar-SA"/>
        </w:rPr>
        <w:t>, Alphen aan den Rijn, Samson H.D. Tjeenk Willink, 1995, 93p.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RIJKSEN, W.P.; AANEN, D.K.; ‘Het Medisch Dossier onder de Wet Persoonsregistraties’, </w:t>
      </w:r>
      <w:r w:rsidRPr="00D147A7">
        <w:rPr>
          <w:i/>
          <w:kern w:val="0"/>
          <w:lang w:val="nl-NL" w:eastAsia="en-US" w:bidi="ar-SA"/>
        </w:rPr>
        <w:t>Het Ziekenhuis</w:t>
      </w:r>
      <w:r w:rsidRPr="00D147A7">
        <w:rPr>
          <w:kern w:val="0"/>
          <w:lang w:val="nl-NL" w:eastAsia="en-US" w:bidi="ar-SA"/>
        </w:rPr>
        <w:t>, 1990, nr. 3, p. 80-82, nr. 6-7, p. 260–261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ROSCAM ABBING, H.D.C., ‘Verantwoord omgaan met bewaartermijn medische gegevens’, </w:t>
      </w:r>
      <w:r w:rsidRPr="00D147A7">
        <w:rPr>
          <w:i/>
          <w:kern w:val="0"/>
          <w:lang w:val="nl-NL" w:eastAsia="en-US" w:bidi="ar-SA"/>
        </w:rPr>
        <w:t>N.T.G.</w:t>
      </w:r>
      <w:r w:rsidRPr="00D147A7">
        <w:rPr>
          <w:kern w:val="0"/>
          <w:lang w:val="nl-NL" w:eastAsia="en-US" w:bidi="ar-SA"/>
        </w:rPr>
        <w:t>, 145 (2001), p. 1090-1091.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SLUIJTERS, B.; BIESAART, M.C.I.H.; </w:t>
      </w:r>
      <w:r w:rsidRPr="00D147A7">
        <w:rPr>
          <w:i/>
          <w:kern w:val="0"/>
          <w:lang w:val="nl-NL" w:eastAsia="en-US" w:bidi="ar-SA"/>
        </w:rPr>
        <w:t>De geneeskundige behandelingsovereenkomst</w:t>
      </w:r>
      <w:r w:rsidRPr="00D147A7">
        <w:rPr>
          <w:kern w:val="0"/>
          <w:lang w:val="nl-NL" w:eastAsia="en-US" w:bidi="ar-SA"/>
        </w:rPr>
        <w:t>, De</w:t>
      </w:r>
      <w:r w:rsidR="006F2926">
        <w:rPr>
          <w:kern w:val="0"/>
          <w:lang w:val="nl-NL" w:eastAsia="en-US" w:bidi="ar-SA"/>
        </w:rPr>
        <w:t>-</w:t>
      </w:r>
      <w:r w:rsidRPr="00D147A7">
        <w:rPr>
          <w:kern w:val="0"/>
          <w:lang w:val="nl-NL" w:eastAsia="en-US" w:bidi="ar-SA"/>
        </w:rPr>
        <w:t>venter, Kluwer, 2005², 223p.</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TENT, M., ‘Gezondheidsraad wil vernietiging voor zijn. Patiëntengegevens dertig jaar be</w:t>
      </w:r>
      <w:r w:rsidR="006F2926">
        <w:rPr>
          <w:kern w:val="0"/>
          <w:lang w:val="nl-NL" w:eastAsia="en-US" w:bidi="ar-SA"/>
        </w:rPr>
        <w:t>-</w:t>
      </w:r>
      <w:r w:rsidRPr="00D147A7">
        <w:rPr>
          <w:kern w:val="0"/>
          <w:lang w:val="nl-NL" w:eastAsia="en-US" w:bidi="ar-SA"/>
        </w:rPr>
        <w:t xml:space="preserve">waren’, </w:t>
      </w:r>
      <w:r w:rsidRPr="00D147A7">
        <w:rPr>
          <w:i/>
          <w:kern w:val="0"/>
          <w:lang w:val="nl-NL" w:eastAsia="en-US" w:bidi="ar-SA"/>
        </w:rPr>
        <w:t>P.W.</w:t>
      </w:r>
      <w:r w:rsidRPr="00D147A7">
        <w:rPr>
          <w:kern w:val="0"/>
          <w:lang w:val="nl-NL" w:eastAsia="en-US" w:bidi="ar-SA"/>
        </w:rPr>
        <w:t>, 139/16 (2004), p. 541.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TEN VERGERT, H.G.M., ‘Medische dossiers langer bewaren dan tien jaar?’, </w:t>
      </w:r>
      <w:r w:rsidRPr="00D147A7">
        <w:rPr>
          <w:i/>
          <w:kern w:val="0"/>
          <w:lang w:val="nl-NL" w:eastAsia="en-US" w:bidi="ar-SA"/>
        </w:rPr>
        <w:t>M.C.</w:t>
      </w:r>
      <w:r w:rsidRPr="00D147A7">
        <w:rPr>
          <w:kern w:val="0"/>
          <w:lang w:val="nl-NL" w:eastAsia="en-US" w:bidi="ar-SA"/>
        </w:rPr>
        <w:t>, 54/19 (1999), p. 688-690.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VAN HUTTEN, R.W.; SCHERMER VOEST, S.A.M.; VERHOEVEN, M.; VERSCHOOR, N.; </w:t>
      </w:r>
      <w:r w:rsidRPr="00D147A7">
        <w:rPr>
          <w:i/>
          <w:kern w:val="0"/>
          <w:lang w:val="nl-NL" w:eastAsia="en-US" w:bidi="ar-SA"/>
        </w:rPr>
        <w:t>Bewaartermijnen Patiëntendossiers. Een pragmatische oplossing</w:t>
      </w:r>
      <w:r w:rsidRPr="00D147A7">
        <w:rPr>
          <w:kern w:val="0"/>
          <w:lang w:val="nl-NL" w:eastAsia="en-US" w:bidi="ar-SA"/>
        </w:rPr>
        <w:t xml:space="preserve">, Hoorn, Nederlandse Vereniging voor Medische Administratie, 1994, 44p.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VAN LEEUWEN, F.E.; SCHORNAGEL, J.H.; ‘Bewaren of vernietigen? Het belang van het dossier voor de patiënt van gisteren en morgen’, </w:t>
      </w:r>
      <w:r w:rsidRPr="00D147A7">
        <w:rPr>
          <w:i/>
          <w:kern w:val="0"/>
          <w:lang w:val="nl-NL" w:eastAsia="en-US" w:bidi="ar-SA"/>
        </w:rPr>
        <w:t>N.T.G.</w:t>
      </w:r>
      <w:r w:rsidRPr="00D147A7">
        <w:rPr>
          <w:kern w:val="0"/>
          <w:lang w:val="nl-NL" w:eastAsia="en-US" w:bidi="ar-SA"/>
        </w:rPr>
        <w:t>, 145/10 (2001), p. 455-460.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VENCKEN, L.M., ‘De WGBO in de praktijk: dossierperikelen’, </w:t>
      </w:r>
      <w:r w:rsidRPr="00D147A7">
        <w:rPr>
          <w:i/>
          <w:kern w:val="0"/>
          <w:lang w:val="nl-NL" w:eastAsia="en-US" w:bidi="ar-SA"/>
        </w:rPr>
        <w:t>M.C.</w:t>
      </w:r>
      <w:r w:rsidRPr="00D147A7">
        <w:rPr>
          <w:kern w:val="0"/>
          <w:lang w:val="nl-NL" w:eastAsia="en-US" w:bidi="ar-SA"/>
        </w:rPr>
        <w:t>, 51/31-32 (1996), p. 1018-1019.</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3.5.3.6 Websites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2E7E12" w:rsidP="00426625">
      <w:pPr>
        <w:widowControl/>
        <w:suppressAutoHyphens w:val="0"/>
        <w:spacing w:line="240" w:lineRule="atLeast"/>
        <w:jc w:val="both"/>
        <w:rPr>
          <w:kern w:val="0"/>
          <w:lang w:val="nl-NL" w:eastAsia="en-US" w:bidi="ar-SA"/>
        </w:rPr>
      </w:pPr>
      <w:hyperlink r:id="rId339" w:history="1">
        <w:r w:rsidR="00426625" w:rsidRPr="00D147A7">
          <w:rPr>
            <w:color w:val="0000FF"/>
            <w:kern w:val="0"/>
            <w:u w:val="single"/>
            <w:lang w:val="nl-NL" w:eastAsia="en-US" w:bidi="ar-SA"/>
          </w:rPr>
          <w:t>http://cf.hum.uva.nl/</w:t>
        </w:r>
      </w:hyperlink>
      <w:r w:rsidR="00426625" w:rsidRPr="00D147A7">
        <w:rPr>
          <w:kern w:val="0"/>
          <w:lang w:val="nl-NL" w:eastAsia="en-US" w:bidi="ar-SA"/>
        </w:rPr>
        <w:t>.</w:t>
      </w:r>
    </w:p>
    <w:p w:rsidR="00426625" w:rsidRPr="00D147A7" w:rsidRDefault="002E7E12" w:rsidP="00426625">
      <w:pPr>
        <w:widowControl/>
        <w:suppressAutoHyphens w:val="0"/>
        <w:spacing w:line="240" w:lineRule="atLeast"/>
        <w:jc w:val="both"/>
        <w:rPr>
          <w:kern w:val="0"/>
          <w:lang w:val="nl-NL" w:eastAsia="en-US" w:bidi="ar-SA"/>
        </w:rPr>
      </w:pPr>
      <w:hyperlink r:id="rId340" w:history="1">
        <w:r w:rsidR="00426625" w:rsidRPr="00D147A7">
          <w:rPr>
            <w:color w:val="0000FF"/>
            <w:kern w:val="0"/>
            <w:u w:val="single"/>
            <w:lang w:val="nl-NL" w:eastAsia="en-US" w:bidi="ar-SA"/>
          </w:rPr>
          <w:t>http://knmg.artsennet.nl/</w:t>
        </w:r>
      </w:hyperlink>
      <w:r w:rsidR="00426625" w:rsidRPr="00D147A7">
        <w:rPr>
          <w:kern w:val="0"/>
          <w:lang w:val="nl-NL" w:eastAsia="en-US" w:bidi="ar-SA"/>
        </w:rPr>
        <w:t xml:space="preserve">. </w:t>
      </w:r>
    </w:p>
    <w:p w:rsidR="00426625" w:rsidRPr="00D147A7" w:rsidRDefault="002E7E12" w:rsidP="00426625">
      <w:pPr>
        <w:widowControl/>
        <w:suppressAutoHyphens w:val="0"/>
        <w:spacing w:line="240" w:lineRule="atLeast"/>
        <w:jc w:val="both"/>
        <w:rPr>
          <w:kern w:val="0"/>
          <w:lang w:val="nl-NL" w:eastAsia="en-US" w:bidi="ar-SA"/>
        </w:rPr>
      </w:pPr>
      <w:hyperlink r:id="rId341" w:history="1">
        <w:r w:rsidR="00426625" w:rsidRPr="00D147A7">
          <w:rPr>
            <w:color w:val="0000FF"/>
            <w:kern w:val="0"/>
            <w:u w:val="single"/>
            <w:lang w:val="nl-NL" w:eastAsia="en-US" w:bidi="ar-SA"/>
          </w:rPr>
          <w:t>http://www.cbpweb.nl/</w:t>
        </w:r>
      </w:hyperlink>
      <w:r w:rsidR="00426625" w:rsidRPr="00D147A7">
        <w:rPr>
          <w:kern w:val="0"/>
          <w:lang w:val="nl-NL" w:eastAsia="en-US" w:bidi="ar-SA"/>
        </w:rPr>
        <w:t xml:space="preserve">. </w:t>
      </w:r>
    </w:p>
    <w:p w:rsidR="00426625" w:rsidRPr="00D147A7" w:rsidRDefault="002E7E12" w:rsidP="00426625">
      <w:pPr>
        <w:widowControl/>
        <w:suppressAutoHyphens w:val="0"/>
        <w:spacing w:line="240" w:lineRule="atLeast"/>
        <w:jc w:val="both"/>
        <w:rPr>
          <w:kern w:val="0"/>
          <w:lang w:val="nl-NL" w:eastAsia="en-US" w:bidi="ar-SA"/>
        </w:rPr>
      </w:pPr>
      <w:hyperlink r:id="rId342" w:anchor="214-uitbesteding-van-uw-archiefbeheer" w:history="1">
        <w:r w:rsidR="00426625" w:rsidRPr="00D147A7">
          <w:rPr>
            <w:color w:val="0000FF"/>
            <w:kern w:val="0"/>
            <w:u w:val="single"/>
            <w:lang w:val="nl-NL" w:eastAsia="en-US" w:bidi="ar-SA"/>
          </w:rPr>
          <w:t>http://www.erfgoedinspectie.nl/</w:t>
        </w:r>
      </w:hyperlink>
      <w:r w:rsidR="00426625" w:rsidRPr="00D147A7">
        <w:rPr>
          <w:kern w:val="0"/>
          <w:lang w:val="nl-NL" w:eastAsia="en-US" w:bidi="ar-SA"/>
        </w:rPr>
        <w:t>.</w:t>
      </w:r>
    </w:p>
    <w:p w:rsidR="00426625" w:rsidRPr="00D147A7" w:rsidRDefault="002E7E12" w:rsidP="00426625">
      <w:pPr>
        <w:widowControl/>
        <w:suppressAutoHyphens w:val="0"/>
        <w:spacing w:line="240" w:lineRule="atLeast"/>
        <w:jc w:val="both"/>
        <w:rPr>
          <w:kern w:val="0"/>
          <w:lang w:val="nl-NL" w:eastAsia="en-US" w:bidi="ar-SA"/>
        </w:rPr>
      </w:pPr>
      <w:hyperlink r:id="rId343" w:history="1">
        <w:r w:rsidR="00426625" w:rsidRPr="00D147A7">
          <w:rPr>
            <w:color w:val="0000FF"/>
            <w:kern w:val="0"/>
            <w:u w:val="single"/>
            <w:lang w:val="nl-NL" w:eastAsia="en-US" w:bidi="ar-SA"/>
          </w:rPr>
          <w:t>http://www.gezondheidsraad.nl/</w:t>
        </w:r>
      </w:hyperlink>
      <w:r w:rsidR="00426625" w:rsidRPr="00D147A7">
        <w:rPr>
          <w:kern w:val="0"/>
          <w:lang w:val="nl-NL" w:eastAsia="en-US" w:bidi="ar-SA"/>
        </w:rPr>
        <w:t>.</w:t>
      </w:r>
    </w:p>
    <w:p w:rsidR="00426625" w:rsidRPr="00D147A7" w:rsidRDefault="002E7E12" w:rsidP="00426625">
      <w:pPr>
        <w:widowControl/>
        <w:suppressAutoHyphens w:val="0"/>
        <w:spacing w:line="240" w:lineRule="atLeast"/>
        <w:jc w:val="both"/>
        <w:rPr>
          <w:kern w:val="0"/>
          <w:lang w:val="nl-NL" w:eastAsia="en-US" w:bidi="ar-SA"/>
        </w:rPr>
      </w:pPr>
      <w:hyperlink r:id="rId344" w:history="1">
        <w:r w:rsidR="00426625" w:rsidRPr="00D147A7">
          <w:rPr>
            <w:color w:val="0000FF"/>
            <w:kern w:val="0"/>
            <w:u w:val="single"/>
            <w:lang w:val="nl-NL" w:eastAsia="en-US" w:bidi="ar-SA"/>
          </w:rPr>
          <w:t>http://www.handelingenbank.info/</w:t>
        </w:r>
      </w:hyperlink>
      <w:r w:rsidR="00426625"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ind w:firstLine="708"/>
        <w:jc w:val="both"/>
        <w:rPr>
          <w:b/>
          <w:smallCaps/>
          <w:kern w:val="0"/>
          <w:lang w:val="nl-NL" w:eastAsia="en-US" w:bidi="ar-SA"/>
        </w:rPr>
      </w:pPr>
      <w:r w:rsidRPr="00D147A7">
        <w:rPr>
          <w:b/>
          <w:smallCaps/>
          <w:kern w:val="0"/>
          <w:lang w:val="nl-NL" w:eastAsia="en-US" w:bidi="ar-SA"/>
        </w:rPr>
        <w:t>3.5.4 Frankrijk</w:t>
      </w:r>
    </w:p>
    <w:p w:rsidR="00426625" w:rsidRPr="00D147A7" w:rsidRDefault="00426625" w:rsidP="00426625">
      <w:pPr>
        <w:widowControl/>
        <w:suppressAutoHyphens w:val="0"/>
        <w:spacing w:line="240" w:lineRule="atLeast"/>
        <w:jc w:val="both"/>
        <w:rPr>
          <w:b/>
          <w:kern w:val="0"/>
          <w:lang w:val="nl-NL" w:eastAsia="en-US" w:bidi="ar-SA"/>
        </w:rPr>
      </w:pPr>
    </w:p>
    <w:p w:rsidR="00426625" w:rsidRPr="00D147A7" w:rsidRDefault="00FF2720" w:rsidP="00426625">
      <w:pPr>
        <w:widowControl/>
        <w:suppressAutoHyphens w:val="0"/>
        <w:spacing w:line="240" w:lineRule="atLeast"/>
        <w:jc w:val="both"/>
        <w:rPr>
          <w:b/>
          <w:kern w:val="0"/>
          <w:lang w:val="nl-NL" w:eastAsia="en-US" w:bidi="ar-SA"/>
        </w:rPr>
      </w:pPr>
      <w:r>
        <w:rPr>
          <w:b/>
          <w:kern w:val="0"/>
          <w:lang w:val="nl-NL" w:eastAsia="en-US" w:bidi="ar-SA"/>
        </w:rPr>
        <w:tab/>
      </w:r>
      <w:r>
        <w:rPr>
          <w:b/>
          <w:kern w:val="0"/>
          <w:lang w:val="nl-NL" w:eastAsia="en-US" w:bidi="ar-SA"/>
        </w:rPr>
        <w:tab/>
        <w:t>3.5.4.1 Rondzendbrieven e</w:t>
      </w:r>
      <w:r w:rsidR="00426625" w:rsidRPr="00D147A7">
        <w:rPr>
          <w:b/>
          <w:kern w:val="0"/>
          <w:lang w:val="nl-NL" w:eastAsia="en-US" w:bidi="ar-SA"/>
        </w:rPr>
        <w:t>n interministeriële instructies</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Rondzendbrief DH/P.M.S.I. Ndeg. 303 van 24 juli 1989 met betrekking tot de veralgemening van medicaliseringsprogramma van informatiesystemen (P.M.S.I.) en de organisatie van de medische informatie in openbare ziekenhuizen enerzijds (</w:t>
      </w:r>
      <w:hyperlink r:id="rId345" w:history="1">
        <w:r w:rsidR="006F2926" w:rsidRPr="00FD343F">
          <w:rPr>
            <w:rStyle w:val="Hyperlink"/>
            <w:kern w:val="0"/>
            <w:lang w:val="nl-NL" w:eastAsia="en-US" w:bidi="ar-SA"/>
          </w:rPr>
          <w:t>http://www.ethique.inserm.fr/ ethique/Ethique.nsf/397fe8563d75f39bc12563f60028ec43/9793dc757f220498c1256784004a44c2?OpenDocument</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Rondzendbrief DGS/DH/AFS 97-149 van 26 februari 1997 betreffende de toegang van pa</w:t>
      </w:r>
      <w:r w:rsidR="006F2926">
        <w:rPr>
          <w:kern w:val="0"/>
          <w:lang w:val="nl-NL" w:eastAsia="en-US" w:bidi="ar-SA"/>
        </w:rPr>
        <w:t>-</w:t>
      </w:r>
      <w:r w:rsidRPr="00D147A7">
        <w:rPr>
          <w:kern w:val="0"/>
          <w:lang w:val="nl-NL" w:eastAsia="en-US" w:bidi="ar-SA"/>
        </w:rPr>
        <w:t xml:space="preserve">tiënten tot informatie op het gebied van bloedtransfusie, met name in het kader van een </w:t>
      </w:r>
      <w:r w:rsidR="000F3B3F" w:rsidRPr="00D147A7">
        <w:rPr>
          <w:kern w:val="0"/>
          <w:lang w:val="nl-NL" w:eastAsia="en-US" w:bidi="ar-SA"/>
        </w:rPr>
        <w:t>vorde</w:t>
      </w:r>
      <w:r w:rsidR="006F2926">
        <w:rPr>
          <w:kern w:val="0"/>
          <w:lang w:val="nl-NL" w:eastAsia="en-US" w:bidi="ar-SA"/>
        </w:rPr>
        <w:t>-</w:t>
      </w:r>
      <w:r w:rsidR="000F3B3F" w:rsidRPr="00D147A7">
        <w:rPr>
          <w:kern w:val="0"/>
          <w:lang w:val="nl-NL" w:eastAsia="en-US" w:bidi="ar-SA"/>
        </w:rPr>
        <w:lastRenderedPageBreak/>
        <w:t>ring tot schadevergoeding</w:t>
      </w:r>
      <w:r w:rsidRPr="00D147A7">
        <w:rPr>
          <w:kern w:val="0"/>
          <w:lang w:val="nl-NL" w:eastAsia="en-US" w:bidi="ar-SA"/>
        </w:rPr>
        <w:t xml:space="preserve"> (</w:t>
      </w:r>
      <w:hyperlink r:id="rId346" w:history="1">
        <w:r w:rsidR="006F2926" w:rsidRPr="00FD343F">
          <w:rPr>
            <w:rStyle w:val="Hyperlink"/>
            <w:kern w:val="0"/>
            <w:lang w:val="nl-NL" w:eastAsia="en-US" w:bidi="ar-SA"/>
          </w:rPr>
          <w:t>http://basedaj.aphp.fr/daj/public/index/print/id_theme/138/id_ fiche/4806</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Rondzendbrief AD-97-4 van 1 september 1997 betreffende de inventarisering van fondsen in archiefdiensten van territoriale gemeenschappen (</w:t>
      </w:r>
      <w:hyperlink w:history="1">
        <w:r w:rsidR="006F2926" w:rsidRPr="00FD343F">
          <w:rPr>
            <w:rStyle w:val="Hyperlink"/>
            <w:kern w:val="0"/>
            <w:lang w:val="nl-NL" w:eastAsia="en-US" w:bidi="ar-SA"/>
          </w:rPr>
          <w:t>http://www.archivesdefrance.culture.gouv. fr/static/1774</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Rondzendbrief van 2 november 2001 betreffende het beheer van archieven in diensten en openbare instellingen van de Staat (JORF 256, 4 november 2001). </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Interministeriële instructie nr. DHOS/DAF van 14 augustus 2007 betreffende de bewaring van het medisch dossier (</w:t>
      </w:r>
      <w:hyperlink r:id="rId347" w:history="1">
        <w:r w:rsidRPr="00D147A7">
          <w:rPr>
            <w:color w:val="0000FF"/>
            <w:kern w:val="0"/>
            <w:u w:val="single"/>
            <w:lang w:val="nl-NL" w:eastAsia="en-US" w:bidi="ar-SA"/>
          </w:rPr>
          <w:t>http://www.archivesdefrance.culture.gouv.fr/static/1877</w:t>
        </w:r>
      </w:hyperlink>
      <w:r w:rsidRPr="00D147A7">
        <w:rPr>
          <w:kern w:val="0"/>
          <w:lang w:val="nl-NL" w:eastAsia="en-US" w:bidi="ar-SA"/>
        </w:rPr>
        <w:t>, laatst geraad</w:t>
      </w:r>
      <w:r w:rsidR="000F3B3F" w:rsidRPr="00D147A7">
        <w:rPr>
          <w:kern w:val="0"/>
          <w:lang w:val="nl-NL" w:eastAsia="en-US" w:bidi="ar-SA"/>
        </w:rPr>
        <w:t>-</w:t>
      </w:r>
      <w:r w:rsidRPr="00D147A7">
        <w:rPr>
          <w:kern w:val="0"/>
          <w:lang w:val="nl-NL" w:eastAsia="en-US" w:bidi="ar-SA"/>
        </w:rPr>
        <w:t>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Rondzendbrief van 2 augustus 1960 inzake de uitreiking van röntgenfoto's aan patiënten van openbare ziekenhuizen en verplegingscentra (</w:t>
      </w:r>
      <w:hyperlink r:id="rId348" w:history="1">
        <w:r w:rsidR="000F3B3F" w:rsidRPr="00D147A7">
          <w:rPr>
            <w:rStyle w:val="Hyperlink"/>
            <w:kern w:val="0"/>
            <w:lang w:val="nl-NL" w:eastAsia="en-US" w:bidi="ar-SA"/>
          </w:rPr>
          <w:t>http://www.ascodocpsy.org/IMG/pdf/archives/ circulaire2aout1960.pdf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Rondzendbrief AD 94-11 van 20 oktober 1994. Selectie en bewaring van documenten die na 1968 geproduceerd werden door openbare verzorgingsinstellingen: archieven van de algeme</w:t>
      </w:r>
      <w:r w:rsidR="006F2926">
        <w:rPr>
          <w:kern w:val="0"/>
          <w:lang w:val="nl-NL" w:eastAsia="en-US" w:bidi="ar-SA"/>
        </w:rPr>
        <w:t>-</w:t>
      </w:r>
      <w:r w:rsidRPr="00D147A7">
        <w:rPr>
          <w:kern w:val="0"/>
          <w:lang w:val="nl-NL" w:eastAsia="en-US" w:bidi="ar-SA"/>
        </w:rPr>
        <w:t>ne administratie van de instelling (</w:t>
      </w:r>
      <w:hyperlink r:id="rId349" w:history="1">
        <w:r w:rsidR="006F2926" w:rsidRPr="00FD343F">
          <w:rPr>
            <w:rStyle w:val="Hyperlink"/>
            <w:kern w:val="0"/>
            <w:lang w:val="nl-NL" w:eastAsia="en-US" w:bidi="ar-SA"/>
          </w:rPr>
          <w:t>http://www.archivesdefrance.culture.gouv.fr/static/954</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nl-NL" w:eastAsia="en-US" w:bidi="ar-SA"/>
        </w:rPr>
      </w:pPr>
      <w:r w:rsidRPr="00D147A7">
        <w:rPr>
          <w:b/>
          <w:kern w:val="0"/>
          <w:lang w:val="nl-NL" w:eastAsia="en-US" w:bidi="ar-SA"/>
        </w:rPr>
        <w:tab/>
      </w:r>
      <w:r w:rsidRPr="00D147A7">
        <w:rPr>
          <w:b/>
          <w:kern w:val="0"/>
          <w:lang w:val="nl-NL" w:eastAsia="en-US" w:bidi="ar-SA"/>
        </w:rPr>
        <w:tab/>
        <w:t>3.5.4.2 Wetgeving</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11 maart 1968 houdende reglement van ziekenhuisarchieven (</w:t>
      </w:r>
      <w:r w:rsidRPr="00D147A7">
        <w:rPr>
          <w:i/>
          <w:kern w:val="0"/>
          <w:lang w:val="nl-NL" w:eastAsia="en-US" w:bidi="ar-SA"/>
        </w:rPr>
        <w:t>JORF</w:t>
      </w:r>
      <w:r w:rsidRPr="00D147A7">
        <w:rPr>
          <w:kern w:val="0"/>
          <w:lang w:val="nl-NL" w:eastAsia="en-US" w:bidi="ar-SA"/>
        </w:rPr>
        <w:t xml:space="preserve"> 25 oktober 1968).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78-17 van 6 januari 1978 betreffende de informatica, bestanden en vrijheden I (</w:t>
      </w:r>
      <w:r w:rsidRPr="00D147A7">
        <w:rPr>
          <w:i/>
          <w:kern w:val="0"/>
          <w:lang w:val="nl-NL" w:eastAsia="en-US" w:bidi="ar-SA"/>
        </w:rPr>
        <w:t>JORF</w:t>
      </w:r>
      <w:r w:rsidRPr="00D147A7">
        <w:rPr>
          <w:kern w:val="0"/>
          <w:lang w:val="nl-NL" w:eastAsia="en-US" w:bidi="ar-SA"/>
        </w:rPr>
        <w:t xml:space="preserve"> 182, 7 augsutus 2004).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Besluit nr. 79-1037 van 3 december 1979 </w:t>
      </w:r>
      <w:r w:rsidRPr="00D147A7">
        <w:rPr>
          <w:kern w:val="0"/>
          <w:lang w:eastAsia="en-US" w:bidi="ar-SA"/>
        </w:rPr>
        <w:t>betreffende de bevoegdheid van openbare archief</w:t>
      </w:r>
      <w:r w:rsidR="006F2926">
        <w:rPr>
          <w:kern w:val="0"/>
          <w:lang w:eastAsia="en-US" w:bidi="ar-SA"/>
        </w:rPr>
        <w:t>-</w:t>
      </w:r>
      <w:r w:rsidRPr="00D147A7">
        <w:rPr>
          <w:kern w:val="0"/>
          <w:lang w:eastAsia="en-US" w:bidi="ar-SA"/>
        </w:rPr>
        <w:t>diensten en de samenwerking met administraties voor de acquisitie, bewaring en de terbe</w:t>
      </w:r>
      <w:r w:rsidR="006F2926">
        <w:rPr>
          <w:kern w:val="0"/>
          <w:lang w:eastAsia="en-US" w:bidi="ar-SA"/>
        </w:rPr>
        <w:t>-</w:t>
      </w:r>
      <w:r w:rsidRPr="00D147A7">
        <w:rPr>
          <w:kern w:val="0"/>
          <w:lang w:eastAsia="en-US" w:bidi="ar-SA"/>
        </w:rPr>
        <w:t>schikkingstelling van openbare archieven (</w:t>
      </w:r>
      <w:r w:rsidRPr="00D147A7">
        <w:rPr>
          <w:i/>
          <w:kern w:val="0"/>
          <w:lang w:eastAsia="en-US" w:bidi="ar-SA"/>
        </w:rPr>
        <w:t>JORF</w:t>
      </w:r>
      <w:r w:rsidRPr="00D147A7">
        <w:rPr>
          <w:kern w:val="0"/>
          <w:lang w:eastAsia="en-US" w:bidi="ar-SA"/>
        </w:rPr>
        <w:t>, 5 december 1979)</w:t>
      </w:r>
      <w:r w:rsidRPr="00D147A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Besluit nr. 92-329 van 30 maart 1992 betreffende het medisch dossier en de informatie van personen die in publiek- en privaatrechtelijke verzorgingsinstellingen worden ontvangen en ter wijziging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78, 1 april 1992).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Wet nr. 92-684 van 22 juli 1992 houdende hervorming van de bepalingen van de </w:t>
      </w:r>
      <w:r w:rsidRPr="00D147A7">
        <w:rPr>
          <w:i/>
          <w:kern w:val="0"/>
          <w:lang w:val="nl-NL" w:eastAsia="en-US" w:bidi="ar-SA"/>
        </w:rPr>
        <w:t>code pénal</w:t>
      </w:r>
      <w:r w:rsidRPr="00D147A7">
        <w:rPr>
          <w:kern w:val="0"/>
          <w:lang w:val="nl-NL" w:eastAsia="en-US" w:bidi="ar-SA"/>
        </w:rPr>
        <w:t xml:space="preserve"> met betrekking tot onderdrukking van misdaden en delicten tegen personen I (</w:t>
      </w:r>
      <w:r w:rsidRPr="00D147A7">
        <w:rPr>
          <w:i/>
          <w:kern w:val="0"/>
          <w:lang w:val="nl-NL" w:eastAsia="en-US" w:bidi="ar-SA"/>
        </w:rPr>
        <w:t>JORF</w:t>
      </w:r>
      <w:r w:rsidRPr="00D147A7">
        <w:rPr>
          <w:kern w:val="0"/>
          <w:lang w:val="nl-NL" w:eastAsia="en-US" w:bidi="ar-SA"/>
        </w:rPr>
        <w:t xml:space="preserve"> 169, 23 juli 1992).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93-121 van 27 januari 1993 houdende diverse maatregelen voor de openbare orde I (</w:t>
      </w:r>
      <w:r w:rsidRPr="00D147A7">
        <w:rPr>
          <w:i/>
          <w:kern w:val="0"/>
          <w:lang w:val="nl-NL" w:eastAsia="en-US" w:bidi="ar-SA"/>
        </w:rPr>
        <w:t>JORF</w:t>
      </w:r>
      <w:r w:rsidRPr="00D147A7">
        <w:rPr>
          <w:kern w:val="0"/>
          <w:lang w:val="nl-NL" w:eastAsia="en-US" w:bidi="ar-SA"/>
        </w:rPr>
        <w:t xml:space="preserve"> 25, 30 januari 1993).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Besluit nr. 94-666 van 27 juli 1994 betreffende medische informatiesystemen en de analyse van de activiteiten van de openbare en private verzorgingsinstellingen en ter wijziging van de </w:t>
      </w:r>
      <w:r w:rsidRPr="00D147A7">
        <w:rPr>
          <w:i/>
          <w:kern w:val="0"/>
          <w:lang w:val="nl-NL" w:eastAsia="en-US" w:bidi="ar-SA"/>
        </w:rPr>
        <w:t>code de la santé publique</w:t>
      </w:r>
      <w:r w:rsidRPr="00D147A7">
        <w:rPr>
          <w:color w:val="00B0F0"/>
          <w:kern w:val="0"/>
          <w:lang w:val="nl-NL" w:eastAsia="en-US" w:bidi="ar-SA"/>
        </w:rPr>
        <w:t xml:space="preserve"> </w:t>
      </w:r>
      <w:r w:rsidRPr="00D147A7">
        <w:rPr>
          <w:kern w:val="0"/>
          <w:lang w:val="nl-NL" w:eastAsia="en-US" w:bidi="ar-SA"/>
        </w:rPr>
        <w:t>(</w:t>
      </w:r>
      <w:r w:rsidRPr="00D147A7">
        <w:rPr>
          <w:i/>
          <w:kern w:val="0"/>
          <w:lang w:val="nl-NL" w:eastAsia="en-US" w:bidi="ar-SA"/>
        </w:rPr>
        <w:t>JORF</w:t>
      </w:r>
      <w:r w:rsidRPr="00D147A7">
        <w:rPr>
          <w:kern w:val="0"/>
          <w:lang w:val="nl-NL" w:eastAsia="en-US" w:bidi="ar-SA"/>
        </w:rPr>
        <w:t xml:space="preserve"> 180, 5 augustus 1994).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nr. 95-1000 van 6 september 1995 houdende code van geneeskundige plichtenleer (</w:t>
      </w:r>
      <w:r w:rsidRPr="00D147A7">
        <w:rPr>
          <w:i/>
          <w:kern w:val="0"/>
          <w:lang w:val="nl-NL" w:eastAsia="en-US" w:bidi="ar-SA"/>
        </w:rPr>
        <w:t>JORF</w:t>
      </w:r>
      <w:r w:rsidRPr="00D147A7">
        <w:rPr>
          <w:kern w:val="0"/>
          <w:lang w:val="nl-NL" w:eastAsia="en-US" w:bidi="ar-SA"/>
        </w:rPr>
        <w:t xml:space="preserve"> 209, 8 september 1995).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2000-321 van 12 april 2000 inzake de rechten van burgers in hun betrekkingen met de overheid (</w:t>
      </w:r>
      <w:r w:rsidRPr="00D147A7">
        <w:rPr>
          <w:i/>
          <w:kern w:val="0"/>
          <w:lang w:val="nl-NL" w:eastAsia="en-US" w:bidi="ar-SA"/>
        </w:rPr>
        <w:t>JORF</w:t>
      </w:r>
      <w:r w:rsidRPr="00D147A7">
        <w:rPr>
          <w:kern w:val="0"/>
          <w:lang w:val="nl-NL" w:eastAsia="en-US" w:bidi="ar-SA"/>
        </w:rPr>
        <w:t xml:space="preserve"> 88, 13 april 2000).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Beschikking nr. 2000-916 van 19 september 2000 houdende aanpassing van de waarde van de in wetteksten uitgedrukte bedragen in franken aan de euro (</w:t>
      </w:r>
      <w:r w:rsidRPr="00D147A7">
        <w:rPr>
          <w:i/>
          <w:kern w:val="0"/>
          <w:lang w:val="nl-NL" w:eastAsia="en-US" w:bidi="ar-SA"/>
        </w:rPr>
        <w:t>JORF</w:t>
      </w:r>
      <w:r w:rsidRPr="00D147A7">
        <w:rPr>
          <w:kern w:val="0"/>
          <w:lang w:val="nl-NL" w:eastAsia="en-US" w:bidi="ar-SA"/>
        </w:rPr>
        <w:t xml:space="preserve"> 220, 22 september 2000).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2002-303 van 4 maart 2002 betreffende de rechten van patiënten en de kwaliteit van gezondheidszorgsystemen I (</w:t>
      </w:r>
      <w:r w:rsidRPr="00D147A7">
        <w:rPr>
          <w:i/>
          <w:kern w:val="0"/>
          <w:lang w:val="nl-NL" w:eastAsia="en-US" w:bidi="ar-SA"/>
        </w:rPr>
        <w:t>JORF</w:t>
      </w:r>
      <w:r w:rsidRPr="00D147A7">
        <w:rPr>
          <w:kern w:val="0"/>
          <w:lang w:val="nl-NL" w:eastAsia="en-US" w:bidi="ar-SA"/>
        </w:rPr>
        <w:t xml:space="preserve"> 54, 5 maart 2002).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nl-NL" w:eastAsia="en-US" w:bidi="ar-SA"/>
        </w:rPr>
        <w:t xml:space="preserve">Besluit nr. 2002-637 van 29 april 2002 betreffende de toegang tot persoonsgegevens die door beroepsbeoefenaars en verzorgingsinstellingen wordt bewaard en ter uitvoering van art. </w:t>
      </w:r>
      <w:r w:rsidRPr="00D147A7">
        <w:rPr>
          <w:kern w:val="0"/>
          <w:lang w:val="fr-BE" w:eastAsia="en-US" w:bidi="ar-SA"/>
        </w:rPr>
        <w:t xml:space="preserve">L. 1111-7 en art. L. 1112-1 </w:t>
      </w:r>
      <w:r w:rsidRPr="00D147A7">
        <w:rPr>
          <w:i/>
          <w:kern w:val="0"/>
          <w:lang w:val="fr-BE" w:eastAsia="en-US" w:bidi="ar-SA"/>
        </w:rPr>
        <w:t>code</w:t>
      </w:r>
      <w:r w:rsidRPr="00D147A7">
        <w:rPr>
          <w:kern w:val="0"/>
          <w:lang w:val="fr-BE" w:eastAsia="en-US" w:bidi="ar-SA"/>
        </w:rPr>
        <w:t xml:space="preserve"> </w:t>
      </w:r>
      <w:r w:rsidRPr="00D147A7">
        <w:rPr>
          <w:i/>
          <w:kern w:val="0"/>
          <w:lang w:val="fr-BE" w:eastAsia="en-US" w:bidi="ar-SA"/>
        </w:rPr>
        <w:t>de</w:t>
      </w:r>
      <w:r w:rsidRPr="00D147A7">
        <w:rPr>
          <w:kern w:val="0"/>
          <w:lang w:val="fr-BE" w:eastAsia="en-US" w:bidi="ar-SA"/>
        </w:rPr>
        <w:t xml:space="preserve"> </w:t>
      </w:r>
      <w:r w:rsidRPr="00D147A7">
        <w:rPr>
          <w:i/>
          <w:kern w:val="0"/>
          <w:lang w:val="fr-BE" w:eastAsia="en-US" w:bidi="ar-SA"/>
        </w:rPr>
        <w:t>la</w:t>
      </w:r>
      <w:r w:rsidRPr="00D147A7">
        <w:rPr>
          <w:kern w:val="0"/>
          <w:lang w:val="fr-BE" w:eastAsia="en-US" w:bidi="ar-SA"/>
        </w:rPr>
        <w:t xml:space="preserve"> </w:t>
      </w:r>
      <w:r w:rsidRPr="00D147A7">
        <w:rPr>
          <w:i/>
          <w:kern w:val="0"/>
          <w:lang w:val="fr-BE" w:eastAsia="en-US" w:bidi="ar-SA"/>
        </w:rPr>
        <w:t>santé</w:t>
      </w:r>
      <w:r w:rsidRPr="00D147A7">
        <w:rPr>
          <w:kern w:val="0"/>
          <w:lang w:val="fr-BE" w:eastAsia="en-US" w:bidi="ar-SA"/>
        </w:rPr>
        <w:t xml:space="preserve"> </w:t>
      </w:r>
      <w:r w:rsidRPr="00D147A7">
        <w:rPr>
          <w:i/>
          <w:kern w:val="0"/>
          <w:lang w:val="fr-BE" w:eastAsia="en-US" w:bidi="ar-SA"/>
        </w:rPr>
        <w:t>publique</w:t>
      </w:r>
      <w:r w:rsidRPr="00D147A7">
        <w:rPr>
          <w:kern w:val="0"/>
          <w:lang w:val="fr-BE" w:eastAsia="en-US" w:bidi="ar-SA"/>
        </w:rPr>
        <w:t xml:space="preserve"> (</w:t>
      </w:r>
      <w:r w:rsidRPr="00D147A7">
        <w:rPr>
          <w:i/>
          <w:kern w:val="0"/>
          <w:lang w:val="fr-BE" w:eastAsia="en-US" w:bidi="ar-SA"/>
        </w:rPr>
        <w:t>JORF</w:t>
      </w:r>
      <w:r w:rsidRPr="00D147A7">
        <w:rPr>
          <w:kern w:val="0"/>
          <w:lang w:val="fr-BE" w:eastAsia="en-US" w:bidi="ar-SA"/>
        </w:rPr>
        <w:t xml:space="preserve"> 101, 30 april 2002).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lastRenderedPageBreak/>
        <w:t xml:space="preserve">Besluit nr. 2003-462 van 21 mei 2003 betreffende de reglementaire bepalingen van delen I, II en III van de </w:t>
      </w:r>
      <w:r w:rsidRPr="00D147A7">
        <w:rPr>
          <w:i/>
          <w:kern w:val="0"/>
          <w:lang w:val="nl-NL" w:eastAsia="en-US" w:bidi="ar-SA"/>
        </w:rPr>
        <w:t>code de la santé publique</w:t>
      </w:r>
      <w:r w:rsidRPr="00D147A7">
        <w:rPr>
          <w:kern w:val="0"/>
          <w:lang w:val="nl-NL" w:eastAsia="en-US" w:bidi="ar-SA"/>
        </w:rPr>
        <w:t xml:space="preserve"> (</w:t>
      </w:r>
      <w:r w:rsidRPr="00D147A7">
        <w:rPr>
          <w:i/>
          <w:kern w:val="0"/>
          <w:lang w:val="nl-NL" w:eastAsia="en-US" w:bidi="ar-SA"/>
        </w:rPr>
        <w:t>JORF</w:t>
      </w:r>
      <w:r w:rsidRPr="00D147A7">
        <w:rPr>
          <w:kern w:val="0"/>
          <w:lang w:val="nl-NL" w:eastAsia="en-US" w:bidi="ar-SA"/>
        </w:rPr>
        <w:t xml:space="preserve"> 122, 27 mei 2003).</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2004-801 van 6 augustus 2004 betreffende de bescherming van natuurlijke personen ten opzichte van de verwerking van persoonsgegevens en ter wijziging van wet nr. 78-17 van 1978 betreffende de informatica, bestanden en vrijheden I (</w:t>
      </w:r>
      <w:r w:rsidRPr="00D147A7">
        <w:rPr>
          <w:i/>
          <w:kern w:val="0"/>
          <w:lang w:val="nl-NL" w:eastAsia="en-US" w:bidi="ar-SA"/>
        </w:rPr>
        <w:t>JORF</w:t>
      </w:r>
      <w:r w:rsidRPr="00D147A7">
        <w:rPr>
          <w:kern w:val="0"/>
          <w:lang w:val="nl-NL" w:eastAsia="en-US" w:bidi="ar-SA"/>
        </w:rPr>
        <w:t xml:space="preserve"> 182, 7 augsutus 2004).</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nr. 2005-921 van 2 augustus 2005 houdende het bijzondere statuut van graden en functies van directiepersoneel van instelling vermeld in artikel 2 (1°,  2° en 3°) van wet nr. 86-33 van 9 januari 1986 houdende statutaire bepalingen met betrekking tot de openbare zie</w:t>
      </w:r>
      <w:r w:rsidR="00007BE7">
        <w:rPr>
          <w:kern w:val="0"/>
          <w:lang w:val="nl-NL" w:eastAsia="en-US" w:bidi="ar-SA"/>
        </w:rPr>
        <w:t>-</w:t>
      </w:r>
      <w:r w:rsidRPr="00D147A7">
        <w:rPr>
          <w:kern w:val="0"/>
          <w:lang w:val="nl-NL" w:eastAsia="en-US" w:bidi="ar-SA"/>
        </w:rPr>
        <w:t>kenhuisfunctie (</w:t>
      </w:r>
      <w:r w:rsidRPr="00D147A7">
        <w:rPr>
          <w:i/>
          <w:kern w:val="0"/>
          <w:lang w:val="nl-NL" w:eastAsia="en-US" w:bidi="ar-SA"/>
        </w:rPr>
        <w:t>JORF</w:t>
      </w:r>
      <w:r w:rsidRPr="00D147A7">
        <w:rPr>
          <w:kern w:val="0"/>
          <w:lang w:val="nl-NL" w:eastAsia="en-US" w:bidi="ar-SA"/>
        </w:rPr>
        <w:t xml:space="preserve"> 181, 5 augustus 2005)</w:t>
      </w:r>
      <w:r w:rsidR="00007BE7">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nr. 2006-6 van 4 januari 2006 betreffende de bewaring van gezondheidsgegevens en ter wijziging van de reglementaire bepalingen van de CSP (JORF 4, 5 januari 2006)</w:t>
      </w:r>
      <w:r w:rsidR="00007BE7">
        <w:rPr>
          <w:kern w:val="0"/>
          <w:lang w:val="nl-NL" w:eastAsia="en-US" w:bidi="ar-SA"/>
        </w:rPr>
        <w:t>.</w:t>
      </w:r>
    </w:p>
    <w:p w:rsidR="00426625" w:rsidRPr="00D147A7" w:rsidRDefault="00007BE7" w:rsidP="00426625">
      <w:pPr>
        <w:widowControl/>
        <w:suppressAutoHyphens w:val="0"/>
        <w:spacing w:line="240" w:lineRule="atLeast"/>
        <w:jc w:val="both"/>
        <w:rPr>
          <w:kern w:val="0"/>
          <w:lang w:val="nl-NL" w:eastAsia="en-US" w:bidi="ar-SA"/>
        </w:rPr>
      </w:pPr>
      <w:r>
        <w:rPr>
          <w:kern w:val="0"/>
          <w:lang w:val="nl-NL" w:eastAsia="en-US" w:bidi="ar-SA"/>
        </w:rPr>
        <w:t>B</w:t>
      </w:r>
      <w:r w:rsidR="00426625" w:rsidRPr="00D147A7">
        <w:rPr>
          <w:kern w:val="0"/>
          <w:lang w:val="nl-NL" w:eastAsia="en-US" w:bidi="ar-SA"/>
        </w:rPr>
        <w:t xml:space="preserve">eschikking nr. 2006-460 van 21 april 2006 met betrekking tot het wettelijk gedeelte van de </w:t>
      </w:r>
      <w:r w:rsidR="00426625" w:rsidRPr="00D147A7">
        <w:rPr>
          <w:i/>
          <w:kern w:val="0"/>
          <w:lang w:val="nl-NL" w:eastAsia="en-US" w:bidi="ar-SA"/>
        </w:rPr>
        <w:t>code général de la propriété des personnes publiques</w:t>
      </w:r>
      <w:r w:rsidR="00426625" w:rsidRPr="00D147A7">
        <w:rPr>
          <w:kern w:val="0"/>
          <w:lang w:val="nl-NL" w:eastAsia="en-US" w:bidi="ar-SA"/>
        </w:rPr>
        <w:t xml:space="preserve"> (JORF 95, 22 april 2006)</w:t>
      </w:r>
      <w:r>
        <w:rPr>
          <w:kern w:val="0"/>
          <w:lang w:val="nl-NL" w:eastAsia="en-US" w:bidi="ar-SA"/>
        </w:rPr>
        <w:t>.</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8 november 2006 tot vaststelling van de bewaartermijn door de promotor en de onderzoeker van de documenten en gegevens betreffende een biomedisch onderzoek naar ge</w:t>
      </w:r>
      <w:r w:rsidR="00007BE7">
        <w:rPr>
          <w:kern w:val="0"/>
          <w:lang w:val="nl-NL" w:eastAsia="en-US" w:bidi="ar-SA"/>
        </w:rPr>
        <w:t>-</w:t>
      </w:r>
      <w:r w:rsidRPr="00D147A7">
        <w:rPr>
          <w:kern w:val="0"/>
          <w:lang w:val="nl-NL" w:eastAsia="en-US" w:bidi="ar-SA"/>
        </w:rPr>
        <w:t>neesmiddelen voor menselijk gebruik (</w:t>
      </w:r>
      <w:r w:rsidRPr="00D147A7">
        <w:rPr>
          <w:i/>
          <w:kern w:val="0"/>
          <w:lang w:val="nl-NL" w:eastAsia="en-US" w:bidi="ar-SA"/>
        </w:rPr>
        <w:t>JORF</w:t>
      </w:r>
      <w:r w:rsidRPr="00D147A7">
        <w:rPr>
          <w:kern w:val="0"/>
          <w:lang w:val="nl-NL" w:eastAsia="en-US" w:bidi="ar-SA"/>
        </w:rPr>
        <w:t xml:space="preserve"> 270, 22 november 2006).</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Beslissing van 7 mei 2007 tot vaststelling van de vorm, de inhoud en op de modaliteiten voor de afgifte van het formulier van een ernstig incident (</w:t>
      </w:r>
      <w:r w:rsidRPr="00D147A7">
        <w:rPr>
          <w:i/>
          <w:kern w:val="0"/>
          <w:lang w:val="nl-NL" w:eastAsia="en-US" w:bidi="ar-SA"/>
        </w:rPr>
        <w:t>JORF</w:t>
      </w:r>
      <w:r w:rsidRPr="00D147A7">
        <w:rPr>
          <w:kern w:val="0"/>
          <w:lang w:val="nl-NL" w:eastAsia="en-US" w:bidi="ar-SA"/>
        </w:rPr>
        <w:t xml:space="preserve"> 108, 10 mei 2007).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nr. 2007-1930 van 26 december 2007 houdende het bijzonder statuut van de directie</w:t>
      </w:r>
      <w:r w:rsidR="00007BE7">
        <w:rPr>
          <w:kern w:val="0"/>
          <w:lang w:val="nl-NL" w:eastAsia="en-US" w:bidi="ar-SA"/>
        </w:rPr>
        <w:t>-</w:t>
      </w:r>
      <w:r w:rsidRPr="00D147A7">
        <w:rPr>
          <w:kern w:val="0"/>
          <w:lang w:val="nl-NL" w:eastAsia="en-US" w:bidi="ar-SA"/>
        </w:rPr>
        <w:t>leden van gezondheids-, sociale en medisch-sociale instellingen die de openbare ziekenhuis</w:t>
      </w:r>
      <w:r w:rsidR="00007BE7">
        <w:rPr>
          <w:kern w:val="0"/>
          <w:lang w:val="nl-NL" w:eastAsia="en-US" w:bidi="ar-SA"/>
        </w:rPr>
        <w:t>-</w:t>
      </w:r>
      <w:r w:rsidRPr="00D147A7">
        <w:rPr>
          <w:kern w:val="0"/>
          <w:lang w:val="nl-NL" w:eastAsia="en-US" w:bidi="ar-SA"/>
        </w:rPr>
        <w:t>dienst verlenen (</w:t>
      </w:r>
      <w:r w:rsidRPr="00D147A7">
        <w:rPr>
          <w:i/>
          <w:kern w:val="0"/>
          <w:lang w:val="nl-NL" w:eastAsia="en-US" w:bidi="ar-SA"/>
        </w:rPr>
        <w:t>JORF</w:t>
      </w:r>
      <w:r w:rsidRPr="00D147A7">
        <w:rPr>
          <w:kern w:val="0"/>
          <w:lang w:val="nl-NL" w:eastAsia="en-US" w:bidi="ar-SA"/>
        </w:rPr>
        <w:t xml:space="preserve"> 303, 30 december 2007).</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11 april 2008 betreffende de regels van goede klinische en biologische praktijken tijdens de medische hulpverlening bij de voortplanting (</w:t>
      </w:r>
      <w:r w:rsidRPr="00D147A7">
        <w:rPr>
          <w:i/>
          <w:kern w:val="0"/>
          <w:lang w:val="nl-NL" w:eastAsia="en-US" w:bidi="ar-SA"/>
        </w:rPr>
        <w:t>JORF</w:t>
      </w:r>
      <w:r w:rsidRPr="00D147A7">
        <w:rPr>
          <w:kern w:val="0"/>
          <w:lang w:val="nl-NL" w:eastAsia="en-US" w:bidi="ar-SA"/>
        </w:rPr>
        <w:t xml:space="preserve"> 119, 23 mei 2008).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2008-561 van 17 juni 2008 houdende hervorming van verjaring in burgerlijke zaken I (</w:t>
      </w:r>
      <w:r w:rsidRPr="00D147A7">
        <w:rPr>
          <w:i/>
          <w:kern w:val="0"/>
          <w:lang w:val="nl-NL" w:eastAsia="en-US" w:bidi="ar-SA"/>
        </w:rPr>
        <w:t>JORF</w:t>
      </w:r>
      <w:r w:rsidRPr="00D147A7">
        <w:rPr>
          <w:kern w:val="0"/>
          <w:lang w:val="nl-NL" w:eastAsia="en-US" w:bidi="ar-SA"/>
        </w:rPr>
        <w:t xml:space="preserve"> 141, 18 juni 2008).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2008-696 van 15 juli 2008 betreffende de archieven I (</w:t>
      </w:r>
      <w:r w:rsidRPr="00D147A7">
        <w:rPr>
          <w:i/>
          <w:kern w:val="0"/>
          <w:lang w:val="nl-NL" w:eastAsia="en-US" w:bidi="ar-SA"/>
        </w:rPr>
        <w:t>JORF</w:t>
      </w:r>
      <w:r w:rsidRPr="00D147A7">
        <w:rPr>
          <w:kern w:val="0"/>
          <w:lang w:val="nl-NL" w:eastAsia="en-US" w:bidi="ar-SA"/>
        </w:rPr>
        <w:t xml:space="preserve"> 164, 16 juli 2008).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van 11 augustus 2008 tot vaststelling van de bewaartermijn door de promotor en de onderzoeker van de documenten en gegevens betreffende een biomedisch onderzoek naar an</w:t>
      </w:r>
      <w:r w:rsidR="00007BE7">
        <w:rPr>
          <w:kern w:val="0"/>
          <w:lang w:val="nl-NL" w:eastAsia="en-US" w:bidi="ar-SA"/>
        </w:rPr>
        <w:t>-</w:t>
      </w:r>
      <w:r w:rsidRPr="00D147A7">
        <w:rPr>
          <w:kern w:val="0"/>
          <w:lang w:val="nl-NL" w:eastAsia="en-US" w:bidi="ar-SA"/>
        </w:rPr>
        <w:t>dere zaken dan geneesmiddelen voor menselijk gebruik (</w:t>
      </w:r>
      <w:r w:rsidRPr="00D147A7">
        <w:rPr>
          <w:i/>
          <w:kern w:val="0"/>
          <w:lang w:val="nl-NL" w:eastAsia="en-US" w:bidi="ar-SA"/>
        </w:rPr>
        <w:t>JORF</w:t>
      </w:r>
      <w:r w:rsidRPr="00D147A7">
        <w:rPr>
          <w:kern w:val="0"/>
          <w:lang w:val="nl-NL" w:eastAsia="en-US" w:bidi="ar-SA"/>
        </w:rPr>
        <w:t xml:space="preserve"> 200, 28 augustus 2008).</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2009-879 van 21 juli 2009 houdende ziekenhuishervorming en betreffende patiënten, gezondheid en verzorgingsgebieden (</w:t>
      </w:r>
      <w:r w:rsidRPr="00D147A7">
        <w:rPr>
          <w:i/>
          <w:kern w:val="0"/>
          <w:lang w:val="nl-NL" w:eastAsia="en-US" w:bidi="ar-SA"/>
        </w:rPr>
        <w:t>JORF</w:t>
      </w:r>
      <w:r w:rsidRPr="00D147A7">
        <w:rPr>
          <w:kern w:val="0"/>
          <w:lang w:val="nl-NL" w:eastAsia="en-US" w:bidi="ar-SA"/>
        </w:rPr>
        <w:t xml:space="preserve"> 77, 1 april 2010).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Besluit nr. 2010-30 van 8 januari 2010 genomen in uitvoering van art. 77 van de gewijzigde wet van 9 januari 1986 houdende statutaire bepalingen met betrekking tot de openbare zieken</w:t>
      </w:r>
      <w:r w:rsidR="00007BE7">
        <w:rPr>
          <w:kern w:val="0"/>
          <w:lang w:val="nl-NL" w:eastAsia="en-US" w:bidi="ar-SA"/>
        </w:rPr>
        <w:t>-</w:t>
      </w:r>
      <w:r w:rsidRPr="00D147A7">
        <w:rPr>
          <w:kern w:val="0"/>
          <w:lang w:val="nl-NL" w:eastAsia="en-US" w:bidi="ar-SA"/>
        </w:rPr>
        <w:t>huisfunctie (</w:t>
      </w:r>
      <w:r w:rsidRPr="00D147A7">
        <w:rPr>
          <w:i/>
          <w:kern w:val="0"/>
          <w:lang w:val="nl-NL" w:eastAsia="en-US" w:bidi="ar-SA"/>
        </w:rPr>
        <w:t>JORF</w:t>
      </w:r>
      <w:r w:rsidRPr="00D147A7">
        <w:rPr>
          <w:kern w:val="0"/>
          <w:lang w:val="nl-NL" w:eastAsia="en-US" w:bidi="ar-SA"/>
        </w:rPr>
        <w:t xml:space="preserve"> 8, 10 januari 2010)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Beschikking nr. 2010-177 van 23 februari 2010 ter afstemming op wet nr. 2009-879 houdende ziekenhuishervorming en betreffende patiënten, gezondheid en verzorgingsgebieden (</w:t>
      </w:r>
      <w:r w:rsidRPr="00D147A7">
        <w:rPr>
          <w:i/>
          <w:kern w:val="0"/>
          <w:lang w:val="nl-NL" w:eastAsia="en-US" w:bidi="ar-SA"/>
        </w:rPr>
        <w:t>JORF</w:t>
      </w:r>
      <w:r w:rsidRPr="00D147A7">
        <w:rPr>
          <w:kern w:val="0"/>
          <w:lang w:val="nl-NL" w:eastAsia="en-US" w:bidi="ar-SA"/>
        </w:rPr>
        <w:t xml:space="preserve"> 47, 25 februari 2010).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2011-803 van 5 juli 2011 betreffende de rechten en de bescherming van personen aan wie psychiatrische zorg verleend wordt en de modaliteiten van hun behandeling I (</w:t>
      </w:r>
      <w:r w:rsidRPr="00D147A7">
        <w:rPr>
          <w:i/>
          <w:kern w:val="0"/>
          <w:lang w:val="nl-NL" w:eastAsia="en-US" w:bidi="ar-SA"/>
        </w:rPr>
        <w:t>JORF</w:t>
      </w:r>
      <w:r w:rsidRPr="00D147A7">
        <w:rPr>
          <w:kern w:val="0"/>
          <w:lang w:val="nl-NL" w:eastAsia="en-US" w:bidi="ar-SA"/>
        </w:rPr>
        <w:t xml:space="preserve"> 155, 6 juli 2011).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2011-940 van 10 augustus 2011 ter wijziging van enkele bepalingen van wet nr. 2009-879 van 21 juli 2009 (</w:t>
      </w:r>
      <w:r w:rsidRPr="00D147A7">
        <w:rPr>
          <w:i/>
          <w:kern w:val="0"/>
          <w:lang w:val="nl-NL" w:eastAsia="en-US" w:bidi="ar-SA"/>
        </w:rPr>
        <w:t>JORF</w:t>
      </w:r>
      <w:r w:rsidRPr="00D147A7">
        <w:rPr>
          <w:kern w:val="0"/>
          <w:lang w:val="nl-NL" w:eastAsia="en-US" w:bidi="ar-SA"/>
        </w:rPr>
        <w:t xml:space="preserve"> 185, 11 augustus 2011).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Wet nr. 2011-2012 van 29 december 2011 betreffende de versterking van de veiligheid van geneesmiddelen en gezondheidsproducten I (</w:t>
      </w:r>
      <w:r w:rsidRPr="00D147A7">
        <w:rPr>
          <w:i/>
          <w:kern w:val="0"/>
          <w:lang w:val="nl-NL" w:eastAsia="en-US" w:bidi="ar-SA"/>
        </w:rPr>
        <w:t>JORF</w:t>
      </w:r>
      <w:r w:rsidRPr="00D147A7">
        <w:rPr>
          <w:kern w:val="0"/>
          <w:lang w:val="nl-NL" w:eastAsia="en-US" w:bidi="ar-SA"/>
        </w:rPr>
        <w:t xml:space="preserve"> 302, 30 december 2011).</w:t>
      </w:r>
    </w:p>
    <w:p w:rsidR="00426625" w:rsidRPr="00D147A7" w:rsidRDefault="00426625" w:rsidP="00426625">
      <w:pPr>
        <w:widowControl/>
        <w:suppressAutoHyphens w:val="0"/>
        <w:spacing w:line="240" w:lineRule="atLeast"/>
        <w:jc w:val="both"/>
        <w:rPr>
          <w:kern w:val="0"/>
          <w:lang w:val="nl-NL" w:eastAsia="en-US" w:bidi="ar-SA"/>
        </w:rPr>
      </w:pPr>
    </w:p>
    <w:p w:rsidR="00426625" w:rsidRPr="00D147A7" w:rsidRDefault="00426625" w:rsidP="00426625">
      <w:pPr>
        <w:widowControl/>
        <w:suppressAutoHyphens w:val="0"/>
        <w:spacing w:line="240" w:lineRule="atLeast"/>
        <w:jc w:val="both"/>
        <w:rPr>
          <w:b/>
          <w:kern w:val="0"/>
          <w:lang w:val="fr-BE" w:eastAsia="en-US" w:bidi="ar-SA"/>
        </w:rPr>
      </w:pPr>
      <w:r w:rsidRPr="00D147A7">
        <w:rPr>
          <w:kern w:val="0"/>
          <w:lang w:val="nl-NL" w:eastAsia="en-US" w:bidi="ar-SA"/>
        </w:rPr>
        <w:tab/>
      </w:r>
      <w:r w:rsidRPr="00D147A7">
        <w:rPr>
          <w:kern w:val="0"/>
          <w:lang w:val="nl-NL" w:eastAsia="en-US" w:bidi="ar-SA"/>
        </w:rPr>
        <w:tab/>
      </w:r>
      <w:r w:rsidRPr="00D147A7">
        <w:rPr>
          <w:b/>
          <w:kern w:val="0"/>
          <w:lang w:val="fr-BE" w:eastAsia="en-US" w:bidi="ar-SA"/>
        </w:rPr>
        <w:t>3.5.4.3 Rechtsleer en literatuur</w:t>
      </w:r>
    </w:p>
    <w:p w:rsidR="00426625" w:rsidRPr="00D147A7" w:rsidRDefault="00426625" w:rsidP="00426625">
      <w:pPr>
        <w:widowControl/>
        <w:suppressAutoHyphens w:val="0"/>
        <w:spacing w:line="240" w:lineRule="atLeast"/>
        <w:jc w:val="both"/>
        <w:rPr>
          <w:kern w:val="0"/>
          <w:lang w:val="fr-BE" w:eastAsia="en-US" w:bidi="ar-SA"/>
        </w:rPr>
      </w:pP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‘Pouvoir et competences du directeur’, </w:t>
      </w:r>
      <w:r w:rsidRPr="00D147A7">
        <w:rPr>
          <w:i/>
          <w:kern w:val="0"/>
          <w:lang w:val="fr-BE" w:eastAsia="en-US" w:bidi="ar-SA"/>
        </w:rPr>
        <w:t>A.J.S.</w:t>
      </w:r>
      <w:r w:rsidRPr="00D147A7">
        <w:rPr>
          <w:kern w:val="0"/>
          <w:lang w:val="fr-BE" w:eastAsia="en-US" w:bidi="ar-SA"/>
        </w:rPr>
        <w:t>, 57-58 (2007), p. 50-52.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fr-BE" w:eastAsia="en-US" w:bidi="ar-SA"/>
        </w:rPr>
        <w:lastRenderedPageBreak/>
        <w:t xml:space="preserve">ALLAGUI, F., ‘Récolement’, </w:t>
      </w:r>
      <w:r w:rsidRPr="00D147A7">
        <w:rPr>
          <w:i/>
          <w:kern w:val="0"/>
          <w:lang w:val="fr-BE" w:eastAsia="en-US" w:bidi="ar-SA"/>
        </w:rPr>
        <w:t>Guide des archives hospitalières. Volume 1: méthodologie et procédures</w:t>
      </w:r>
      <w:r w:rsidRPr="00D147A7">
        <w:rPr>
          <w:kern w:val="0"/>
          <w:lang w:val="fr-BE" w:eastAsia="en-US" w:bidi="ar-SA"/>
        </w:rPr>
        <w:t xml:space="preserve">, 2p. </w:t>
      </w:r>
      <w:r w:rsidRPr="00D147A7">
        <w:rPr>
          <w:kern w:val="0"/>
          <w:lang w:val="nl-NL" w:eastAsia="en-US" w:bidi="ar-SA"/>
        </w:rPr>
        <w:t>(</w:t>
      </w:r>
      <w:hyperlink r:id="rId350" w:history="1">
        <w:r w:rsidR="00AF0E38" w:rsidRPr="00D147A7">
          <w:rPr>
            <w:rStyle w:val="Hyperlink"/>
            <w:kern w:val="0"/>
            <w:lang w:val="nl-NL" w:eastAsia="en-US" w:bidi="ar-SA"/>
          </w:rPr>
          <w:t>http://www.ascodocpsy.org/IMG/pdf/GuideArchives_Recolement_fev2008. 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BAROTH, F.X., ‘Archivage et classement des dossiers médicaux: quelles solutions?’, </w:t>
      </w:r>
      <w:r w:rsidRPr="00D147A7">
        <w:rPr>
          <w:i/>
          <w:kern w:val="0"/>
          <w:lang w:val="fr-BE" w:eastAsia="en-US" w:bidi="ar-SA"/>
        </w:rPr>
        <w:t>Le Di</w:t>
      </w:r>
      <w:r w:rsidR="00007BE7">
        <w:rPr>
          <w:i/>
          <w:kern w:val="0"/>
          <w:lang w:val="fr-BE" w:eastAsia="en-US" w:bidi="ar-SA"/>
        </w:rPr>
        <w:t>-</w:t>
      </w:r>
      <w:r w:rsidRPr="00D147A7">
        <w:rPr>
          <w:i/>
          <w:kern w:val="0"/>
          <w:lang w:val="fr-BE" w:eastAsia="en-US" w:bidi="ar-SA"/>
        </w:rPr>
        <w:t>recteur d’Hôpital</w:t>
      </w:r>
      <w:r w:rsidRPr="00D147A7">
        <w:rPr>
          <w:kern w:val="0"/>
          <w:lang w:val="fr-BE" w:eastAsia="en-US" w:bidi="ar-SA"/>
        </w:rPr>
        <w:t>, 95 (2004), p. 19.</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CHICHE, P., ‘Hébergement et conservation des données de santé’, </w:t>
      </w:r>
      <w:r w:rsidRPr="00D147A7">
        <w:rPr>
          <w:i/>
          <w:kern w:val="0"/>
          <w:lang w:val="fr-BE" w:eastAsia="en-US" w:bidi="ar-SA"/>
        </w:rPr>
        <w:t>B.J.S.P.</w:t>
      </w:r>
      <w:r w:rsidRPr="00D147A7">
        <w:rPr>
          <w:kern w:val="0"/>
          <w:lang w:val="fr-BE" w:eastAsia="en-US" w:bidi="ar-SA"/>
        </w:rPr>
        <w:t>, 93 (2006), p. 9-11.</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CLAUSSE-DURIF, C., ‘Métier. Directeur des soins: un corps professionnel en évolution’, </w:t>
      </w:r>
      <w:r w:rsidRPr="00D147A7">
        <w:rPr>
          <w:i/>
          <w:kern w:val="0"/>
          <w:lang w:val="fr-BE" w:eastAsia="en-US" w:bidi="ar-SA"/>
        </w:rPr>
        <w:t>G.H.</w:t>
      </w:r>
      <w:r w:rsidRPr="00D147A7">
        <w:rPr>
          <w:kern w:val="0"/>
          <w:lang w:val="fr-BE" w:eastAsia="en-US" w:bidi="ar-SA"/>
        </w:rPr>
        <w:t>, 503 (2011), p. 95-114.</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COUDREAU, D., ‘Hébergeur de données médicales, un nouvel acteur de la régulation des soins’, </w:t>
      </w:r>
      <w:r w:rsidRPr="00D147A7">
        <w:rPr>
          <w:i/>
          <w:kern w:val="0"/>
          <w:lang w:val="fr-BE" w:eastAsia="en-US" w:bidi="ar-SA"/>
        </w:rPr>
        <w:t>Sève</w:t>
      </w:r>
      <w:r w:rsidRPr="00D147A7">
        <w:rPr>
          <w:kern w:val="0"/>
          <w:lang w:val="fr-BE" w:eastAsia="en-US" w:bidi="ar-SA"/>
        </w:rPr>
        <w:t>, 10 (2006), p. 51-57.</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DE LARD, B., ‘Le risque de gestion de fait par le directeur d’hôpital’, </w:t>
      </w:r>
      <w:r w:rsidRPr="00D147A7">
        <w:rPr>
          <w:i/>
          <w:kern w:val="0"/>
          <w:lang w:val="fr-BE" w:eastAsia="en-US" w:bidi="ar-SA"/>
        </w:rPr>
        <w:t>A.J.S.</w:t>
      </w:r>
      <w:r w:rsidRPr="00D147A7">
        <w:rPr>
          <w:kern w:val="0"/>
          <w:lang w:val="fr-BE" w:eastAsia="en-US" w:bidi="ar-SA"/>
        </w:rPr>
        <w:t>, 59 (2007), p. 24-27.</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DELESALLE, H., ‘Le régime juridique de la conservation des archives hospitalières’, </w:t>
      </w:r>
      <w:r w:rsidRPr="00D147A7">
        <w:rPr>
          <w:i/>
          <w:kern w:val="0"/>
          <w:lang w:val="fr-BE" w:eastAsia="en-US" w:bidi="ar-SA"/>
        </w:rPr>
        <w:t>R.H.F.</w:t>
      </w:r>
      <w:r w:rsidRPr="00D147A7">
        <w:rPr>
          <w:kern w:val="0"/>
          <w:lang w:val="fr-BE" w:eastAsia="en-US" w:bidi="ar-SA"/>
        </w:rPr>
        <w:t>, 489 (2002), p. 40-43 (</w:t>
      </w:r>
      <w:hyperlink r:id="rId351" w:history="1">
        <w:r w:rsidRPr="00D147A7">
          <w:rPr>
            <w:color w:val="0000FF"/>
            <w:kern w:val="0"/>
            <w:u w:val="single"/>
            <w:lang w:val="fr-BE" w:eastAsia="en-US" w:bidi="ar-SA"/>
          </w:rPr>
          <w:t>http://fulltext.bdsp.ehesp.fr/FHF/RHF/2002/489/40-43.pdf</w:t>
        </w:r>
      </w:hyperlink>
      <w:r w:rsidRPr="00D147A7">
        <w:rPr>
          <w:kern w:val="0"/>
          <w:lang w:val="fr-BE" w:eastAsia="en-US" w:bidi="ar-SA"/>
        </w:rPr>
        <w:t>, laatst ge</w:t>
      </w:r>
      <w:r w:rsidR="00007BE7">
        <w:rPr>
          <w:kern w:val="0"/>
          <w:lang w:val="fr-BE" w:eastAsia="en-US" w:bidi="ar-SA"/>
        </w:rPr>
        <w:t>-</w:t>
      </w:r>
      <w:r w:rsidRPr="00D147A7">
        <w:rPr>
          <w:kern w:val="0"/>
          <w:lang w:val="fr-BE" w:eastAsia="en-US" w:bidi="ar-SA"/>
        </w:rPr>
        <w:t>raadpleegd op 23 juli 2012).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DUPONT, M., ‘L’évolution du droit hospitalier et ses incidences sur les archives’, </w:t>
      </w:r>
      <w:r w:rsidRPr="00D147A7">
        <w:rPr>
          <w:i/>
          <w:kern w:val="0"/>
          <w:lang w:val="fr-BE" w:eastAsia="en-US" w:bidi="ar-SA"/>
        </w:rPr>
        <w:t>G.A.N.S.</w:t>
      </w:r>
      <w:r w:rsidRPr="00D147A7">
        <w:rPr>
          <w:kern w:val="0"/>
          <w:lang w:val="fr-BE" w:eastAsia="en-US" w:bidi="ar-SA"/>
        </w:rPr>
        <w:t>, 205 (2007), p. 5-10.</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FORLIVESI, O., ‘Le controle scientifique et technique au CHU de Tours’, </w:t>
      </w:r>
      <w:r w:rsidRPr="00D147A7">
        <w:rPr>
          <w:i/>
          <w:kern w:val="0"/>
          <w:lang w:val="fr-BE" w:eastAsia="en-US" w:bidi="ar-SA"/>
        </w:rPr>
        <w:t>G.A.N.S.</w:t>
      </w:r>
      <w:r w:rsidRPr="00D147A7">
        <w:rPr>
          <w:kern w:val="0"/>
          <w:lang w:val="fr-BE" w:eastAsia="en-US" w:bidi="ar-SA"/>
        </w:rPr>
        <w:t>, 205 (2007), p. 11-16.</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GENOT-POK, I., ‘Des archives publiques aux archives hospitalières: points de droits’, </w:t>
      </w:r>
      <w:r w:rsidRPr="00D147A7">
        <w:rPr>
          <w:i/>
          <w:kern w:val="0"/>
          <w:lang w:val="fr-BE" w:eastAsia="en-US" w:bidi="ar-SA"/>
        </w:rPr>
        <w:t>A.J.S.</w:t>
      </w:r>
      <w:r w:rsidRPr="00D147A7">
        <w:rPr>
          <w:kern w:val="0"/>
          <w:lang w:val="fr-BE" w:eastAsia="en-US" w:bidi="ar-SA"/>
        </w:rPr>
        <w:t>, 69 (2010), p. 4-14.</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GENOT-POK, I., ‘Délais de conservation des principales archives hospitalières’, A.J.S., 69 (2010), p. 15-21.</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fr-BE" w:eastAsia="en-US" w:bidi="ar-SA"/>
        </w:rPr>
        <w:t xml:space="preserve">GLORIEUX, P., </w:t>
      </w:r>
      <w:r w:rsidRPr="00D147A7">
        <w:rPr>
          <w:i/>
          <w:kern w:val="0"/>
          <w:lang w:val="fr-BE" w:eastAsia="en-US" w:bidi="ar-SA"/>
        </w:rPr>
        <w:t>Du dossier de soins au dossier patient: un enjeu pour le Directeur des soins</w:t>
      </w:r>
      <w:r w:rsidRPr="00D147A7">
        <w:rPr>
          <w:kern w:val="0"/>
          <w:lang w:val="fr-BE" w:eastAsia="en-US" w:bidi="ar-SA"/>
        </w:rPr>
        <w:t xml:space="preserve">, Mémoire ENSP de Directeur des Soins, Rennes, ENSP, 2004, 61p. </w:t>
      </w:r>
      <w:r w:rsidRPr="00D147A7">
        <w:rPr>
          <w:kern w:val="0"/>
          <w:lang w:val="nl-NL" w:eastAsia="en-US" w:bidi="ar-SA"/>
        </w:rPr>
        <w:t>(</w:t>
      </w:r>
      <w:hyperlink w:history="1">
        <w:r w:rsidR="00007BE7" w:rsidRPr="00FD343F">
          <w:rPr>
            <w:rStyle w:val="Hyperlink"/>
            <w:kern w:val="0"/>
            <w:lang w:val="nl-NL" w:eastAsia="en-US" w:bidi="ar-SA"/>
          </w:rPr>
          <w:t>http://fulltext.bdsp.ehesp .fr/Ensp/Memoires/2004/ds/glorieux.pdf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nl-NL" w:eastAsia="en-US" w:bidi="ar-SA"/>
        </w:rPr>
        <w:t xml:space="preserve">L’HEUREUX, R., ‘La gestion des archives hospitalières en France: l’exemple de l'Assistance publique – Hôpitaux de Paris’, HONNORÉ, L. (red.), </w:t>
      </w:r>
      <w:r w:rsidRPr="00D147A7">
        <w:rPr>
          <w:i/>
          <w:kern w:val="0"/>
          <w:lang w:val="nl-NL" w:eastAsia="en-US" w:bidi="ar-SA"/>
        </w:rPr>
        <w:t>Handelingen van het Internationaal Colloquium ‘Het geheugen van onze gezondheid. Het medisch archief en zijn hulpbronnen’. Brussel 15-17 maart 2007</w:t>
      </w:r>
      <w:r w:rsidRPr="00D147A7">
        <w:rPr>
          <w:kern w:val="0"/>
          <w:lang w:val="nl-NL" w:eastAsia="en-US" w:bidi="ar-SA"/>
        </w:rPr>
        <w:t>, A.B.B., extranummer 86, Brussel, 2008, p. 13-25.</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LOUVET, B., ‘Données de santé: les conditions de leur hébergement’, </w:t>
      </w:r>
      <w:r w:rsidRPr="00D147A7">
        <w:rPr>
          <w:i/>
          <w:kern w:val="0"/>
          <w:lang w:val="fr-BE" w:eastAsia="en-US" w:bidi="ar-SA"/>
        </w:rPr>
        <w:t>Le Journal du Net</w:t>
      </w:r>
      <w:r w:rsidRPr="00D147A7">
        <w:rPr>
          <w:kern w:val="0"/>
          <w:lang w:val="fr-BE" w:eastAsia="en-US" w:bidi="ar-SA"/>
        </w:rPr>
        <w:t>, Pa</w:t>
      </w:r>
      <w:r w:rsidR="00007BE7">
        <w:rPr>
          <w:kern w:val="0"/>
          <w:lang w:val="fr-BE" w:eastAsia="en-US" w:bidi="ar-SA"/>
        </w:rPr>
        <w:t>-</w:t>
      </w:r>
      <w:r w:rsidRPr="00D147A7">
        <w:rPr>
          <w:kern w:val="0"/>
          <w:lang w:val="fr-BE" w:eastAsia="en-US" w:bidi="ar-SA"/>
        </w:rPr>
        <w:t>rijs, 2006 (</w:t>
      </w:r>
      <w:hyperlink r:id="rId352" w:history="1">
        <w:r w:rsidRPr="00D147A7">
          <w:rPr>
            <w:color w:val="0000FF"/>
            <w:kern w:val="0"/>
            <w:u w:val="single"/>
            <w:lang w:val="fr-BE" w:eastAsia="en-US" w:bidi="ar-SA"/>
          </w:rPr>
          <w:t>http://www.journaldunet.com/juridique/juridique060120.shtml</w:t>
        </w:r>
      </w:hyperlink>
      <w:r w:rsidRPr="00D147A7">
        <w:rPr>
          <w:kern w:val="0"/>
          <w:lang w:val="fr-BE" w:eastAsia="en-US" w:bidi="ar-SA"/>
        </w:rPr>
        <w:t>, laatst geraadpleegd op 23 juli 2012)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MARIN, P., ‘Directeur d’hôpital: un cadre d’exercice professionel profondément modifié, de nouveaux principes de formation’, </w:t>
      </w:r>
      <w:r w:rsidRPr="00D147A7">
        <w:rPr>
          <w:i/>
          <w:kern w:val="0"/>
          <w:lang w:val="fr-BE" w:eastAsia="en-US" w:bidi="ar-SA"/>
        </w:rPr>
        <w:t>Cahiers Hospitaliers</w:t>
      </w:r>
      <w:r w:rsidRPr="00D147A7">
        <w:rPr>
          <w:kern w:val="0"/>
          <w:lang w:val="fr-BE" w:eastAsia="en-US" w:bidi="ar-SA"/>
        </w:rPr>
        <w:t>, 282 (2011), p. 8-11</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MARTIN, C.; RODRIGUEZ, S.; ‘Gestion et conservation des archives hospitalières’, </w:t>
      </w:r>
      <w:r w:rsidRPr="00D147A7">
        <w:rPr>
          <w:i/>
          <w:kern w:val="0"/>
          <w:lang w:val="fr-BE" w:eastAsia="en-US" w:bidi="ar-SA"/>
        </w:rPr>
        <w:t>A.J.S.</w:t>
      </w:r>
      <w:r w:rsidRPr="00D147A7">
        <w:rPr>
          <w:kern w:val="0"/>
          <w:lang w:val="fr-BE" w:eastAsia="en-US" w:bidi="ar-SA"/>
        </w:rPr>
        <w:t>, 69 (2010), p. 22-27.</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MARZOUG, S.; DE LARD, B.; BOSSI, J.; RODRIGUEZ, S.; ‘L’hébergement des données personnelles de santé: principes et limites’, </w:t>
      </w:r>
      <w:r w:rsidRPr="00D147A7">
        <w:rPr>
          <w:i/>
          <w:kern w:val="0"/>
          <w:lang w:val="fr-BE" w:eastAsia="en-US" w:bidi="ar-SA"/>
        </w:rPr>
        <w:t>A.J.S.</w:t>
      </w:r>
      <w:r w:rsidRPr="00D147A7">
        <w:rPr>
          <w:kern w:val="0"/>
          <w:lang w:val="fr-BE" w:eastAsia="en-US" w:bidi="ar-SA"/>
        </w:rPr>
        <w:t>, 74 (2011), p. 3-15.</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fr-BE" w:eastAsia="en-US" w:bidi="ar-SA"/>
        </w:rPr>
        <w:t xml:space="preserve">MAURIER, B., ‘L’externalisation des archives’, </w:t>
      </w:r>
      <w:r w:rsidRPr="00D147A7">
        <w:rPr>
          <w:i/>
          <w:kern w:val="0"/>
          <w:lang w:val="fr-BE" w:eastAsia="en-US" w:bidi="ar-SA"/>
        </w:rPr>
        <w:t xml:space="preserve">Guide des archives hospitalières. </w:t>
      </w:r>
      <w:r w:rsidRPr="00D147A7">
        <w:rPr>
          <w:i/>
          <w:kern w:val="0"/>
          <w:lang w:val="nl-NL" w:eastAsia="en-US" w:bidi="ar-SA"/>
        </w:rPr>
        <w:t>Volume 1: méthodologie et procédures</w:t>
      </w:r>
      <w:r w:rsidRPr="00D147A7">
        <w:rPr>
          <w:kern w:val="0"/>
          <w:lang w:val="nl-NL" w:eastAsia="en-US" w:bidi="ar-SA"/>
        </w:rPr>
        <w:t>, 2009, 3p. (</w:t>
      </w:r>
      <w:hyperlink r:id="rId353" w:history="1">
        <w:r w:rsidR="00AF0E38" w:rsidRPr="00D147A7">
          <w:rPr>
            <w:rStyle w:val="Hyperlink"/>
            <w:kern w:val="0"/>
            <w:lang w:val="nl-NL" w:eastAsia="en-US" w:bidi="ar-SA"/>
          </w:rPr>
          <w:t>http://www.ascodocpsy.org/IMG/pdf/GuideArchives_ Externalisation_oct2009.pdf</w:t>
        </w:r>
      </w:hyperlink>
      <w:r w:rsidRPr="00D147A7">
        <w:rPr>
          <w:kern w:val="0"/>
          <w:lang w:val="nl-NL" w:eastAsia="en-US" w:bidi="ar-SA"/>
        </w:rPr>
        <w:t>, laatst geraadpleegd op 23 juli 2012).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POINSOTTE, V., ‘A propos de la réglementation des archives médicales hospitalières’, </w:t>
      </w:r>
      <w:r w:rsidRPr="00D147A7">
        <w:rPr>
          <w:i/>
          <w:kern w:val="0"/>
          <w:lang w:val="fr-BE" w:eastAsia="en-US" w:bidi="ar-SA"/>
        </w:rPr>
        <w:t>G.A.N.S.</w:t>
      </w:r>
      <w:r w:rsidRPr="00D147A7">
        <w:rPr>
          <w:kern w:val="0"/>
          <w:lang w:val="fr-BE" w:eastAsia="en-US" w:bidi="ar-SA"/>
        </w:rPr>
        <w:t>, 167 (1994), p. 381-385.</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PREVOT, M.; PINAY, M.; DECHENAUD, T.; MARESCAUX, C.; ‘Externalisation des archives médicales définitives. Retour d’expérience d’un centre hospitalier en psychiatrie’, </w:t>
      </w:r>
      <w:r w:rsidRPr="00D147A7">
        <w:rPr>
          <w:i/>
          <w:kern w:val="0"/>
          <w:lang w:val="fr-BE" w:eastAsia="en-US" w:bidi="ar-SA"/>
        </w:rPr>
        <w:t>R.H.F.</w:t>
      </w:r>
      <w:r w:rsidRPr="00D147A7">
        <w:rPr>
          <w:kern w:val="0"/>
          <w:lang w:val="fr-BE" w:eastAsia="en-US" w:bidi="ar-SA"/>
        </w:rPr>
        <w:t>, 535 (2010), p. 32-36.</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REBEECQ, G., ‘L’information médicale du patient à la lumière de la loi du 4 mars 2002. 1</w:t>
      </w:r>
      <w:r w:rsidRPr="00007BE7">
        <w:rPr>
          <w:kern w:val="0"/>
          <w:vertAlign w:val="superscript"/>
          <w:lang w:val="fr-BE" w:eastAsia="en-US" w:bidi="ar-SA"/>
        </w:rPr>
        <w:t>re</w:t>
      </w:r>
      <w:r w:rsidRPr="00D147A7">
        <w:rPr>
          <w:kern w:val="0"/>
          <w:lang w:val="fr-BE" w:eastAsia="en-US" w:bidi="ar-SA"/>
        </w:rPr>
        <w:t xml:space="preserve"> partie: Le point de vue du juriste’, </w:t>
      </w:r>
      <w:r w:rsidRPr="00D147A7">
        <w:rPr>
          <w:i/>
          <w:kern w:val="0"/>
          <w:lang w:val="fr-BE" w:eastAsia="en-US" w:bidi="ar-SA"/>
        </w:rPr>
        <w:t>J.M.L.</w:t>
      </w:r>
      <w:r w:rsidRPr="00D147A7">
        <w:rPr>
          <w:kern w:val="0"/>
          <w:lang w:val="fr-BE" w:eastAsia="en-US" w:bidi="ar-SA"/>
        </w:rPr>
        <w:t>, 47/4 (2004), p. 83-93.</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lastRenderedPageBreak/>
        <w:t xml:space="preserve">ROMAN, N., ‘La gestion du dossier médical. Le point de vue d’un directeur d’hôpital’, </w:t>
      </w:r>
      <w:r w:rsidRPr="00D147A7">
        <w:rPr>
          <w:i/>
          <w:kern w:val="0"/>
          <w:lang w:val="fr-BE" w:eastAsia="en-US" w:bidi="ar-SA"/>
        </w:rPr>
        <w:t>G.A.N.S.</w:t>
      </w:r>
      <w:r w:rsidRPr="00D147A7">
        <w:rPr>
          <w:kern w:val="0"/>
          <w:lang w:val="fr-BE" w:eastAsia="en-US" w:bidi="ar-SA"/>
        </w:rPr>
        <w:t>, 167 (1994), p. 374-380.</w:t>
      </w:r>
    </w:p>
    <w:p w:rsidR="00426625" w:rsidRPr="00D147A7" w:rsidRDefault="00426625" w:rsidP="00426625">
      <w:pPr>
        <w:widowControl/>
        <w:suppressAutoHyphens w:val="0"/>
        <w:spacing w:line="240" w:lineRule="atLeast"/>
        <w:jc w:val="both"/>
        <w:rPr>
          <w:kern w:val="0"/>
          <w:lang w:val="nl-NL" w:eastAsia="en-US" w:bidi="ar-SA"/>
        </w:rPr>
      </w:pPr>
      <w:r w:rsidRPr="00D147A7">
        <w:rPr>
          <w:kern w:val="0"/>
          <w:lang w:val="fr-BE" w:eastAsia="en-US" w:bidi="ar-SA"/>
        </w:rPr>
        <w:t xml:space="preserve">SEGUI, S., </w:t>
      </w:r>
      <w:r w:rsidRPr="00D147A7">
        <w:rPr>
          <w:i/>
          <w:kern w:val="0"/>
          <w:lang w:val="fr-BE" w:eastAsia="en-US" w:bidi="ar-SA"/>
        </w:rPr>
        <w:t>Le délai de conservation de certaines archives hospitalières</w:t>
      </w:r>
      <w:r w:rsidRPr="00D147A7">
        <w:rPr>
          <w:kern w:val="0"/>
          <w:lang w:val="fr-BE" w:eastAsia="en-US" w:bidi="ar-SA"/>
        </w:rPr>
        <w:t xml:space="preserve">, s.l.n.d., 50p. </w:t>
      </w:r>
      <w:r w:rsidRPr="00D147A7">
        <w:rPr>
          <w:kern w:val="0"/>
          <w:lang w:val="nl-NL" w:eastAsia="en-US" w:bidi="ar-SA"/>
        </w:rPr>
        <w:t>(</w:t>
      </w:r>
      <w:hyperlink r:id="rId354" w:history="1">
        <w:r w:rsidRPr="00D147A7">
          <w:rPr>
            <w:color w:val="0000FF"/>
            <w:kern w:val="0"/>
            <w:u w:val="single"/>
            <w:lang w:val="nl-NL" w:eastAsia="en-US" w:bidi="ar-SA"/>
          </w:rPr>
          <w:t>http://www.ascodocpsy.org/IMG/pdf/archives/delai_conservation_fhf.pdf</w:t>
        </w:r>
      </w:hyperlink>
      <w:r w:rsidRPr="00D147A7">
        <w:rPr>
          <w:kern w:val="0"/>
          <w:lang w:val="nl-NL" w:eastAsia="en-US" w:bidi="ar-SA"/>
        </w:rPr>
        <w:t>, laatst geraad</w:t>
      </w:r>
      <w:r w:rsidR="00007BE7">
        <w:rPr>
          <w:kern w:val="0"/>
          <w:lang w:val="nl-NL" w:eastAsia="en-US" w:bidi="ar-SA"/>
        </w:rPr>
        <w:t>-</w:t>
      </w:r>
      <w:r w:rsidRPr="00D147A7">
        <w:rPr>
          <w:kern w:val="0"/>
          <w:lang w:val="nl-NL" w:eastAsia="en-US" w:bidi="ar-SA"/>
        </w:rPr>
        <w:t>pleegd op 23 juli 2012).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SEGUI, S., ‘Le délai de conservation de certaines archives hospitalières’, </w:t>
      </w:r>
      <w:r w:rsidRPr="00D147A7">
        <w:rPr>
          <w:i/>
          <w:kern w:val="0"/>
          <w:lang w:val="fr-BE" w:eastAsia="en-US" w:bidi="ar-SA"/>
        </w:rPr>
        <w:t>R.H.F.</w:t>
      </w:r>
      <w:r w:rsidRPr="00D147A7">
        <w:rPr>
          <w:kern w:val="0"/>
          <w:lang w:val="fr-BE" w:eastAsia="en-US" w:bidi="ar-SA"/>
        </w:rPr>
        <w:t>, 496 (2004), p. 62-66.</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SEGUI, S., ‘Le délai de conservation de certaines archives hospitalières. Les dossiers des con</w:t>
      </w:r>
      <w:r w:rsidR="00007BE7">
        <w:rPr>
          <w:kern w:val="0"/>
          <w:lang w:val="fr-BE" w:eastAsia="en-US" w:bidi="ar-SA"/>
        </w:rPr>
        <w:t>-</w:t>
      </w:r>
      <w:r w:rsidRPr="00D147A7">
        <w:rPr>
          <w:kern w:val="0"/>
          <w:lang w:val="fr-BE" w:eastAsia="en-US" w:bidi="ar-SA"/>
        </w:rPr>
        <w:t xml:space="preserve">sultations externes’, </w:t>
      </w:r>
      <w:r w:rsidRPr="00D147A7">
        <w:rPr>
          <w:i/>
          <w:kern w:val="0"/>
          <w:lang w:val="fr-BE" w:eastAsia="en-US" w:bidi="ar-SA"/>
        </w:rPr>
        <w:t>R.H.F.</w:t>
      </w:r>
      <w:r w:rsidRPr="00D147A7">
        <w:rPr>
          <w:kern w:val="0"/>
          <w:lang w:val="fr-BE" w:eastAsia="en-US" w:bidi="ar-SA"/>
        </w:rPr>
        <w:t>, 497 (2004), p. 53-57.</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SEGUI, S., ‘Le délai de conservation de certaines archives hospitalières. Les documents de service et enregistrements d’appel’, </w:t>
      </w:r>
      <w:r w:rsidRPr="00D147A7">
        <w:rPr>
          <w:i/>
          <w:kern w:val="0"/>
          <w:lang w:val="fr-BE" w:eastAsia="en-US" w:bidi="ar-SA"/>
        </w:rPr>
        <w:t>R.H.F.</w:t>
      </w:r>
      <w:r w:rsidRPr="00D147A7">
        <w:rPr>
          <w:kern w:val="0"/>
          <w:lang w:val="fr-BE" w:eastAsia="en-US" w:bidi="ar-SA"/>
        </w:rPr>
        <w:t>, 499 (2004), p. 46-54.</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SEGUI-SAULNIER, S., ‘Le décret du 4 janvier 2006 relatif à l’hébergement des données de santé à caractère personnel. Fiche de synthèse’, </w:t>
      </w:r>
      <w:r w:rsidRPr="00D147A7">
        <w:rPr>
          <w:i/>
          <w:kern w:val="0"/>
          <w:lang w:val="fr-BE" w:eastAsia="en-US" w:bidi="ar-SA"/>
        </w:rPr>
        <w:t>A.J.S.</w:t>
      </w:r>
      <w:r w:rsidRPr="00D147A7">
        <w:rPr>
          <w:kern w:val="0"/>
          <w:lang w:val="fr-BE" w:eastAsia="en-US" w:bidi="ar-SA"/>
        </w:rPr>
        <w:t>, 53 (2006), p. 20-22.</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SEGUI-SAULNIER, S., ‘Les nouvelles règles d’archivage du dossier médical. Entre clair et obscure’, </w:t>
      </w:r>
      <w:r w:rsidRPr="00D147A7">
        <w:rPr>
          <w:i/>
          <w:kern w:val="0"/>
          <w:lang w:val="fr-BE" w:eastAsia="en-US" w:bidi="ar-SA"/>
        </w:rPr>
        <w:t>G.H.</w:t>
      </w:r>
      <w:r w:rsidRPr="00D147A7">
        <w:rPr>
          <w:kern w:val="0"/>
          <w:lang w:val="fr-BE" w:eastAsia="en-US" w:bidi="ar-SA"/>
        </w:rPr>
        <w:t>, 460 (2006), p. 653-656.</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 xml:space="preserve">SEGUI-SAULNIER, S.; TANGUY, H.; ‘Le directeur et le directoire’, </w:t>
      </w:r>
      <w:r w:rsidRPr="00D147A7">
        <w:rPr>
          <w:i/>
          <w:kern w:val="0"/>
          <w:lang w:val="fr-BE" w:eastAsia="en-US" w:bidi="ar-SA"/>
        </w:rPr>
        <w:t>A.J.S.</w:t>
      </w:r>
      <w:r w:rsidRPr="00D147A7">
        <w:rPr>
          <w:kern w:val="0"/>
          <w:lang w:val="fr-BE" w:eastAsia="en-US" w:bidi="ar-SA"/>
        </w:rPr>
        <w:t>, 66 (2009), p. 41-44.</w:t>
      </w:r>
    </w:p>
    <w:p w:rsidR="00426625" w:rsidRPr="00D147A7" w:rsidRDefault="00426625" w:rsidP="00426625">
      <w:pPr>
        <w:widowControl/>
        <w:suppressAutoHyphens w:val="0"/>
        <w:spacing w:line="240" w:lineRule="atLeast"/>
        <w:jc w:val="both"/>
        <w:rPr>
          <w:kern w:val="0"/>
          <w:lang w:val="fr-BE" w:eastAsia="en-US" w:bidi="ar-SA"/>
        </w:rPr>
      </w:pPr>
      <w:r w:rsidRPr="00D147A7">
        <w:rPr>
          <w:kern w:val="0"/>
          <w:lang w:val="fr-BE" w:eastAsia="en-US" w:bidi="ar-SA"/>
        </w:rPr>
        <w:t>VERRY, E.; ROCHON, C.; ‘Présence et action d’un service départemental d’archives en mi</w:t>
      </w:r>
      <w:r w:rsidR="00007BE7">
        <w:rPr>
          <w:kern w:val="0"/>
          <w:lang w:val="fr-BE" w:eastAsia="en-US" w:bidi="ar-SA"/>
        </w:rPr>
        <w:t>-</w:t>
      </w:r>
      <w:r w:rsidRPr="00D147A7">
        <w:rPr>
          <w:kern w:val="0"/>
          <w:lang w:val="fr-BE" w:eastAsia="en-US" w:bidi="ar-SA"/>
        </w:rPr>
        <w:t xml:space="preserve">lieu hospitalier: l’expérience du Maine-et-Loire’, </w:t>
      </w:r>
      <w:r w:rsidRPr="00D147A7">
        <w:rPr>
          <w:i/>
          <w:kern w:val="0"/>
          <w:lang w:val="fr-BE" w:eastAsia="en-US" w:bidi="ar-SA"/>
        </w:rPr>
        <w:t>G.A.N.S.</w:t>
      </w:r>
      <w:r w:rsidRPr="00D147A7">
        <w:rPr>
          <w:kern w:val="0"/>
          <w:lang w:val="fr-BE" w:eastAsia="en-US" w:bidi="ar-SA"/>
        </w:rPr>
        <w:t>, 205 (2007), p. 17-25.</w:t>
      </w:r>
    </w:p>
    <w:p w:rsidR="00426625" w:rsidRPr="00D147A7" w:rsidRDefault="00426625" w:rsidP="00426625">
      <w:pPr>
        <w:widowControl/>
        <w:suppressAutoHyphens w:val="0"/>
        <w:spacing w:line="240" w:lineRule="atLeast"/>
        <w:jc w:val="both"/>
        <w:rPr>
          <w:kern w:val="0"/>
          <w:lang w:val="fr-BE" w:eastAsia="en-US" w:bidi="ar-SA"/>
        </w:rPr>
      </w:pPr>
    </w:p>
    <w:p w:rsidR="00426625" w:rsidRPr="00D147A7" w:rsidRDefault="00426625" w:rsidP="00426625">
      <w:pPr>
        <w:widowControl/>
        <w:suppressAutoHyphens w:val="0"/>
        <w:spacing w:line="240" w:lineRule="atLeast"/>
        <w:jc w:val="both"/>
        <w:rPr>
          <w:b/>
          <w:kern w:val="0"/>
          <w:lang w:val="fr-BE" w:eastAsia="en-US" w:bidi="ar-SA"/>
        </w:rPr>
      </w:pPr>
      <w:r w:rsidRPr="00D147A7">
        <w:rPr>
          <w:b/>
          <w:kern w:val="0"/>
          <w:lang w:val="fr-BE" w:eastAsia="en-US" w:bidi="ar-SA"/>
        </w:rPr>
        <w:tab/>
      </w:r>
      <w:r w:rsidRPr="00D147A7">
        <w:rPr>
          <w:b/>
          <w:kern w:val="0"/>
          <w:lang w:val="fr-BE" w:eastAsia="en-US" w:bidi="ar-SA"/>
        </w:rPr>
        <w:tab/>
        <w:t>3.5.4.4 Websites</w:t>
      </w:r>
    </w:p>
    <w:p w:rsidR="00426625" w:rsidRPr="00D147A7" w:rsidRDefault="00426625" w:rsidP="00426625">
      <w:pPr>
        <w:widowControl/>
        <w:suppressAutoHyphens w:val="0"/>
        <w:spacing w:line="240" w:lineRule="atLeast"/>
        <w:jc w:val="both"/>
        <w:rPr>
          <w:kern w:val="0"/>
          <w:lang w:val="fr-BE" w:eastAsia="en-US" w:bidi="ar-SA"/>
        </w:rPr>
      </w:pPr>
    </w:p>
    <w:p w:rsidR="00426625" w:rsidRPr="00D147A7" w:rsidRDefault="002E7E12" w:rsidP="00426625">
      <w:pPr>
        <w:widowControl/>
        <w:suppressAutoHyphens w:val="0"/>
        <w:spacing w:line="240" w:lineRule="atLeast"/>
        <w:jc w:val="both"/>
        <w:rPr>
          <w:kern w:val="0"/>
          <w:lang w:val="fr-BE" w:eastAsia="en-US" w:bidi="ar-SA"/>
        </w:rPr>
      </w:pPr>
      <w:hyperlink r:id="rId355" w:history="1">
        <w:r w:rsidR="00426625" w:rsidRPr="00D147A7">
          <w:rPr>
            <w:color w:val="0000FF"/>
            <w:kern w:val="0"/>
            <w:u w:val="single"/>
            <w:lang w:val="fr-BE" w:eastAsia="en-US" w:bidi="ar-SA"/>
          </w:rPr>
          <w:t>http://esante.gouv.fr/</w:t>
        </w:r>
      </w:hyperlink>
      <w:r w:rsidR="00426625" w:rsidRPr="00D147A7">
        <w:rPr>
          <w:kern w:val="0"/>
          <w:lang w:val="fr-BE" w:eastAsia="en-US" w:bidi="ar-SA"/>
        </w:rPr>
        <w:t>.</w:t>
      </w:r>
    </w:p>
    <w:p w:rsidR="00426625" w:rsidRPr="00D147A7" w:rsidRDefault="002E7E12" w:rsidP="00426625">
      <w:pPr>
        <w:widowControl/>
        <w:suppressAutoHyphens w:val="0"/>
        <w:spacing w:line="240" w:lineRule="atLeast"/>
        <w:jc w:val="both"/>
        <w:rPr>
          <w:kern w:val="0"/>
          <w:lang w:val="fr-BE" w:eastAsia="en-US" w:bidi="ar-SA"/>
        </w:rPr>
      </w:pPr>
      <w:hyperlink r:id="rId356" w:history="1">
        <w:r w:rsidR="00426625" w:rsidRPr="00D147A7">
          <w:rPr>
            <w:color w:val="0000FF"/>
            <w:kern w:val="0"/>
            <w:u w:val="single"/>
            <w:lang w:val="fr-BE" w:eastAsia="en-US" w:bidi="ar-SA"/>
          </w:rPr>
          <w:t>http://fulltext.bdsp.ehesp.fr/</w:t>
        </w:r>
      </w:hyperlink>
      <w:r w:rsidR="00426625" w:rsidRPr="00D147A7">
        <w:rPr>
          <w:kern w:val="0"/>
          <w:lang w:val="fr-BE" w:eastAsia="en-US" w:bidi="ar-SA"/>
        </w:rPr>
        <w:t>.</w:t>
      </w:r>
    </w:p>
    <w:p w:rsidR="00426625" w:rsidRPr="00D147A7" w:rsidRDefault="002E7E12" w:rsidP="00426625">
      <w:pPr>
        <w:widowControl/>
        <w:suppressAutoHyphens w:val="0"/>
        <w:spacing w:line="240" w:lineRule="atLeast"/>
        <w:jc w:val="both"/>
        <w:rPr>
          <w:kern w:val="0"/>
          <w:lang w:val="fr-BE" w:eastAsia="en-US" w:bidi="ar-SA"/>
        </w:rPr>
      </w:pPr>
      <w:hyperlink r:id="rId357" w:history="1">
        <w:r w:rsidR="00426625" w:rsidRPr="00D147A7">
          <w:rPr>
            <w:color w:val="0000FF"/>
            <w:kern w:val="0"/>
            <w:u w:val="single"/>
            <w:lang w:val="fr-BE" w:eastAsia="en-US" w:bidi="ar-SA"/>
          </w:rPr>
          <w:t>http://www.archivesdefrance.culture.gouv.fr/</w:t>
        </w:r>
      </w:hyperlink>
      <w:r w:rsidR="00426625" w:rsidRPr="00D147A7">
        <w:rPr>
          <w:kern w:val="0"/>
          <w:lang w:val="fr-BE" w:eastAsia="en-US" w:bidi="ar-SA"/>
        </w:rPr>
        <w:t>.</w:t>
      </w:r>
    </w:p>
    <w:p w:rsidR="00426625" w:rsidRPr="00D147A7" w:rsidRDefault="002E7E12" w:rsidP="00426625">
      <w:pPr>
        <w:widowControl/>
        <w:suppressAutoHyphens w:val="0"/>
        <w:spacing w:line="240" w:lineRule="atLeast"/>
        <w:jc w:val="both"/>
        <w:rPr>
          <w:kern w:val="0"/>
          <w:lang w:val="fr-BE" w:eastAsia="en-US" w:bidi="ar-SA"/>
        </w:rPr>
      </w:pPr>
      <w:hyperlink r:id="rId358" w:history="1">
        <w:r w:rsidR="00426625" w:rsidRPr="00D147A7">
          <w:rPr>
            <w:color w:val="0000FF"/>
            <w:kern w:val="0"/>
            <w:u w:val="single"/>
            <w:lang w:val="fr-BE" w:eastAsia="en-US" w:bidi="ar-SA"/>
          </w:rPr>
          <w:t>http://www.ascodocpsy.org/</w:t>
        </w:r>
      </w:hyperlink>
      <w:r w:rsidR="00426625" w:rsidRPr="00D147A7">
        <w:rPr>
          <w:kern w:val="0"/>
          <w:lang w:val="fr-BE" w:eastAsia="en-US" w:bidi="ar-SA"/>
        </w:rPr>
        <w:t>.</w:t>
      </w:r>
    </w:p>
    <w:p w:rsidR="00426625" w:rsidRPr="00D147A7" w:rsidRDefault="002E7E12" w:rsidP="00426625">
      <w:pPr>
        <w:widowControl/>
        <w:suppressAutoHyphens w:val="0"/>
        <w:spacing w:line="240" w:lineRule="atLeast"/>
        <w:jc w:val="both"/>
        <w:rPr>
          <w:kern w:val="0"/>
          <w:lang w:val="fr-BE" w:eastAsia="en-US" w:bidi="ar-SA"/>
        </w:rPr>
      </w:pPr>
      <w:hyperlink r:id="rId359" w:history="1">
        <w:r w:rsidR="00426625" w:rsidRPr="00D147A7">
          <w:rPr>
            <w:color w:val="0000FF"/>
            <w:kern w:val="0"/>
            <w:u w:val="single"/>
            <w:lang w:val="fr-BE" w:eastAsia="en-US" w:bidi="ar-SA"/>
          </w:rPr>
          <w:t>http://www.ethique.inserm.fr/</w:t>
        </w:r>
      </w:hyperlink>
      <w:r w:rsidR="00426625" w:rsidRPr="00D147A7">
        <w:rPr>
          <w:kern w:val="0"/>
          <w:lang w:val="fr-BE" w:eastAsia="en-US" w:bidi="ar-SA"/>
        </w:rPr>
        <w:t>.</w:t>
      </w:r>
    </w:p>
    <w:p w:rsidR="00426625" w:rsidRPr="00D147A7" w:rsidRDefault="002E7E12" w:rsidP="00426625">
      <w:pPr>
        <w:widowControl/>
        <w:suppressAutoHyphens w:val="0"/>
        <w:spacing w:line="240" w:lineRule="atLeast"/>
        <w:jc w:val="both"/>
        <w:rPr>
          <w:kern w:val="0"/>
          <w:lang w:eastAsia="en-US" w:bidi="ar-SA"/>
        </w:rPr>
      </w:pPr>
      <w:hyperlink r:id="rId360" w:history="1">
        <w:r w:rsidR="00426625" w:rsidRPr="00D147A7">
          <w:rPr>
            <w:color w:val="0000FF"/>
            <w:kern w:val="0"/>
            <w:u w:val="single"/>
            <w:lang w:eastAsia="en-US" w:bidi="ar-SA"/>
          </w:rPr>
          <w:t>http://www.journaldunet.com/</w:t>
        </w:r>
      </w:hyperlink>
      <w:r w:rsidR="00426625" w:rsidRPr="00D147A7">
        <w:rPr>
          <w:kern w:val="0"/>
          <w:lang w:eastAsia="en-US" w:bidi="ar-SA"/>
        </w:rPr>
        <w:t>.</w:t>
      </w:r>
    </w:p>
    <w:p w:rsidR="00426625" w:rsidRPr="00D147A7" w:rsidRDefault="00426625" w:rsidP="00854FF3">
      <w:pPr>
        <w:pStyle w:val="Geenafstand"/>
        <w:rPr>
          <w:rFonts w:ascii="Times New Roman" w:hAnsi="Times New Roman" w:cs="Times New Roman"/>
        </w:rPr>
      </w:pPr>
    </w:p>
    <w:p w:rsidR="00426625" w:rsidRPr="00D147A7" w:rsidRDefault="00426625" w:rsidP="00854FF3">
      <w:pPr>
        <w:pStyle w:val="Geenafstand"/>
        <w:rPr>
          <w:rFonts w:ascii="Times New Roman" w:hAnsi="Times New Roman" w:cs="Times New Roman"/>
        </w:rPr>
      </w:pPr>
    </w:p>
    <w:p w:rsidR="00426625" w:rsidRPr="00D147A7" w:rsidRDefault="00426625" w:rsidP="00854FF3">
      <w:pPr>
        <w:pStyle w:val="Geenafstand"/>
        <w:rPr>
          <w:rFonts w:ascii="Times New Roman" w:hAnsi="Times New Roman" w:cs="Times New Roman"/>
        </w:rPr>
      </w:pPr>
    </w:p>
    <w:p w:rsidR="00426625" w:rsidRPr="00D147A7" w:rsidRDefault="00426625" w:rsidP="00854FF3">
      <w:pPr>
        <w:pStyle w:val="Geenafstand"/>
        <w:rPr>
          <w:rFonts w:ascii="Times New Roman" w:eastAsiaTheme="minorHAnsi" w:hAnsi="Times New Roman" w:cs="Times New Roman"/>
        </w:rPr>
      </w:pPr>
    </w:p>
    <w:p w:rsidR="00426625" w:rsidRPr="00D147A7" w:rsidRDefault="00426625" w:rsidP="00854FF3">
      <w:pPr>
        <w:pStyle w:val="Geenafstand"/>
        <w:rPr>
          <w:rFonts w:ascii="Times New Roman" w:hAnsi="Times New Roman" w:cs="Times New Roman"/>
          <w:lang w:val="nl-NL"/>
        </w:rPr>
      </w:pPr>
    </w:p>
    <w:p w:rsidR="009931C7" w:rsidRPr="00D147A7" w:rsidRDefault="009931C7" w:rsidP="00854FF3">
      <w:pPr>
        <w:pStyle w:val="Geenafstand"/>
        <w:rPr>
          <w:rFonts w:ascii="Times New Roman" w:hAnsi="Times New Roman" w:cs="Times New Roman"/>
          <w:smallCaps/>
          <w:sz w:val="24"/>
          <w:szCs w:val="24"/>
        </w:rPr>
      </w:pPr>
    </w:p>
    <w:p w:rsidR="009931C7" w:rsidRPr="00D147A7" w:rsidRDefault="009931C7" w:rsidP="00854FF3">
      <w:pPr>
        <w:pStyle w:val="Geenafstand"/>
        <w:rPr>
          <w:rFonts w:ascii="Times New Roman" w:hAnsi="Times New Roman" w:cs="Times New Roman"/>
          <w:sz w:val="24"/>
          <w:szCs w:val="24"/>
        </w:rPr>
      </w:pPr>
    </w:p>
    <w:p w:rsidR="00854FF3" w:rsidRPr="00D147A7" w:rsidRDefault="00854FF3">
      <w:pPr>
        <w:widowControl/>
        <w:suppressAutoHyphens w:val="0"/>
        <w:spacing w:after="200" w:line="276" w:lineRule="auto"/>
        <w:rPr>
          <w:kern w:val="0"/>
          <w:lang w:eastAsia="en-US" w:bidi="ar-SA"/>
        </w:rPr>
      </w:pPr>
      <w:r w:rsidRPr="00D147A7">
        <w:br w:type="page"/>
      </w:r>
    </w:p>
    <w:p w:rsidR="000F560E" w:rsidRPr="00D147A7" w:rsidRDefault="000F560E" w:rsidP="000F560E">
      <w:pPr>
        <w:widowControl/>
        <w:suppressAutoHyphens w:val="0"/>
        <w:jc w:val="center"/>
        <w:rPr>
          <w:rFonts w:eastAsiaTheme="minorEastAsia"/>
          <w:b/>
          <w:smallCaps/>
          <w:kern w:val="0"/>
          <w:sz w:val="32"/>
          <w:szCs w:val="32"/>
          <w:lang w:eastAsia="en-US" w:bidi="ar-SA"/>
        </w:rPr>
      </w:pPr>
      <w:r w:rsidRPr="00D147A7">
        <w:rPr>
          <w:rFonts w:eastAsiaTheme="minorEastAsia"/>
          <w:b/>
          <w:smallCaps/>
          <w:kern w:val="0"/>
          <w:sz w:val="32"/>
          <w:szCs w:val="32"/>
          <w:lang w:eastAsia="en-US" w:bidi="ar-SA"/>
        </w:rPr>
        <w:lastRenderedPageBreak/>
        <w:t>Deel 4: Gebruik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In dit deel wordt het gebruik van patiëntendossiers bestudeerd. Concreet zal nagegaan worden hoe de privacy van patiënten beschermd wordt bij de verwerking van de hen betreffende </w:t>
      </w:r>
      <w:r w:rsidR="002A4452">
        <w:rPr>
          <w:rFonts w:eastAsiaTheme="minorEastAsia"/>
          <w:kern w:val="0"/>
          <w:lang w:eastAsia="en-US" w:bidi="ar-SA"/>
        </w:rPr>
        <w:t>ge-zondheids</w:t>
      </w:r>
      <w:r w:rsidRPr="00D147A7">
        <w:rPr>
          <w:rFonts w:eastAsiaTheme="minorEastAsia"/>
          <w:kern w:val="0"/>
          <w:lang w:eastAsia="en-US" w:bidi="ar-SA"/>
        </w:rPr>
        <w:t xml:space="preserve">gegevens. Met name in Europa wordt de bescherming van persoonsgegevens steeds meer op supranationaal niveau geregeld. Vanwege de minimale nationale verschillen en om niet </w:t>
      </w:r>
      <w:r w:rsidR="002A4452">
        <w:rPr>
          <w:rFonts w:eastAsiaTheme="minorEastAsia"/>
          <w:kern w:val="0"/>
          <w:lang w:eastAsia="en-US" w:bidi="ar-SA"/>
        </w:rPr>
        <w:t xml:space="preserve">telkens </w:t>
      </w:r>
      <w:r w:rsidRPr="00D147A7">
        <w:rPr>
          <w:rFonts w:eastAsiaTheme="minorEastAsia"/>
          <w:kern w:val="0"/>
          <w:lang w:eastAsia="en-US" w:bidi="ar-SA"/>
        </w:rPr>
        <w:t xml:space="preserve">in herhaling te </w:t>
      </w:r>
      <w:r w:rsidR="002A4452">
        <w:rPr>
          <w:rFonts w:eastAsiaTheme="minorEastAsia"/>
          <w:kern w:val="0"/>
          <w:lang w:eastAsia="en-US" w:bidi="ar-SA"/>
        </w:rPr>
        <w:t xml:space="preserve">moeten </w:t>
      </w:r>
      <w:r w:rsidRPr="00D147A7">
        <w:rPr>
          <w:rFonts w:eastAsiaTheme="minorEastAsia"/>
          <w:kern w:val="0"/>
          <w:lang w:eastAsia="en-US" w:bidi="ar-SA"/>
        </w:rPr>
        <w:t>vallen, opteer ik om voor dit deel een totaalbeeld te schet</w:t>
      </w:r>
      <w:r w:rsidR="002A4452">
        <w:rPr>
          <w:rFonts w:eastAsiaTheme="minorEastAsia"/>
          <w:kern w:val="0"/>
          <w:lang w:eastAsia="en-US" w:bidi="ar-SA"/>
        </w:rPr>
        <w:t>-</w:t>
      </w:r>
      <w:r w:rsidRPr="00D147A7">
        <w:rPr>
          <w:rFonts w:eastAsiaTheme="minorEastAsia"/>
          <w:kern w:val="0"/>
          <w:lang w:eastAsia="en-US" w:bidi="ar-SA"/>
        </w:rPr>
        <w:t xml:space="preserve">sen. Toch </w:t>
      </w:r>
      <w:r w:rsidR="002A4452">
        <w:rPr>
          <w:rFonts w:eastAsiaTheme="minorEastAsia"/>
          <w:kern w:val="0"/>
          <w:lang w:eastAsia="en-US" w:bidi="ar-SA"/>
        </w:rPr>
        <w:t>zal</w:t>
      </w:r>
      <w:r w:rsidRPr="00D147A7">
        <w:rPr>
          <w:rFonts w:eastAsiaTheme="minorEastAsia"/>
          <w:kern w:val="0"/>
          <w:lang w:eastAsia="en-US" w:bidi="ar-SA"/>
        </w:rPr>
        <w:t xml:space="preserve"> ik </w:t>
      </w:r>
      <w:r w:rsidR="002A4452">
        <w:rPr>
          <w:rFonts w:eastAsiaTheme="minorEastAsia"/>
          <w:kern w:val="0"/>
          <w:lang w:eastAsia="en-US" w:bidi="ar-SA"/>
        </w:rPr>
        <w:t>ook hier (in de mate van het mogelijke)</w:t>
      </w:r>
      <w:r w:rsidR="002A4452" w:rsidRPr="00D147A7">
        <w:rPr>
          <w:rFonts w:eastAsiaTheme="minorEastAsia"/>
          <w:kern w:val="0"/>
          <w:lang w:eastAsia="en-US" w:bidi="ar-SA"/>
        </w:rPr>
        <w:t xml:space="preserve"> </w:t>
      </w:r>
      <w:r w:rsidR="002A4452">
        <w:rPr>
          <w:rFonts w:eastAsiaTheme="minorEastAsia"/>
          <w:kern w:val="0"/>
          <w:lang w:eastAsia="en-US" w:bidi="ar-SA"/>
        </w:rPr>
        <w:t>de</w:t>
      </w:r>
      <w:r w:rsidRPr="00D147A7">
        <w:rPr>
          <w:rFonts w:eastAsiaTheme="minorEastAsia"/>
          <w:kern w:val="0"/>
          <w:lang w:eastAsia="en-US" w:bidi="ar-SA"/>
        </w:rPr>
        <w:t xml:space="preserve"> comparatieve </w:t>
      </w:r>
      <w:r w:rsidR="002A4452">
        <w:rPr>
          <w:rFonts w:eastAsiaTheme="minorEastAsia"/>
          <w:kern w:val="0"/>
          <w:lang w:eastAsia="en-US" w:bidi="ar-SA"/>
        </w:rPr>
        <w:t>invalshoek aanhou-den.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Dit deel vangt aan met een overzicht van alle verschillende internationale wetgevende initia</w:t>
      </w:r>
      <w:r w:rsidR="002A4452">
        <w:rPr>
          <w:rFonts w:eastAsiaTheme="minorEastAsia"/>
          <w:kern w:val="0"/>
          <w:lang w:eastAsia="en-US" w:bidi="ar-SA"/>
        </w:rPr>
        <w:t>-</w:t>
      </w:r>
      <w:r w:rsidRPr="00D147A7">
        <w:rPr>
          <w:rFonts w:eastAsiaTheme="minorEastAsia"/>
          <w:kern w:val="0"/>
          <w:lang w:eastAsia="en-US" w:bidi="ar-SA"/>
        </w:rPr>
        <w:t>tieven m.b.t. de bescherming van de privacy. In het tweede hoofdstuk worden de meest be</w:t>
      </w:r>
      <w:r w:rsidR="002A4452">
        <w:rPr>
          <w:rFonts w:eastAsiaTheme="minorEastAsia"/>
          <w:kern w:val="0"/>
          <w:lang w:eastAsia="en-US" w:bidi="ar-SA"/>
        </w:rPr>
        <w:t>-</w:t>
      </w:r>
      <w:r w:rsidRPr="00D147A7">
        <w:rPr>
          <w:rFonts w:eastAsiaTheme="minorEastAsia"/>
          <w:kern w:val="0"/>
          <w:lang w:eastAsia="en-US" w:bidi="ar-SA"/>
        </w:rPr>
        <w:t xml:space="preserve">langrijke begrippen gedefinieerd en besproken, </w:t>
      </w:r>
      <w:r w:rsidR="002A4452">
        <w:rPr>
          <w:rFonts w:eastAsiaTheme="minorEastAsia"/>
          <w:kern w:val="0"/>
          <w:lang w:eastAsia="en-US" w:bidi="ar-SA"/>
        </w:rPr>
        <w:t>teneinde een goed begrip van</w:t>
      </w:r>
      <w:r w:rsidRPr="00D147A7">
        <w:rPr>
          <w:rFonts w:eastAsiaTheme="minorEastAsia"/>
          <w:kern w:val="0"/>
          <w:lang w:eastAsia="en-US" w:bidi="ar-SA"/>
        </w:rPr>
        <w:t xml:space="preserve"> de vigerende privacywetgeving </w:t>
      </w:r>
      <w:r w:rsidR="002A4452">
        <w:rPr>
          <w:rFonts w:eastAsiaTheme="minorEastAsia"/>
          <w:kern w:val="0"/>
          <w:lang w:eastAsia="en-US" w:bidi="ar-SA"/>
        </w:rPr>
        <w:t>te bekomen</w:t>
      </w:r>
      <w:r w:rsidRPr="00D147A7">
        <w:rPr>
          <w:rFonts w:eastAsiaTheme="minorEastAsia"/>
          <w:kern w:val="0"/>
          <w:lang w:eastAsia="en-US" w:bidi="ar-SA"/>
        </w:rPr>
        <w:t xml:space="preserve">. </w:t>
      </w:r>
      <w:r w:rsidR="002A4452">
        <w:rPr>
          <w:rFonts w:eastAsiaTheme="minorEastAsia"/>
          <w:kern w:val="0"/>
          <w:lang w:eastAsia="en-US" w:bidi="ar-SA"/>
        </w:rPr>
        <w:t>Tegelijkertijd</w:t>
      </w:r>
      <w:r w:rsidRPr="00D147A7">
        <w:rPr>
          <w:rFonts w:eastAsiaTheme="minorEastAsia"/>
          <w:kern w:val="0"/>
          <w:lang w:eastAsia="en-US" w:bidi="ar-SA"/>
        </w:rPr>
        <w:t xml:space="preserve"> wordt de vinger op het toepassingsgebied van de privacywetgeving gelegd. Vervolgens worden de algemene voorwaarden opgesomd waaraan alle verwerkingen van persoonsgegevens moeten voldoen, gevolgd door de uiteenzetting van de specifieke </w:t>
      </w:r>
      <w:r w:rsidR="00757A86">
        <w:rPr>
          <w:rFonts w:eastAsiaTheme="minorEastAsia"/>
          <w:kern w:val="0"/>
          <w:lang w:eastAsia="en-US" w:bidi="ar-SA"/>
        </w:rPr>
        <w:t>schikking</w:t>
      </w:r>
      <w:r w:rsidRPr="00D147A7">
        <w:rPr>
          <w:rFonts w:eastAsiaTheme="minorEastAsia"/>
          <w:kern w:val="0"/>
          <w:lang w:eastAsia="en-US" w:bidi="ar-SA"/>
        </w:rPr>
        <w:t xml:space="preserve"> voor gezondheidsgegevens. Tot slot worden twee omstreden publica</w:t>
      </w:r>
      <w:r w:rsidR="00757A86">
        <w:rPr>
          <w:rFonts w:eastAsiaTheme="minorEastAsia"/>
          <w:kern w:val="0"/>
          <w:lang w:eastAsia="en-US" w:bidi="ar-SA"/>
        </w:rPr>
        <w:t>-</w:t>
      </w:r>
      <w:r w:rsidRPr="00D147A7">
        <w:rPr>
          <w:rFonts w:eastAsiaTheme="minorEastAsia"/>
          <w:kern w:val="0"/>
          <w:lang w:eastAsia="en-US" w:bidi="ar-SA"/>
        </w:rPr>
        <w:t xml:space="preserve">ties aangehaald m.b.t. de verwerking van gezondheidsgegevens. </w:t>
      </w:r>
    </w:p>
    <w:p w:rsidR="000F560E" w:rsidRPr="00D147A7" w:rsidRDefault="000F560E" w:rsidP="000F560E">
      <w:pPr>
        <w:widowControl/>
        <w:suppressAutoHyphens w:val="0"/>
        <w:jc w:val="both"/>
        <w:rPr>
          <w:rFonts w:eastAsiaTheme="minorEastAsia"/>
          <w:kern w:val="0"/>
          <w:lang w:eastAsia="en-US" w:bidi="ar-SA"/>
        </w:rPr>
      </w:pPr>
    </w:p>
    <w:tbl>
      <w:tblPr>
        <w:tblStyle w:val="Tabelraster2"/>
        <w:tblW w:w="0" w:type="auto"/>
        <w:tblLook w:val="04A0" w:firstRow="1" w:lastRow="0" w:firstColumn="1" w:lastColumn="0" w:noHBand="0" w:noVBand="1"/>
      </w:tblPr>
      <w:tblGrid>
        <w:gridCol w:w="9212"/>
      </w:tblGrid>
      <w:tr w:rsidR="000F560E" w:rsidRPr="00D147A7" w:rsidTr="004721B1">
        <w:tc>
          <w:tcPr>
            <w:tcW w:w="9212" w:type="dxa"/>
          </w:tcPr>
          <w:p w:rsidR="000F560E" w:rsidRPr="00D147A7" w:rsidRDefault="000F560E" w:rsidP="000F560E">
            <w:pPr>
              <w:widowControl/>
              <w:suppressAutoHyphens w:val="0"/>
              <w:jc w:val="both"/>
              <w:rPr>
                <w:rFonts w:eastAsiaTheme="minorEastAsia"/>
                <w:b/>
                <w:smallCaps/>
                <w:kern w:val="0"/>
                <w:lang w:eastAsia="en-US" w:bidi="ar-SA"/>
              </w:rPr>
            </w:pPr>
            <w:r w:rsidRPr="00D147A7">
              <w:rPr>
                <w:rFonts w:eastAsiaTheme="minorEastAsia"/>
                <w:b/>
                <w:smallCaps/>
                <w:kern w:val="0"/>
                <w:lang w:eastAsia="en-US" w:bidi="ar-SA"/>
              </w:rPr>
              <w:t>Relevante wetgeving</w:t>
            </w:r>
          </w:p>
        </w:tc>
      </w:tr>
      <w:tr w:rsidR="000F560E" w:rsidRPr="00D147A7" w:rsidTr="004721B1">
        <w:tc>
          <w:tcPr>
            <w:tcW w:w="9212" w:type="dxa"/>
          </w:tcPr>
          <w:p w:rsidR="000F560E" w:rsidRPr="00D147A7" w:rsidRDefault="000F560E" w:rsidP="000F560E">
            <w:pPr>
              <w:widowControl/>
              <w:suppressAutoHyphens w:val="0"/>
              <w:jc w:val="both"/>
              <w:rPr>
                <w:rFonts w:eastAsiaTheme="minorEastAsia"/>
                <w:kern w:val="0"/>
                <w:lang w:eastAsia="en-US" w:bidi="ar-SA"/>
              </w:rPr>
            </w:pPr>
            <w:r w:rsidRPr="00757A86">
              <w:rPr>
                <w:rFonts w:eastAsiaTheme="minorEastAsia"/>
                <w:b/>
                <w:kern w:val="0"/>
                <w:lang w:eastAsia="en-US" w:bidi="ar-SA"/>
              </w:rPr>
              <w:t>Europa:</w:t>
            </w:r>
            <w:r w:rsidRPr="00D147A7">
              <w:rPr>
                <w:rFonts w:eastAsiaTheme="minorEastAsia"/>
                <w:kern w:val="0"/>
                <w:lang w:eastAsia="en-US" w:bidi="ar-SA"/>
              </w:rPr>
              <w:t xml:space="preserve"> richtlijn 95/46/EG van 24 oktober 1995</w:t>
            </w:r>
          </w:p>
        </w:tc>
      </w:tr>
      <w:tr w:rsidR="000F560E" w:rsidRPr="00D147A7" w:rsidTr="004721B1">
        <w:tc>
          <w:tcPr>
            <w:tcW w:w="9212" w:type="dxa"/>
          </w:tcPr>
          <w:p w:rsidR="000F560E" w:rsidRPr="00D147A7" w:rsidRDefault="000F560E" w:rsidP="000F560E">
            <w:pPr>
              <w:widowControl/>
              <w:suppressAutoHyphens w:val="0"/>
              <w:jc w:val="both"/>
              <w:rPr>
                <w:rFonts w:eastAsiaTheme="minorEastAsia"/>
                <w:kern w:val="0"/>
                <w:lang w:eastAsia="en-US" w:bidi="ar-SA"/>
              </w:rPr>
            </w:pPr>
            <w:r w:rsidRPr="00757A86">
              <w:rPr>
                <w:rFonts w:eastAsiaTheme="minorEastAsia"/>
                <w:b/>
                <w:kern w:val="0"/>
                <w:lang w:eastAsia="en-US" w:bidi="ar-SA"/>
              </w:rPr>
              <w:t>België:</w:t>
            </w:r>
            <w:r w:rsidRPr="00D147A7">
              <w:rPr>
                <w:rFonts w:eastAsiaTheme="minorEastAsia"/>
                <w:kern w:val="0"/>
                <w:lang w:eastAsia="en-US" w:bidi="ar-SA"/>
              </w:rPr>
              <w:t xml:space="preserve"> wet van 8 december 1992, gewijzigd door de wet van 11 december 1998 en aange</w:t>
            </w:r>
            <w:r w:rsidR="00757A86">
              <w:rPr>
                <w:rFonts w:eastAsiaTheme="minorEastAsia"/>
                <w:kern w:val="0"/>
                <w:lang w:eastAsia="en-US" w:bidi="ar-SA"/>
              </w:rPr>
              <w:t>-</w:t>
            </w:r>
            <w:r w:rsidRPr="00D147A7">
              <w:rPr>
                <w:rFonts w:eastAsiaTheme="minorEastAsia"/>
                <w:kern w:val="0"/>
                <w:lang w:eastAsia="en-US" w:bidi="ar-SA"/>
              </w:rPr>
              <w:t>vuld door het KB van 13 december 2001</w:t>
            </w:r>
          </w:p>
        </w:tc>
      </w:tr>
      <w:tr w:rsidR="000F560E" w:rsidRPr="00D147A7" w:rsidTr="004721B1">
        <w:tc>
          <w:tcPr>
            <w:tcW w:w="9212" w:type="dxa"/>
          </w:tcPr>
          <w:p w:rsidR="000F560E" w:rsidRPr="00D147A7" w:rsidRDefault="000F560E" w:rsidP="000F560E">
            <w:pPr>
              <w:widowControl/>
              <w:suppressAutoHyphens w:val="0"/>
              <w:jc w:val="both"/>
              <w:rPr>
                <w:rFonts w:eastAsiaTheme="minorEastAsia"/>
                <w:kern w:val="0"/>
                <w:lang w:eastAsia="en-US" w:bidi="ar-SA"/>
              </w:rPr>
            </w:pPr>
            <w:r w:rsidRPr="00757A86">
              <w:rPr>
                <w:rFonts w:eastAsiaTheme="minorEastAsia"/>
                <w:b/>
                <w:kern w:val="0"/>
                <w:lang w:eastAsia="en-US" w:bidi="ar-SA"/>
              </w:rPr>
              <w:t>Nederland:</w:t>
            </w:r>
            <w:r w:rsidRPr="00D147A7">
              <w:rPr>
                <w:rFonts w:eastAsiaTheme="minorEastAsia"/>
                <w:kern w:val="0"/>
                <w:lang w:eastAsia="en-US" w:bidi="ar-SA"/>
              </w:rPr>
              <w:t xml:space="preserve"> wet van 6 juli 2000</w:t>
            </w:r>
          </w:p>
        </w:tc>
      </w:tr>
      <w:tr w:rsidR="000F560E" w:rsidRPr="00D147A7" w:rsidTr="004721B1">
        <w:tc>
          <w:tcPr>
            <w:tcW w:w="9212" w:type="dxa"/>
          </w:tcPr>
          <w:p w:rsidR="000F560E" w:rsidRPr="00D147A7" w:rsidRDefault="000F560E" w:rsidP="000F560E">
            <w:pPr>
              <w:widowControl/>
              <w:suppressAutoHyphens w:val="0"/>
              <w:jc w:val="both"/>
              <w:rPr>
                <w:rFonts w:eastAsiaTheme="minorEastAsia"/>
                <w:kern w:val="0"/>
                <w:lang w:eastAsia="en-US" w:bidi="ar-SA"/>
              </w:rPr>
            </w:pPr>
            <w:r w:rsidRPr="00757A86">
              <w:rPr>
                <w:rFonts w:eastAsiaTheme="minorEastAsia"/>
                <w:b/>
                <w:kern w:val="0"/>
                <w:lang w:eastAsia="en-US" w:bidi="ar-SA"/>
              </w:rPr>
              <w:t>Frankrijk:</w:t>
            </w:r>
            <w:r w:rsidRPr="00D147A7">
              <w:rPr>
                <w:rFonts w:eastAsiaTheme="minorEastAsia"/>
                <w:kern w:val="0"/>
                <w:lang w:eastAsia="en-US" w:bidi="ar-SA"/>
              </w:rPr>
              <w:t xml:space="preserve"> wet nr. 78-17 van 17 januari 1978, gewijzigd door wet nr. 2004-801 van 6 augus</w:t>
            </w:r>
            <w:r w:rsidR="00757A86">
              <w:rPr>
                <w:rFonts w:eastAsiaTheme="minorEastAsia"/>
                <w:kern w:val="0"/>
                <w:lang w:eastAsia="en-US" w:bidi="ar-SA"/>
              </w:rPr>
              <w:t>-</w:t>
            </w:r>
            <w:r w:rsidRPr="00D147A7">
              <w:rPr>
                <w:rFonts w:eastAsiaTheme="minorEastAsia"/>
                <w:kern w:val="0"/>
                <w:lang w:eastAsia="en-US" w:bidi="ar-SA"/>
              </w:rPr>
              <w:t xml:space="preserve">tus 2004 en aangevuld door besluit nr. 2005-1309 van 20 oktober 2005 en besluit nr. 2007-451 van 25 maart 2007 </w:t>
            </w:r>
          </w:p>
        </w:tc>
      </w:tr>
    </w:tbl>
    <w:p w:rsidR="000F560E" w:rsidRDefault="000F560E" w:rsidP="00757A86">
      <w:pPr>
        <w:pStyle w:val="Geenafstand"/>
        <w:rPr>
          <w:rFonts w:ascii="Times New Roman" w:hAnsi="Times New Roman" w:cs="Times New Roman"/>
          <w:sz w:val="24"/>
          <w:szCs w:val="24"/>
        </w:rPr>
      </w:pPr>
    </w:p>
    <w:p w:rsidR="00757A86" w:rsidRPr="00757A86" w:rsidRDefault="00757A86" w:rsidP="00757A86">
      <w:pPr>
        <w:pStyle w:val="Geenafstand"/>
        <w:rPr>
          <w:rFonts w:ascii="Times New Roman" w:hAnsi="Times New Roman" w:cs="Times New Roman"/>
          <w:sz w:val="24"/>
          <w:szCs w:val="24"/>
        </w:rPr>
      </w:pPr>
    </w:p>
    <w:p w:rsidR="000F560E" w:rsidRPr="00757A86" w:rsidRDefault="000F560E" w:rsidP="00757A86">
      <w:pPr>
        <w:pStyle w:val="Geenafstand"/>
        <w:rPr>
          <w:rFonts w:ascii="Times New Roman" w:hAnsi="Times New Roman" w:cs="Times New Roman"/>
          <w:smallCaps/>
          <w:sz w:val="24"/>
          <w:szCs w:val="24"/>
        </w:rPr>
      </w:pPr>
      <w:r w:rsidRPr="00757A86">
        <w:rPr>
          <w:rFonts w:ascii="Times New Roman" w:hAnsi="Times New Roman" w:cs="Times New Roman"/>
          <w:smallCaps/>
          <w:sz w:val="24"/>
          <w:szCs w:val="24"/>
        </w:rPr>
        <w:t>4.1 Internationale privacywetgeving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Doorheen de jaren is er zeer veel geschreven en gediscussieerd over ‘privacy’. Privacy kan vanuit vier perspectieven worden benaderd, die hier – in volgorde van afnemende zichtbaar</w:t>
      </w:r>
      <w:r w:rsidR="00757A86">
        <w:rPr>
          <w:rFonts w:eastAsiaTheme="minorEastAsia"/>
          <w:kern w:val="0"/>
          <w:lang w:eastAsia="en-US" w:bidi="ar-SA"/>
        </w:rPr>
        <w:t>-</w:t>
      </w:r>
      <w:r w:rsidRPr="00D147A7">
        <w:rPr>
          <w:rFonts w:eastAsiaTheme="minorEastAsia"/>
          <w:kern w:val="0"/>
          <w:lang w:eastAsia="en-US" w:bidi="ar-SA"/>
        </w:rPr>
        <w:t xml:space="preserve">heid voor de betrokkenen – </w:t>
      </w:r>
      <w:r w:rsidR="00757A86">
        <w:rPr>
          <w:rFonts w:eastAsiaTheme="minorEastAsia"/>
          <w:kern w:val="0"/>
          <w:lang w:eastAsia="en-US" w:bidi="ar-SA"/>
        </w:rPr>
        <w:t xml:space="preserve">opgesomd en </w:t>
      </w:r>
      <w:r w:rsidRPr="00D147A7">
        <w:rPr>
          <w:rFonts w:eastAsiaTheme="minorEastAsia"/>
          <w:kern w:val="0"/>
          <w:lang w:eastAsia="en-US" w:bidi="ar-SA"/>
        </w:rPr>
        <w:t>kort besproken worden</w:t>
      </w:r>
      <w:r w:rsidRPr="00D147A7">
        <w:rPr>
          <w:rFonts w:eastAsiaTheme="minorEastAsia"/>
          <w:kern w:val="0"/>
          <w:vertAlign w:val="superscript"/>
          <w:lang w:eastAsia="en-US" w:bidi="ar-SA"/>
        </w:rPr>
        <w:footnoteReference w:id="960"/>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ruimtelijke privacy: het recht om binnen de eigen woning vrij te bewegen en te ontplooien en de bescherming tegen ongewenste penetratie in de huiselijke sfeer</w:t>
      </w:r>
      <w:r w:rsidRPr="00D147A7">
        <w:rPr>
          <w:rFonts w:eastAsiaTheme="minorEastAsia"/>
          <w:kern w:val="0"/>
          <w:vertAlign w:val="superscript"/>
          <w:lang w:eastAsia="en-US" w:bidi="ar-SA"/>
        </w:rPr>
        <w:footnoteReference w:id="961"/>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lichamelijke privacy: het recht op integriteit van lichaam en geest</w:t>
      </w:r>
      <w:r w:rsidRPr="00D147A7">
        <w:rPr>
          <w:rFonts w:eastAsiaTheme="minorEastAsia"/>
          <w:kern w:val="0"/>
          <w:vertAlign w:val="superscript"/>
          <w:lang w:eastAsia="en-US" w:bidi="ar-SA"/>
        </w:rPr>
        <w:footnoteReference w:id="962"/>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relationele privacy: het recht om te communiceren met zelf gekozen personen en het recht op geheimhouding van die communicatie</w:t>
      </w:r>
      <w:r w:rsidRPr="00D147A7">
        <w:rPr>
          <w:rFonts w:eastAsiaTheme="minorEastAsia"/>
          <w:kern w:val="0"/>
          <w:vertAlign w:val="superscript"/>
          <w:lang w:eastAsia="en-US" w:bidi="ar-SA"/>
        </w:rPr>
        <w:footnoteReference w:id="963"/>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informationele privacy: het recht van individuen, groepen of instanties om zelf te bepalen welke persoonsgegevens, hoe, wanneer en in welke mate gecommuniceerd word</w:t>
      </w:r>
      <w:r w:rsidR="00757A86">
        <w:rPr>
          <w:rFonts w:eastAsiaTheme="minorEastAsia"/>
          <w:kern w:val="0"/>
          <w:lang w:eastAsia="en-US" w:bidi="ar-SA"/>
        </w:rPr>
        <w:t>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64"/>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Privacy is dus een relatief, relationeel, meerduidig en open begrip, waarvoor tot op de dag van vandaag noch in de wetgeving noch in de rechtsleer een universeel aanvaarde, alomvattende definitie kan teruggevonden</w:t>
      </w:r>
      <w:r w:rsidR="00757A86" w:rsidRPr="00757A86">
        <w:rPr>
          <w:rFonts w:eastAsiaTheme="minorEastAsia"/>
          <w:kern w:val="0"/>
          <w:lang w:eastAsia="en-US" w:bidi="ar-SA"/>
        </w:rPr>
        <w:t xml:space="preserve"> </w:t>
      </w:r>
      <w:r w:rsidR="00757A86" w:rsidRPr="00D147A7">
        <w:rPr>
          <w:rFonts w:eastAsiaTheme="minorEastAsia"/>
          <w:kern w:val="0"/>
          <w:lang w:eastAsia="en-US" w:bidi="ar-SA"/>
        </w:rPr>
        <w:t>worden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65"/>
      </w:r>
      <w:r w:rsidRPr="00D147A7">
        <w:rPr>
          <w:rFonts w:eastAsiaTheme="minorEastAsia"/>
          <w:kern w:val="0"/>
          <w:lang w:eastAsia="en-US" w:bidi="ar-SA"/>
        </w:rPr>
        <w:t xml:space="preserve"> Het is dan ook veelbetekenend dat de oudste definitie van </w:t>
      </w:r>
      <w:r w:rsidR="00757A86">
        <w:rPr>
          <w:rFonts w:eastAsiaTheme="minorEastAsia"/>
          <w:kern w:val="0"/>
          <w:lang w:eastAsia="en-US" w:bidi="ar-SA"/>
        </w:rPr>
        <w:t xml:space="preserve">het begrip </w:t>
      </w:r>
      <w:r w:rsidRPr="00D147A7">
        <w:rPr>
          <w:rFonts w:eastAsiaTheme="minorEastAsia"/>
          <w:kern w:val="0"/>
          <w:lang w:eastAsia="en-US" w:bidi="ar-SA"/>
        </w:rPr>
        <w:t xml:space="preserve">privacy – </w:t>
      </w:r>
      <w:r w:rsidRPr="00757A86">
        <w:rPr>
          <w:rFonts w:eastAsiaTheme="minorEastAsia"/>
          <w:i/>
          <w:kern w:val="0"/>
          <w:lang w:eastAsia="en-US" w:bidi="ar-SA"/>
        </w:rPr>
        <w:t>a right of complete immunity: to be left alone</w:t>
      </w:r>
      <w:r w:rsidRPr="00D147A7">
        <w:rPr>
          <w:rFonts w:eastAsiaTheme="minorEastAsia"/>
          <w:kern w:val="0"/>
          <w:vertAlign w:val="superscript"/>
          <w:lang w:eastAsia="en-US" w:bidi="ar-SA"/>
        </w:rPr>
        <w:footnoteReference w:id="966"/>
      </w:r>
      <w:r w:rsidRPr="00D147A7">
        <w:rPr>
          <w:rFonts w:eastAsiaTheme="minorEastAsia"/>
          <w:kern w:val="0"/>
          <w:lang w:eastAsia="en-US" w:bidi="ar-SA"/>
        </w:rPr>
        <w:t xml:space="preserve"> –  nog steeds het meest frequent </w:t>
      </w:r>
      <w:r w:rsidR="00757A86">
        <w:rPr>
          <w:rFonts w:eastAsiaTheme="minorEastAsia"/>
          <w:kern w:val="0"/>
          <w:lang w:eastAsia="en-US" w:bidi="ar-SA"/>
        </w:rPr>
        <w:t>geciteerd wordt</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67"/>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Hoewel de inhoud van het begrip ‘privacy’ afhankelijk is van de context waarin het woord ge</w:t>
      </w:r>
      <w:r w:rsidR="00757A86">
        <w:rPr>
          <w:rFonts w:eastAsiaTheme="minorEastAsia"/>
          <w:kern w:val="0"/>
          <w:lang w:eastAsia="en-US" w:bidi="ar-SA"/>
        </w:rPr>
        <w:t>-</w:t>
      </w:r>
      <w:r w:rsidRPr="00D147A7">
        <w:rPr>
          <w:rFonts w:eastAsiaTheme="minorEastAsia"/>
          <w:kern w:val="0"/>
          <w:lang w:eastAsia="en-US" w:bidi="ar-SA"/>
        </w:rPr>
        <w:t>bruikt wordt, wordt het in de praktijk veelal met ‘informationele privacy’ vereenzelvigd. Dat is te wijten aan de (inter)nationale privacywetgevingen waarin niet de privacy op zich genor</w:t>
      </w:r>
      <w:r w:rsidR="00757A86">
        <w:rPr>
          <w:rFonts w:eastAsiaTheme="minorEastAsia"/>
          <w:kern w:val="0"/>
          <w:lang w:eastAsia="en-US" w:bidi="ar-SA"/>
        </w:rPr>
        <w:t>-</w:t>
      </w:r>
      <w:r w:rsidRPr="00D147A7">
        <w:rPr>
          <w:rFonts w:eastAsiaTheme="minorEastAsia"/>
          <w:kern w:val="0"/>
          <w:lang w:eastAsia="en-US" w:bidi="ar-SA"/>
        </w:rPr>
        <w:t>meerd wordt, maar de bescherming van de gegevens over privacygevoelige aangelegenhe</w:t>
      </w:r>
      <w:r w:rsidR="00757A86">
        <w:rPr>
          <w:rFonts w:eastAsiaTheme="minorEastAsia"/>
          <w:kern w:val="0"/>
          <w:lang w:eastAsia="en-US" w:bidi="ar-SA"/>
        </w:rPr>
        <w:t>-</w:t>
      </w:r>
      <w:r w:rsidRPr="00D147A7">
        <w:rPr>
          <w:rFonts w:eastAsiaTheme="minorEastAsia"/>
          <w:kern w:val="0"/>
          <w:lang w:eastAsia="en-US" w:bidi="ar-SA"/>
        </w:rPr>
        <w:t>den.</w:t>
      </w:r>
      <w:r w:rsidRPr="00D147A7">
        <w:rPr>
          <w:rFonts w:eastAsiaTheme="minorEastAsia"/>
          <w:kern w:val="0"/>
          <w:vertAlign w:val="superscript"/>
          <w:lang w:eastAsia="en-US" w:bidi="ar-SA"/>
        </w:rPr>
        <w:footnoteReference w:id="968"/>
      </w:r>
      <w:r w:rsidRPr="00D147A7">
        <w:rPr>
          <w:rFonts w:eastAsiaTheme="minorEastAsia"/>
          <w:kern w:val="0"/>
          <w:lang w:eastAsia="en-US" w:bidi="ar-SA"/>
        </w:rPr>
        <w:t xml:space="preserve"> Ook in de archivistiek (en in grote mate ook in de gezondheidszorg</w:t>
      </w:r>
      <w:r w:rsidRPr="00D147A7">
        <w:rPr>
          <w:rFonts w:eastAsiaTheme="minorEastAsia"/>
          <w:kern w:val="0"/>
          <w:vertAlign w:val="superscript"/>
          <w:lang w:eastAsia="en-US" w:bidi="ar-SA"/>
        </w:rPr>
        <w:footnoteReference w:id="969"/>
      </w:r>
      <w:r w:rsidRPr="00D147A7">
        <w:rPr>
          <w:rFonts w:eastAsiaTheme="minorEastAsia"/>
          <w:kern w:val="0"/>
          <w:lang w:eastAsia="en-US" w:bidi="ar-SA"/>
        </w:rPr>
        <w:t>) moet de priva</w:t>
      </w:r>
      <w:r w:rsidR="00757A86">
        <w:rPr>
          <w:rFonts w:eastAsiaTheme="minorEastAsia"/>
          <w:kern w:val="0"/>
          <w:lang w:eastAsia="en-US" w:bidi="ar-SA"/>
        </w:rPr>
        <w:t>-</w:t>
      </w:r>
      <w:r w:rsidRPr="00D147A7">
        <w:rPr>
          <w:rFonts w:eastAsiaTheme="minorEastAsia"/>
          <w:kern w:val="0"/>
          <w:lang w:eastAsia="en-US" w:bidi="ar-SA"/>
        </w:rPr>
        <w:t xml:space="preserve">cyproblematiek in het kader van de ‘informationele privacy’ gesitueerd worden. Hoewel in deze verhandeling – in navolging van de rechtsleer – de term ‘privacywet’ gebruikt wordt om </w:t>
      </w:r>
      <w:r w:rsidRPr="00D147A7">
        <w:rPr>
          <w:rFonts w:eastAsiaTheme="minorEastAsia"/>
          <w:kern w:val="0"/>
          <w:lang w:eastAsia="en-US" w:bidi="ar-SA"/>
        </w:rPr>
        <w:lastRenderedPageBreak/>
        <w:t>naar het geheel aan rechtsregels met betrekking tot de verwerking van persoonsgegevens ten opzichte van de bescherming van de persoonlijke levenssfeer te verwijzen, dekt deze term dus niet de volledige lading.</w:t>
      </w:r>
      <w:r w:rsidRPr="00D147A7">
        <w:rPr>
          <w:rFonts w:eastAsiaTheme="minorEastAsia"/>
          <w:kern w:val="0"/>
          <w:vertAlign w:val="superscript"/>
          <w:lang w:eastAsia="en-US" w:bidi="ar-SA"/>
        </w:rPr>
        <w:footnoteReference w:id="970"/>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kern w:val="0"/>
          <w:lang w:eastAsia="en-US" w:bidi="ar-SA"/>
        </w:rPr>
        <w:t>De verwerking van persoonsgegevens situeert zich op het snijvlak van het recht op informatie en het recht op de bescherming van de persoonlijke levenssfeer. Hoewel beide</w:t>
      </w:r>
      <w:r w:rsidR="00757A86">
        <w:rPr>
          <w:rFonts w:eastAsiaTheme="minorEastAsia"/>
          <w:kern w:val="0"/>
          <w:lang w:eastAsia="en-US" w:bidi="ar-SA"/>
        </w:rPr>
        <w:t xml:space="preserve"> rechten</w:t>
      </w:r>
      <w:r w:rsidRPr="00D147A7">
        <w:rPr>
          <w:rFonts w:eastAsiaTheme="minorEastAsia"/>
          <w:kern w:val="0"/>
          <w:lang w:eastAsia="en-US" w:bidi="ar-SA"/>
        </w:rPr>
        <w:t xml:space="preserve"> </w:t>
      </w:r>
      <w:r w:rsidR="00757A86">
        <w:rPr>
          <w:rFonts w:eastAsiaTheme="minorEastAsia"/>
          <w:kern w:val="0"/>
          <w:lang w:eastAsia="en-US" w:bidi="ar-SA"/>
        </w:rPr>
        <w:t>in</w:t>
      </w:r>
      <w:r w:rsidRPr="00D147A7">
        <w:rPr>
          <w:rFonts w:eastAsiaTheme="minorEastAsia"/>
          <w:kern w:val="0"/>
          <w:lang w:eastAsia="en-US" w:bidi="ar-SA"/>
        </w:rPr>
        <w:t xml:space="preserve"> tal van wetten </w:t>
      </w:r>
      <w:r w:rsidR="00757A86">
        <w:rPr>
          <w:rFonts w:eastAsiaTheme="minorEastAsia"/>
          <w:kern w:val="0"/>
          <w:lang w:eastAsia="en-US" w:bidi="ar-SA"/>
        </w:rPr>
        <w:t>gevrijwaard worden</w:t>
      </w:r>
      <w:r w:rsidRPr="00D147A7">
        <w:rPr>
          <w:rFonts w:eastAsiaTheme="minorEastAsia"/>
          <w:kern w:val="0"/>
          <w:lang w:eastAsia="en-US" w:bidi="ar-SA"/>
        </w:rPr>
        <w:t>, leven ze toch op gespannen voet</w:t>
      </w:r>
      <w:r w:rsidR="00757A86">
        <w:rPr>
          <w:rFonts w:eastAsiaTheme="minorEastAsia"/>
          <w:kern w:val="0"/>
          <w:lang w:eastAsia="en-US" w:bidi="ar-SA"/>
        </w:rPr>
        <w:t xml:space="preserve"> met elkaar</w:t>
      </w:r>
      <w:r w:rsidRPr="00D147A7">
        <w:rPr>
          <w:rFonts w:eastAsiaTheme="minorEastAsia"/>
          <w:kern w:val="0"/>
          <w:lang w:eastAsia="en-US" w:bidi="ar-SA"/>
        </w:rPr>
        <w:t xml:space="preserve">. </w:t>
      </w:r>
      <w:r w:rsidR="00757A86">
        <w:rPr>
          <w:rFonts w:eastAsiaTheme="minorEastAsia"/>
          <w:kern w:val="0"/>
          <w:lang w:eastAsia="en-US" w:bidi="ar-SA"/>
        </w:rPr>
        <w:t>Mat name</w:t>
      </w:r>
      <w:r w:rsidRPr="00D147A7">
        <w:rPr>
          <w:rFonts w:eastAsiaTheme="minorEastAsia"/>
          <w:kern w:val="0"/>
          <w:lang w:eastAsia="en-US" w:bidi="ar-SA"/>
        </w:rPr>
        <w:t xml:space="preserve"> ar</w:t>
      </w:r>
      <w:r w:rsidR="00757A86">
        <w:rPr>
          <w:rFonts w:eastAsiaTheme="minorEastAsia"/>
          <w:kern w:val="0"/>
          <w:lang w:eastAsia="en-US" w:bidi="ar-SA"/>
        </w:rPr>
        <w:t>-</w:t>
      </w:r>
      <w:r w:rsidRPr="00D147A7">
        <w:rPr>
          <w:rFonts w:eastAsiaTheme="minorEastAsia"/>
          <w:kern w:val="0"/>
          <w:lang w:eastAsia="en-US" w:bidi="ar-SA"/>
        </w:rPr>
        <w:t>chivarissen worden met d</w:t>
      </w:r>
      <w:r w:rsidR="00757A86">
        <w:rPr>
          <w:rFonts w:eastAsiaTheme="minorEastAsia"/>
          <w:kern w:val="0"/>
          <w:lang w:eastAsia="en-US" w:bidi="ar-SA"/>
        </w:rPr>
        <w:t>eze tweespalt</w:t>
      </w:r>
      <w:r w:rsidRPr="00D147A7">
        <w:rPr>
          <w:rFonts w:eastAsiaTheme="minorEastAsia"/>
          <w:kern w:val="0"/>
          <w:lang w:eastAsia="en-US" w:bidi="ar-SA"/>
        </w:rPr>
        <w:t xml:space="preserve"> geconfronteerd. De bewaring en het ter beschikking stellen van archiefbescheiden is immers een essentieel gegeven, waarbij de bescherming van de</w:t>
      </w:r>
      <w:r w:rsidR="00757A86">
        <w:rPr>
          <w:rFonts w:eastAsiaTheme="minorEastAsia"/>
          <w:kern w:val="0"/>
          <w:lang w:eastAsia="en-US" w:bidi="ar-SA"/>
        </w:rPr>
        <w:t xml:space="preserve"> privacy vaak als onrealistisch obstakel</w:t>
      </w:r>
      <w:r w:rsidRPr="00D147A7">
        <w:rPr>
          <w:rFonts w:eastAsiaTheme="minorEastAsia"/>
          <w:kern w:val="0"/>
          <w:lang w:eastAsia="en-US" w:bidi="ar-SA"/>
        </w:rPr>
        <w:t xml:space="preserve"> ervaren word</w:t>
      </w:r>
      <w:r w:rsidR="00757A86">
        <w:rPr>
          <w:rFonts w:eastAsiaTheme="minorEastAsia"/>
          <w:kern w:val="0"/>
          <w:lang w:eastAsia="en-US" w:bidi="ar-SA"/>
        </w:rPr>
        <w:t>t</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71"/>
      </w:r>
      <w:r w:rsidRPr="00D147A7">
        <w:rPr>
          <w:rFonts w:eastAsiaTheme="minorEastAsia"/>
          <w:b/>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behoefte aan privacy is geen recent verschijnsel, maar blijkt veeleer instinctief te zijn.</w:t>
      </w:r>
      <w:r w:rsidRPr="00D147A7">
        <w:rPr>
          <w:rFonts w:eastAsiaTheme="minorEastAsia"/>
          <w:kern w:val="0"/>
          <w:vertAlign w:val="superscript"/>
          <w:lang w:eastAsia="en-US" w:bidi="ar-SA"/>
        </w:rPr>
        <w:footnoteReference w:id="972"/>
      </w:r>
      <w:r w:rsidRPr="00D147A7">
        <w:rPr>
          <w:rFonts w:eastAsiaTheme="minorEastAsia"/>
          <w:kern w:val="0"/>
          <w:lang w:eastAsia="en-US" w:bidi="ar-SA"/>
        </w:rPr>
        <w:t xml:space="preserve"> Ook dieren ontwikkelen immers allerhande technieken om hun territorium af te bakenen en binnen de kudde een zekere afstand t.o.v. de andere soortgenoten te behouden.</w:t>
      </w:r>
      <w:r w:rsidRPr="00D147A7">
        <w:rPr>
          <w:rFonts w:eastAsiaTheme="minorEastAsia"/>
          <w:kern w:val="0"/>
          <w:vertAlign w:val="superscript"/>
          <w:lang w:eastAsia="en-US" w:bidi="ar-SA"/>
        </w:rPr>
        <w:footnoteReference w:id="973"/>
      </w:r>
      <w:r w:rsidRPr="00D147A7">
        <w:rPr>
          <w:rFonts w:eastAsiaTheme="minorEastAsia"/>
          <w:kern w:val="0"/>
          <w:lang w:eastAsia="en-US" w:bidi="ar-SA"/>
        </w:rPr>
        <w:t xml:space="preserve"> </w:t>
      </w:r>
      <w:r w:rsidR="00B557B7">
        <w:rPr>
          <w:rFonts w:eastAsiaTheme="minorEastAsia"/>
          <w:kern w:val="0"/>
          <w:lang w:eastAsia="en-US" w:bidi="ar-SA"/>
        </w:rPr>
        <w:t>D</w:t>
      </w:r>
      <w:r w:rsidRPr="00D147A7">
        <w:rPr>
          <w:rFonts w:eastAsiaTheme="minorEastAsia"/>
          <w:kern w:val="0"/>
          <w:lang w:eastAsia="en-US" w:bidi="ar-SA"/>
        </w:rPr>
        <w:t xml:space="preserve">e drang van individuen om de persoonlijke levenssfeer van anderen binnen te dringen, is </w:t>
      </w:r>
      <w:r w:rsidR="00B557B7">
        <w:rPr>
          <w:rFonts w:eastAsiaTheme="minorEastAsia"/>
          <w:kern w:val="0"/>
          <w:lang w:eastAsia="en-US" w:bidi="ar-SA"/>
        </w:rPr>
        <w:t xml:space="preserve">evenzeer </w:t>
      </w:r>
      <w:r w:rsidRPr="00D147A7">
        <w:rPr>
          <w:rFonts w:eastAsiaTheme="minorEastAsia"/>
          <w:kern w:val="0"/>
          <w:lang w:eastAsia="en-US" w:bidi="ar-SA"/>
        </w:rPr>
        <w:t xml:space="preserve">een </w:t>
      </w:r>
      <w:r w:rsidR="00B557B7">
        <w:rPr>
          <w:rFonts w:eastAsiaTheme="minorEastAsia"/>
          <w:kern w:val="0"/>
          <w:lang w:eastAsia="en-US" w:bidi="ar-SA"/>
        </w:rPr>
        <w:t xml:space="preserve">niet-tijdsgebonden, </w:t>
      </w:r>
      <w:r w:rsidRPr="00D147A7">
        <w:rPr>
          <w:rFonts w:eastAsiaTheme="minorEastAsia"/>
          <w:kern w:val="0"/>
          <w:lang w:eastAsia="en-US" w:bidi="ar-SA"/>
        </w:rPr>
        <w:t xml:space="preserve">universeel gegeven. Verschillende mythes kunnen aangehaald worden om deze stelling </w:t>
      </w:r>
      <w:r w:rsidR="00B557B7">
        <w:rPr>
          <w:rFonts w:eastAsiaTheme="minorEastAsia"/>
          <w:kern w:val="0"/>
          <w:lang w:eastAsia="en-US" w:bidi="ar-SA"/>
        </w:rPr>
        <w:t xml:space="preserve">kracht bij </w:t>
      </w:r>
      <w:r w:rsidRPr="00D147A7">
        <w:rPr>
          <w:rFonts w:eastAsiaTheme="minorEastAsia"/>
          <w:kern w:val="0"/>
          <w:lang w:eastAsia="en-US" w:bidi="ar-SA"/>
        </w:rPr>
        <w:t xml:space="preserve">te </w:t>
      </w:r>
      <w:r w:rsidR="00B557B7">
        <w:rPr>
          <w:rFonts w:eastAsiaTheme="minorEastAsia"/>
          <w:kern w:val="0"/>
          <w:lang w:eastAsia="en-US" w:bidi="ar-SA"/>
        </w:rPr>
        <w:t xml:space="preserve">zetten: </w:t>
      </w:r>
      <w:r w:rsidRPr="00D147A7">
        <w:rPr>
          <w:rFonts w:eastAsiaTheme="minorEastAsia"/>
          <w:kern w:val="0"/>
          <w:lang w:eastAsia="en-US" w:bidi="ar-SA"/>
        </w:rPr>
        <w:t>de doos van Pandora, Orpheos die naar Hades omkijkt, de appel van Eva, de vrouw van Lot, de vrouwen van Blauwbaard die de verboden kamer ope</w:t>
      </w:r>
      <w:r w:rsidR="00B557B7">
        <w:rPr>
          <w:rFonts w:eastAsiaTheme="minorEastAsia"/>
          <w:kern w:val="0"/>
          <w:lang w:eastAsia="en-US" w:bidi="ar-SA"/>
        </w:rPr>
        <w:t>-</w:t>
      </w:r>
      <w:r w:rsidRPr="00D147A7">
        <w:rPr>
          <w:rFonts w:eastAsiaTheme="minorEastAsia"/>
          <w:kern w:val="0"/>
          <w:lang w:eastAsia="en-US" w:bidi="ar-SA"/>
        </w:rPr>
        <w:t>nen</w:t>
      </w:r>
      <w:r w:rsidR="00B557B7">
        <w:rPr>
          <w:rFonts w:eastAsiaTheme="minorEastAsia"/>
          <w:kern w:val="0"/>
          <w:lang w:eastAsia="en-US" w:bidi="ar-SA"/>
        </w:rPr>
        <w:t>, etc.</w:t>
      </w:r>
      <w:r w:rsidRPr="00D147A7">
        <w:rPr>
          <w:rFonts w:eastAsiaTheme="minorEastAsia"/>
          <w:kern w:val="0"/>
          <w:lang w:eastAsia="en-US" w:bidi="ar-SA"/>
        </w:rPr>
        <w:t xml:space="preserve"> (= ruimtelijke privacy).</w:t>
      </w:r>
      <w:r w:rsidRPr="00D147A7">
        <w:rPr>
          <w:rFonts w:eastAsiaTheme="minorEastAsia"/>
          <w:kern w:val="0"/>
          <w:vertAlign w:val="superscript"/>
          <w:lang w:eastAsia="en-US" w:bidi="ar-SA"/>
        </w:rPr>
        <w:footnoteReference w:id="974"/>
      </w:r>
      <w:r w:rsidRPr="00D147A7">
        <w:rPr>
          <w:rFonts w:eastAsiaTheme="minorEastAsia"/>
          <w:kern w:val="0"/>
          <w:lang w:eastAsia="en-US" w:bidi="ar-SA"/>
        </w:rPr>
        <w:t xml:space="preserve"> Omwille van deze natuurlijke drang – die inherent aan het bestaan lijkt te zijn – worden individuen in een samenleving gecontroleerd (en indien nodig bestraft). </w:t>
      </w:r>
    </w:p>
    <w:p w:rsidR="000F560E" w:rsidRPr="00D147A7" w:rsidRDefault="00B557B7" w:rsidP="000F560E">
      <w:pPr>
        <w:widowControl/>
        <w:suppressAutoHyphens w:val="0"/>
        <w:jc w:val="both"/>
        <w:rPr>
          <w:rFonts w:eastAsiaTheme="minorEastAsia"/>
          <w:kern w:val="0"/>
          <w:lang w:eastAsia="en-US" w:bidi="ar-SA"/>
        </w:rPr>
      </w:pPr>
      <w:r>
        <w:rPr>
          <w:rFonts w:eastAsiaTheme="minorEastAsia"/>
          <w:kern w:val="0"/>
          <w:lang w:eastAsia="en-US" w:bidi="ar-SA"/>
        </w:rPr>
        <w:t>Bij de overgang van de</w:t>
      </w:r>
      <w:r w:rsidR="000F560E" w:rsidRPr="00D147A7">
        <w:rPr>
          <w:rFonts w:eastAsiaTheme="minorEastAsia"/>
          <w:kern w:val="0"/>
          <w:lang w:eastAsia="en-US" w:bidi="ar-SA"/>
        </w:rPr>
        <w:t xml:space="preserve"> agrarische naar de industriële samenleving, is de graad van privacy aanzienlijk toegenomen. Essentieel voor democratische rechtstaten is immers de grote mate van vrijheid en anonimiteit. Terwijl democratieën een zo groot mogelijke openbaarheid van bestuur beogen, wordt </w:t>
      </w:r>
      <w:r>
        <w:rPr>
          <w:rFonts w:eastAsiaTheme="minorEastAsia"/>
          <w:kern w:val="0"/>
          <w:lang w:eastAsia="en-US" w:bidi="ar-SA"/>
        </w:rPr>
        <w:t xml:space="preserve">tevens </w:t>
      </w:r>
      <w:r w:rsidR="000F560E" w:rsidRPr="00D147A7">
        <w:rPr>
          <w:rFonts w:eastAsiaTheme="minorEastAsia"/>
          <w:kern w:val="0"/>
          <w:lang w:eastAsia="en-US" w:bidi="ar-SA"/>
        </w:rPr>
        <w:t>de maximale bescherming van de persoonlijke levenssfeer van de bevolking nagestreefd. In onze huidige maatschappij wordt de privacy evenwel bedreigd door zaken zoals overbevolking, bureaucratische organisaties, gevoelens van aliënatie en on</w:t>
      </w:r>
      <w:r>
        <w:rPr>
          <w:rFonts w:eastAsiaTheme="minorEastAsia"/>
          <w:kern w:val="0"/>
          <w:lang w:eastAsia="en-US" w:bidi="ar-SA"/>
        </w:rPr>
        <w:t>-</w:t>
      </w:r>
      <w:r w:rsidR="000F560E" w:rsidRPr="00D147A7">
        <w:rPr>
          <w:rFonts w:eastAsiaTheme="minorEastAsia"/>
          <w:kern w:val="0"/>
          <w:lang w:eastAsia="en-US" w:bidi="ar-SA"/>
        </w:rPr>
        <w:t>veiligheid die soms ombuigen in racisme, nieuwe technieken voor de controle, bewaking en verwerking van gegevens,…</w:t>
      </w:r>
    </w:p>
    <w:p w:rsidR="000F560E" w:rsidRPr="00B557B7" w:rsidRDefault="000F560E" w:rsidP="000F560E">
      <w:pPr>
        <w:widowControl/>
        <w:suppressAutoHyphens w:val="0"/>
        <w:jc w:val="both"/>
        <w:rPr>
          <w:rFonts w:eastAsiaTheme="minorEastAsia"/>
          <w:i/>
          <w:kern w:val="0"/>
          <w:lang w:eastAsia="en-US" w:bidi="ar-SA"/>
        </w:rPr>
      </w:pPr>
      <w:r w:rsidRPr="00D147A7">
        <w:rPr>
          <w:rFonts w:eastAsiaTheme="minorEastAsia"/>
          <w:kern w:val="0"/>
          <w:lang w:eastAsia="en-US" w:bidi="ar-SA"/>
        </w:rPr>
        <w:t>De oorsprong van de juridische bescherming persoonsgegevens is een product van de Franse revolutie, waaruit de liberale rechtsstaat is ontstaan. In liberale rechtsstaten is privacy de voor</w:t>
      </w:r>
      <w:r w:rsidR="00B557B7">
        <w:rPr>
          <w:rFonts w:eastAsiaTheme="minorEastAsia"/>
          <w:kern w:val="0"/>
          <w:lang w:eastAsia="en-US" w:bidi="ar-SA"/>
        </w:rPr>
        <w:t>-</w:t>
      </w:r>
      <w:r w:rsidRPr="00D147A7">
        <w:rPr>
          <w:rFonts w:eastAsiaTheme="minorEastAsia"/>
          <w:kern w:val="0"/>
          <w:lang w:eastAsia="en-US" w:bidi="ar-SA"/>
        </w:rPr>
        <w:t xml:space="preserve">waarde bij uitstek voor de uitoefening van fundamentele rechten en vrijheden door burgers. </w:t>
      </w:r>
      <w:r w:rsidRPr="00D147A7">
        <w:rPr>
          <w:rFonts w:eastAsiaTheme="minorEastAsia"/>
          <w:kern w:val="0"/>
          <w:lang w:eastAsia="en-US" w:bidi="ar-SA"/>
        </w:rPr>
        <w:lastRenderedPageBreak/>
        <w:t xml:space="preserve">Dit leidde tot de Verklaring van de Rechten van de Mens en de Burger, die op 26 augustus 1798 aangenomen werd door de Franse </w:t>
      </w:r>
      <w:r w:rsidRPr="00D147A7">
        <w:rPr>
          <w:rFonts w:eastAsiaTheme="minorEastAsia"/>
          <w:i/>
          <w:kern w:val="0"/>
          <w:lang w:eastAsia="en-US" w:bidi="ar-SA"/>
        </w:rPr>
        <w:t>Assemblée constituante</w:t>
      </w:r>
      <w:r w:rsidRPr="00D147A7">
        <w:rPr>
          <w:rFonts w:eastAsiaTheme="minorEastAsia"/>
          <w:kern w:val="0"/>
          <w:lang w:eastAsia="en-US" w:bidi="ar-SA"/>
        </w:rPr>
        <w:t xml:space="preserve"> en (op aandrang van de </w:t>
      </w:r>
      <w:r w:rsidRPr="00D147A7">
        <w:rPr>
          <w:rFonts w:eastAsiaTheme="minorEastAsia"/>
          <w:i/>
          <w:kern w:val="0"/>
          <w:lang w:eastAsia="en-US" w:bidi="ar-SA"/>
        </w:rPr>
        <w:t>As</w:t>
      </w:r>
      <w:r w:rsidR="00B557B7">
        <w:rPr>
          <w:rFonts w:eastAsiaTheme="minorEastAsia"/>
          <w:i/>
          <w:kern w:val="0"/>
          <w:lang w:eastAsia="en-US" w:bidi="ar-SA"/>
        </w:rPr>
        <w:t>-</w:t>
      </w:r>
      <w:r w:rsidRPr="00D147A7">
        <w:rPr>
          <w:rFonts w:eastAsiaTheme="minorEastAsia"/>
          <w:i/>
          <w:kern w:val="0"/>
          <w:lang w:eastAsia="en-US" w:bidi="ar-SA"/>
        </w:rPr>
        <w:t>semblée nationale</w:t>
      </w:r>
      <w:r w:rsidRPr="00D147A7">
        <w:rPr>
          <w:rFonts w:eastAsiaTheme="minorEastAsia"/>
          <w:kern w:val="0"/>
          <w:lang w:eastAsia="en-US" w:bidi="ar-SA"/>
        </w:rPr>
        <w:t>) op 5 oktober 1789 door Lodewijk XVI te Versailles geratifieerd werd.</w:t>
      </w:r>
      <w:r w:rsidRPr="00D147A7">
        <w:rPr>
          <w:rFonts w:eastAsiaTheme="minorEastAsia"/>
          <w:kern w:val="0"/>
          <w:vertAlign w:val="superscript"/>
          <w:lang w:eastAsia="en-US" w:bidi="ar-SA"/>
        </w:rPr>
        <w:footnoteReference w:id="975"/>
      </w:r>
      <w:r w:rsidR="00B557B7">
        <w:rPr>
          <w:rFonts w:eastAsiaTheme="minorEastAsia"/>
          <w:i/>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 het midden van de 20</w:t>
      </w:r>
      <w:r w:rsidRPr="00D147A7">
        <w:rPr>
          <w:rFonts w:eastAsiaTheme="minorEastAsia"/>
          <w:kern w:val="0"/>
          <w:vertAlign w:val="superscript"/>
          <w:lang w:eastAsia="en-US" w:bidi="ar-SA"/>
        </w:rPr>
        <w:t>ste</w:t>
      </w:r>
      <w:r w:rsidRPr="00D147A7">
        <w:rPr>
          <w:rFonts w:eastAsiaTheme="minorEastAsia"/>
          <w:kern w:val="0"/>
          <w:lang w:eastAsia="en-US" w:bidi="ar-SA"/>
        </w:rPr>
        <w:t xml:space="preserve"> eeuw werd de bescherming van de persoonlijke levenssfeer in</w:t>
      </w:r>
      <w:r w:rsidR="00B557B7">
        <w:rPr>
          <w:rFonts w:eastAsiaTheme="minorEastAsia"/>
          <w:kern w:val="0"/>
          <w:lang w:eastAsia="en-US" w:bidi="ar-SA"/>
        </w:rPr>
        <w:t>-</w:t>
      </w:r>
      <w:r w:rsidRPr="00D147A7">
        <w:rPr>
          <w:rFonts w:eastAsiaTheme="minorEastAsia"/>
          <w:kern w:val="0"/>
          <w:lang w:eastAsia="en-US" w:bidi="ar-SA"/>
        </w:rPr>
        <w:t>ternationaal als mensenrecht</w:t>
      </w:r>
      <w:r w:rsidR="00B557B7" w:rsidRPr="00B557B7">
        <w:rPr>
          <w:rFonts w:eastAsiaTheme="minorEastAsia"/>
          <w:kern w:val="0"/>
          <w:lang w:eastAsia="en-US" w:bidi="ar-SA"/>
        </w:rPr>
        <w:t xml:space="preserve"> </w:t>
      </w:r>
      <w:r w:rsidR="00B557B7" w:rsidRPr="00D147A7">
        <w:rPr>
          <w:rFonts w:eastAsiaTheme="minorEastAsia"/>
          <w:kern w:val="0"/>
          <w:lang w:eastAsia="en-US" w:bidi="ar-SA"/>
        </w:rPr>
        <w:t>erkend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76"/>
      </w:r>
      <w:r w:rsidRPr="00D147A7">
        <w:rPr>
          <w:rFonts w:eastAsiaTheme="minorEastAsia"/>
          <w:kern w:val="0"/>
          <w:lang w:eastAsia="en-US" w:bidi="ar-SA"/>
        </w:rPr>
        <w:t xml:space="preserve"> Toen werd het recht op privacy immers in artikel 12 van de Universele Verklaring van de Rechten van de Mens (UVRM)</w:t>
      </w:r>
      <w:r w:rsidRPr="00D147A7">
        <w:rPr>
          <w:rFonts w:eastAsiaTheme="minorEastAsia"/>
          <w:kern w:val="0"/>
          <w:vertAlign w:val="superscript"/>
          <w:lang w:eastAsia="en-US" w:bidi="ar-SA"/>
        </w:rPr>
        <w:footnoteReference w:id="977"/>
      </w:r>
      <w:r w:rsidRPr="00D147A7">
        <w:rPr>
          <w:rFonts w:eastAsiaTheme="minorEastAsia"/>
          <w:kern w:val="0"/>
          <w:lang w:eastAsia="en-US" w:bidi="ar-SA"/>
        </w:rPr>
        <w:t xml:space="preserve"> – dat in het verlengde van de Verklaring van de Rechten van de Mens en de Burger uit 1789 </w:t>
      </w:r>
      <w:r w:rsidR="00B557B7" w:rsidRPr="00D147A7">
        <w:rPr>
          <w:rFonts w:eastAsiaTheme="minorEastAsia"/>
          <w:kern w:val="0"/>
          <w:lang w:eastAsia="en-US" w:bidi="ar-SA"/>
        </w:rPr>
        <w:t xml:space="preserve">gezien </w:t>
      </w:r>
      <w:r w:rsidRPr="00D147A7">
        <w:rPr>
          <w:rFonts w:eastAsiaTheme="minorEastAsia"/>
          <w:kern w:val="0"/>
          <w:lang w:eastAsia="en-US" w:bidi="ar-SA"/>
        </w:rPr>
        <w:t>moet worden</w:t>
      </w:r>
      <w:r w:rsidR="00B557B7">
        <w:rPr>
          <w:rFonts w:eastAsiaTheme="minorEastAsia"/>
          <w:kern w:val="0"/>
          <w:lang w:eastAsia="en-US" w:bidi="ar-SA"/>
        </w:rPr>
        <w:t xml:space="preserve"> </w:t>
      </w:r>
      <w:r w:rsidRPr="00D147A7">
        <w:rPr>
          <w:rFonts w:eastAsiaTheme="minorEastAsia"/>
          <w:kern w:val="0"/>
          <w:lang w:eastAsia="en-US" w:bidi="ar-SA"/>
        </w:rPr>
        <w:t>– en in artikel 8 van het Europees Verdrag van de Rechten van de Mens en de Fundamentele Vrijheden (EVRM) opgenomen.</w:t>
      </w:r>
      <w:r w:rsidRPr="00D147A7">
        <w:rPr>
          <w:rFonts w:eastAsiaTheme="minorEastAsia"/>
          <w:kern w:val="0"/>
          <w:vertAlign w:val="superscript"/>
          <w:lang w:eastAsia="en-US" w:bidi="ar-SA"/>
        </w:rPr>
        <w:footnoteReference w:id="978"/>
      </w:r>
      <w:r w:rsidRPr="00D147A7">
        <w:rPr>
          <w:rFonts w:eastAsiaTheme="minorEastAsia"/>
          <w:kern w:val="0"/>
          <w:lang w:eastAsia="en-US" w:bidi="ar-SA"/>
        </w:rPr>
        <w:t xml:space="preserve"> Deze eerste ‘privacyregels’ werden in het leven geroepen om individuele burgers t</w:t>
      </w:r>
      <w:r w:rsidR="00B557B7">
        <w:rPr>
          <w:rFonts w:eastAsiaTheme="minorEastAsia"/>
          <w:kern w:val="0"/>
          <w:lang w:eastAsia="en-US" w:bidi="ar-SA"/>
        </w:rPr>
        <w:t xml:space="preserve">egenover </w:t>
      </w:r>
      <w:r w:rsidRPr="00D147A7">
        <w:rPr>
          <w:rFonts w:eastAsiaTheme="minorEastAsia"/>
          <w:kern w:val="0"/>
          <w:lang w:eastAsia="en-US" w:bidi="ar-SA"/>
        </w:rPr>
        <w:t>de overheid te beschermen. Ze kaderen immers in de bre</w:t>
      </w:r>
      <w:r w:rsidR="00B557B7">
        <w:rPr>
          <w:rFonts w:eastAsiaTheme="minorEastAsia"/>
          <w:kern w:val="0"/>
          <w:lang w:eastAsia="en-US" w:bidi="ar-SA"/>
        </w:rPr>
        <w:t>-</w:t>
      </w:r>
      <w:r w:rsidRPr="00D147A7">
        <w:rPr>
          <w:rFonts w:eastAsiaTheme="minorEastAsia"/>
          <w:kern w:val="0"/>
          <w:lang w:eastAsia="en-US" w:bidi="ar-SA"/>
        </w:rPr>
        <w:t>dere, internationale codificatie van mensen- en burgerrechten, om willekeurig overheidsoptre</w:t>
      </w:r>
      <w:r w:rsidR="00B557B7">
        <w:rPr>
          <w:rFonts w:eastAsiaTheme="minorEastAsia"/>
          <w:kern w:val="0"/>
          <w:lang w:eastAsia="en-US" w:bidi="ar-SA"/>
        </w:rPr>
        <w:t>-</w:t>
      </w:r>
      <w:r w:rsidRPr="00D147A7">
        <w:rPr>
          <w:rFonts w:eastAsiaTheme="minorEastAsia"/>
          <w:kern w:val="0"/>
          <w:lang w:eastAsia="en-US" w:bidi="ar-SA"/>
        </w:rPr>
        <w:t>den aan banden te leggen en te</w:t>
      </w:r>
      <w:r w:rsidR="00B557B7">
        <w:rPr>
          <w:rFonts w:eastAsiaTheme="minorEastAsia"/>
          <w:kern w:val="0"/>
          <w:lang w:eastAsia="en-US" w:bidi="ar-SA"/>
        </w:rPr>
        <w:t>r</w:t>
      </w:r>
      <w:r w:rsidRPr="00D147A7">
        <w:rPr>
          <w:rFonts w:eastAsiaTheme="minorEastAsia"/>
          <w:kern w:val="0"/>
          <w:lang w:eastAsia="en-US" w:bidi="ar-SA"/>
        </w:rPr>
        <w:t xml:space="preserve"> voorkom</w:t>
      </w:r>
      <w:r w:rsidR="00B557B7">
        <w:rPr>
          <w:rFonts w:eastAsiaTheme="minorEastAsia"/>
          <w:kern w:val="0"/>
          <w:lang w:eastAsia="en-US" w:bidi="ar-SA"/>
        </w:rPr>
        <w:t>ing</w:t>
      </w:r>
      <w:r w:rsidRPr="00D147A7">
        <w:rPr>
          <w:rFonts w:eastAsiaTheme="minorEastAsia"/>
          <w:kern w:val="0"/>
          <w:lang w:eastAsia="en-US" w:bidi="ar-SA"/>
        </w:rPr>
        <w:t xml:space="preserve"> dat totalitaire regimes opnieuw de kop zouden kunnen opsteken.</w:t>
      </w:r>
      <w:r w:rsidRPr="00D147A7">
        <w:rPr>
          <w:rFonts w:eastAsiaTheme="minorEastAsia"/>
          <w:kern w:val="0"/>
          <w:vertAlign w:val="superscript"/>
          <w:lang w:eastAsia="en-US" w:bidi="ar-SA"/>
        </w:rPr>
        <w:footnoteReference w:id="979"/>
      </w:r>
      <w:r w:rsidRPr="00D147A7">
        <w:rPr>
          <w:rFonts w:eastAsiaTheme="minorEastAsia"/>
          <w:kern w:val="0"/>
          <w:lang w:eastAsia="en-US" w:bidi="ar-SA"/>
        </w:rPr>
        <w:t xml:space="preserve"> In d</w:t>
      </w:r>
      <w:r w:rsidR="00B557B7">
        <w:rPr>
          <w:rFonts w:eastAsiaTheme="minorEastAsia"/>
          <w:kern w:val="0"/>
          <w:lang w:eastAsia="en-US" w:bidi="ar-SA"/>
        </w:rPr>
        <w:t>ie</w:t>
      </w:r>
      <w:r w:rsidRPr="00D147A7">
        <w:rPr>
          <w:rFonts w:eastAsiaTheme="minorEastAsia"/>
          <w:kern w:val="0"/>
          <w:lang w:eastAsia="en-US" w:bidi="ar-SA"/>
        </w:rPr>
        <w:t xml:space="preserve"> </w:t>
      </w:r>
      <w:r w:rsidR="00B557B7">
        <w:rPr>
          <w:rFonts w:eastAsiaTheme="minorEastAsia"/>
          <w:kern w:val="0"/>
          <w:lang w:eastAsia="en-US" w:bidi="ar-SA"/>
        </w:rPr>
        <w:t>optiek</w:t>
      </w:r>
      <w:r w:rsidRPr="00D147A7">
        <w:rPr>
          <w:rFonts w:eastAsiaTheme="minorEastAsia"/>
          <w:kern w:val="0"/>
          <w:lang w:eastAsia="en-US" w:bidi="ar-SA"/>
        </w:rPr>
        <w:t xml:space="preserve"> is het dus logisch dat nationale wetgevers niet op eigen houtje de </w:t>
      </w:r>
      <w:r w:rsidR="00B557B7">
        <w:rPr>
          <w:rFonts w:eastAsiaTheme="minorEastAsia"/>
          <w:kern w:val="0"/>
          <w:lang w:eastAsia="en-US" w:bidi="ar-SA"/>
        </w:rPr>
        <w:t>vigerende</w:t>
      </w:r>
      <w:r w:rsidRPr="00D147A7">
        <w:rPr>
          <w:rFonts w:eastAsiaTheme="minorEastAsia"/>
          <w:kern w:val="0"/>
          <w:lang w:eastAsia="en-US" w:bidi="ar-SA"/>
        </w:rPr>
        <w:t xml:space="preserve"> </w:t>
      </w:r>
      <w:r w:rsidR="00B557B7">
        <w:rPr>
          <w:rFonts w:eastAsiaTheme="minorEastAsia"/>
          <w:kern w:val="0"/>
          <w:lang w:eastAsia="en-US" w:bidi="ar-SA"/>
        </w:rPr>
        <w:t xml:space="preserve">(Europese) </w:t>
      </w:r>
      <w:r w:rsidRPr="00D147A7">
        <w:rPr>
          <w:rFonts w:eastAsiaTheme="minorEastAsia"/>
          <w:kern w:val="0"/>
          <w:lang w:eastAsia="en-US" w:bidi="ar-SA"/>
        </w:rPr>
        <w:t>privacywetgeving kunnen wijzigen.</w:t>
      </w:r>
    </w:p>
    <w:p w:rsidR="000F560E" w:rsidRPr="00D147A7" w:rsidRDefault="00B557B7" w:rsidP="000F560E">
      <w:pPr>
        <w:widowControl/>
        <w:suppressAutoHyphens w:val="0"/>
        <w:jc w:val="both"/>
        <w:rPr>
          <w:rFonts w:eastAsiaTheme="minorEastAsia"/>
          <w:kern w:val="0"/>
          <w:lang w:eastAsia="en-US" w:bidi="ar-SA"/>
        </w:rPr>
      </w:pPr>
      <w:r>
        <w:rPr>
          <w:rFonts w:eastAsiaTheme="minorEastAsia"/>
          <w:kern w:val="0"/>
          <w:lang w:eastAsia="en-US" w:bidi="ar-SA"/>
        </w:rPr>
        <w:t>A</w:t>
      </w:r>
      <w:r w:rsidR="000F560E" w:rsidRPr="00D147A7">
        <w:rPr>
          <w:rFonts w:eastAsiaTheme="minorEastAsia"/>
          <w:kern w:val="0"/>
          <w:lang w:eastAsia="en-US" w:bidi="ar-SA"/>
        </w:rPr>
        <w:t xml:space="preserve">rtikel 8 EVRM </w:t>
      </w:r>
      <w:r w:rsidRPr="00D147A7">
        <w:rPr>
          <w:rFonts w:eastAsiaTheme="minorEastAsia"/>
          <w:kern w:val="0"/>
          <w:lang w:eastAsia="en-US" w:bidi="ar-SA"/>
        </w:rPr>
        <w:t xml:space="preserve">leidde </w:t>
      </w:r>
      <w:r>
        <w:rPr>
          <w:rFonts w:eastAsiaTheme="minorEastAsia"/>
          <w:kern w:val="0"/>
          <w:lang w:eastAsia="en-US" w:bidi="ar-SA"/>
        </w:rPr>
        <w:t>i</w:t>
      </w:r>
      <w:r w:rsidRPr="00D147A7">
        <w:rPr>
          <w:rFonts w:eastAsiaTheme="minorEastAsia"/>
          <w:kern w:val="0"/>
          <w:lang w:eastAsia="en-US" w:bidi="ar-SA"/>
        </w:rPr>
        <w:t xml:space="preserve">n de praktijk </w:t>
      </w:r>
      <w:r w:rsidR="000F560E" w:rsidRPr="00D147A7">
        <w:rPr>
          <w:rFonts w:eastAsiaTheme="minorEastAsia"/>
          <w:kern w:val="0"/>
          <w:lang w:eastAsia="en-US" w:bidi="ar-SA"/>
        </w:rPr>
        <w:t xml:space="preserve">evenwel tot rechtsonzekerheid. </w:t>
      </w:r>
      <w:r w:rsidR="00EC69E8">
        <w:rPr>
          <w:rFonts w:eastAsiaTheme="minorEastAsia"/>
          <w:kern w:val="0"/>
          <w:lang w:eastAsia="en-US" w:bidi="ar-SA"/>
        </w:rPr>
        <w:t>Wegens het gebrek aan</w:t>
      </w:r>
      <w:r w:rsidR="000F560E" w:rsidRPr="00D147A7">
        <w:rPr>
          <w:rFonts w:eastAsiaTheme="minorEastAsia"/>
          <w:kern w:val="0"/>
          <w:lang w:eastAsia="en-US" w:bidi="ar-SA"/>
        </w:rPr>
        <w:t xml:space="preserve"> een definitie voor het begrip </w:t>
      </w:r>
      <w:r>
        <w:rPr>
          <w:rFonts w:eastAsiaTheme="minorEastAsia"/>
          <w:kern w:val="0"/>
          <w:lang w:eastAsia="en-US" w:bidi="ar-SA"/>
        </w:rPr>
        <w:t>‘</w:t>
      </w:r>
      <w:r w:rsidR="000F560E" w:rsidRPr="00D147A7">
        <w:rPr>
          <w:rFonts w:eastAsiaTheme="minorEastAsia"/>
          <w:kern w:val="0"/>
          <w:lang w:eastAsia="en-US" w:bidi="ar-SA"/>
        </w:rPr>
        <w:t>privéleven</w:t>
      </w:r>
      <w:r>
        <w:rPr>
          <w:rFonts w:eastAsiaTheme="minorEastAsia"/>
          <w:kern w:val="0"/>
          <w:lang w:eastAsia="en-US" w:bidi="ar-SA"/>
        </w:rPr>
        <w:t>’</w:t>
      </w:r>
      <w:r w:rsidR="000F560E" w:rsidRPr="00D147A7">
        <w:rPr>
          <w:rFonts w:eastAsiaTheme="minorEastAsia"/>
          <w:kern w:val="0"/>
          <w:lang w:eastAsia="en-US" w:bidi="ar-SA"/>
        </w:rPr>
        <w:t xml:space="preserve"> was het niet duidelijk bij welke verwerkingen </w:t>
      </w:r>
      <w:r w:rsidR="00EC69E8">
        <w:rPr>
          <w:rFonts w:eastAsiaTheme="minorEastAsia"/>
          <w:kern w:val="0"/>
          <w:lang w:eastAsia="en-US" w:bidi="ar-SA"/>
        </w:rPr>
        <w:t xml:space="preserve">van persoonsgegevens </w:t>
      </w:r>
      <w:r w:rsidR="000F560E" w:rsidRPr="00D147A7">
        <w:rPr>
          <w:rFonts w:eastAsiaTheme="minorEastAsia"/>
          <w:kern w:val="0"/>
          <w:lang w:eastAsia="en-US" w:bidi="ar-SA"/>
        </w:rPr>
        <w:t>dit artikel ingeroepen</w:t>
      </w:r>
      <w:r w:rsidR="00EC69E8" w:rsidRPr="00EC69E8">
        <w:rPr>
          <w:rFonts w:eastAsiaTheme="minorEastAsia"/>
          <w:kern w:val="0"/>
          <w:lang w:eastAsia="en-US" w:bidi="ar-SA"/>
        </w:rPr>
        <w:t xml:space="preserve"> </w:t>
      </w:r>
      <w:r w:rsidR="00EC69E8" w:rsidRPr="00D147A7">
        <w:rPr>
          <w:rFonts w:eastAsiaTheme="minorEastAsia"/>
          <w:kern w:val="0"/>
          <w:lang w:eastAsia="en-US" w:bidi="ar-SA"/>
        </w:rPr>
        <w:t>kon worden</w:t>
      </w:r>
      <w:r w:rsidR="000F560E" w:rsidRPr="00D147A7">
        <w:rPr>
          <w:rFonts w:eastAsiaTheme="minorEastAsia"/>
          <w:kern w:val="0"/>
          <w:lang w:eastAsia="en-US" w:bidi="ar-SA"/>
        </w:rPr>
        <w:t xml:space="preserve">. </w:t>
      </w:r>
      <w:r w:rsidR="00EC69E8">
        <w:rPr>
          <w:rFonts w:eastAsiaTheme="minorEastAsia"/>
          <w:kern w:val="0"/>
          <w:lang w:eastAsia="en-US" w:bidi="ar-SA"/>
        </w:rPr>
        <w:t>Verder bood</w:t>
      </w:r>
      <w:r w:rsidR="000F560E" w:rsidRPr="00D147A7">
        <w:rPr>
          <w:rFonts w:eastAsiaTheme="minorEastAsia"/>
          <w:kern w:val="0"/>
          <w:lang w:eastAsia="en-US" w:bidi="ar-SA"/>
        </w:rPr>
        <w:t xml:space="preserve"> artikel 8 § 1 EVRM te veel mogelijkheden om (legitiem) van het algemeen beginsel af te wijken. </w:t>
      </w:r>
      <w:r w:rsidR="00EC69E8">
        <w:rPr>
          <w:rFonts w:eastAsiaTheme="minorEastAsia"/>
          <w:kern w:val="0"/>
          <w:lang w:eastAsia="en-US" w:bidi="ar-SA"/>
        </w:rPr>
        <w:t>En b</w:t>
      </w:r>
      <w:r w:rsidR="000F560E" w:rsidRPr="00D147A7">
        <w:rPr>
          <w:rFonts w:eastAsiaTheme="minorEastAsia"/>
          <w:kern w:val="0"/>
          <w:lang w:eastAsia="en-US" w:bidi="ar-SA"/>
        </w:rPr>
        <w:t>ovendien moet arti</w:t>
      </w:r>
      <w:r w:rsidR="00EC69E8">
        <w:rPr>
          <w:rFonts w:eastAsiaTheme="minorEastAsia"/>
          <w:kern w:val="0"/>
          <w:lang w:eastAsia="en-US" w:bidi="ar-SA"/>
        </w:rPr>
        <w:t>-</w:t>
      </w:r>
      <w:r w:rsidR="000F560E" w:rsidRPr="00D147A7">
        <w:rPr>
          <w:rFonts w:eastAsiaTheme="minorEastAsia"/>
          <w:kern w:val="0"/>
          <w:lang w:eastAsia="en-US" w:bidi="ar-SA"/>
        </w:rPr>
        <w:t>kel 8 steeds aan artikel 10 EVRM (</w:t>
      </w:r>
      <w:r w:rsidR="00EC69E8">
        <w:rPr>
          <w:rFonts w:eastAsiaTheme="minorEastAsia"/>
          <w:kern w:val="0"/>
          <w:lang w:eastAsia="en-US" w:bidi="ar-SA"/>
        </w:rPr>
        <w:t xml:space="preserve">i.e. </w:t>
      </w:r>
      <w:r w:rsidR="000F560E" w:rsidRPr="00D147A7">
        <w:rPr>
          <w:rFonts w:eastAsiaTheme="minorEastAsia"/>
          <w:kern w:val="0"/>
          <w:lang w:eastAsia="en-US" w:bidi="ar-SA"/>
        </w:rPr>
        <w:t>het recht op vrije meningsuiting) getoetst</w:t>
      </w:r>
      <w:r w:rsidR="00EC69E8" w:rsidRPr="00EC69E8">
        <w:rPr>
          <w:rFonts w:eastAsiaTheme="minorEastAsia"/>
          <w:kern w:val="0"/>
          <w:lang w:eastAsia="en-US" w:bidi="ar-SA"/>
        </w:rPr>
        <w:t xml:space="preserve"> </w:t>
      </w:r>
      <w:r w:rsidR="00EC69E8" w:rsidRPr="00D147A7">
        <w:rPr>
          <w:rFonts w:eastAsiaTheme="minorEastAsia"/>
          <w:kern w:val="0"/>
          <w:lang w:eastAsia="en-US" w:bidi="ar-SA"/>
        </w:rPr>
        <w:t>worden</w:t>
      </w:r>
      <w:r w:rsidR="000F560E" w:rsidRPr="00D147A7">
        <w:rPr>
          <w:rFonts w:eastAsiaTheme="minorEastAsia"/>
          <w:kern w:val="0"/>
          <w:lang w:eastAsia="en-US" w:bidi="ar-SA"/>
        </w:rPr>
        <w:t>. Tot slot bestaat er discussie rond de vraag of artikel 8 EVRM ook op privaatrechtelijke verhou</w:t>
      </w:r>
      <w:r w:rsidR="00EC69E8">
        <w:rPr>
          <w:rFonts w:eastAsiaTheme="minorEastAsia"/>
          <w:kern w:val="0"/>
          <w:lang w:eastAsia="en-US" w:bidi="ar-SA"/>
        </w:rPr>
        <w:t>-</w:t>
      </w:r>
      <w:r w:rsidR="000F560E" w:rsidRPr="00D147A7">
        <w:rPr>
          <w:rFonts w:eastAsiaTheme="minorEastAsia"/>
          <w:kern w:val="0"/>
          <w:lang w:eastAsia="en-US" w:bidi="ar-SA"/>
        </w:rPr>
        <w:t>dingen tussen particulieren van toepassing is – een problematiek die bekend staat als de hori</w:t>
      </w:r>
      <w:r w:rsidR="00EC69E8">
        <w:rPr>
          <w:rFonts w:eastAsiaTheme="minorEastAsia"/>
          <w:kern w:val="0"/>
          <w:lang w:eastAsia="en-US" w:bidi="ar-SA"/>
        </w:rPr>
        <w:t>-</w:t>
      </w:r>
      <w:r w:rsidR="000F560E" w:rsidRPr="00D147A7">
        <w:rPr>
          <w:rFonts w:eastAsiaTheme="minorEastAsia"/>
          <w:kern w:val="0"/>
          <w:lang w:eastAsia="en-US" w:bidi="ar-SA"/>
        </w:rPr>
        <w:t>zontale werking van artikel 8 EVRM.</w:t>
      </w:r>
      <w:r w:rsidR="000F560E" w:rsidRPr="00D147A7">
        <w:rPr>
          <w:rFonts w:eastAsiaTheme="minorEastAsia"/>
          <w:kern w:val="0"/>
          <w:vertAlign w:val="superscript"/>
          <w:lang w:eastAsia="en-US" w:bidi="ar-SA"/>
        </w:rPr>
        <w:footnoteReference w:id="980"/>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In de nationale wetgeving van de landen die het EVRM ondertekenden, moesten </w:t>
      </w:r>
      <w:r w:rsidR="00EC69E8">
        <w:rPr>
          <w:rFonts w:eastAsiaTheme="minorEastAsia"/>
          <w:kern w:val="0"/>
          <w:lang w:eastAsia="en-US" w:bidi="ar-SA"/>
        </w:rPr>
        <w:t xml:space="preserve">nadere </w:t>
      </w:r>
      <w:r w:rsidRPr="00D147A7">
        <w:rPr>
          <w:rFonts w:eastAsiaTheme="minorEastAsia"/>
          <w:kern w:val="0"/>
          <w:lang w:eastAsia="en-US" w:bidi="ar-SA"/>
        </w:rPr>
        <w:t>be</w:t>
      </w:r>
      <w:r w:rsidR="00EC69E8">
        <w:rPr>
          <w:rFonts w:eastAsiaTheme="minorEastAsia"/>
          <w:kern w:val="0"/>
          <w:lang w:eastAsia="en-US" w:bidi="ar-SA"/>
        </w:rPr>
        <w:t>-</w:t>
      </w:r>
      <w:r w:rsidRPr="00D147A7">
        <w:rPr>
          <w:rFonts w:eastAsiaTheme="minorEastAsia"/>
          <w:kern w:val="0"/>
          <w:lang w:eastAsia="en-US" w:bidi="ar-SA"/>
        </w:rPr>
        <w:t xml:space="preserve">schermingsmaatregelen </w:t>
      </w:r>
      <w:r w:rsidR="00EC69E8">
        <w:rPr>
          <w:rFonts w:eastAsiaTheme="minorEastAsia"/>
          <w:kern w:val="0"/>
          <w:lang w:eastAsia="en-US" w:bidi="ar-SA"/>
        </w:rPr>
        <w:t>opgenomen</w:t>
      </w:r>
      <w:r w:rsidRPr="00D147A7">
        <w:rPr>
          <w:rFonts w:eastAsiaTheme="minorEastAsia"/>
          <w:kern w:val="0"/>
          <w:lang w:eastAsia="en-US" w:bidi="ar-SA"/>
        </w:rPr>
        <w:t xml:space="preserve"> worden opdat gezondheidsgegevens enkel volgens de in artikel 8 EVRM opgesomde gevallen verwerkt zouden kunnen worden.</w:t>
      </w:r>
      <w:r w:rsidRPr="00D147A7">
        <w:rPr>
          <w:rFonts w:eastAsiaTheme="minorEastAsia"/>
          <w:kern w:val="0"/>
          <w:vertAlign w:val="superscript"/>
          <w:lang w:eastAsia="en-US" w:bidi="ar-SA"/>
        </w:rPr>
        <w:footnoteReference w:id="981"/>
      </w:r>
      <w:r w:rsidRPr="00D147A7">
        <w:rPr>
          <w:rFonts w:eastAsiaTheme="minorEastAsia"/>
          <w:kern w:val="0"/>
          <w:lang w:eastAsia="en-US" w:bidi="ar-SA"/>
        </w:rPr>
        <w:t xml:space="preserve"> De meeste landen beschikten echter reeds lange tijd (in België reeds sinds 8 juni 1867</w:t>
      </w:r>
      <w:r w:rsidRPr="00D147A7">
        <w:rPr>
          <w:rFonts w:eastAsiaTheme="minorEastAsia"/>
          <w:kern w:val="0"/>
          <w:vertAlign w:val="superscript"/>
          <w:lang w:eastAsia="en-US" w:bidi="ar-SA"/>
        </w:rPr>
        <w:footnoteReference w:id="982"/>
      </w:r>
      <w:r w:rsidRPr="00D147A7">
        <w:rPr>
          <w:rFonts w:eastAsiaTheme="minorEastAsia"/>
          <w:kern w:val="0"/>
          <w:lang w:eastAsia="en-US" w:bidi="ar-SA"/>
        </w:rPr>
        <w:t>) over het medisch be</w:t>
      </w:r>
      <w:r w:rsidR="00EC69E8">
        <w:rPr>
          <w:rFonts w:eastAsiaTheme="minorEastAsia"/>
          <w:kern w:val="0"/>
          <w:lang w:eastAsia="en-US" w:bidi="ar-SA"/>
        </w:rPr>
        <w:t>-</w:t>
      </w:r>
      <w:r w:rsidRPr="00D147A7">
        <w:rPr>
          <w:rFonts w:eastAsiaTheme="minorEastAsia"/>
          <w:kern w:val="0"/>
          <w:lang w:eastAsia="en-US" w:bidi="ar-SA"/>
        </w:rPr>
        <w:t>roepsgeheim.</w:t>
      </w:r>
      <w:r w:rsidRPr="00D147A7">
        <w:rPr>
          <w:rFonts w:eastAsiaTheme="minorEastAsia"/>
          <w:kern w:val="0"/>
          <w:vertAlign w:val="superscript"/>
          <w:lang w:eastAsia="en-US" w:bidi="ar-SA"/>
        </w:rPr>
        <w:footnoteReference w:id="983"/>
      </w:r>
      <w:r w:rsidRPr="00D147A7">
        <w:rPr>
          <w:rFonts w:eastAsiaTheme="minorEastAsia"/>
          <w:kern w:val="0"/>
          <w:lang w:eastAsia="en-US" w:bidi="ar-SA"/>
        </w:rPr>
        <w:t xml:space="preserve"> Dit is een strafrechtelijke bepaling</w:t>
      </w:r>
      <w:r w:rsidRPr="00D147A7">
        <w:rPr>
          <w:rFonts w:eastAsiaTheme="minorEastAsia"/>
          <w:kern w:val="0"/>
          <w:vertAlign w:val="superscript"/>
          <w:lang w:eastAsia="en-US" w:bidi="ar-SA"/>
        </w:rPr>
        <w:footnoteReference w:id="984"/>
      </w:r>
      <w:r w:rsidRPr="00D147A7">
        <w:rPr>
          <w:rFonts w:eastAsiaTheme="minorEastAsia"/>
          <w:kern w:val="0"/>
          <w:lang w:eastAsia="en-US" w:bidi="ar-SA"/>
        </w:rPr>
        <w:t>, gebaseerd op de volgende zinsnede uit de eed van Hippocrates: Ἃ δ' ἂν ἐν θεραπείῃ ἢ ἴδω, ἢ ἀκούσω, ἢ καὶ ἄνευ θεραπηίης κατὰ βίον ἀνθρώπων, ἃ μὴ χρή ποτε ἐκλαλέεσθαι ἔξω, σιγήσομαι, ἄῤῥητα ἡγεύμενος εἶναι τὰ τοιαῦτα.</w:t>
      </w:r>
      <w:r w:rsidRPr="00D147A7">
        <w:rPr>
          <w:rFonts w:eastAsiaTheme="minorEastAsia"/>
          <w:kern w:val="0"/>
          <w:vertAlign w:val="superscript"/>
          <w:lang w:eastAsia="en-US" w:bidi="ar-SA"/>
        </w:rPr>
        <w:footnoteReference w:id="985"/>
      </w:r>
      <w:r w:rsidRPr="00D147A7">
        <w:rPr>
          <w:rFonts w:eastAsiaTheme="minorEastAsia"/>
          <w:kern w:val="0"/>
          <w:lang w:eastAsia="en-US" w:bidi="ar-SA"/>
        </w:rPr>
        <w:t xml:space="preserve"> Ongeacht haar oorsprong is deze wettelijke bepaling op verschillende beroeps</w:t>
      </w:r>
      <w:r w:rsidR="00EC69E8">
        <w:rPr>
          <w:rFonts w:eastAsiaTheme="minorEastAsia"/>
          <w:kern w:val="0"/>
          <w:lang w:eastAsia="en-US" w:bidi="ar-SA"/>
        </w:rPr>
        <w:t>-</w:t>
      </w:r>
      <w:r w:rsidRPr="00D147A7">
        <w:rPr>
          <w:rFonts w:eastAsiaTheme="minorEastAsia"/>
          <w:kern w:val="0"/>
          <w:lang w:eastAsia="en-US" w:bidi="ar-SA"/>
        </w:rPr>
        <w:t>groepen van toepassing, al is het medisch beroepsgeheim – samen met de justitiële en politio</w:t>
      </w:r>
      <w:r w:rsidR="00EC69E8">
        <w:rPr>
          <w:rFonts w:eastAsiaTheme="minorEastAsia"/>
          <w:kern w:val="0"/>
          <w:lang w:eastAsia="en-US" w:bidi="ar-SA"/>
        </w:rPr>
        <w:t>-</w:t>
      </w:r>
      <w:r w:rsidRPr="00D147A7">
        <w:rPr>
          <w:rFonts w:eastAsiaTheme="minorEastAsia"/>
          <w:kern w:val="0"/>
          <w:lang w:eastAsia="en-US" w:bidi="ar-SA"/>
        </w:rPr>
        <w:t xml:space="preserve">nele geheimhoudingsplicht – </w:t>
      </w:r>
      <w:r w:rsidR="00EC69E8">
        <w:rPr>
          <w:rFonts w:eastAsiaTheme="minorEastAsia"/>
          <w:kern w:val="0"/>
          <w:lang w:eastAsia="en-US" w:bidi="ar-SA"/>
        </w:rPr>
        <w:t>de</w:t>
      </w:r>
      <w:r w:rsidRPr="00D147A7">
        <w:rPr>
          <w:rFonts w:eastAsiaTheme="minorEastAsia"/>
          <w:kern w:val="0"/>
          <w:lang w:eastAsia="en-US" w:bidi="ar-SA"/>
        </w:rPr>
        <w:t xml:space="preserve"> meest bekende.</w:t>
      </w:r>
      <w:r w:rsidRPr="00D147A7">
        <w:rPr>
          <w:rFonts w:eastAsiaTheme="minorEastAsia"/>
          <w:kern w:val="0"/>
          <w:vertAlign w:val="superscript"/>
          <w:lang w:eastAsia="en-US" w:bidi="ar-SA"/>
        </w:rPr>
        <w:footnoteReference w:id="986"/>
      </w:r>
      <w:r w:rsidRPr="00D147A7">
        <w:rPr>
          <w:rFonts w:eastAsiaTheme="minorEastAsia"/>
          <w:kern w:val="0"/>
          <w:lang w:eastAsia="en-US" w:bidi="ar-SA"/>
        </w:rPr>
        <w:t xml:space="preserve"> Aan het medisch beroepsgeheim ligt zowel een algemeen als een individueel belang ten grondslag.</w:t>
      </w:r>
      <w:r w:rsidRPr="00D147A7">
        <w:rPr>
          <w:rFonts w:eastAsiaTheme="minorEastAsia"/>
          <w:kern w:val="0"/>
          <w:vertAlign w:val="superscript"/>
          <w:lang w:eastAsia="en-US" w:bidi="ar-SA"/>
        </w:rPr>
        <w:footnoteReference w:id="987"/>
      </w:r>
      <w:r w:rsidRPr="00D147A7">
        <w:rPr>
          <w:rFonts w:eastAsiaTheme="minorEastAsia"/>
          <w:kern w:val="0"/>
          <w:lang w:eastAsia="en-US" w:bidi="ar-SA"/>
        </w:rPr>
        <w:t xml:space="preserve"> Het medisch beroepsgeheim garan</w:t>
      </w:r>
      <w:r w:rsidR="00EC69E8">
        <w:rPr>
          <w:rFonts w:eastAsiaTheme="minorEastAsia"/>
          <w:kern w:val="0"/>
          <w:lang w:eastAsia="en-US" w:bidi="ar-SA"/>
        </w:rPr>
        <w:t>-</w:t>
      </w:r>
      <w:r w:rsidRPr="00D147A7">
        <w:rPr>
          <w:rFonts w:eastAsiaTheme="minorEastAsia"/>
          <w:kern w:val="0"/>
          <w:lang w:eastAsia="en-US" w:bidi="ar-SA"/>
        </w:rPr>
        <w:t xml:space="preserve">deert dat eenieder die hier nood aan heeft zich in alle vertrouwen tot een zorgverlener kan </w:t>
      </w:r>
      <w:r w:rsidR="00EC69E8">
        <w:rPr>
          <w:rFonts w:eastAsiaTheme="minorEastAsia"/>
          <w:kern w:val="0"/>
          <w:lang w:eastAsia="en-US" w:bidi="ar-SA"/>
        </w:rPr>
        <w:t>richten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88"/>
      </w:r>
      <w:r w:rsidRPr="00D147A7">
        <w:rPr>
          <w:rFonts w:eastAsiaTheme="minorEastAsia"/>
          <w:kern w:val="0"/>
          <w:lang w:eastAsia="en-US" w:bidi="ar-SA"/>
        </w:rPr>
        <w:t xml:space="preserve"> Daarbij moeten zorgverleners discreet</w:t>
      </w:r>
      <w:r w:rsidR="00EC69E8" w:rsidRPr="00EC69E8">
        <w:rPr>
          <w:rFonts w:eastAsiaTheme="minorEastAsia"/>
          <w:kern w:val="0"/>
          <w:lang w:eastAsia="en-US" w:bidi="ar-SA"/>
        </w:rPr>
        <w:t xml:space="preserve"> </w:t>
      </w:r>
      <w:r w:rsidR="00EC69E8" w:rsidRPr="00D147A7">
        <w:rPr>
          <w:rFonts w:eastAsiaTheme="minorEastAsia"/>
          <w:kern w:val="0"/>
          <w:lang w:eastAsia="en-US" w:bidi="ar-SA"/>
        </w:rPr>
        <w:t>omgaan</w:t>
      </w:r>
      <w:r w:rsidRPr="00D147A7">
        <w:rPr>
          <w:rFonts w:eastAsiaTheme="minorEastAsia"/>
          <w:kern w:val="0"/>
          <w:lang w:eastAsia="en-US" w:bidi="ar-SA"/>
        </w:rPr>
        <w:t xml:space="preserve"> met de informatie die zij tijdens de </w:t>
      </w:r>
      <w:r w:rsidRPr="00D147A7">
        <w:rPr>
          <w:rFonts w:eastAsiaTheme="minorEastAsia"/>
          <w:kern w:val="0"/>
          <w:lang w:eastAsia="en-US" w:bidi="ar-SA"/>
        </w:rPr>
        <w:lastRenderedPageBreak/>
        <w:t>uitoefening van hun beroep verworven hebben.</w:t>
      </w:r>
      <w:r w:rsidRPr="00D147A7">
        <w:rPr>
          <w:rFonts w:eastAsiaTheme="minorEastAsia"/>
          <w:kern w:val="0"/>
          <w:vertAlign w:val="superscript"/>
          <w:lang w:eastAsia="en-US" w:bidi="ar-SA"/>
        </w:rPr>
        <w:footnoteReference w:id="989"/>
      </w:r>
      <w:r w:rsidRPr="00D147A7">
        <w:rPr>
          <w:rFonts w:eastAsiaTheme="minorEastAsia"/>
          <w:kern w:val="0"/>
          <w:lang w:eastAsia="en-US" w:bidi="ar-SA"/>
        </w:rPr>
        <w:t xml:space="preserve"> De individuele en maatschappelijke rele</w:t>
      </w:r>
      <w:r w:rsidR="00EC69E8">
        <w:rPr>
          <w:rFonts w:eastAsiaTheme="minorEastAsia"/>
          <w:kern w:val="0"/>
          <w:lang w:eastAsia="en-US" w:bidi="ar-SA"/>
        </w:rPr>
        <w:t>-</w:t>
      </w:r>
      <w:r w:rsidRPr="00D147A7">
        <w:rPr>
          <w:rFonts w:eastAsiaTheme="minorEastAsia"/>
          <w:kern w:val="0"/>
          <w:lang w:eastAsia="en-US" w:bidi="ar-SA"/>
        </w:rPr>
        <w:t>vantie van het medisch beroepsgeheim liggen dus in elkaars verlengde en kunnen niet los van elkaar gezien worden.</w:t>
      </w:r>
      <w:r w:rsidRPr="00D147A7">
        <w:rPr>
          <w:rFonts w:eastAsiaTheme="minorEastAsia"/>
          <w:kern w:val="0"/>
          <w:vertAlign w:val="superscript"/>
          <w:lang w:eastAsia="en-US" w:bidi="ar-SA"/>
        </w:rPr>
        <w:footnoteReference w:id="990"/>
      </w:r>
      <w:r w:rsidRPr="00D147A7">
        <w:rPr>
          <w:rFonts w:eastAsiaTheme="minorEastAsia"/>
          <w:kern w:val="0"/>
          <w:lang w:eastAsia="en-US" w:bidi="ar-SA"/>
        </w:rPr>
        <w:t xml:space="preserve"> Het medisch beroepsgeheim strekt zich bovendien ook uit op niet-medische gegevens en op medische gegevens die buiten de uitoefening van het beroep om bekomen </w:t>
      </w:r>
      <w:r w:rsidR="00EC69E8" w:rsidRPr="00D147A7">
        <w:rPr>
          <w:rFonts w:eastAsiaTheme="minorEastAsia"/>
          <w:kern w:val="0"/>
          <w:lang w:eastAsia="en-US" w:bidi="ar-SA"/>
        </w:rPr>
        <w:t xml:space="preserve">worden </w:t>
      </w:r>
      <w:r w:rsidRPr="00D147A7">
        <w:rPr>
          <w:rFonts w:eastAsiaTheme="minorEastAsia"/>
          <w:kern w:val="0"/>
          <w:lang w:eastAsia="en-US" w:bidi="ar-SA"/>
        </w:rPr>
        <w:t>(al is dit laatste veeleer deontologisch van aard).</w:t>
      </w:r>
      <w:r w:rsidRPr="00D147A7">
        <w:rPr>
          <w:rFonts w:eastAsiaTheme="minorEastAsia"/>
          <w:kern w:val="0"/>
          <w:vertAlign w:val="superscript"/>
          <w:lang w:eastAsia="en-US" w:bidi="ar-SA"/>
        </w:rPr>
        <w:footnoteReference w:id="991"/>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Hierboven werd reeds aangestipt dat het beroepsgeheim in het Strafwetboek (en in de natio</w:t>
      </w:r>
      <w:r w:rsidR="00EC69E8">
        <w:rPr>
          <w:rFonts w:eastAsiaTheme="minorEastAsia"/>
          <w:kern w:val="0"/>
          <w:lang w:eastAsia="en-US" w:bidi="ar-SA"/>
        </w:rPr>
        <w:t>-</w:t>
      </w:r>
      <w:r w:rsidRPr="00D147A7">
        <w:rPr>
          <w:rFonts w:eastAsiaTheme="minorEastAsia"/>
          <w:kern w:val="0"/>
          <w:lang w:eastAsia="en-US" w:bidi="ar-SA"/>
        </w:rPr>
        <w:t>nale deontologische codes) verankerd is. Voor mogelijke schendingen van het beroepsgeheim zijn evenwel geen tuchtmaatregelen uitgewerkt. Inbreuken komen – wegens het gebrek aan een actief opsporingsbeleid – enkel via klachten aan het licht, die veelal niet tegen de zorgver</w:t>
      </w:r>
      <w:r w:rsidR="00EC69E8">
        <w:rPr>
          <w:rFonts w:eastAsiaTheme="minorEastAsia"/>
          <w:kern w:val="0"/>
          <w:lang w:eastAsia="en-US" w:bidi="ar-SA"/>
        </w:rPr>
        <w:t>-</w:t>
      </w:r>
      <w:r w:rsidRPr="00D147A7">
        <w:rPr>
          <w:rFonts w:eastAsiaTheme="minorEastAsia"/>
          <w:kern w:val="0"/>
          <w:lang w:eastAsia="en-US" w:bidi="ar-SA"/>
        </w:rPr>
        <w:t xml:space="preserve">lener in kwestie gericht zijn maar die </w:t>
      </w:r>
      <w:r w:rsidR="00EC69E8">
        <w:rPr>
          <w:rFonts w:eastAsiaTheme="minorEastAsia"/>
          <w:kern w:val="0"/>
          <w:lang w:eastAsia="en-US" w:bidi="ar-SA"/>
        </w:rPr>
        <w:t>via</w:t>
      </w:r>
      <w:r w:rsidRPr="00D147A7">
        <w:rPr>
          <w:rFonts w:eastAsiaTheme="minorEastAsia"/>
          <w:kern w:val="0"/>
          <w:lang w:eastAsia="en-US" w:bidi="ar-SA"/>
        </w:rPr>
        <w:t xml:space="preserve"> een ander juridisch conflict aan de oppervlakte ko</w:t>
      </w:r>
      <w:r w:rsidR="00EC69E8">
        <w:rPr>
          <w:rFonts w:eastAsiaTheme="minorEastAsia"/>
          <w:kern w:val="0"/>
          <w:lang w:eastAsia="en-US" w:bidi="ar-SA"/>
        </w:rPr>
        <w:t>-</w:t>
      </w:r>
      <w:r w:rsidRPr="00D147A7">
        <w:rPr>
          <w:rFonts w:eastAsiaTheme="minorEastAsia"/>
          <w:kern w:val="0"/>
          <w:lang w:eastAsia="en-US" w:bidi="ar-SA"/>
        </w:rPr>
        <w:t>men. Bovendien wordt het ruchtbaar maken van medische gegevens door nalatigheid of on</w:t>
      </w:r>
      <w:r w:rsidR="00EC69E8">
        <w:rPr>
          <w:rFonts w:eastAsiaTheme="minorEastAsia"/>
          <w:kern w:val="0"/>
          <w:lang w:eastAsia="en-US" w:bidi="ar-SA"/>
        </w:rPr>
        <w:t>-</w:t>
      </w:r>
      <w:r w:rsidRPr="00D147A7">
        <w:rPr>
          <w:rFonts w:eastAsiaTheme="minorEastAsia"/>
          <w:kern w:val="0"/>
          <w:lang w:eastAsia="en-US" w:bidi="ar-SA"/>
        </w:rPr>
        <w:t xml:space="preserve">voorzichtigheid van de zorgverlener niet als strafbaar </w:t>
      </w:r>
      <w:r w:rsidR="00EC69E8">
        <w:rPr>
          <w:rFonts w:eastAsiaTheme="minorEastAsia"/>
          <w:kern w:val="0"/>
          <w:lang w:eastAsia="en-US" w:bidi="ar-SA"/>
        </w:rPr>
        <w:t>gekwalificeerd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92"/>
      </w:r>
      <w:r w:rsidRPr="00D147A7">
        <w:rPr>
          <w:rFonts w:eastAsiaTheme="minorEastAsia"/>
          <w:kern w:val="0"/>
          <w:lang w:eastAsia="en-US" w:bidi="ar-SA"/>
        </w:rPr>
        <w:t xml:space="preserve"> Enkel in zeldzame gevallen – wanneer er bedrieglijk opzet in het spel is –</w:t>
      </w:r>
      <w:r w:rsidRPr="00D147A7">
        <w:rPr>
          <w:rFonts w:eastAsiaTheme="minorEastAsia"/>
          <w:b/>
          <w:smallCaps/>
          <w:kern w:val="0"/>
          <w:lang w:eastAsia="en-US" w:bidi="ar-SA"/>
        </w:rPr>
        <w:t xml:space="preserve"> </w:t>
      </w:r>
      <w:r w:rsidRPr="00D147A7">
        <w:rPr>
          <w:rFonts w:eastAsiaTheme="minorEastAsia"/>
          <w:kern w:val="0"/>
          <w:lang w:eastAsia="en-US" w:bidi="ar-SA"/>
        </w:rPr>
        <w:t>kunnen zorgverleners strafrechtelijk vervolgd</w:t>
      </w:r>
      <w:r w:rsidR="00EC69E8" w:rsidRPr="00EC69E8">
        <w:rPr>
          <w:rFonts w:eastAsiaTheme="minorEastAsia"/>
          <w:kern w:val="0"/>
          <w:lang w:eastAsia="en-US" w:bidi="ar-SA"/>
        </w:rPr>
        <w:t xml:space="preserve"> </w:t>
      </w:r>
      <w:r w:rsidR="00EC69E8" w:rsidRPr="00D147A7">
        <w:rPr>
          <w:rFonts w:eastAsiaTheme="minorEastAsia"/>
          <w:kern w:val="0"/>
          <w:lang w:eastAsia="en-US" w:bidi="ar-SA"/>
        </w:rPr>
        <w:t>worden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993"/>
      </w:r>
      <w:r w:rsidRPr="00D147A7">
        <w:rPr>
          <w:rFonts w:eastAsiaTheme="minorEastAsia"/>
          <w:kern w:val="0"/>
          <w:lang w:eastAsia="en-US" w:bidi="ar-SA"/>
        </w:rPr>
        <w:t xml:space="preserve"> In de meerderheid van de gevallen komen zorgverleners er met een tucht</w:t>
      </w:r>
      <w:r w:rsidR="00EC69E8">
        <w:rPr>
          <w:rFonts w:eastAsiaTheme="minorEastAsia"/>
          <w:kern w:val="0"/>
          <w:lang w:eastAsia="en-US" w:bidi="ar-SA"/>
        </w:rPr>
        <w:t>-</w:t>
      </w:r>
      <w:r w:rsidRPr="00D147A7">
        <w:rPr>
          <w:rFonts w:eastAsiaTheme="minorEastAsia"/>
          <w:kern w:val="0"/>
          <w:lang w:eastAsia="en-US" w:bidi="ar-SA"/>
        </w:rPr>
        <w:t>rechtelijke veroordeling van af. De belangrijkste consequentie van de schending van de be</w:t>
      </w:r>
      <w:r w:rsidR="00EC69E8">
        <w:rPr>
          <w:rFonts w:eastAsiaTheme="minorEastAsia"/>
          <w:kern w:val="0"/>
          <w:lang w:eastAsia="en-US" w:bidi="ar-SA"/>
        </w:rPr>
        <w:t>-</w:t>
      </w:r>
      <w:r w:rsidRPr="00D147A7">
        <w:rPr>
          <w:rFonts w:eastAsiaTheme="minorEastAsia"/>
          <w:kern w:val="0"/>
          <w:lang w:eastAsia="en-US" w:bidi="ar-SA"/>
        </w:rPr>
        <w:t>roepsmatige geheimhoudingsplicht heeft betrekking op de bewijsvoering. Een rechterlijke uit</w:t>
      </w:r>
      <w:r w:rsidR="00EC69E8">
        <w:rPr>
          <w:rFonts w:eastAsiaTheme="minorEastAsia"/>
          <w:kern w:val="0"/>
          <w:lang w:eastAsia="en-US" w:bidi="ar-SA"/>
        </w:rPr>
        <w:t>-</w:t>
      </w:r>
      <w:r w:rsidRPr="00D147A7">
        <w:rPr>
          <w:rFonts w:eastAsiaTheme="minorEastAsia"/>
          <w:kern w:val="0"/>
          <w:lang w:eastAsia="en-US" w:bidi="ar-SA"/>
        </w:rPr>
        <w:t>spraak die op het beroepsgeheim gebaseerd is, wordt immers nietig verklaard.</w:t>
      </w:r>
      <w:r w:rsidRPr="00D147A7">
        <w:rPr>
          <w:rFonts w:eastAsiaTheme="minorEastAsia"/>
          <w:kern w:val="0"/>
          <w:vertAlign w:val="superscript"/>
          <w:lang w:eastAsia="en-US" w:bidi="ar-SA"/>
        </w:rPr>
        <w:footnoteReference w:id="994"/>
      </w:r>
      <w:r w:rsidR="00EC69E8">
        <w:rPr>
          <w:rFonts w:eastAsiaTheme="minorEastAsia"/>
          <w:kern w:val="0"/>
          <w:lang w:eastAsia="en-US" w:bidi="ar-SA"/>
        </w:rPr>
        <w:t xml:space="preserve"> </w:t>
      </w:r>
    </w:p>
    <w:p w:rsidR="000F560E" w:rsidRPr="00CF5F9D" w:rsidRDefault="000F560E" w:rsidP="000F560E">
      <w:pPr>
        <w:widowControl/>
        <w:suppressAutoHyphens w:val="0"/>
        <w:jc w:val="both"/>
        <w:rPr>
          <w:rFonts w:eastAsiaTheme="minorEastAsia"/>
          <w:b/>
          <w:kern w:val="0"/>
          <w:lang w:eastAsia="en-US" w:bidi="ar-SA"/>
        </w:rPr>
      </w:pPr>
      <w:r w:rsidRPr="00D147A7">
        <w:rPr>
          <w:rFonts w:eastAsiaTheme="minorEastAsia"/>
          <w:kern w:val="0"/>
          <w:lang w:eastAsia="en-US" w:bidi="ar-SA"/>
        </w:rPr>
        <w:t xml:space="preserve">Het medisch beroepsgeheim is </w:t>
      </w:r>
      <w:r w:rsidR="00EC69E8">
        <w:rPr>
          <w:rFonts w:eastAsiaTheme="minorEastAsia"/>
          <w:kern w:val="0"/>
          <w:lang w:eastAsia="en-US" w:bidi="ar-SA"/>
        </w:rPr>
        <w:t>geenszins</w:t>
      </w:r>
      <w:r w:rsidRPr="00D147A7">
        <w:rPr>
          <w:rFonts w:eastAsiaTheme="minorEastAsia"/>
          <w:kern w:val="0"/>
          <w:lang w:eastAsia="en-US" w:bidi="ar-SA"/>
        </w:rPr>
        <w:t xml:space="preserve"> absoluut.</w:t>
      </w:r>
      <w:r w:rsidRPr="00D147A7">
        <w:rPr>
          <w:rFonts w:eastAsiaTheme="minorEastAsia"/>
          <w:kern w:val="0"/>
          <w:vertAlign w:val="superscript"/>
          <w:lang w:eastAsia="en-US" w:bidi="ar-SA"/>
        </w:rPr>
        <w:footnoteReference w:id="995"/>
      </w:r>
      <w:r w:rsidRPr="00D147A7">
        <w:rPr>
          <w:rFonts w:eastAsiaTheme="minorEastAsia"/>
          <w:kern w:val="0"/>
          <w:lang w:eastAsia="en-US" w:bidi="ar-SA"/>
        </w:rPr>
        <w:t xml:space="preserve"> Eerst en vooral is het voor de hand lig</w:t>
      </w:r>
      <w:r w:rsidR="00EC69E8">
        <w:rPr>
          <w:rFonts w:eastAsiaTheme="minorEastAsia"/>
          <w:kern w:val="0"/>
          <w:lang w:eastAsia="en-US" w:bidi="ar-SA"/>
        </w:rPr>
        <w:t>-</w:t>
      </w:r>
      <w:r w:rsidRPr="00D147A7">
        <w:rPr>
          <w:rFonts w:eastAsiaTheme="minorEastAsia"/>
          <w:kern w:val="0"/>
          <w:lang w:eastAsia="en-US" w:bidi="ar-SA"/>
        </w:rPr>
        <w:t xml:space="preserve">gend dat zorgverleners vertrouwelijke informatie over hun patiënten aan collega’s mogen </w:t>
      </w:r>
      <w:r w:rsidRPr="00D147A7">
        <w:rPr>
          <w:rFonts w:eastAsiaTheme="minorEastAsia"/>
          <w:kern w:val="0"/>
          <w:lang w:eastAsia="en-US" w:bidi="ar-SA"/>
        </w:rPr>
        <w:lastRenderedPageBreak/>
        <w:t>meedelen als dat in het kader van een goede zorgverlening geschiedt. Daarnaast zijn in de wetgeving nog een handvol mogelijkheden voorzien waarbij aan zorgverleners de plicht of mogelijkheid geboden wordt om het beroepsgeheim te doorbreken.</w:t>
      </w:r>
      <w:r w:rsidRPr="00D147A7">
        <w:rPr>
          <w:rFonts w:eastAsiaTheme="minorEastAsia"/>
          <w:kern w:val="0"/>
          <w:vertAlign w:val="superscript"/>
          <w:lang w:eastAsia="en-US" w:bidi="ar-SA"/>
        </w:rPr>
        <w:footnoteReference w:id="996"/>
      </w:r>
      <w:r w:rsidRPr="00D147A7">
        <w:rPr>
          <w:rFonts w:eastAsiaTheme="minorEastAsia"/>
          <w:kern w:val="0"/>
          <w:lang w:eastAsia="en-US" w:bidi="ar-SA"/>
        </w:rPr>
        <w:t xml:space="preserve"> Een eerste voorbeeld waarbij van het beroepsgeheim kan afgeweken worden, betreft het afleggen van een getuige</w:t>
      </w:r>
      <w:r w:rsidR="009E35A1">
        <w:rPr>
          <w:rFonts w:eastAsiaTheme="minorEastAsia"/>
          <w:kern w:val="0"/>
          <w:lang w:eastAsia="en-US" w:bidi="ar-SA"/>
        </w:rPr>
        <w:t>-</w:t>
      </w:r>
      <w:r w:rsidRPr="00D147A7">
        <w:rPr>
          <w:rFonts w:eastAsiaTheme="minorEastAsia"/>
          <w:kern w:val="0"/>
          <w:lang w:eastAsia="en-US" w:bidi="ar-SA"/>
        </w:rPr>
        <w:t>nis in rechte (als voortvloeisel uit het recht op de waarheid) of voor een parlementaire onder</w:t>
      </w:r>
      <w:r w:rsidR="009E35A1">
        <w:rPr>
          <w:rFonts w:eastAsiaTheme="minorEastAsia"/>
          <w:kern w:val="0"/>
          <w:lang w:eastAsia="en-US" w:bidi="ar-SA"/>
        </w:rPr>
        <w:t>-</w:t>
      </w:r>
      <w:r w:rsidRPr="00D147A7">
        <w:rPr>
          <w:rFonts w:eastAsiaTheme="minorEastAsia"/>
          <w:kern w:val="0"/>
          <w:lang w:eastAsia="en-US" w:bidi="ar-SA"/>
        </w:rPr>
        <w:t>zoekscommissie.</w:t>
      </w:r>
      <w:r w:rsidRPr="00D147A7">
        <w:rPr>
          <w:rFonts w:eastAsiaTheme="minorEastAsia"/>
          <w:kern w:val="0"/>
          <w:vertAlign w:val="superscript"/>
          <w:lang w:eastAsia="en-US" w:bidi="ar-SA"/>
        </w:rPr>
        <w:footnoteReference w:id="997"/>
      </w:r>
      <w:r w:rsidRPr="00D147A7">
        <w:rPr>
          <w:rFonts w:eastAsiaTheme="minorEastAsia"/>
          <w:kern w:val="0"/>
          <w:lang w:eastAsia="en-US" w:bidi="ar-SA"/>
        </w:rPr>
        <w:t xml:space="preserve"> Zorgverleners </w:t>
      </w:r>
      <w:r w:rsidR="00CF5F9D">
        <w:rPr>
          <w:rFonts w:eastAsiaTheme="minorEastAsia"/>
          <w:kern w:val="0"/>
          <w:lang w:eastAsia="en-US" w:bidi="ar-SA"/>
        </w:rPr>
        <w:t>beschikken over</w:t>
      </w:r>
      <w:r w:rsidRPr="00D147A7">
        <w:rPr>
          <w:rFonts w:eastAsiaTheme="minorEastAsia"/>
          <w:kern w:val="0"/>
          <w:lang w:eastAsia="en-US" w:bidi="ar-SA"/>
        </w:rPr>
        <w:t xml:space="preserve"> een spreekrecht en kunnen in deze geval</w:t>
      </w:r>
      <w:r w:rsidR="00CF5F9D">
        <w:rPr>
          <w:rFonts w:eastAsiaTheme="minorEastAsia"/>
          <w:kern w:val="0"/>
          <w:lang w:eastAsia="en-US" w:bidi="ar-SA"/>
        </w:rPr>
        <w:t>-</w:t>
      </w:r>
      <w:r w:rsidRPr="00D147A7">
        <w:rPr>
          <w:rFonts w:eastAsiaTheme="minorEastAsia"/>
          <w:kern w:val="0"/>
          <w:lang w:eastAsia="en-US" w:bidi="ar-SA"/>
        </w:rPr>
        <w:t>len dus niet gedwongen worden om h</w:t>
      </w:r>
      <w:r w:rsidR="00CF5F9D">
        <w:rPr>
          <w:rFonts w:eastAsiaTheme="minorEastAsia"/>
          <w:kern w:val="0"/>
          <w:lang w:eastAsia="en-US" w:bidi="ar-SA"/>
        </w:rPr>
        <w:t>un</w:t>
      </w:r>
      <w:r w:rsidRPr="00D147A7">
        <w:rPr>
          <w:rFonts w:eastAsiaTheme="minorEastAsia"/>
          <w:kern w:val="0"/>
          <w:lang w:eastAsia="en-US" w:bidi="ar-SA"/>
        </w:rPr>
        <w:t xml:space="preserve"> beroepsgeheim te schenden (</w:t>
      </w:r>
      <w:r w:rsidR="009E35A1">
        <w:rPr>
          <w:rFonts w:eastAsiaTheme="minorEastAsia"/>
          <w:kern w:val="0"/>
          <w:lang w:eastAsia="en-US" w:bidi="ar-SA"/>
        </w:rPr>
        <w:t xml:space="preserve">i.e. </w:t>
      </w:r>
      <w:r w:rsidRPr="00D147A7">
        <w:rPr>
          <w:rFonts w:eastAsiaTheme="minorEastAsia"/>
          <w:kern w:val="0"/>
          <w:lang w:eastAsia="en-US" w:bidi="ar-SA"/>
        </w:rPr>
        <w:t>het zgn. verscho</w:t>
      </w:r>
      <w:r w:rsidR="00CF5F9D">
        <w:rPr>
          <w:rFonts w:eastAsiaTheme="minorEastAsia"/>
          <w:kern w:val="0"/>
          <w:lang w:eastAsia="en-US" w:bidi="ar-SA"/>
        </w:rPr>
        <w:t>-</w:t>
      </w:r>
      <w:r w:rsidRPr="00D147A7">
        <w:rPr>
          <w:rFonts w:eastAsiaTheme="minorEastAsia"/>
          <w:kern w:val="0"/>
          <w:lang w:eastAsia="en-US" w:bidi="ar-SA"/>
        </w:rPr>
        <w:t>ningsrecht).</w:t>
      </w:r>
      <w:r w:rsidRPr="00D147A7">
        <w:rPr>
          <w:rFonts w:eastAsiaTheme="minorEastAsia"/>
          <w:kern w:val="0"/>
          <w:vertAlign w:val="superscript"/>
          <w:lang w:eastAsia="en-US" w:bidi="ar-SA"/>
        </w:rPr>
        <w:footnoteReference w:id="998"/>
      </w:r>
      <w:r w:rsidRPr="00D147A7">
        <w:rPr>
          <w:rFonts w:eastAsiaTheme="minorEastAsia"/>
          <w:kern w:val="0"/>
          <w:lang w:eastAsia="en-US" w:bidi="ar-SA"/>
        </w:rPr>
        <w:t xml:space="preserve"> In wettelijk omschreven gevallen mogen/moeten zorgverleners ook gezond</w:t>
      </w:r>
      <w:r w:rsidR="00CF5F9D">
        <w:rPr>
          <w:rFonts w:eastAsiaTheme="minorEastAsia"/>
          <w:kern w:val="0"/>
          <w:lang w:eastAsia="en-US" w:bidi="ar-SA"/>
        </w:rPr>
        <w:t>-</w:t>
      </w:r>
      <w:r w:rsidRPr="00D147A7">
        <w:rPr>
          <w:rFonts w:eastAsiaTheme="minorEastAsia"/>
          <w:kern w:val="0"/>
          <w:lang w:eastAsia="en-US" w:bidi="ar-SA"/>
        </w:rPr>
        <w:t>heidsgegevens van hun patiënten meedelen aan geneesheren-inspecteurs van verzekeringsin</w:t>
      </w:r>
      <w:r w:rsidR="00CF5F9D">
        <w:rPr>
          <w:rFonts w:eastAsiaTheme="minorEastAsia"/>
          <w:kern w:val="0"/>
          <w:lang w:eastAsia="en-US" w:bidi="ar-SA"/>
        </w:rPr>
        <w:t>-</w:t>
      </w:r>
      <w:r w:rsidRPr="00D147A7">
        <w:rPr>
          <w:rFonts w:eastAsiaTheme="minorEastAsia"/>
          <w:kern w:val="0"/>
          <w:lang w:eastAsia="en-US" w:bidi="ar-SA"/>
        </w:rPr>
        <w:t>stellingen</w:t>
      </w:r>
      <w:r w:rsidRPr="00D147A7">
        <w:rPr>
          <w:rFonts w:eastAsiaTheme="minorEastAsia"/>
          <w:kern w:val="0"/>
          <w:vertAlign w:val="superscript"/>
          <w:lang w:eastAsia="en-US" w:bidi="ar-SA"/>
        </w:rPr>
        <w:footnoteReference w:id="999"/>
      </w:r>
      <w:r w:rsidRPr="00D147A7">
        <w:rPr>
          <w:rFonts w:eastAsiaTheme="minorEastAsia"/>
          <w:kern w:val="0"/>
          <w:lang w:eastAsia="en-US" w:bidi="ar-SA"/>
        </w:rPr>
        <w:t>, aan gezondheidsinspecteurs in de strijd tegen overdraagbare epidemische ziek</w:t>
      </w:r>
      <w:r w:rsidR="00CF5F9D">
        <w:rPr>
          <w:rFonts w:eastAsiaTheme="minorEastAsia"/>
          <w:kern w:val="0"/>
          <w:lang w:eastAsia="en-US" w:bidi="ar-SA"/>
        </w:rPr>
        <w:t>-</w:t>
      </w:r>
      <w:r w:rsidRPr="00D147A7">
        <w:rPr>
          <w:rFonts w:eastAsiaTheme="minorEastAsia"/>
          <w:kern w:val="0"/>
          <w:lang w:eastAsia="en-US" w:bidi="ar-SA"/>
        </w:rPr>
        <w:lastRenderedPageBreak/>
        <w:t>ten</w:t>
      </w:r>
      <w:r w:rsidRPr="00D147A7">
        <w:rPr>
          <w:rFonts w:eastAsiaTheme="minorEastAsia"/>
          <w:kern w:val="0"/>
          <w:vertAlign w:val="superscript"/>
          <w:lang w:eastAsia="en-US" w:bidi="ar-SA"/>
        </w:rPr>
        <w:footnoteReference w:id="1000"/>
      </w:r>
      <w:r w:rsidRPr="00D147A7">
        <w:rPr>
          <w:rFonts w:eastAsiaTheme="minorEastAsia"/>
          <w:kern w:val="0"/>
          <w:lang w:eastAsia="en-US" w:bidi="ar-SA"/>
        </w:rPr>
        <w:t>, aan artsen van fondsen voor medische ongevallen</w:t>
      </w:r>
      <w:r w:rsidRPr="00D147A7">
        <w:rPr>
          <w:rFonts w:eastAsiaTheme="minorEastAsia"/>
          <w:kern w:val="0"/>
          <w:vertAlign w:val="superscript"/>
          <w:lang w:eastAsia="en-US" w:bidi="ar-SA"/>
        </w:rPr>
        <w:footnoteReference w:id="1001"/>
      </w:r>
      <w:r w:rsidRPr="00D147A7">
        <w:rPr>
          <w:rFonts w:eastAsiaTheme="minorEastAsia"/>
          <w:kern w:val="0"/>
          <w:lang w:eastAsia="en-US" w:bidi="ar-SA"/>
        </w:rPr>
        <w:t>, etc. Verder mag de geheimhou</w:t>
      </w:r>
      <w:r w:rsidR="00CF5F9D">
        <w:rPr>
          <w:rFonts w:eastAsiaTheme="minorEastAsia"/>
          <w:kern w:val="0"/>
          <w:lang w:eastAsia="en-US" w:bidi="ar-SA"/>
        </w:rPr>
        <w:t>-</w:t>
      </w:r>
      <w:r w:rsidRPr="00D147A7">
        <w:rPr>
          <w:rFonts w:eastAsiaTheme="minorEastAsia"/>
          <w:kern w:val="0"/>
          <w:lang w:eastAsia="en-US" w:bidi="ar-SA"/>
        </w:rPr>
        <w:t xml:space="preserve">dingsplicht geen barrière vormen voor zorgverleners om (vermeende) mishandeling, misbruik of verwaarlozing van patiënten uit de kwetsbare laag van de samenleving – zoals kinderen, </w:t>
      </w:r>
      <w:r w:rsidR="00CF5F9D">
        <w:rPr>
          <w:rFonts w:eastAsiaTheme="minorEastAsia"/>
          <w:kern w:val="0"/>
          <w:lang w:eastAsia="en-US" w:bidi="ar-SA"/>
        </w:rPr>
        <w:t>(</w:t>
      </w:r>
      <w:r w:rsidRPr="00D147A7">
        <w:rPr>
          <w:rFonts w:eastAsiaTheme="minorEastAsia"/>
          <w:kern w:val="0"/>
          <w:lang w:eastAsia="en-US" w:bidi="ar-SA"/>
        </w:rPr>
        <w:t>geestelijk of lichamelijk</w:t>
      </w:r>
      <w:r w:rsidR="00CF5F9D">
        <w:rPr>
          <w:rFonts w:eastAsiaTheme="minorEastAsia"/>
          <w:kern w:val="0"/>
          <w:lang w:eastAsia="en-US" w:bidi="ar-SA"/>
        </w:rPr>
        <w:t>)</w:t>
      </w:r>
      <w:r w:rsidRPr="00D147A7">
        <w:rPr>
          <w:rFonts w:eastAsiaTheme="minorEastAsia"/>
          <w:kern w:val="0"/>
          <w:lang w:eastAsia="en-US" w:bidi="ar-SA"/>
        </w:rPr>
        <w:t xml:space="preserve"> gehandicapten, zieken en bejaarden – aan de bevoegde instantie te rapporteren.</w:t>
      </w:r>
      <w:r w:rsidRPr="00D147A7">
        <w:rPr>
          <w:rFonts w:eastAsiaTheme="minorEastAsia"/>
          <w:kern w:val="0"/>
          <w:vertAlign w:val="superscript"/>
          <w:lang w:eastAsia="en-US" w:bidi="ar-SA"/>
        </w:rPr>
        <w:footnoteReference w:id="1002"/>
      </w:r>
      <w:r w:rsidRPr="00D147A7">
        <w:rPr>
          <w:rFonts w:eastAsiaTheme="minorEastAsia"/>
          <w:kern w:val="0"/>
          <w:lang w:eastAsia="en-US" w:bidi="ar-SA"/>
        </w:rPr>
        <w:t xml:space="preserve"> Zorgverleners moeten geval per geval nagaan of zij het vertrouwen dat de pa</w:t>
      </w:r>
      <w:r w:rsidR="00CF5F9D">
        <w:rPr>
          <w:rFonts w:eastAsiaTheme="minorEastAsia"/>
          <w:kern w:val="0"/>
          <w:lang w:eastAsia="en-US" w:bidi="ar-SA"/>
        </w:rPr>
        <w:t>-</w:t>
      </w:r>
      <w:r w:rsidRPr="00D147A7">
        <w:rPr>
          <w:rFonts w:eastAsiaTheme="minorEastAsia"/>
          <w:kern w:val="0"/>
          <w:lang w:eastAsia="en-US" w:bidi="ar-SA"/>
        </w:rPr>
        <w:t xml:space="preserve">tiënt in hen stelde niet beschamen door derden in kennis te stellen van welbepaalde medische </w:t>
      </w:r>
      <w:r w:rsidRPr="00D147A7">
        <w:rPr>
          <w:rFonts w:eastAsiaTheme="minorEastAsia"/>
          <w:kern w:val="0"/>
          <w:lang w:eastAsia="en-US" w:bidi="ar-SA"/>
        </w:rPr>
        <w:lastRenderedPageBreak/>
        <w:t>gegevens.</w:t>
      </w:r>
      <w:r w:rsidRPr="00D147A7">
        <w:rPr>
          <w:rFonts w:eastAsiaTheme="minorEastAsia"/>
          <w:kern w:val="0"/>
          <w:vertAlign w:val="superscript"/>
          <w:lang w:eastAsia="en-US" w:bidi="ar-SA"/>
        </w:rPr>
        <w:footnoteReference w:id="1003"/>
      </w:r>
      <w:r w:rsidRPr="00D147A7">
        <w:rPr>
          <w:rFonts w:eastAsiaTheme="minorEastAsia"/>
          <w:kern w:val="0"/>
          <w:lang w:eastAsia="en-US" w:bidi="ar-SA"/>
        </w:rPr>
        <w:t xml:space="preserve"> Enkel als een patiënt hiervoor zijn toestemming verleend heeft, moet deze vraag niet gesteld worden.</w:t>
      </w:r>
      <w:r w:rsidRPr="00D147A7">
        <w:rPr>
          <w:rFonts w:eastAsiaTheme="minorEastAsia"/>
          <w:kern w:val="0"/>
          <w:vertAlign w:val="superscript"/>
          <w:lang w:eastAsia="en-US" w:bidi="ar-SA"/>
        </w:rPr>
        <w:footnoteReference w:id="1004"/>
      </w:r>
      <w:r w:rsidRPr="00D147A7">
        <w:rPr>
          <w:rFonts w:eastAsiaTheme="minorEastAsia"/>
          <w:b/>
          <w:kern w:val="0"/>
          <w:lang w:eastAsia="en-US" w:bidi="ar-SA"/>
        </w:rPr>
        <w:t xml:space="preserve"> </w:t>
      </w:r>
    </w:p>
    <w:p w:rsidR="00AF492F" w:rsidRDefault="00AF492F" w:rsidP="000F560E">
      <w:pPr>
        <w:widowControl/>
        <w:suppressAutoHyphens w:val="0"/>
        <w:jc w:val="both"/>
        <w:rPr>
          <w:rFonts w:eastAsiaTheme="minorEastAsia"/>
          <w:kern w:val="0"/>
          <w:lang w:eastAsia="en-US" w:bidi="ar-SA"/>
        </w:rPr>
      </w:pPr>
    </w:p>
    <w:p w:rsidR="000F560E" w:rsidRPr="00D147A7" w:rsidRDefault="00CF5F9D" w:rsidP="000F560E">
      <w:pPr>
        <w:widowControl/>
        <w:suppressAutoHyphens w:val="0"/>
        <w:jc w:val="both"/>
        <w:rPr>
          <w:rFonts w:eastAsiaTheme="minorEastAsia"/>
          <w:kern w:val="0"/>
          <w:lang w:eastAsia="en-US" w:bidi="ar-SA"/>
        </w:rPr>
      </w:pPr>
      <w:r>
        <w:rPr>
          <w:rFonts w:eastAsiaTheme="minorEastAsia"/>
          <w:kern w:val="0"/>
          <w:lang w:eastAsia="en-US" w:bidi="ar-SA"/>
        </w:rPr>
        <w:t xml:space="preserve">Al gauw werd duidelijk dat </w:t>
      </w:r>
      <w:r w:rsidR="000F560E" w:rsidRPr="00D147A7">
        <w:rPr>
          <w:rFonts w:eastAsiaTheme="minorEastAsia"/>
          <w:kern w:val="0"/>
          <w:lang w:eastAsia="en-US" w:bidi="ar-SA"/>
        </w:rPr>
        <w:t>het medisch beroepsgeheim niet volstond om de bescherming van de persoonlijke levenssfeer van patiënten te garanderen.</w:t>
      </w:r>
      <w:r w:rsidR="000F560E" w:rsidRPr="00D147A7">
        <w:rPr>
          <w:rFonts w:eastAsiaTheme="minorEastAsia"/>
          <w:kern w:val="0"/>
          <w:vertAlign w:val="superscript"/>
          <w:lang w:eastAsia="en-US" w:bidi="ar-SA"/>
        </w:rPr>
        <w:footnoteReference w:id="1005"/>
      </w:r>
      <w:r w:rsidR="000F560E" w:rsidRPr="00D147A7">
        <w:rPr>
          <w:rFonts w:eastAsiaTheme="minorEastAsia"/>
          <w:kern w:val="0"/>
          <w:lang w:eastAsia="en-US" w:bidi="ar-SA"/>
        </w:rPr>
        <w:t xml:space="preserve"> Met name door de opkomst van de informatica werden de grenzen van het medisch beroepsgeheim aan de kaak gesteld.</w:t>
      </w:r>
      <w:r w:rsidR="000F560E" w:rsidRPr="00D147A7">
        <w:rPr>
          <w:rFonts w:eastAsiaTheme="minorEastAsia"/>
          <w:kern w:val="0"/>
          <w:vertAlign w:val="superscript"/>
          <w:lang w:eastAsia="en-US" w:bidi="ar-SA"/>
        </w:rPr>
        <w:footnoteReference w:id="1006"/>
      </w:r>
      <w:r w:rsidR="000F560E" w:rsidRPr="00D147A7">
        <w:rPr>
          <w:rFonts w:eastAsiaTheme="minorEastAsia"/>
          <w:kern w:val="0"/>
          <w:lang w:eastAsia="en-US" w:bidi="ar-SA"/>
        </w:rPr>
        <w:t xml:space="preserve"> Aan de hand van het medisch beroepsgeheim mogen er geen gezondheidsgegevens aan derden ver</w:t>
      </w:r>
      <w:r>
        <w:rPr>
          <w:rFonts w:eastAsiaTheme="minorEastAsia"/>
          <w:kern w:val="0"/>
          <w:lang w:eastAsia="en-US" w:bidi="ar-SA"/>
        </w:rPr>
        <w:t>-</w:t>
      </w:r>
      <w:r w:rsidR="000F560E" w:rsidRPr="00D147A7">
        <w:rPr>
          <w:rFonts w:eastAsiaTheme="minorEastAsia"/>
          <w:kern w:val="0"/>
          <w:lang w:eastAsia="en-US" w:bidi="ar-SA"/>
        </w:rPr>
        <w:t>strekt</w:t>
      </w:r>
      <w:r w:rsidRPr="00CF5F9D">
        <w:rPr>
          <w:rFonts w:eastAsiaTheme="minorEastAsia"/>
          <w:kern w:val="0"/>
          <w:lang w:eastAsia="en-US" w:bidi="ar-SA"/>
        </w:rPr>
        <w:t xml:space="preserve"> </w:t>
      </w:r>
      <w:r w:rsidRPr="00D147A7">
        <w:rPr>
          <w:rFonts w:eastAsiaTheme="minorEastAsia"/>
          <w:kern w:val="0"/>
          <w:lang w:eastAsia="en-US" w:bidi="ar-SA"/>
        </w:rPr>
        <w:t>worden</w:t>
      </w:r>
      <w:r w:rsidR="000F560E" w:rsidRPr="00D147A7">
        <w:rPr>
          <w:rFonts w:eastAsiaTheme="minorEastAsia"/>
          <w:kern w:val="0"/>
          <w:lang w:eastAsia="en-US" w:bidi="ar-SA"/>
        </w:rPr>
        <w:t>. Omdat dit in de praktijk veeleer regel dan uitzondering is, moest een bijkomen</w:t>
      </w:r>
      <w:r>
        <w:rPr>
          <w:rFonts w:eastAsiaTheme="minorEastAsia"/>
          <w:kern w:val="0"/>
          <w:lang w:eastAsia="en-US" w:bidi="ar-SA"/>
        </w:rPr>
        <w:t>-</w:t>
      </w:r>
      <w:r w:rsidR="000F560E" w:rsidRPr="00D147A7">
        <w:rPr>
          <w:rFonts w:eastAsiaTheme="minorEastAsia"/>
          <w:kern w:val="0"/>
          <w:lang w:eastAsia="en-US" w:bidi="ar-SA"/>
        </w:rPr>
        <w:t xml:space="preserve">de regeling uitgewerkt </w:t>
      </w:r>
      <w:r w:rsidRPr="00D147A7">
        <w:rPr>
          <w:rFonts w:eastAsiaTheme="minorEastAsia"/>
          <w:kern w:val="0"/>
          <w:lang w:eastAsia="en-US" w:bidi="ar-SA"/>
        </w:rPr>
        <w:t xml:space="preserve">worden </w:t>
      </w:r>
      <w:r w:rsidR="000F560E" w:rsidRPr="00D147A7">
        <w:rPr>
          <w:rFonts w:eastAsiaTheme="minorEastAsia"/>
          <w:kern w:val="0"/>
          <w:lang w:eastAsia="en-US" w:bidi="ar-SA"/>
        </w:rPr>
        <w:t>waarin deze verstrekking gereguleerd zou worden. Verder is het gevaar dat onjuiste gegevens verwerkt worden niet denkbeeldig. Toch worden de rechten van patiënten op toegang tot en (indien nodig) correctie van de hen betreffende gegevens niet via het medisch beroepsgeheim</w:t>
      </w:r>
      <w:r w:rsidRPr="00CF5F9D">
        <w:rPr>
          <w:rFonts w:eastAsiaTheme="minorEastAsia"/>
          <w:kern w:val="0"/>
          <w:lang w:eastAsia="en-US" w:bidi="ar-SA"/>
        </w:rPr>
        <w:t xml:space="preserve"> </w:t>
      </w:r>
      <w:r w:rsidRPr="00D147A7">
        <w:rPr>
          <w:rFonts w:eastAsiaTheme="minorEastAsia"/>
          <w:kern w:val="0"/>
          <w:lang w:eastAsia="en-US" w:bidi="ar-SA"/>
        </w:rPr>
        <w:t>gegarandeerd</w:t>
      </w:r>
      <w:r w:rsidR="000F560E" w:rsidRPr="00D147A7">
        <w:rPr>
          <w:rFonts w:eastAsiaTheme="minorEastAsia"/>
          <w:kern w:val="0"/>
          <w:lang w:eastAsia="en-US" w:bidi="ar-SA"/>
        </w:rPr>
        <w:t>.</w:t>
      </w:r>
      <w:r w:rsidR="000F560E" w:rsidRPr="00D147A7">
        <w:rPr>
          <w:rFonts w:eastAsiaTheme="minorEastAsia"/>
          <w:kern w:val="0"/>
          <w:vertAlign w:val="superscript"/>
          <w:lang w:eastAsia="en-US" w:bidi="ar-SA"/>
        </w:rPr>
        <w:footnoteReference w:id="1007"/>
      </w:r>
      <w:r w:rsidR="000F560E" w:rsidRPr="00D147A7">
        <w:rPr>
          <w:rFonts w:eastAsiaTheme="minorEastAsia"/>
          <w:kern w:val="0"/>
          <w:lang w:eastAsia="en-US" w:bidi="ar-SA"/>
        </w:rPr>
        <w:t xml:space="preserve"> Bovendien werd aangehaald dat schendingen van het beroepsgeheim ten gevolge van onzorgvuldigheid niet </w:t>
      </w:r>
      <w:r w:rsidRPr="00D147A7">
        <w:rPr>
          <w:rFonts w:eastAsiaTheme="minorEastAsia"/>
          <w:kern w:val="0"/>
          <w:lang w:eastAsia="en-US" w:bidi="ar-SA"/>
        </w:rPr>
        <w:t xml:space="preserve">bestraft kan </w:t>
      </w:r>
      <w:r w:rsidR="000F560E" w:rsidRPr="00D147A7">
        <w:rPr>
          <w:rFonts w:eastAsiaTheme="minorEastAsia"/>
          <w:kern w:val="0"/>
          <w:lang w:eastAsia="en-US" w:bidi="ar-SA"/>
        </w:rPr>
        <w:t>worden. Zorgver</w:t>
      </w:r>
      <w:r>
        <w:rPr>
          <w:rFonts w:eastAsiaTheme="minorEastAsia"/>
          <w:kern w:val="0"/>
          <w:lang w:eastAsia="en-US" w:bidi="ar-SA"/>
        </w:rPr>
        <w:t>-</w:t>
      </w:r>
      <w:r w:rsidR="000F560E" w:rsidRPr="00D147A7">
        <w:rPr>
          <w:rFonts w:eastAsiaTheme="minorEastAsia"/>
          <w:kern w:val="0"/>
          <w:lang w:eastAsia="en-US" w:bidi="ar-SA"/>
        </w:rPr>
        <w:t xml:space="preserve">leners moeten in een digitale samenleving evenwel verplicht kunnen worden om adequate maatregelen te treffen om hun elektronisch </w:t>
      </w:r>
      <w:r>
        <w:rPr>
          <w:rFonts w:eastAsiaTheme="minorEastAsia"/>
          <w:kern w:val="0"/>
          <w:lang w:eastAsia="en-US" w:bidi="ar-SA"/>
        </w:rPr>
        <w:t>patiëntendossiers</w:t>
      </w:r>
      <w:r w:rsidR="000F560E" w:rsidRPr="00D147A7">
        <w:rPr>
          <w:rFonts w:eastAsiaTheme="minorEastAsia"/>
          <w:kern w:val="0"/>
          <w:lang w:eastAsia="en-US" w:bidi="ar-SA"/>
        </w:rPr>
        <w:t xml:space="preserve"> </w:t>
      </w:r>
      <w:r w:rsidRPr="00D147A7">
        <w:rPr>
          <w:rFonts w:eastAsiaTheme="minorEastAsia"/>
          <w:kern w:val="0"/>
          <w:lang w:eastAsia="en-US" w:bidi="ar-SA"/>
        </w:rPr>
        <w:t>v</w:t>
      </w:r>
      <w:r w:rsidR="003512D1">
        <w:rPr>
          <w:rFonts w:eastAsiaTheme="minorEastAsia"/>
          <w:kern w:val="0"/>
          <w:lang w:eastAsia="en-US" w:bidi="ar-SA"/>
        </w:rPr>
        <w:t>oor</w:t>
      </w:r>
      <w:r w:rsidRPr="00D147A7">
        <w:rPr>
          <w:rFonts w:eastAsiaTheme="minorEastAsia"/>
          <w:kern w:val="0"/>
          <w:lang w:eastAsia="en-US" w:bidi="ar-SA"/>
        </w:rPr>
        <w:t xml:space="preserve"> onbevoegden </w:t>
      </w:r>
      <w:r w:rsidR="000F560E" w:rsidRPr="00D147A7">
        <w:rPr>
          <w:rFonts w:eastAsiaTheme="minorEastAsia"/>
          <w:kern w:val="0"/>
          <w:lang w:eastAsia="en-US" w:bidi="ar-SA"/>
        </w:rPr>
        <w:t>af te scher</w:t>
      </w:r>
      <w:r>
        <w:rPr>
          <w:rFonts w:eastAsiaTheme="minorEastAsia"/>
          <w:kern w:val="0"/>
          <w:lang w:eastAsia="en-US" w:bidi="ar-SA"/>
        </w:rPr>
        <w:t>-</w:t>
      </w:r>
      <w:r w:rsidR="000F560E" w:rsidRPr="00D147A7">
        <w:rPr>
          <w:rFonts w:eastAsiaTheme="minorEastAsia"/>
          <w:kern w:val="0"/>
          <w:lang w:eastAsia="en-US" w:bidi="ar-SA"/>
        </w:rPr>
        <w:t>men.</w:t>
      </w:r>
      <w:r w:rsidR="000F560E" w:rsidRPr="00D147A7">
        <w:rPr>
          <w:rFonts w:eastAsiaTheme="minorEastAsia"/>
          <w:kern w:val="0"/>
          <w:vertAlign w:val="superscript"/>
          <w:lang w:eastAsia="en-US" w:bidi="ar-SA"/>
        </w:rPr>
        <w:footnoteReference w:id="1008"/>
      </w:r>
      <w:r w:rsidR="000F560E" w:rsidRPr="00D147A7">
        <w:rPr>
          <w:rFonts w:eastAsiaTheme="minorEastAsia"/>
          <w:kern w:val="0"/>
          <w:lang w:eastAsia="en-US" w:bidi="ar-SA"/>
        </w:rPr>
        <w:t xml:space="preserve"> Aldus drong een geïntegreerde visie op de bescherming van de persoonlijke levens</w:t>
      </w:r>
      <w:r>
        <w:rPr>
          <w:rFonts w:eastAsiaTheme="minorEastAsia"/>
          <w:kern w:val="0"/>
          <w:lang w:eastAsia="en-US" w:bidi="ar-SA"/>
        </w:rPr>
        <w:t>-</w:t>
      </w:r>
      <w:r w:rsidR="000F560E" w:rsidRPr="00D147A7">
        <w:rPr>
          <w:rFonts w:eastAsiaTheme="minorEastAsia"/>
          <w:kern w:val="0"/>
          <w:lang w:eastAsia="en-US" w:bidi="ar-SA"/>
        </w:rPr>
        <w:t xml:space="preserve">sfeer van patiënten zich op, waaraan tal van Europese en nationale regelingen (met wisselend succes) tegemoet </w:t>
      </w:r>
      <w:r w:rsidR="003512D1">
        <w:rPr>
          <w:rFonts w:eastAsiaTheme="minorEastAsia"/>
          <w:kern w:val="0"/>
          <w:lang w:eastAsia="en-US" w:bidi="ar-SA"/>
        </w:rPr>
        <w:t>kwamen</w:t>
      </w:r>
      <w:r w:rsidR="000F560E" w:rsidRPr="00D147A7">
        <w:rPr>
          <w:rFonts w:eastAsiaTheme="minorEastAsia"/>
          <w:kern w:val="0"/>
          <w:lang w:eastAsia="en-US" w:bidi="ar-SA"/>
        </w:rPr>
        <w:t xml:space="preserve">. Toch doet geen enkele </w:t>
      </w:r>
      <w:r w:rsidR="000F560E" w:rsidRPr="00D147A7">
        <w:rPr>
          <w:rFonts w:eastAsiaTheme="minorEastAsia"/>
          <w:kern w:val="0"/>
          <w:lang w:eastAsia="en-US" w:bidi="ar-SA"/>
        </w:rPr>
        <w:lastRenderedPageBreak/>
        <w:t>bijkomende privacywetgeving afbreuk aan het medisch beroepsgeheim. Integendeel, de vraag naar de toepassing van het medisch be</w:t>
      </w:r>
      <w:r w:rsidR="003512D1">
        <w:rPr>
          <w:rFonts w:eastAsiaTheme="minorEastAsia"/>
          <w:kern w:val="0"/>
          <w:lang w:eastAsia="en-US" w:bidi="ar-SA"/>
        </w:rPr>
        <w:t>-</w:t>
      </w:r>
      <w:r w:rsidR="000F560E" w:rsidRPr="00D147A7">
        <w:rPr>
          <w:rFonts w:eastAsiaTheme="minorEastAsia"/>
          <w:kern w:val="0"/>
          <w:lang w:eastAsia="en-US" w:bidi="ar-SA"/>
        </w:rPr>
        <w:t>roepsgeheim gaat aan de vraag naar de toepassing van de privacywetgeving vooraf. Gezond</w:t>
      </w:r>
      <w:r w:rsidR="003512D1">
        <w:rPr>
          <w:rFonts w:eastAsiaTheme="minorEastAsia"/>
          <w:kern w:val="0"/>
          <w:lang w:eastAsia="en-US" w:bidi="ar-SA"/>
        </w:rPr>
        <w:t>-</w:t>
      </w:r>
      <w:r w:rsidR="000F560E" w:rsidRPr="00D147A7">
        <w:rPr>
          <w:rFonts w:eastAsiaTheme="minorEastAsia"/>
          <w:kern w:val="0"/>
          <w:lang w:eastAsia="en-US" w:bidi="ar-SA"/>
        </w:rPr>
        <w:t>heidsgegevens mogen m.a.w. enkel verwerkt worden als de geheimhoudingsplicht gerespec</w:t>
      </w:r>
      <w:r w:rsidR="003512D1">
        <w:rPr>
          <w:rFonts w:eastAsiaTheme="minorEastAsia"/>
          <w:kern w:val="0"/>
          <w:lang w:eastAsia="en-US" w:bidi="ar-SA"/>
        </w:rPr>
        <w:t>-</w:t>
      </w:r>
      <w:r w:rsidR="000F560E" w:rsidRPr="00D147A7">
        <w:rPr>
          <w:rFonts w:eastAsiaTheme="minorEastAsia"/>
          <w:kern w:val="0"/>
          <w:lang w:eastAsia="en-US" w:bidi="ar-SA"/>
        </w:rPr>
        <w:t>teerd wordt.</w:t>
      </w:r>
      <w:r w:rsidR="000F560E" w:rsidRPr="00D147A7">
        <w:rPr>
          <w:rFonts w:eastAsiaTheme="minorEastAsia"/>
          <w:kern w:val="0"/>
          <w:vertAlign w:val="superscript"/>
          <w:lang w:eastAsia="en-US" w:bidi="ar-SA"/>
        </w:rPr>
        <w:footnoteReference w:id="1009"/>
      </w:r>
      <w:r w:rsidR="000F560E" w:rsidRPr="00D147A7">
        <w:rPr>
          <w:rFonts w:eastAsiaTheme="minorEastAsia"/>
          <w:kern w:val="0"/>
          <w:lang w:eastAsia="en-US" w:bidi="ar-SA"/>
        </w:rPr>
        <w:t xml:space="preserve"> </w:t>
      </w:r>
    </w:p>
    <w:p w:rsidR="00791911" w:rsidRDefault="00791911" w:rsidP="000F560E">
      <w:pPr>
        <w:widowControl/>
        <w:suppressAutoHyphens w:val="0"/>
        <w:jc w:val="both"/>
        <w:rPr>
          <w:rFonts w:eastAsiaTheme="minorEastAsia"/>
          <w:kern w:val="0"/>
          <w:lang w:eastAsia="en-US" w:bidi="ar-SA"/>
        </w:rPr>
      </w:pPr>
    </w:p>
    <w:p w:rsidR="000F560E"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 deze rechtsonzekerheid werd in de jaren 1970 binnen de Raad van Europa tegemoet ge</w:t>
      </w:r>
      <w:r w:rsidR="00791911">
        <w:rPr>
          <w:rFonts w:eastAsiaTheme="minorEastAsia"/>
          <w:kern w:val="0"/>
          <w:lang w:eastAsia="en-US" w:bidi="ar-SA"/>
        </w:rPr>
        <w:t>-</w:t>
      </w:r>
      <w:r w:rsidRPr="00D147A7">
        <w:rPr>
          <w:rFonts w:eastAsiaTheme="minorEastAsia"/>
          <w:kern w:val="0"/>
          <w:lang w:eastAsia="en-US" w:bidi="ar-SA"/>
        </w:rPr>
        <w:t>komen met de uitwerking van een nieuw verdrag, m.n. Verdrag nr. 108 tot bescherming van personen ten opzichte van de geautomatiseerde verwerking van persoonsgegevens dat op 28 januari 1981 te Straatsburg werd afgekondigd.</w:t>
      </w:r>
      <w:r w:rsidRPr="00D147A7">
        <w:rPr>
          <w:rFonts w:eastAsiaTheme="minorEastAsia"/>
          <w:kern w:val="0"/>
          <w:vertAlign w:val="superscript"/>
          <w:lang w:eastAsia="en-US" w:bidi="ar-SA"/>
        </w:rPr>
        <w:footnoteReference w:id="1010"/>
      </w:r>
      <w:r w:rsidRPr="00D147A7">
        <w:rPr>
          <w:rFonts w:eastAsiaTheme="minorEastAsia"/>
          <w:kern w:val="0"/>
          <w:lang w:eastAsia="en-US" w:bidi="ar-SA"/>
        </w:rPr>
        <w:t xml:space="preserve"> Waar de nadruk bij het UVRM en het EVRM op de bescherming van individuele burgers tegen de overheid lag, </w:t>
      </w:r>
      <w:r w:rsidR="00F62081">
        <w:rPr>
          <w:rFonts w:eastAsiaTheme="minorEastAsia"/>
          <w:kern w:val="0"/>
          <w:lang w:eastAsia="en-US" w:bidi="ar-SA"/>
        </w:rPr>
        <w:t>creëerden</w:t>
      </w:r>
      <w:r w:rsidRPr="00D147A7">
        <w:rPr>
          <w:rFonts w:eastAsiaTheme="minorEastAsia"/>
          <w:kern w:val="0"/>
          <w:lang w:eastAsia="en-US" w:bidi="ar-SA"/>
        </w:rPr>
        <w:t xml:space="preserve"> </w:t>
      </w:r>
      <w:r w:rsidR="00F62081" w:rsidRPr="00D147A7">
        <w:rPr>
          <w:rFonts w:eastAsiaTheme="minorEastAsia"/>
          <w:kern w:val="0"/>
          <w:lang w:eastAsia="en-US" w:bidi="ar-SA"/>
        </w:rPr>
        <w:t>interna</w:t>
      </w:r>
      <w:r w:rsidR="00F62081">
        <w:rPr>
          <w:rFonts w:eastAsiaTheme="minorEastAsia"/>
          <w:kern w:val="0"/>
          <w:lang w:eastAsia="en-US" w:bidi="ar-SA"/>
        </w:rPr>
        <w:t>-</w:t>
      </w:r>
      <w:r w:rsidR="00F62081" w:rsidRPr="00D147A7">
        <w:rPr>
          <w:rFonts w:eastAsiaTheme="minorEastAsia"/>
          <w:kern w:val="0"/>
          <w:lang w:eastAsia="en-US" w:bidi="ar-SA"/>
        </w:rPr>
        <w:t xml:space="preserve">tionale wetgevende instanties </w:t>
      </w:r>
      <w:r w:rsidR="00F62081">
        <w:rPr>
          <w:rFonts w:eastAsiaTheme="minorEastAsia"/>
          <w:kern w:val="0"/>
          <w:lang w:eastAsia="en-US" w:bidi="ar-SA"/>
        </w:rPr>
        <w:t>door de opkomst van</w:t>
      </w:r>
      <w:r w:rsidRPr="00D147A7">
        <w:rPr>
          <w:rFonts w:eastAsiaTheme="minorEastAsia"/>
          <w:kern w:val="0"/>
          <w:lang w:eastAsia="en-US" w:bidi="ar-SA"/>
        </w:rPr>
        <w:t xml:space="preserve"> computer</w:t>
      </w:r>
      <w:r w:rsidR="00F62081">
        <w:rPr>
          <w:rFonts w:eastAsiaTheme="minorEastAsia"/>
          <w:kern w:val="0"/>
          <w:lang w:eastAsia="en-US" w:bidi="ar-SA"/>
        </w:rPr>
        <w:t>s (die het almaar eenvoudiger maken om persoonsgegevens op geautomatiseerde wijze te verwerken)</w:t>
      </w:r>
      <w:r w:rsidRPr="00D147A7">
        <w:rPr>
          <w:rFonts w:eastAsiaTheme="minorEastAsia"/>
          <w:kern w:val="0"/>
          <w:lang w:eastAsia="en-US" w:bidi="ar-SA"/>
        </w:rPr>
        <w:t xml:space="preserve"> uniforme regels m.b.t. de bescherming van de informationele privacy.</w:t>
      </w:r>
      <w:r w:rsidRPr="00D147A7">
        <w:rPr>
          <w:rFonts w:eastAsiaTheme="minorEastAsia"/>
          <w:kern w:val="0"/>
          <w:vertAlign w:val="superscript"/>
          <w:lang w:eastAsia="en-US" w:bidi="ar-SA"/>
        </w:rPr>
        <w:footnoteReference w:id="1011"/>
      </w:r>
      <w:r w:rsidRPr="00D147A7">
        <w:rPr>
          <w:rFonts w:eastAsiaTheme="minorEastAsia"/>
          <w:kern w:val="0"/>
          <w:lang w:eastAsia="en-US" w:bidi="ar-SA"/>
        </w:rPr>
        <w:t xml:space="preserve"> Het is immers geen toeval dat het jaar waar</w:t>
      </w:r>
      <w:r w:rsidR="00F62081">
        <w:rPr>
          <w:rFonts w:eastAsiaTheme="minorEastAsia"/>
          <w:kern w:val="0"/>
          <w:lang w:eastAsia="en-US" w:bidi="ar-SA"/>
        </w:rPr>
        <w:t>-</w:t>
      </w:r>
      <w:r w:rsidRPr="00D147A7">
        <w:rPr>
          <w:rFonts w:eastAsiaTheme="minorEastAsia"/>
          <w:kern w:val="0"/>
          <w:lang w:eastAsia="en-US" w:bidi="ar-SA"/>
        </w:rPr>
        <w:t>in het Verdrag van Straatsburg afgekondigd werd IBM de eerste Perso</w:t>
      </w:r>
      <w:r w:rsidR="00F62081">
        <w:rPr>
          <w:rFonts w:eastAsiaTheme="minorEastAsia"/>
          <w:kern w:val="0"/>
          <w:lang w:eastAsia="en-US" w:bidi="ar-SA"/>
        </w:rPr>
        <w:t>nal Computer (PC) – de IBM 5150</w:t>
      </w:r>
      <w:r w:rsidRPr="00D147A7">
        <w:rPr>
          <w:rFonts w:eastAsiaTheme="minorEastAsia"/>
          <w:kern w:val="0"/>
          <w:lang w:eastAsia="en-US" w:bidi="ar-SA"/>
        </w:rPr>
        <w:t xml:space="preserve"> – op de markt bracht.</w:t>
      </w:r>
      <w:r w:rsidRPr="00D147A7">
        <w:rPr>
          <w:rFonts w:eastAsiaTheme="minorEastAsia"/>
          <w:kern w:val="0"/>
          <w:vertAlign w:val="superscript"/>
          <w:lang w:eastAsia="en-US" w:bidi="ar-SA"/>
        </w:rPr>
        <w:footnoteReference w:id="1012"/>
      </w:r>
      <w:r w:rsidRPr="00D147A7">
        <w:rPr>
          <w:rFonts w:eastAsiaTheme="minorEastAsia"/>
          <w:kern w:val="0"/>
          <w:lang w:eastAsia="en-US" w:bidi="ar-SA"/>
        </w:rPr>
        <w:t xml:space="preserve"> Een nieuw tijdperk was aangebroken, waarin computers voortaan ook voor het brede publiek toegankelijk waren. De ‘IBM 5150’ gaf ook aanleiding voor de ontwikkeling van het publieke internet.</w:t>
      </w:r>
      <w:r w:rsidRPr="00D147A7">
        <w:rPr>
          <w:rFonts w:eastAsiaTheme="minorEastAsia"/>
          <w:kern w:val="0"/>
          <w:vertAlign w:val="superscript"/>
          <w:lang w:eastAsia="en-US" w:bidi="ar-SA"/>
        </w:rPr>
        <w:footnoteReference w:id="1013"/>
      </w:r>
      <w:r w:rsidRPr="00D147A7">
        <w:rPr>
          <w:rFonts w:eastAsiaTheme="minorEastAsia"/>
          <w:kern w:val="0"/>
          <w:lang w:eastAsia="en-US" w:bidi="ar-SA"/>
        </w:rPr>
        <w:t xml:space="preserve"> Sinds 1981 is het almaar eenvoudiger ge</w:t>
      </w:r>
      <w:r w:rsidR="00F62081">
        <w:rPr>
          <w:rFonts w:eastAsiaTheme="minorEastAsia"/>
          <w:kern w:val="0"/>
          <w:lang w:eastAsia="en-US" w:bidi="ar-SA"/>
        </w:rPr>
        <w:t>-</w:t>
      </w:r>
      <w:r w:rsidRPr="00D147A7">
        <w:rPr>
          <w:rFonts w:eastAsiaTheme="minorEastAsia"/>
          <w:kern w:val="0"/>
          <w:lang w:eastAsia="en-US" w:bidi="ar-SA"/>
        </w:rPr>
        <w:t>worden om grote hoeveelheden (persoons)gegevens te verzamelen en automatisch te verwer</w:t>
      </w:r>
      <w:r w:rsidR="00F62081">
        <w:rPr>
          <w:rFonts w:eastAsiaTheme="minorEastAsia"/>
          <w:kern w:val="0"/>
          <w:lang w:eastAsia="en-US" w:bidi="ar-SA"/>
        </w:rPr>
        <w:t>-</w:t>
      </w:r>
      <w:r w:rsidRPr="00D147A7">
        <w:rPr>
          <w:rFonts w:eastAsiaTheme="minorEastAsia"/>
          <w:kern w:val="0"/>
          <w:lang w:eastAsia="en-US" w:bidi="ar-SA"/>
        </w:rPr>
        <w:t>ken. De Raad van Europa merkte – terecht – op dat artikel 8 EVRM niet langer voldoende be</w:t>
      </w:r>
      <w:r w:rsidR="00F62081">
        <w:rPr>
          <w:rFonts w:eastAsiaTheme="minorEastAsia"/>
          <w:kern w:val="0"/>
          <w:lang w:eastAsia="en-US" w:bidi="ar-SA"/>
        </w:rPr>
        <w:t>-</w:t>
      </w:r>
      <w:r w:rsidRPr="00D147A7">
        <w:rPr>
          <w:rFonts w:eastAsiaTheme="minorEastAsia"/>
          <w:kern w:val="0"/>
          <w:lang w:eastAsia="en-US" w:bidi="ar-SA"/>
        </w:rPr>
        <w:t>scherming bood ten opzichte van de nieuwe technologische ontwikkelingen.</w:t>
      </w:r>
    </w:p>
    <w:p w:rsidR="00791911" w:rsidRPr="00D147A7" w:rsidRDefault="00791911"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noProof/>
          <w:kern w:val="0"/>
          <w:sz w:val="22"/>
          <w:szCs w:val="22"/>
          <w:lang w:eastAsia="nl-BE" w:bidi="ar-SA"/>
        </w:rPr>
        <w:lastRenderedPageBreak/>
        <w:drawing>
          <wp:inline distT="0" distB="0" distL="0" distR="0" wp14:anchorId="69836503" wp14:editId="70C70186">
            <wp:extent cx="3063833" cy="2214298"/>
            <wp:effectExtent l="0" t="0" r="3810" b="0"/>
            <wp:docPr id="47" name="Afbeelding 47" descr="File:IBM PC 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BM PC 5150.jp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090036" cy="2233236"/>
                    </a:xfrm>
                    <a:prstGeom prst="rect">
                      <a:avLst/>
                    </a:prstGeom>
                    <a:noFill/>
                    <a:ln>
                      <a:noFill/>
                    </a:ln>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21: De ‘IBM 5150’</w:t>
      </w:r>
      <w:r w:rsidRPr="00D147A7">
        <w:rPr>
          <w:rFonts w:eastAsiaTheme="minorEastAsia"/>
          <w:kern w:val="0"/>
          <w:vertAlign w:val="superscript"/>
          <w:lang w:eastAsia="en-US" w:bidi="ar-SA"/>
        </w:rPr>
        <w:footnoteReference w:id="1014"/>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Geruime tijd vormde het Verdrag van Straatsburg het Europese ‘gemeen recht’ inzake de be</w:t>
      </w:r>
      <w:r w:rsidR="00F62081">
        <w:rPr>
          <w:rFonts w:eastAsiaTheme="minorEastAsia"/>
          <w:kern w:val="0"/>
          <w:lang w:eastAsia="en-US" w:bidi="ar-SA"/>
        </w:rPr>
        <w:t>-</w:t>
      </w:r>
      <w:r w:rsidRPr="00D147A7">
        <w:rPr>
          <w:rFonts w:eastAsiaTheme="minorEastAsia"/>
          <w:kern w:val="0"/>
          <w:lang w:eastAsia="en-US" w:bidi="ar-SA"/>
        </w:rPr>
        <w:t>scherming van persoonsgegevens. In het spoor van dit verdrag werden een reeks aanbeveling</w:t>
      </w:r>
      <w:r w:rsidR="00F62081">
        <w:rPr>
          <w:rFonts w:eastAsiaTheme="minorEastAsia"/>
          <w:kern w:val="0"/>
          <w:lang w:eastAsia="en-US" w:bidi="ar-SA"/>
        </w:rPr>
        <w:t>-</w:t>
      </w:r>
      <w:r w:rsidRPr="00D147A7">
        <w:rPr>
          <w:rFonts w:eastAsiaTheme="minorEastAsia"/>
          <w:kern w:val="0"/>
          <w:lang w:eastAsia="en-US" w:bidi="ar-SA"/>
        </w:rPr>
        <w:t>en goedgekeurd die specifieke bepalingen bevatten met betrekking tot de bescherming van persoonsgegevens in een aantal sectoren.</w:t>
      </w:r>
      <w:r w:rsidRPr="00D147A7">
        <w:rPr>
          <w:rFonts w:eastAsiaTheme="minorEastAsia"/>
          <w:kern w:val="0"/>
          <w:vertAlign w:val="superscript"/>
          <w:lang w:eastAsia="en-US" w:bidi="ar-SA"/>
        </w:rPr>
        <w:footnoteReference w:id="1015"/>
      </w:r>
      <w:r w:rsidRPr="00D147A7">
        <w:rPr>
          <w:rFonts w:eastAsiaTheme="minorEastAsia"/>
          <w:kern w:val="0"/>
          <w:lang w:eastAsia="en-US" w:bidi="ar-SA"/>
        </w:rPr>
        <w:t xml:space="preserve"> De meeste artikelen van dit verdrag roepen geen concrete, afdwingbare rechten in het leven – en kunnen dus niet rechtstreeks door individuen </w:t>
      </w:r>
      <w:r w:rsidR="00F62081" w:rsidRPr="00D147A7">
        <w:rPr>
          <w:rFonts w:eastAsiaTheme="minorEastAsia"/>
          <w:kern w:val="0"/>
          <w:lang w:eastAsia="en-US" w:bidi="ar-SA"/>
        </w:rPr>
        <w:t xml:space="preserve">worden ingeroepen </w:t>
      </w:r>
      <w:r w:rsidRPr="00D147A7">
        <w:rPr>
          <w:rFonts w:eastAsiaTheme="minorEastAsia"/>
          <w:kern w:val="0"/>
          <w:lang w:eastAsia="en-US" w:bidi="ar-SA"/>
        </w:rPr>
        <w:t>–, maar verplichten de lidstaten om maatregelen uit te vaardigen.</w:t>
      </w:r>
      <w:r w:rsidRPr="00D147A7">
        <w:rPr>
          <w:rFonts w:eastAsiaTheme="minorEastAsia"/>
          <w:kern w:val="0"/>
          <w:vertAlign w:val="superscript"/>
          <w:lang w:eastAsia="en-US" w:bidi="ar-SA"/>
        </w:rPr>
        <w:footnoteReference w:id="1016"/>
      </w:r>
      <w:r w:rsidRPr="00D147A7">
        <w:rPr>
          <w:rFonts w:eastAsiaTheme="minorEastAsia"/>
          <w:kern w:val="0"/>
          <w:lang w:eastAsia="en-US" w:bidi="ar-SA"/>
        </w:rPr>
        <w:t xml:space="preserve"> In de drie bestudeerde landen werd de tekst van dit verdrag in het staatsblad gepubliceerd.</w:t>
      </w:r>
      <w:r w:rsidRPr="00D147A7">
        <w:rPr>
          <w:rFonts w:eastAsiaTheme="minorEastAsia"/>
          <w:kern w:val="0"/>
          <w:vertAlign w:val="superscript"/>
          <w:lang w:eastAsia="en-US" w:bidi="ar-SA"/>
        </w:rPr>
        <w:footnoteReference w:id="1017"/>
      </w:r>
      <w:r w:rsidRPr="00D147A7">
        <w:rPr>
          <w:rFonts w:eastAsiaTheme="minorEastAsia"/>
          <w:kern w:val="0"/>
          <w:lang w:eastAsia="en-US" w:bidi="ar-SA"/>
        </w:rPr>
        <w:t xml:space="preserve"> Het verdrag werd ook in de Belgische en Nederlandse wetgeving</w:t>
      </w:r>
      <w:r w:rsidR="00F62081" w:rsidRPr="00F62081">
        <w:rPr>
          <w:rFonts w:eastAsiaTheme="minorEastAsia"/>
          <w:kern w:val="0"/>
          <w:lang w:eastAsia="en-US" w:bidi="ar-SA"/>
        </w:rPr>
        <w:t xml:space="preserve"> </w:t>
      </w:r>
      <w:r w:rsidR="00F62081" w:rsidRPr="00D147A7">
        <w:rPr>
          <w:rFonts w:eastAsiaTheme="minorEastAsia"/>
          <w:kern w:val="0"/>
          <w:lang w:eastAsia="en-US" w:bidi="ar-SA"/>
        </w:rPr>
        <w:t>omgezet</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018"/>
      </w:r>
      <w:r w:rsidRPr="00D147A7">
        <w:rPr>
          <w:rFonts w:eastAsiaTheme="minorEastAsia"/>
          <w:kern w:val="0"/>
          <w:lang w:eastAsia="en-US" w:bidi="ar-SA"/>
        </w:rPr>
        <w:t xml:space="preserve"> Hoewel Frankrijk </w:t>
      </w:r>
      <w:r w:rsidRPr="00D147A7">
        <w:rPr>
          <w:rFonts w:eastAsiaTheme="minorEastAsia"/>
          <w:kern w:val="0"/>
          <w:lang w:eastAsia="en-US" w:bidi="ar-SA"/>
        </w:rPr>
        <w:lastRenderedPageBreak/>
        <w:t>op dat ogenblik reeds over een privacywet beschikte</w:t>
      </w:r>
      <w:r w:rsidRPr="00D147A7">
        <w:rPr>
          <w:rFonts w:eastAsiaTheme="minorEastAsia"/>
          <w:kern w:val="0"/>
          <w:vertAlign w:val="superscript"/>
          <w:lang w:eastAsia="en-US" w:bidi="ar-SA"/>
        </w:rPr>
        <w:footnoteReference w:id="1019"/>
      </w:r>
      <w:r w:rsidRPr="00D147A7">
        <w:rPr>
          <w:rFonts w:eastAsiaTheme="minorEastAsia"/>
          <w:kern w:val="0"/>
          <w:lang w:eastAsia="en-US" w:bidi="ar-SA"/>
        </w:rPr>
        <w:t>, werd deze wettekst nog verschillende malen gewijzigd en aangevuld.</w:t>
      </w:r>
      <w:r w:rsidRPr="00D147A7">
        <w:rPr>
          <w:rFonts w:eastAsiaTheme="minorEastAsia"/>
          <w:kern w:val="0"/>
          <w:vertAlign w:val="superscript"/>
          <w:lang w:eastAsia="en-US" w:bidi="ar-SA"/>
        </w:rPr>
        <w:footnoteReference w:id="1020"/>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Artikelen 4 t.e.m. 11 van dit verdrag (en punten 43 tot 48 van het verklarend rapport) zijn de allereerste wettelijke bepalingen die expliciet aan de informationele privacy gewijd zijn.</w:t>
      </w:r>
      <w:r w:rsidRPr="00D147A7">
        <w:rPr>
          <w:rFonts w:eastAsiaTheme="minorEastAsia"/>
          <w:kern w:val="0"/>
          <w:vertAlign w:val="superscript"/>
          <w:lang w:eastAsia="en-US" w:bidi="ar-SA"/>
        </w:rPr>
        <w:footnoteReference w:id="1021"/>
      </w:r>
      <w:r w:rsidRPr="00D147A7">
        <w:rPr>
          <w:rFonts w:eastAsiaTheme="minorEastAsia"/>
          <w:kern w:val="0"/>
          <w:lang w:eastAsia="en-US" w:bidi="ar-SA"/>
        </w:rPr>
        <w:t xml:space="preserve"> Verder </w:t>
      </w:r>
      <w:r w:rsidR="00F62081">
        <w:rPr>
          <w:rFonts w:eastAsiaTheme="minorEastAsia"/>
          <w:kern w:val="0"/>
          <w:lang w:eastAsia="en-US" w:bidi="ar-SA"/>
        </w:rPr>
        <w:t>bevat</w:t>
      </w:r>
      <w:r w:rsidRPr="00D147A7">
        <w:rPr>
          <w:rFonts w:eastAsiaTheme="minorEastAsia"/>
          <w:kern w:val="0"/>
          <w:lang w:eastAsia="en-US" w:bidi="ar-SA"/>
        </w:rPr>
        <w:t xml:space="preserve"> artikel 12 </w:t>
      </w:r>
      <w:r w:rsidR="00F62081">
        <w:rPr>
          <w:rFonts w:eastAsiaTheme="minorEastAsia"/>
          <w:kern w:val="0"/>
          <w:lang w:eastAsia="en-US" w:bidi="ar-SA"/>
        </w:rPr>
        <w:t xml:space="preserve">van dit verdrag </w:t>
      </w:r>
      <w:r w:rsidRPr="00D147A7">
        <w:rPr>
          <w:rFonts w:eastAsiaTheme="minorEastAsia"/>
          <w:kern w:val="0"/>
          <w:lang w:eastAsia="en-US" w:bidi="ar-SA"/>
        </w:rPr>
        <w:t>– op basis van het recht op vrije meningsuiting (artikel 10 EVRM) –</w:t>
      </w:r>
      <w:r w:rsidR="00F62081">
        <w:rPr>
          <w:rFonts w:eastAsiaTheme="minorEastAsia"/>
          <w:kern w:val="0"/>
          <w:lang w:eastAsia="en-US" w:bidi="ar-SA"/>
        </w:rPr>
        <w:t xml:space="preserve"> </w:t>
      </w:r>
      <w:r w:rsidRPr="00D147A7">
        <w:rPr>
          <w:rFonts w:eastAsiaTheme="minorEastAsia"/>
          <w:kern w:val="0"/>
          <w:lang w:eastAsia="en-US" w:bidi="ar-SA"/>
        </w:rPr>
        <w:t>de eerste wettelijke bepaling waarin het grensoverschrijdend verkeer van per</w:t>
      </w:r>
      <w:r w:rsidR="00F62081">
        <w:rPr>
          <w:rFonts w:eastAsiaTheme="minorEastAsia"/>
          <w:kern w:val="0"/>
          <w:lang w:eastAsia="en-US" w:bidi="ar-SA"/>
        </w:rPr>
        <w:t>-</w:t>
      </w:r>
      <w:r w:rsidRPr="00D147A7">
        <w:rPr>
          <w:rFonts w:eastAsiaTheme="minorEastAsia"/>
          <w:kern w:val="0"/>
          <w:lang w:eastAsia="en-US" w:bidi="ar-SA"/>
        </w:rPr>
        <w:t>soonsgegevens opgenomen is.</w:t>
      </w:r>
      <w:r w:rsidRPr="00D147A7">
        <w:rPr>
          <w:rFonts w:eastAsiaTheme="minorEastAsia"/>
          <w:kern w:val="0"/>
          <w:vertAlign w:val="superscript"/>
          <w:lang w:eastAsia="en-US" w:bidi="ar-SA"/>
        </w:rPr>
        <w:footnoteReference w:id="1022"/>
      </w:r>
      <w:r w:rsidRPr="00D147A7">
        <w:rPr>
          <w:rFonts w:eastAsiaTheme="minorEastAsia"/>
          <w:kern w:val="0"/>
          <w:lang w:eastAsia="en-US" w:bidi="ar-SA"/>
        </w:rPr>
        <w:t xml:space="preserve"> Door het recht op bescherming van persoonsgegevens in alle landen van de Europese Unie min of meer gelijk te schakelen, wilde men de burger be</w:t>
      </w:r>
      <w:r w:rsidR="00F62081">
        <w:rPr>
          <w:rFonts w:eastAsiaTheme="minorEastAsia"/>
          <w:kern w:val="0"/>
          <w:lang w:eastAsia="en-US" w:bidi="ar-SA"/>
        </w:rPr>
        <w:t>-</w:t>
      </w:r>
      <w:r w:rsidRPr="00D147A7">
        <w:rPr>
          <w:rFonts w:eastAsiaTheme="minorEastAsia"/>
          <w:kern w:val="0"/>
          <w:lang w:eastAsia="en-US" w:bidi="ar-SA"/>
        </w:rPr>
        <w:t>schermen en een onbelemmerd grensoverschrijdend verkeer van persoonsgegevens mogelijk maken. De bevoegdheid voor de bescherming van persoonsgegevens wordt in Europa sinds 1981 stukje bij beetje overgeheveld naar supranationaal niveau. In Europa is het Verdrag van Straatsburg – dat evenwel ook in andere landen dan de lidstaten van de Europese Unie van toepassing is – nog steeds de wettelijke basis voor de bescherming van persoonsgegevens.</w:t>
      </w:r>
      <w:r w:rsidRPr="00D147A7">
        <w:rPr>
          <w:rFonts w:eastAsiaTheme="minorEastAsia"/>
          <w:kern w:val="0"/>
          <w:vertAlign w:val="superscript"/>
          <w:lang w:eastAsia="en-US" w:bidi="ar-SA"/>
        </w:rPr>
        <w:footnoteReference w:id="1023"/>
      </w:r>
      <w:r w:rsidRPr="00D147A7">
        <w:rPr>
          <w:rFonts w:eastAsiaTheme="minorEastAsia"/>
          <w:kern w:val="0"/>
          <w:lang w:eastAsia="en-US" w:bidi="ar-SA"/>
        </w:rPr>
        <w:t xml:space="preserve"> De tekst van het verdrag wordt nog regelmatig bijgewerkt.</w:t>
      </w:r>
      <w:r w:rsidRPr="00D147A7">
        <w:rPr>
          <w:rFonts w:eastAsiaTheme="minorEastAsia"/>
          <w:kern w:val="0"/>
          <w:vertAlign w:val="superscript"/>
          <w:lang w:eastAsia="en-US" w:bidi="ar-SA"/>
        </w:rPr>
        <w:footnoteReference w:id="1024"/>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color w:val="00B0F0"/>
          <w:kern w:val="0"/>
          <w:highlight w:val="black"/>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de loop der jaren werd geconstateerd dat Verdrag nr. 108 op het vlak van de bescherming van natuurlijke personen ten aanzien van de verwerking van persoonsgegevens niet tot een ge</w:t>
      </w:r>
      <w:r w:rsidR="00667C55">
        <w:rPr>
          <w:rFonts w:eastAsiaTheme="minorEastAsia"/>
          <w:kern w:val="0"/>
          <w:lang w:eastAsia="en-US" w:bidi="ar-SA"/>
        </w:rPr>
        <w:t>-</w:t>
      </w:r>
      <w:r w:rsidRPr="00D147A7">
        <w:rPr>
          <w:rFonts w:eastAsiaTheme="minorEastAsia"/>
          <w:kern w:val="0"/>
          <w:lang w:eastAsia="en-US" w:bidi="ar-SA"/>
        </w:rPr>
        <w:t>lijkwaardige wettelijke bescherming in alle lidstaten van de Europese Gemeenschap leidde. Zo was het verdrag in 1990 – negen jaar na de ondertekening en vijf jaar na de inwerkingtre</w:t>
      </w:r>
      <w:r w:rsidR="00667C55">
        <w:rPr>
          <w:rFonts w:eastAsiaTheme="minorEastAsia"/>
          <w:kern w:val="0"/>
          <w:lang w:eastAsia="en-US" w:bidi="ar-SA"/>
        </w:rPr>
        <w:t>-</w:t>
      </w:r>
      <w:r w:rsidRPr="00D147A7">
        <w:rPr>
          <w:rFonts w:eastAsiaTheme="minorEastAsia"/>
          <w:kern w:val="0"/>
          <w:lang w:eastAsia="en-US" w:bidi="ar-SA"/>
        </w:rPr>
        <w:t xml:space="preserve">ding – nog maar door zeven lidstaten geratificeerd. Daarom maakte de Europese Commissie in 1990 het voorstel voor een </w:t>
      </w:r>
      <w:r w:rsidR="00667C55">
        <w:rPr>
          <w:rFonts w:eastAsiaTheme="minorEastAsia"/>
          <w:kern w:val="0"/>
          <w:lang w:eastAsia="en-US" w:bidi="ar-SA"/>
        </w:rPr>
        <w:t xml:space="preserve">nieuwe </w:t>
      </w:r>
      <w:r w:rsidRPr="00D147A7">
        <w:rPr>
          <w:rFonts w:eastAsiaTheme="minorEastAsia"/>
          <w:kern w:val="0"/>
          <w:lang w:eastAsia="en-US" w:bidi="ar-SA"/>
        </w:rPr>
        <w:t>richtlijn betreffende de bescherming van personen in verband met de behandeling van persoonsgegevens bekend.</w:t>
      </w:r>
      <w:r w:rsidRPr="00D147A7">
        <w:rPr>
          <w:rFonts w:eastAsiaTheme="minorEastAsia"/>
          <w:kern w:val="0"/>
          <w:vertAlign w:val="superscript"/>
          <w:lang w:eastAsia="en-US" w:bidi="ar-SA"/>
        </w:rPr>
        <w:footnoteReference w:id="1025"/>
      </w:r>
      <w:r w:rsidRPr="00D147A7">
        <w:rPr>
          <w:rFonts w:eastAsiaTheme="minorEastAsia"/>
          <w:kern w:val="0"/>
          <w:lang w:eastAsia="en-US" w:bidi="ar-SA"/>
        </w:rPr>
        <w:t xml:space="preserve"> Nadat het Europees Parlement </w:t>
      </w:r>
      <w:r w:rsidR="00667C55">
        <w:rPr>
          <w:rFonts w:eastAsiaTheme="minorEastAsia"/>
          <w:kern w:val="0"/>
          <w:lang w:eastAsia="en-US" w:bidi="ar-SA"/>
        </w:rPr>
        <w:lastRenderedPageBreak/>
        <w:t xml:space="preserve">dit </w:t>
      </w:r>
      <w:r w:rsidRPr="00D147A7">
        <w:rPr>
          <w:rFonts w:eastAsiaTheme="minorEastAsia"/>
          <w:kern w:val="0"/>
          <w:lang w:eastAsia="en-US" w:bidi="ar-SA"/>
        </w:rPr>
        <w:t>voorstel gewijzigd had, werd de tekst van de richtlijn in wording op 15 oktober 1992 bij de Raad van Europa ingediend.</w:t>
      </w:r>
      <w:r w:rsidRPr="00D147A7">
        <w:rPr>
          <w:rFonts w:eastAsiaTheme="minorEastAsia"/>
          <w:kern w:val="0"/>
          <w:vertAlign w:val="superscript"/>
          <w:lang w:eastAsia="en-US" w:bidi="ar-SA"/>
        </w:rPr>
        <w:footnoteReference w:id="1026"/>
      </w:r>
      <w:r w:rsidRPr="00D147A7">
        <w:rPr>
          <w:rFonts w:eastAsiaTheme="minorEastAsia"/>
          <w:kern w:val="0"/>
          <w:lang w:eastAsia="en-US" w:bidi="ar-SA"/>
        </w:rPr>
        <w:t xml:space="preserve"> Na intensief overleg stelde de Raad op 20 februari 1995 defi</w:t>
      </w:r>
      <w:r w:rsidR="00667C55">
        <w:rPr>
          <w:rFonts w:eastAsiaTheme="minorEastAsia"/>
          <w:kern w:val="0"/>
          <w:lang w:eastAsia="en-US" w:bidi="ar-SA"/>
        </w:rPr>
        <w:t>-</w:t>
      </w:r>
      <w:r w:rsidRPr="00D147A7">
        <w:rPr>
          <w:rFonts w:eastAsiaTheme="minorEastAsia"/>
          <w:kern w:val="0"/>
          <w:lang w:eastAsia="en-US" w:bidi="ar-SA"/>
        </w:rPr>
        <w:t>nitief het gemeenschappelijk standpunt vast.</w:t>
      </w:r>
      <w:r w:rsidRPr="00D147A7">
        <w:rPr>
          <w:rFonts w:eastAsiaTheme="minorEastAsia"/>
          <w:kern w:val="0"/>
          <w:vertAlign w:val="superscript"/>
          <w:lang w:eastAsia="en-US" w:bidi="ar-SA"/>
        </w:rPr>
        <w:footnoteReference w:id="1027"/>
      </w:r>
      <w:r w:rsidRPr="00D147A7">
        <w:rPr>
          <w:rFonts w:eastAsiaTheme="minorEastAsia"/>
          <w:kern w:val="0"/>
          <w:lang w:eastAsia="en-US" w:bidi="ar-SA"/>
        </w:rPr>
        <w:t xml:space="preserve"> Het Europees Parlement bracht </w:t>
      </w:r>
      <w:r w:rsidR="00667C55">
        <w:rPr>
          <w:rFonts w:eastAsiaTheme="minorEastAsia"/>
          <w:kern w:val="0"/>
          <w:lang w:eastAsia="en-US" w:bidi="ar-SA"/>
        </w:rPr>
        <w:t xml:space="preserve">hier </w:t>
      </w:r>
      <w:r w:rsidRPr="00D147A7">
        <w:rPr>
          <w:rFonts w:eastAsiaTheme="minorEastAsia"/>
          <w:kern w:val="0"/>
          <w:lang w:eastAsia="en-US" w:bidi="ar-SA"/>
        </w:rPr>
        <w:t>op 14 ju</w:t>
      </w:r>
      <w:r w:rsidR="00667C55">
        <w:rPr>
          <w:rFonts w:eastAsiaTheme="minorEastAsia"/>
          <w:kern w:val="0"/>
          <w:lang w:eastAsia="en-US" w:bidi="ar-SA"/>
        </w:rPr>
        <w:t>-</w:t>
      </w:r>
      <w:r w:rsidRPr="00D147A7">
        <w:rPr>
          <w:rFonts w:eastAsiaTheme="minorEastAsia"/>
          <w:kern w:val="0"/>
          <w:lang w:eastAsia="en-US" w:bidi="ar-SA"/>
        </w:rPr>
        <w:t xml:space="preserve">ni 1995 advies over </w:t>
      </w:r>
      <w:r w:rsidR="00667C55">
        <w:rPr>
          <w:rFonts w:eastAsiaTheme="minorEastAsia"/>
          <w:kern w:val="0"/>
          <w:lang w:eastAsia="en-US" w:bidi="ar-SA"/>
        </w:rPr>
        <w:t>uit</w:t>
      </w:r>
      <w:r w:rsidRPr="00D147A7">
        <w:rPr>
          <w:rFonts w:eastAsiaTheme="minorEastAsia"/>
          <w:kern w:val="0"/>
          <w:lang w:eastAsia="en-US" w:bidi="ar-SA"/>
        </w:rPr>
        <w:t>, waarvan de Commissie zeven amendementen overnam. Vervolgens stelde de Raad van Ministers op 24 juli 1995 de geamendeerde tekst van de Richtlijn vast, waarna Richtlijn 95/46/EG op 24 oktober 1995 gezamenlijke ondertekend werd door de voor</w:t>
      </w:r>
      <w:r w:rsidR="00667C55">
        <w:rPr>
          <w:rFonts w:eastAsiaTheme="minorEastAsia"/>
          <w:kern w:val="0"/>
          <w:lang w:eastAsia="en-US" w:bidi="ar-SA"/>
        </w:rPr>
        <w:t>-</w:t>
      </w:r>
      <w:r w:rsidRPr="00D147A7">
        <w:rPr>
          <w:rFonts w:eastAsiaTheme="minorEastAsia"/>
          <w:kern w:val="0"/>
          <w:lang w:eastAsia="en-US" w:bidi="ar-SA"/>
        </w:rPr>
        <w:t>zitters van het Europees Parlement en de Raad.</w:t>
      </w:r>
      <w:r w:rsidRPr="00D147A7">
        <w:rPr>
          <w:rFonts w:eastAsiaTheme="minorEastAsia"/>
          <w:kern w:val="0"/>
          <w:vertAlign w:val="superscript"/>
          <w:lang w:eastAsia="en-US" w:bidi="ar-SA"/>
        </w:rPr>
        <w:footnoteReference w:id="1028"/>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95/46/EG kwam volgens de (ingewikkelde) ‘gewone wetgevingsprocedure’ tot stand, waardoor zowel de regeringen als de parlementen van de lidstaten bij de besluitvor</w:t>
      </w:r>
      <w:r w:rsidR="00667C55">
        <w:rPr>
          <w:rFonts w:eastAsiaTheme="minorEastAsia"/>
          <w:kern w:val="0"/>
          <w:lang w:eastAsia="en-US" w:bidi="ar-SA"/>
        </w:rPr>
        <w:t>-</w:t>
      </w:r>
      <w:r w:rsidRPr="00D147A7">
        <w:rPr>
          <w:rFonts w:eastAsiaTheme="minorEastAsia"/>
          <w:kern w:val="0"/>
          <w:lang w:eastAsia="en-US" w:bidi="ar-SA"/>
        </w:rPr>
        <w:t>ming betrokken werden.</w:t>
      </w:r>
    </w:p>
    <w:p w:rsidR="000F560E" w:rsidRPr="00D147A7" w:rsidRDefault="000F560E" w:rsidP="000F560E">
      <w:pPr>
        <w:widowControl/>
        <w:suppressAutoHyphens w:val="0"/>
        <w:jc w:val="both"/>
        <w:rPr>
          <w:rFonts w:eastAsiaTheme="minorEastAsia"/>
          <w:kern w:val="0"/>
          <w:highlight w:val="yellow"/>
          <w:lang w:eastAsia="en-US" w:bidi="ar-SA"/>
        </w:rPr>
      </w:pPr>
    </w:p>
    <w:p w:rsidR="000F560E" w:rsidRPr="00D147A7" w:rsidRDefault="000F560E" w:rsidP="000F560E">
      <w:pPr>
        <w:widowControl/>
        <w:suppressAutoHyphens w:val="0"/>
        <w:jc w:val="both"/>
        <w:rPr>
          <w:rFonts w:eastAsiaTheme="minorEastAsia"/>
          <w:noProof/>
          <w:kern w:val="0"/>
          <w:lang w:eastAsia="nl-BE" w:bidi="ar-SA"/>
        </w:rPr>
      </w:pPr>
      <w:r w:rsidRPr="00D147A7">
        <w:rPr>
          <w:rFonts w:eastAsiaTheme="minorEastAsia"/>
          <w:noProof/>
          <w:kern w:val="0"/>
          <w:lang w:eastAsia="nl-BE" w:bidi="ar-SA"/>
        </w:rPr>
        <w:lastRenderedPageBreak/>
        <w:drawing>
          <wp:inline distT="0" distB="0" distL="0" distR="0" wp14:anchorId="1D925EED" wp14:editId="13507DA5">
            <wp:extent cx="4199860" cy="4639746"/>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16564" cy="4658200"/>
                    </a:xfrm>
                    <a:prstGeom prst="rect">
                      <a:avLst/>
                    </a:prstGeom>
                    <a:noFill/>
                    <a:ln>
                      <a:noFill/>
                    </a:ln>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22: De ‘gewone wetgevingsprocedure’ (COD) voor besluitvoering in de Europese Unie</w:t>
      </w:r>
      <w:r w:rsidRPr="00D147A7">
        <w:rPr>
          <w:rFonts w:eastAsiaTheme="minorEastAsia"/>
          <w:kern w:val="0"/>
          <w:vertAlign w:val="superscript"/>
          <w:lang w:eastAsia="en-US" w:bidi="ar-SA"/>
        </w:rPr>
        <w:footnoteReference w:id="1029"/>
      </w:r>
    </w:p>
    <w:p w:rsidR="000F560E" w:rsidRPr="00D147A7" w:rsidRDefault="000F560E" w:rsidP="000F560E">
      <w:pPr>
        <w:widowControl/>
        <w:suppressAutoHyphens w:val="0"/>
        <w:jc w:val="both"/>
        <w:rPr>
          <w:rFonts w:eastAsiaTheme="minorEastAsia"/>
          <w:kern w:val="0"/>
          <w:highlight w:val="green"/>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95/46/EG is het eerste (en vooralsnog enige) initiatief om de privacywetgevingen van de lidstaten van de Europese Unie te standaardiseren. De uniforme regeling biedt een uniek en stabiel beschermingsregime en maakt vrij gegevensverkeer over de grenzen heen mogelijk. In deze richtlijn werd een zeer uitgebreid arsenaal aan regels opgenomen over de verschillende categorieën persoonsgegevens, de rechten van de betrokkenen en de plichten van de verantwoordelijken voor de verwerking van persoonsgegevens. Richtlijn 95/46/EG is nog steeds dé hoeksteun van de Europese wetgeving m.b.t. de bescherming van persoonsge</w:t>
      </w:r>
      <w:r w:rsidR="00667C55">
        <w:rPr>
          <w:rFonts w:eastAsiaTheme="minorEastAsia"/>
          <w:kern w:val="0"/>
          <w:lang w:eastAsia="en-US" w:bidi="ar-SA"/>
        </w:rPr>
        <w:t>-</w:t>
      </w:r>
      <w:r w:rsidRPr="00D147A7">
        <w:rPr>
          <w:rFonts w:eastAsiaTheme="minorEastAsia"/>
          <w:kern w:val="0"/>
          <w:lang w:eastAsia="en-US" w:bidi="ar-SA"/>
        </w:rPr>
        <w:t>gevens, waarop de vigerende privacywetgevingen van de Europese lidstaten in hoofdzaak gebaseerd zijn.</w:t>
      </w:r>
      <w:r w:rsidRPr="00D147A7">
        <w:rPr>
          <w:rFonts w:eastAsiaTheme="minorEastAsia"/>
          <w:kern w:val="0"/>
          <w:vertAlign w:val="superscript"/>
          <w:lang w:eastAsia="en-US" w:bidi="ar-SA"/>
        </w:rPr>
        <w:footnoteReference w:id="1030"/>
      </w:r>
    </w:p>
    <w:p w:rsidR="000F560E" w:rsidRPr="00D147A7" w:rsidRDefault="000F560E" w:rsidP="000F560E">
      <w:pPr>
        <w:widowControl/>
        <w:suppressAutoHyphens w:val="0"/>
        <w:jc w:val="both"/>
        <w:rPr>
          <w:rFonts w:eastAsiaTheme="minorEastAsia"/>
          <w:kern w:val="0"/>
          <w:highlight w:val="green"/>
          <w:lang w:eastAsia="en-US" w:bidi="ar-SA"/>
        </w:rPr>
      </w:pPr>
      <w:r w:rsidRPr="00D147A7">
        <w:rPr>
          <w:rFonts w:eastAsiaTheme="minorEastAsia"/>
          <w:kern w:val="0"/>
          <w:lang w:eastAsia="en-US" w:bidi="ar-SA"/>
        </w:rPr>
        <w:lastRenderedPageBreak/>
        <w:t>Richtlijnen hebben evenwel geen dwingend karakter, maar verplichten lidstaten enkel om de nationale wetgeving (volgens een vrij te kiezen methode) aan te passen zodat een welbepaald eindresultaat bereikt</w:t>
      </w:r>
      <w:r w:rsidR="00667C55" w:rsidRPr="00667C55">
        <w:rPr>
          <w:rFonts w:eastAsiaTheme="minorEastAsia"/>
          <w:kern w:val="0"/>
          <w:lang w:eastAsia="en-US" w:bidi="ar-SA"/>
        </w:rPr>
        <w:t xml:space="preserve"> </w:t>
      </w:r>
      <w:r w:rsidR="00667C55" w:rsidRPr="00D147A7">
        <w:rPr>
          <w:rFonts w:eastAsiaTheme="minorEastAsia"/>
          <w:kern w:val="0"/>
          <w:lang w:eastAsia="en-US" w:bidi="ar-SA"/>
        </w:rPr>
        <w:t>wordt</w:t>
      </w:r>
      <w:r w:rsidRPr="00D147A7">
        <w:rPr>
          <w:rFonts w:eastAsiaTheme="minorEastAsia"/>
          <w:kern w:val="0"/>
          <w:lang w:eastAsia="en-US" w:bidi="ar-SA"/>
        </w:rPr>
        <w:t xml:space="preserve">. Daarom werd verordening nr. 45/2001 uitgevaardigd, waarvan de bepalingen wel rechtstreeks toegepast kunnen worden in de rechtsstelsels van de </w:t>
      </w:r>
      <w:r w:rsidR="00667C55" w:rsidRPr="00D147A7">
        <w:rPr>
          <w:rFonts w:eastAsiaTheme="minorEastAsia"/>
          <w:kern w:val="0"/>
          <w:lang w:eastAsia="en-US" w:bidi="ar-SA"/>
        </w:rPr>
        <w:t xml:space="preserve">verschillende </w:t>
      </w:r>
      <w:r w:rsidRPr="00D147A7">
        <w:rPr>
          <w:rFonts w:eastAsiaTheme="minorEastAsia"/>
          <w:kern w:val="0"/>
          <w:lang w:eastAsia="en-US" w:bidi="ar-SA"/>
        </w:rPr>
        <w:t>lidstaten.</w:t>
      </w:r>
      <w:r w:rsidRPr="00D147A7">
        <w:rPr>
          <w:rFonts w:eastAsiaTheme="minorEastAsia"/>
          <w:kern w:val="0"/>
          <w:vertAlign w:val="superscript"/>
          <w:lang w:eastAsia="en-US" w:bidi="ar-SA"/>
        </w:rPr>
        <w:footnoteReference w:id="1031"/>
      </w:r>
    </w:p>
    <w:p w:rsidR="000F560E" w:rsidRPr="00D147A7" w:rsidRDefault="000F560E" w:rsidP="000F560E">
      <w:pPr>
        <w:widowControl/>
        <w:suppressAutoHyphens w:val="0"/>
        <w:jc w:val="both"/>
        <w:rPr>
          <w:rFonts w:eastAsiaTheme="minorEastAsia"/>
          <w:kern w:val="0"/>
          <w:highlight w:val="green"/>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Naast het Verdrag van Straatsburg en Richtlijn 95/46/EG zijn er nog tal van andere normen waarin de persoonlijke levenssfeer van Europese burgers beschermd word</w:t>
      </w:r>
      <w:r w:rsidR="00CE2CBF">
        <w:rPr>
          <w:rFonts w:eastAsiaTheme="minorEastAsia"/>
          <w:kern w:val="0"/>
          <w:lang w:eastAsia="en-US" w:bidi="ar-SA"/>
        </w:rPr>
        <w:t>en</w:t>
      </w:r>
      <w:r w:rsidRPr="00D147A7">
        <w:rPr>
          <w:rFonts w:eastAsiaTheme="minorEastAsia"/>
          <w:kern w:val="0"/>
          <w:lang w:eastAsia="en-US" w:bidi="ar-SA"/>
        </w:rPr>
        <w:t>. Algemene pri</w:t>
      </w:r>
      <w:r w:rsidR="00CE2CBF">
        <w:rPr>
          <w:rFonts w:eastAsiaTheme="minorEastAsia"/>
          <w:kern w:val="0"/>
          <w:lang w:eastAsia="en-US" w:bidi="ar-SA"/>
        </w:rPr>
        <w:t>-</w:t>
      </w:r>
      <w:r w:rsidRPr="00D147A7">
        <w:rPr>
          <w:rFonts w:eastAsiaTheme="minorEastAsia"/>
          <w:kern w:val="0"/>
          <w:lang w:eastAsia="en-US" w:bidi="ar-SA"/>
        </w:rPr>
        <w:t>vacybepalingen kunnen o.m. teruggevonden worden in het verdrag betreffende de werking van de Europese Unie</w:t>
      </w:r>
      <w:r w:rsidRPr="00D147A7">
        <w:rPr>
          <w:rFonts w:eastAsiaTheme="minorEastAsia"/>
          <w:kern w:val="0"/>
          <w:vertAlign w:val="superscript"/>
          <w:lang w:eastAsia="en-US" w:bidi="ar-SA"/>
        </w:rPr>
        <w:footnoteReference w:id="1032"/>
      </w:r>
      <w:r w:rsidRPr="00D147A7">
        <w:rPr>
          <w:rFonts w:eastAsiaTheme="minorEastAsia"/>
          <w:kern w:val="0"/>
          <w:lang w:eastAsia="en-US" w:bidi="ar-SA"/>
        </w:rPr>
        <w:t>, het internationaal verdrag inzake burgerrechten en politieke rech</w:t>
      </w:r>
      <w:r w:rsidR="00CE2CBF">
        <w:rPr>
          <w:rFonts w:eastAsiaTheme="minorEastAsia"/>
          <w:kern w:val="0"/>
          <w:lang w:eastAsia="en-US" w:bidi="ar-SA"/>
        </w:rPr>
        <w:t>-</w:t>
      </w:r>
      <w:r w:rsidRPr="00D147A7">
        <w:rPr>
          <w:rFonts w:eastAsiaTheme="minorEastAsia"/>
          <w:kern w:val="0"/>
          <w:lang w:eastAsia="en-US" w:bidi="ar-SA"/>
        </w:rPr>
        <w:t>ten</w:t>
      </w:r>
      <w:r w:rsidRPr="00D147A7">
        <w:rPr>
          <w:rFonts w:eastAsiaTheme="minorEastAsia"/>
          <w:kern w:val="0"/>
          <w:vertAlign w:val="superscript"/>
          <w:lang w:eastAsia="en-US" w:bidi="ar-SA"/>
        </w:rPr>
        <w:footnoteReference w:id="1033"/>
      </w:r>
      <w:r w:rsidRPr="00D147A7">
        <w:rPr>
          <w:rFonts w:eastAsiaTheme="minorEastAsia"/>
          <w:kern w:val="0"/>
          <w:lang w:eastAsia="en-US" w:bidi="ar-SA"/>
        </w:rPr>
        <w:t xml:space="preserve"> en – dankzij het Verdrag van Lissabon</w:t>
      </w:r>
      <w:r w:rsidRPr="00D147A7">
        <w:rPr>
          <w:rFonts w:eastAsiaTheme="minorEastAsia"/>
          <w:kern w:val="0"/>
          <w:vertAlign w:val="superscript"/>
          <w:lang w:eastAsia="en-US" w:bidi="ar-SA"/>
        </w:rPr>
        <w:footnoteReference w:id="1034"/>
      </w:r>
      <w:r w:rsidRPr="00D147A7">
        <w:rPr>
          <w:rFonts w:eastAsiaTheme="minorEastAsia"/>
          <w:kern w:val="0"/>
          <w:lang w:eastAsia="en-US" w:bidi="ar-SA"/>
        </w:rPr>
        <w:t xml:space="preserve"> – in het Handvest van de Grondrechten van de Europese Unie.</w:t>
      </w:r>
      <w:r w:rsidRPr="00D147A7">
        <w:rPr>
          <w:rFonts w:eastAsiaTheme="minorEastAsia"/>
          <w:kern w:val="0"/>
          <w:vertAlign w:val="superscript"/>
          <w:lang w:eastAsia="en-US" w:bidi="ar-SA"/>
        </w:rPr>
        <w:footnoteReference w:id="1035"/>
      </w:r>
      <w:r w:rsidRPr="00D147A7">
        <w:rPr>
          <w:rFonts w:eastAsiaTheme="minorEastAsia"/>
          <w:kern w:val="0"/>
          <w:lang w:eastAsia="en-US" w:bidi="ar-SA"/>
        </w:rPr>
        <w:t xml:space="preserve"> Daarnaast zijn er ook specifieke regelingen uitgewerkt. In 1997 werd in het bijzonder voor de bescherming van gezondheidsgegevens een (niet-verbindende) aanbeve</w:t>
      </w:r>
      <w:r w:rsidR="004D71CF">
        <w:rPr>
          <w:rFonts w:eastAsiaTheme="minorEastAsia"/>
          <w:kern w:val="0"/>
          <w:lang w:eastAsia="en-US" w:bidi="ar-SA"/>
        </w:rPr>
        <w:t>-</w:t>
      </w:r>
      <w:r w:rsidRPr="00D147A7">
        <w:rPr>
          <w:rFonts w:eastAsiaTheme="minorEastAsia"/>
          <w:kern w:val="0"/>
          <w:lang w:eastAsia="en-US" w:bidi="ar-SA"/>
        </w:rPr>
        <w:t>ling uitgevaardigd</w:t>
      </w:r>
      <w:r w:rsidRPr="00D147A7">
        <w:rPr>
          <w:rFonts w:eastAsiaTheme="minorEastAsia"/>
          <w:smallCaps/>
          <w:kern w:val="0"/>
          <w:vertAlign w:val="superscript"/>
          <w:lang w:eastAsia="en-US" w:bidi="ar-SA"/>
        </w:rPr>
        <w:footnoteReference w:id="1036"/>
      </w:r>
      <w:r w:rsidRPr="00D147A7">
        <w:rPr>
          <w:rFonts w:eastAsiaTheme="minorEastAsia"/>
          <w:kern w:val="0"/>
          <w:lang w:eastAsia="en-US" w:bidi="ar-SA"/>
        </w:rPr>
        <w:t xml:space="preserve">, die enigszins navolging kreeg in nationale wetteksten met betrekking </w:t>
      </w:r>
      <w:r w:rsidRPr="00D147A7">
        <w:rPr>
          <w:rFonts w:eastAsiaTheme="minorEastAsia"/>
          <w:kern w:val="0"/>
          <w:lang w:eastAsia="en-US" w:bidi="ar-SA"/>
        </w:rPr>
        <w:lastRenderedPageBreak/>
        <w:t>tot de rechten van de patiënten.</w:t>
      </w:r>
      <w:r w:rsidRPr="00D147A7">
        <w:rPr>
          <w:rFonts w:eastAsiaTheme="minorEastAsia"/>
          <w:kern w:val="0"/>
          <w:vertAlign w:val="superscript"/>
          <w:lang w:eastAsia="en-US" w:bidi="ar-SA"/>
        </w:rPr>
        <w:footnoteReference w:id="1037"/>
      </w:r>
      <w:r w:rsidRPr="00D147A7">
        <w:rPr>
          <w:rFonts w:eastAsiaTheme="minorEastAsia"/>
          <w:kern w:val="0"/>
          <w:lang w:eastAsia="en-US" w:bidi="ar-SA"/>
        </w:rPr>
        <w:t xml:space="preserve"> Een andere belangrijke </w:t>
      </w:r>
      <w:r w:rsidRPr="004D71CF">
        <w:rPr>
          <w:rFonts w:eastAsiaTheme="minorEastAsia"/>
          <w:i/>
          <w:kern w:val="0"/>
          <w:lang w:eastAsia="en-US" w:bidi="ar-SA"/>
        </w:rPr>
        <w:t>lex specialis</w:t>
      </w:r>
      <w:r w:rsidRPr="00D147A7">
        <w:rPr>
          <w:rFonts w:eastAsiaTheme="minorEastAsia"/>
          <w:kern w:val="0"/>
          <w:lang w:eastAsia="en-US" w:bidi="ar-SA"/>
        </w:rPr>
        <w:t xml:space="preserve"> t.o.v. richtlijn 95/46/</w:t>
      </w:r>
      <w:r w:rsidR="00CE2CBF">
        <w:rPr>
          <w:rFonts w:eastAsiaTheme="minorEastAsia"/>
          <w:kern w:val="0"/>
          <w:lang w:eastAsia="en-US" w:bidi="ar-SA"/>
        </w:rPr>
        <w:t xml:space="preserve"> </w:t>
      </w:r>
      <w:r w:rsidRPr="00D147A7">
        <w:rPr>
          <w:rFonts w:eastAsiaTheme="minorEastAsia"/>
          <w:kern w:val="0"/>
          <w:lang w:eastAsia="en-US" w:bidi="ar-SA"/>
        </w:rPr>
        <w:t>EG werd voor de telecommunicatiesector uitgewerkt</w:t>
      </w:r>
      <w:r w:rsidRPr="00D147A7">
        <w:rPr>
          <w:rFonts w:eastAsiaTheme="minorEastAsia"/>
          <w:kern w:val="0"/>
          <w:vertAlign w:val="superscript"/>
          <w:lang w:eastAsia="en-US" w:bidi="ar-SA"/>
        </w:rPr>
        <w:footnoteReference w:id="1038"/>
      </w:r>
      <w:r w:rsidRPr="00D147A7">
        <w:rPr>
          <w:rFonts w:eastAsiaTheme="minorEastAsia"/>
          <w:kern w:val="0"/>
          <w:lang w:eastAsia="en-US" w:bidi="ar-SA"/>
        </w:rPr>
        <w:t>, die in 2002 aan de openbare elektro</w:t>
      </w:r>
      <w:r w:rsidR="00CE2CBF">
        <w:rPr>
          <w:rFonts w:eastAsiaTheme="minorEastAsia"/>
          <w:kern w:val="0"/>
          <w:lang w:eastAsia="en-US" w:bidi="ar-SA"/>
        </w:rPr>
        <w:t>-</w:t>
      </w:r>
      <w:r w:rsidRPr="00D147A7">
        <w:rPr>
          <w:rFonts w:eastAsiaTheme="minorEastAsia"/>
          <w:kern w:val="0"/>
          <w:lang w:eastAsia="en-US" w:bidi="ar-SA"/>
        </w:rPr>
        <w:t>nische communicatienetwerken en -diensten aangepast werd (in het zgn. ‘telecompakket’).</w:t>
      </w:r>
      <w:r w:rsidRPr="00D147A7">
        <w:rPr>
          <w:rFonts w:eastAsiaTheme="minorEastAsia"/>
          <w:kern w:val="0"/>
          <w:vertAlign w:val="superscript"/>
          <w:lang w:eastAsia="en-US" w:bidi="ar-SA"/>
        </w:rPr>
        <w:footnoteReference w:id="1039"/>
      </w:r>
      <w:r w:rsidRPr="00D147A7">
        <w:rPr>
          <w:rFonts w:eastAsiaTheme="minorEastAsia"/>
          <w:kern w:val="0"/>
          <w:lang w:eastAsia="en-US" w:bidi="ar-SA"/>
        </w:rPr>
        <w:t xml:space="preserve"> </w:t>
      </w:r>
      <w:r w:rsidR="004D71CF">
        <w:rPr>
          <w:rFonts w:eastAsiaTheme="minorEastAsia"/>
          <w:kern w:val="0"/>
          <w:lang w:eastAsia="en-US" w:bidi="ar-SA"/>
        </w:rPr>
        <w:t>Ee</w:t>
      </w:r>
      <w:r w:rsidRPr="00D147A7">
        <w:rPr>
          <w:rFonts w:eastAsiaTheme="minorEastAsia"/>
          <w:kern w:val="0"/>
          <w:lang w:eastAsia="en-US" w:bidi="ar-SA"/>
        </w:rPr>
        <w:t>n laatste aanvulling op richtlijn 95/46/EG die hier aangestipt</w:t>
      </w:r>
      <w:r w:rsidR="004D71CF" w:rsidRPr="004D71CF">
        <w:rPr>
          <w:rFonts w:eastAsiaTheme="minorEastAsia"/>
          <w:kern w:val="0"/>
          <w:lang w:eastAsia="en-US" w:bidi="ar-SA"/>
        </w:rPr>
        <w:t xml:space="preserve"> </w:t>
      </w:r>
      <w:r w:rsidR="004D71CF" w:rsidRPr="00D147A7">
        <w:rPr>
          <w:rFonts w:eastAsiaTheme="minorEastAsia"/>
          <w:kern w:val="0"/>
          <w:lang w:eastAsia="en-US" w:bidi="ar-SA"/>
        </w:rPr>
        <w:t>wordt</w:t>
      </w:r>
      <w:r w:rsidRPr="00D147A7">
        <w:rPr>
          <w:rFonts w:eastAsiaTheme="minorEastAsia"/>
          <w:kern w:val="0"/>
          <w:lang w:eastAsia="en-US" w:bidi="ar-SA"/>
        </w:rPr>
        <w:t>, is Kaderbesluit 2008/</w:t>
      </w:r>
      <w:r w:rsidR="00CE2CBF">
        <w:rPr>
          <w:rFonts w:eastAsiaTheme="minorEastAsia"/>
          <w:kern w:val="0"/>
          <w:lang w:eastAsia="en-US" w:bidi="ar-SA"/>
        </w:rPr>
        <w:t xml:space="preserve"> </w:t>
      </w:r>
      <w:r w:rsidRPr="00D147A7">
        <w:rPr>
          <w:rFonts w:eastAsiaTheme="minorEastAsia"/>
          <w:kern w:val="0"/>
          <w:lang w:eastAsia="en-US" w:bidi="ar-SA"/>
        </w:rPr>
        <w:t>977/JHA m.b.t. de bescherming van persoonsgegevens op het gebied van politiële en justitiële samenwerking in strafzaken.</w:t>
      </w:r>
      <w:r w:rsidRPr="00D147A7">
        <w:rPr>
          <w:rFonts w:eastAsiaTheme="minorEastAsia"/>
          <w:kern w:val="0"/>
          <w:vertAlign w:val="superscript"/>
          <w:lang w:eastAsia="en-US" w:bidi="ar-SA"/>
        </w:rPr>
        <w:footnoteReference w:id="1040"/>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highlight w:val="red"/>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Gegevens verzamelen en delen is eenvoudiger dan ooit. Het is zelfs zo dat de economische ontwikkeling afhankelijk geworden is van ICT. Bij gebrek aan vertrouwen in de digitale we</w:t>
      </w:r>
      <w:r w:rsidR="004D71CF">
        <w:rPr>
          <w:rFonts w:eastAsiaTheme="minorEastAsia"/>
          <w:kern w:val="0"/>
          <w:lang w:eastAsia="en-US" w:bidi="ar-SA"/>
        </w:rPr>
        <w:t>-</w:t>
      </w:r>
      <w:r w:rsidRPr="00D147A7">
        <w:rPr>
          <w:rFonts w:eastAsiaTheme="minorEastAsia"/>
          <w:kern w:val="0"/>
          <w:lang w:eastAsia="en-US" w:bidi="ar-SA"/>
        </w:rPr>
        <w:t xml:space="preserve">reld zullen consumenten er immers voor terugdeinzen om hun aankopen via internet te doen, wat de ontwikkeling van innovatieve toepassingen van de nieuwe technologieën een halt </w:t>
      </w:r>
      <w:r w:rsidR="00CE2CBF" w:rsidRPr="00D147A7">
        <w:rPr>
          <w:rFonts w:eastAsiaTheme="minorEastAsia"/>
          <w:kern w:val="0"/>
          <w:lang w:eastAsia="en-US" w:bidi="ar-SA"/>
        </w:rPr>
        <w:t>toe</w:t>
      </w:r>
      <w:r w:rsidR="00CE2CBF">
        <w:rPr>
          <w:rFonts w:eastAsiaTheme="minorEastAsia"/>
          <w:kern w:val="0"/>
          <w:lang w:eastAsia="en-US" w:bidi="ar-SA"/>
        </w:rPr>
        <w:t xml:space="preserve"> </w:t>
      </w:r>
      <w:r w:rsidRPr="00D147A7">
        <w:rPr>
          <w:rFonts w:eastAsiaTheme="minorEastAsia"/>
          <w:kern w:val="0"/>
          <w:lang w:eastAsia="en-US" w:bidi="ar-SA"/>
        </w:rPr>
        <w:t>zou roepen. Het is dan ook niet te verwonderen dat de bescherming van (elektronische) per</w:t>
      </w:r>
      <w:r w:rsidR="004D71CF">
        <w:rPr>
          <w:rFonts w:eastAsiaTheme="minorEastAsia"/>
          <w:kern w:val="0"/>
          <w:lang w:eastAsia="en-US" w:bidi="ar-SA"/>
        </w:rPr>
        <w:t>-</w:t>
      </w:r>
      <w:r w:rsidRPr="00D147A7">
        <w:rPr>
          <w:rFonts w:eastAsiaTheme="minorEastAsia"/>
          <w:kern w:val="0"/>
          <w:lang w:eastAsia="en-US" w:bidi="ar-SA"/>
        </w:rPr>
        <w:t>soonsgegevens nog steeds bovenaan de Europese agenda staat.</w:t>
      </w:r>
      <w:r w:rsidRPr="00D147A7">
        <w:rPr>
          <w:rFonts w:eastAsiaTheme="minorEastAsia"/>
          <w:kern w:val="0"/>
          <w:vertAlign w:val="superscript"/>
          <w:lang w:eastAsia="en-US" w:bidi="ar-SA"/>
        </w:rPr>
        <w:footnoteReference w:id="1041"/>
      </w:r>
      <w:r w:rsidRPr="00D147A7">
        <w:rPr>
          <w:rFonts w:eastAsiaTheme="minorEastAsia"/>
          <w:kern w:val="0"/>
          <w:lang w:eastAsia="en-US" w:bidi="ar-SA"/>
        </w:rPr>
        <w:t xml:space="preserve"> Om aan deze nieuwe uitda</w:t>
      </w:r>
      <w:r w:rsidR="004D71CF">
        <w:rPr>
          <w:rFonts w:eastAsiaTheme="minorEastAsia"/>
          <w:kern w:val="0"/>
          <w:lang w:eastAsia="en-US" w:bidi="ar-SA"/>
        </w:rPr>
        <w:t>-</w:t>
      </w:r>
      <w:r w:rsidRPr="00D147A7">
        <w:rPr>
          <w:rFonts w:eastAsiaTheme="minorEastAsia"/>
          <w:kern w:val="0"/>
          <w:lang w:eastAsia="en-US" w:bidi="ar-SA"/>
        </w:rPr>
        <w:t>gingen tegemoet te komen, stelde de Europese Commissie op 5 januari 2012 een nieuw kader voor de bescherming van persoonsgegevens voor.</w:t>
      </w:r>
      <w:r w:rsidRPr="00D147A7">
        <w:rPr>
          <w:rFonts w:eastAsiaTheme="minorEastAsia"/>
          <w:kern w:val="0"/>
          <w:vertAlign w:val="superscript"/>
          <w:lang w:eastAsia="en-US" w:bidi="ar-SA"/>
        </w:rPr>
        <w:footnoteReference w:id="1042"/>
      </w:r>
      <w:r w:rsidRPr="00D147A7">
        <w:rPr>
          <w:rFonts w:eastAsiaTheme="minorEastAsia"/>
          <w:kern w:val="0"/>
          <w:lang w:eastAsia="en-US" w:bidi="ar-SA"/>
        </w:rPr>
        <w:t xml:space="preserve"> Dit kader bestaat uit een voorstel voor </w:t>
      </w:r>
      <w:r w:rsidRPr="00D147A7">
        <w:rPr>
          <w:rFonts w:eastAsiaTheme="minorEastAsia"/>
          <w:kern w:val="0"/>
          <w:lang w:eastAsia="en-US" w:bidi="ar-SA"/>
        </w:rPr>
        <w:lastRenderedPageBreak/>
        <w:t xml:space="preserve">een richtlijn betreffende de bescherming van de persoonlijke levenssfeer van de natuurlijke personen wiens gegevens verwerkt worden door een bevoegde autoriteiten ter voorkoming, </w:t>
      </w:r>
      <w:r w:rsidR="004D71CF">
        <w:rPr>
          <w:rFonts w:eastAsiaTheme="minorEastAsia"/>
          <w:kern w:val="0"/>
          <w:lang w:eastAsia="en-US" w:bidi="ar-SA"/>
        </w:rPr>
        <w:t xml:space="preserve">het </w:t>
      </w:r>
      <w:r w:rsidRPr="00D147A7">
        <w:rPr>
          <w:rFonts w:eastAsiaTheme="minorEastAsia"/>
          <w:kern w:val="0"/>
          <w:lang w:eastAsia="en-US" w:bidi="ar-SA"/>
        </w:rPr>
        <w:t xml:space="preserve">onderzoek, </w:t>
      </w:r>
      <w:r w:rsidR="004D71CF">
        <w:rPr>
          <w:rFonts w:eastAsiaTheme="minorEastAsia"/>
          <w:kern w:val="0"/>
          <w:lang w:eastAsia="en-US" w:bidi="ar-SA"/>
        </w:rPr>
        <w:t xml:space="preserve">de </w:t>
      </w:r>
      <w:r w:rsidRPr="00D147A7">
        <w:rPr>
          <w:rFonts w:eastAsiaTheme="minorEastAsia"/>
          <w:kern w:val="0"/>
          <w:lang w:eastAsia="en-US" w:bidi="ar-SA"/>
        </w:rPr>
        <w:t xml:space="preserve">opsporing en </w:t>
      </w:r>
      <w:r w:rsidR="004D71CF">
        <w:rPr>
          <w:rFonts w:eastAsiaTheme="minorEastAsia"/>
          <w:kern w:val="0"/>
          <w:lang w:eastAsia="en-US" w:bidi="ar-SA"/>
        </w:rPr>
        <w:t xml:space="preserve">de </w:t>
      </w:r>
      <w:r w:rsidRPr="00D147A7">
        <w:rPr>
          <w:rFonts w:eastAsiaTheme="minorEastAsia"/>
          <w:kern w:val="0"/>
          <w:lang w:eastAsia="en-US" w:bidi="ar-SA"/>
        </w:rPr>
        <w:t>vervolging van strafbare feiten of de tenuitvoerlegging van strafrechtelijke sancties</w:t>
      </w:r>
      <w:r w:rsidRPr="00D147A7">
        <w:rPr>
          <w:rFonts w:eastAsiaTheme="minorEastAsia"/>
          <w:kern w:val="0"/>
          <w:vertAlign w:val="superscript"/>
          <w:lang w:eastAsia="en-US" w:bidi="ar-SA"/>
        </w:rPr>
        <w:footnoteReference w:id="1043"/>
      </w:r>
      <w:r w:rsidRPr="00D147A7">
        <w:rPr>
          <w:rFonts w:eastAsiaTheme="minorEastAsia"/>
          <w:kern w:val="0"/>
          <w:lang w:eastAsia="en-US" w:bidi="ar-SA"/>
        </w:rPr>
        <w:t xml:space="preserve"> en een voorstel voor een verordening betreffende de bescherming van de persoonlijke levenssfeer van de natuurlijke personen wiens gegevens in het algemeen verwerkt</w:t>
      </w:r>
      <w:r w:rsidR="004D71CF" w:rsidRPr="004D71CF">
        <w:rPr>
          <w:rFonts w:eastAsiaTheme="minorEastAsia"/>
          <w:kern w:val="0"/>
          <w:lang w:eastAsia="en-US" w:bidi="ar-SA"/>
        </w:rPr>
        <w:t xml:space="preserve"> </w:t>
      </w:r>
      <w:r w:rsidR="004D71CF" w:rsidRPr="00D147A7">
        <w:rPr>
          <w:rFonts w:eastAsiaTheme="minorEastAsia"/>
          <w:kern w:val="0"/>
          <w:lang w:eastAsia="en-US" w:bidi="ar-SA"/>
        </w:rPr>
        <w:t>worden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044"/>
      </w:r>
      <w:r w:rsidRPr="00D147A7">
        <w:rPr>
          <w:rFonts w:eastAsiaTheme="minorEastAsia"/>
          <w:kern w:val="0"/>
          <w:lang w:eastAsia="en-US" w:bidi="ar-SA"/>
        </w:rPr>
        <w:t xml:space="preserve"> Een eerste nieuw element dat in deze voorstellen aan bod komt, is het recht dat burgers zouden krijgen om persoonlijke informatie van websites – </w:t>
      </w:r>
      <w:r w:rsidR="00CE2CBF">
        <w:rPr>
          <w:rFonts w:eastAsiaTheme="minorEastAsia"/>
          <w:kern w:val="0"/>
          <w:lang w:eastAsia="en-US" w:bidi="ar-SA"/>
        </w:rPr>
        <w:t>en</w:t>
      </w:r>
      <w:r w:rsidRPr="00D147A7">
        <w:rPr>
          <w:rFonts w:eastAsiaTheme="minorEastAsia"/>
          <w:kern w:val="0"/>
          <w:lang w:eastAsia="en-US" w:bidi="ar-SA"/>
        </w:rPr>
        <w:t xml:space="preserve"> sociale net</w:t>
      </w:r>
      <w:r w:rsidR="004D71CF">
        <w:rPr>
          <w:rFonts w:eastAsiaTheme="minorEastAsia"/>
          <w:kern w:val="0"/>
          <w:lang w:eastAsia="en-US" w:bidi="ar-SA"/>
        </w:rPr>
        <w:t>-</w:t>
      </w:r>
      <w:r w:rsidRPr="00D147A7">
        <w:rPr>
          <w:rFonts w:eastAsiaTheme="minorEastAsia"/>
          <w:kern w:val="0"/>
          <w:lang w:eastAsia="en-US" w:bidi="ar-SA"/>
        </w:rPr>
        <w:t>werksites in het bijzonder – te laten verwijderen</w:t>
      </w:r>
      <w:r w:rsidR="00CE2CBF">
        <w:rPr>
          <w:rFonts w:eastAsiaTheme="minorEastAsia"/>
          <w:kern w:val="0"/>
          <w:lang w:eastAsia="en-US" w:bidi="ar-SA"/>
        </w:rPr>
        <w:t xml:space="preserve">, wat </w:t>
      </w:r>
      <w:r w:rsidRPr="00D147A7">
        <w:rPr>
          <w:rFonts w:eastAsiaTheme="minorEastAsia"/>
          <w:kern w:val="0"/>
          <w:lang w:eastAsia="en-US" w:bidi="ar-SA"/>
        </w:rPr>
        <w:t>als het ‘recht op vergetelheid 2.0’</w:t>
      </w:r>
      <w:r w:rsidR="00CE2CBF">
        <w:rPr>
          <w:rFonts w:eastAsiaTheme="minorEastAsia"/>
          <w:kern w:val="0"/>
          <w:lang w:eastAsia="en-US" w:bidi="ar-SA"/>
        </w:rPr>
        <w:t xml:space="preserve"> </w:t>
      </w:r>
      <w:r w:rsidR="00CE2CBF" w:rsidRPr="00D147A7">
        <w:rPr>
          <w:rFonts w:eastAsiaTheme="minorEastAsia"/>
          <w:kern w:val="0"/>
          <w:lang w:eastAsia="en-US" w:bidi="ar-SA"/>
        </w:rPr>
        <w:t>kan worden aangeduid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045"/>
      </w:r>
      <w:r w:rsidRPr="00D147A7">
        <w:rPr>
          <w:rFonts w:eastAsiaTheme="minorEastAsia"/>
          <w:kern w:val="0"/>
          <w:lang w:eastAsia="en-US" w:bidi="ar-SA"/>
        </w:rPr>
        <w:t xml:space="preserve"> Een andere nieuwigheid is dat bedrijven en organisatie ernstige gege</w:t>
      </w:r>
      <w:r w:rsidR="004D71CF">
        <w:rPr>
          <w:rFonts w:eastAsiaTheme="minorEastAsia"/>
          <w:kern w:val="0"/>
          <w:lang w:eastAsia="en-US" w:bidi="ar-SA"/>
        </w:rPr>
        <w:t>-</w:t>
      </w:r>
      <w:r w:rsidRPr="00D147A7">
        <w:rPr>
          <w:rFonts w:eastAsiaTheme="minorEastAsia"/>
          <w:kern w:val="0"/>
          <w:lang w:eastAsia="en-US" w:bidi="ar-SA"/>
        </w:rPr>
        <w:t>venslekken binnen de 24 uur zullen moeten melden. Ook wordt de rechtszekerheid van Euro</w:t>
      </w:r>
      <w:r w:rsidR="004D71CF">
        <w:rPr>
          <w:rFonts w:eastAsiaTheme="minorEastAsia"/>
          <w:kern w:val="0"/>
          <w:lang w:eastAsia="en-US" w:bidi="ar-SA"/>
        </w:rPr>
        <w:t>-</w:t>
      </w:r>
      <w:r w:rsidRPr="00D147A7">
        <w:rPr>
          <w:rFonts w:eastAsiaTheme="minorEastAsia"/>
          <w:kern w:val="0"/>
          <w:lang w:eastAsia="en-US" w:bidi="ar-SA"/>
        </w:rPr>
        <w:t>pese burgers aangescherpt: hun persoonsgegevens zullen altijd en overal volgens de Europese regels beschermd</w:t>
      </w:r>
      <w:r w:rsidR="004D71CF" w:rsidRPr="004D71CF">
        <w:rPr>
          <w:rFonts w:eastAsiaTheme="minorEastAsia"/>
          <w:kern w:val="0"/>
          <w:lang w:eastAsia="en-US" w:bidi="ar-SA"/>
        </w:rPr>
        <w:t xml:space="preserve"> </w:t>
      </w:r>
      <w:r w:rsidR="004D71CF" w:rsidRPr="00D147A7">
        <w:rPr>
          <w:rFonts w:eastAsiaTheme="minorEastAsia"/>
          <w:kern w:val="0"/>
          <w:lang w:eastAsia="en-US" w:bidi="ar-SA"/>
        </w:rPr>
        <w:t>worden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046"/>
      </w:r>
      <w:r w:rsidRPr="00D147A7">
        <w:rPr>
          <w:rFonts w:eastAsiaTheme="minorEastAsia"/>
          <w:kern w:val="0"/>
          <w:lang w:eastAsia="en-US" w:bidi="ar-SA"/>
        </w:rPr>
        <w:t xml:space="preserve"> De Europese regels zullen ook gelden voor bedrijven die buiten de Europese Unie gevestigd zijn, maar hun diensten in de Europese Unie aanbieden. Verder wordt de onzekerheid beëindigd over de wijze waarop de toestemming van betrokkenen beko</w:t>
      </w:r>
      <w:r w:rsidR="00C923EA">
        <w:rPr>
          <w:rFonts w:eastAsiaTheme="minorEastAsia"/>
          <w:kern w:val="0"/>
          <w:lang w:eastAsia="en-US" w:bidi="ar-SA"/>
        </w:rPr>
        <w:t>-</w:t>
      </w:r>
      <w:r w:rsidRPr="00D147A7">
        <w:rPr>
          <w:rFonts w:eastAsiaTheme="minorEastAsia"/>
          <w:kern w:val="0"/>
          <w:lang w:eastAsia="en-US" w:bidi="ar-SA"/>
        </w:rPr>
        <w:t xml:space="preserve">men moet worden voor de bewaring van </w:t>
      </w:r>
      <w:r w:rsidR="00CE2CBF">
        <w:rPr>
          <w:rFonts w:eastAsiaTheme="minorEastAsia"/>
          <w:kern w:val="0"/>
          <w:lang w:eastAsia="en-US" w:bidi="ar-SA"/>
        </w:rPr>
        <w:t>hun</w:t>
      </w:r>
      <w:r w:rsidRPr="00D147A7">
        <w:rPr>
          <w:rFonts w:eastAsiaTheme="minorEastAsia"/>
          <w:kern w:val="0"/>
          <w:lang w:eastAsia="en-US" w:bidi="ar-SA"/>
        </w:rPr>
        <w:t xml:space="preserve"> persoonsgegevens. </w:t>
      </w:r>
      <w:r w:rsidR="00CE2CBF">
        <w:rPr>
          <w:rFonts w:eastAsiaTheme="minorEastAsia"/>
          <w:kern w:val="0"/>
          <w:lang w:eastAsia="en-US" w:bidi="ar-SA"/>
        </w:rPr>
        <w:t>Omdat d</w:t>
      </w:r>
      <w:r w:rsidRPr="00D147A7">
        <w:rPr>
          <w:rFonts w:eastAsiaTheme="minorEastAsia"/>
          <w:kern w:val="0"/>
          <w:lang w:eastAsia="en-US" w:bidi="ar-SA"/>
        </w:rPr>
        <w:t>e veronderstelde toe</w:t>
      </w:r>
      <w:r w:rsidR="00CE2CBF">
        <w:rPr>
          <w:rFonts w:eastAsiaTheme="minorEastAsia"/>
          <w:kern w:val="0"/>
          <w:lang w:eastAsia="en-US" w:bidi="ar-SA"/>
        </w:rPr>
        <w:t>-</w:t>
      </w:r>
      <w:r w:rsidRPr="00D147A7">
        <w:rPr>
          <w:rFonts w:eastAsiaTheme="minorEastAsia"/>
          <w:kern w:val="0"/>
          <w:lang w:eastAsia="en-US" w:bidi="ar-SA"/>
        </w:rPr>
        <w:t xml:space="preserve">stemming </w:t>
      </w:r>
      <w:r w:rsidR="00CE2CBF">
        <w:rPr>
          <w:rFonts w:eastAsiaTheme="minorEastAsia"/>
          <w:kern w:val="0"/>
          <w:lang w:eastAsia="en-US" w:bidi="ar-SA"/>
        </w:rPr>
        <w:t xml:space="preserve">ontoereikend bevonden werd, zal </w:t>
      </w:r>
      <w:r w:rsidRPr="00D147A7">
        <w:rPr>
          <w:rFonts w:eastAsiaTheme="minorEastAsia"/>
          <w:kern w:val="0"/>
          <w:lang w:eastAsia="en-US" w:bidi="ar-SA"/>
        </w:rPr>
        <w:t xml:space="preserve">het </w:t>
      </w:r>
      <w:r w:rsidRPr="00C923EA">
        <w:rPr>
          <w:rFonts w:eastAsiaTheme="minorEastAsia"/>
          <w:i/>
          <w:kern w:val="0"/>
          <w:lang w:eastAsia="en-US" w:bidi="ar-SA"/>
        </w:rPr>
        <w:t>opt-in</w:t>
      </w:r>
      <w:r w:rsidRPr="00D147A7">
        <w:rPr>
          <w:rFonts w:eastAsiaTheme="minorEastAsia"/>
          <w:kern w:val="0"/>
          <w:lang w:eastAsia="en-US" w:bidi="ar-SA"/>
        </w:rPr>
        <w:t xml:space="preserve"> systeem wettelijk verplicht</w:t>
      </w:r>
      <w:r w:rsidR="00CE2CBF">
        <w:rPr>
          <w:rFonts w:eastAsiaTheme="minorEastAsia"/>
          <w:kern w:val="0"/>
          <w:lang w:eastAsia="en-US" w:bidi="ar-SA"/>
        </w:rPr>
        <w:t xml:space="preserve"> worden</w:t>
      </w:r>
      <w:r w:rsidR="00476D03">
        <w:rPr>
          <w:rFonts w:eastAsiaTheme="minorEastAsia"/>
          <w:kern w:val="0"/>
          <w:lang w:eastAsia="en-US" w:bidi="ar-SA"/>
        </w:rPr>
        <w:t>.</w:t>
      </w:r>
    </w:p>
    <w:p w:rsidR="000F560E" w:rsidRPr="00D147A7" w:rsidRDefault="000F560E" w:rsidP="000F560E">
      <w:pPr>
        <w:jc w:val="both"/>
        <w:rPr>
          <w:rFonts w:eastAsiaTheme="minorEastAsia"/>
          <w:b/>
          <w:kern w:val="0"/>
          <w:lang w:eastAsia="en-US" w:bidi="ar-SA"/>
        </w:rPr>
      </w:pPr>
    </w:p>
    <w:p w:rsidR="000F560E" w:rsidRPr="00D147A7" w:rsidRDefault="000F560E" w:rsidP="000F560E">
      <w:pPr>
        <w:jc w:val="both"/>
        <w:rPr>
          <w:rFonts w:eastAsiaTheme="minorEastAsia"/>
          <w:b/>
          <w:kern w:val="0"/>
          <w:lang w:eastAsia="en-US" w:bidi="ar-SA"/>
        </w:rPr>
      </w:pPr>
    </w:p>
    <w:p w:rsidR="000F560E" w:rsidRPr="00D147A7" w:rsidRDefault="000F560E" w:rsidP="000F560E">
      <w:pPr>
        <w:jc w:val="both"/>
        <w:rPr>
          <w:bCs/>
          <w:smallCaps/>
        </w:rPr>
      </w:pPr>
      <w:r w:rsidRPr="00D147A7">
        <w:rPr>
          <w:rFonts w:eastAsiaTheme="minorEastAsia"/>
          <w:smallCaps/>
          <w:kern w:val="0"/>
          <w:lang w:eastAsia="en-US" w:bidi="ar-SA"/>
        </w:rPr>
        <w:t xml:space="preserve">4.2 </w:t>
      </w:r>
      <w:r w:rsidRPr="00D147A7">
        <w:rPr>
          <w:bCs/>
          <w:smallCaps/>
        </w:rPr>
        <w:t>Definities en toepassingsgebied</w:t>
      </w:r>
    </w:p>
    <w:p w:rsidR="000F560E" w:rsidRPr="00D147A7" w:rsidRDefault="000F560E" w:rsidP="000F560E">
      <w:pPr>
        <w:jc w:val="both"/>
        <w:rPr>
          <w:b/>
          <w:bCs/>
        </w:rPr>
      </w:pPr>
    </w:p>
    <w:p w:rsidR="000F560E" w:rsidRPr="00476D03" w:rsidRDefault="000F560E" w:rsidP="000F560E">
      <w:pPr>
        <w:jc w:val="both"/>
      </w:pPr>
      <w:r w:rsidRPr="00D147A7">
        <w:t xml:space="preserve">Voor een goed begrip van de privacywetgeving moeten de gehanteerde begrippen – waar deze verhandeling van doorspekt is – duidelijk zijn. ‘Persoonsgegevens’ is de eerste term die hier nader wordt toegelicht. De definitie van dit begrip is van cruciaal belang </w:t>
      </w:r>
      <w:r w:rsidR="00A82BBD">
        <w:t>omdat hierin</w:t>
      </w:r>
      <w:r w:rsidRPr="00D147A7">
        <w:t xml:space="preserve"> het </w:t>
      </w:r>
      <w:r w:rsidR="00A82BBD">
        <w:t xml:space="preserve">toepassingsgebied </w:t>
      </w:r>
      <w:r w:rsidRPr="00D147A7">
        <w:t xml:space="preserve">van de privacywet </w:t>
      </w:r>
      <w:r w:rsidR="00A82BBD">
        <w:t>besloten ligt</w:t>
      </w:r>
      <w:r w:rsidRPr="00D147A7">
        <w:t>.</w:t>
      </w:r>
      <w:r w:rsidRPr="00D147A7">
        <w:rPr>
          <w:vertAlign w:val="superscript"/>
        </w:rPr>
        <w:footnoteReference w:id="1047"/>
      </w:r>
      <w:r w:rsidRPr="00D147A7">
        <w:t xml:space="preserve"> Eerst en vooral moet opgemerkt wor</w:t>
      </w:r>
      <w:r w:rsidR="00A82BBD">
        <w:t>-</w:t>
      </w:r>
      <w:r w:rsidRPr="00D147A7">
        <w:t>den dat ‘gegeven’ hier niet naar de kleinst mogelijke betekenisvolle eenheid van informatie verwijst, maar naar de groepering van dergelijke eenheden. Zo worden persoonsgegevens om</w:t>
      </w:r>
      <w:r w:rsidR="00A82BBD">
        <w:t>-</w:t>
      </w:r>
      <w:r w:rsidRPr="00D147A7">
        <w:lastRenderedPageBreak/>
        <w:t xml:space="preserve">schreven als </w:t>
      </w:r>
      <w:r w:rsidRPr="00D147A7">
        <w:rPr>
          <w:i/>
          <w:iCs/>
        </w:rPr>
        <w:t>iedere informatie betreffende een geïdentificeerde of identificeerbare natuurlijke persoon</w:t>
      </w:r>
      <w:r w:rsidRPr="00D147A7">
        <w:t>.</w:t>
      </w:r>
      <w:r w:rsidRPr="00D147A7">
        <w:rPr>
          <w:vertAlign w:val="superscript"/>
        </w:rPr>
        <w:footnoteReference w:id="1048"/>
      </w:r>
      <w:r w:rsidRPr="00D147A7">
        <w:t xml:space="preserve"> </w:t>
      </w:r>
      <w:r w:rsidRPr="00D147A7">
        <w:rPr>
          <w:rFonts w:eastAsiaTheme="minorEastAsia"/>
          <w:kern w:val="0"/>
          <w:lang w:eastAsia="en-US" w:bidi="ar-SA"/>
        </w:rPr>
        <w:t>Enkel gegevens die op natuurlijke personen betrekking hebben, komen in aan</w:t>
      </w:r>
      <w:r w:rsidR="00A82BBD">
        <w:rPr>
          <w:rFonts w:eastAsiaTheme="minorEastAsia"/>
          <w:kern w:val="0"/>
          <w:lang w:eastAsia="en-US" w:bidi="ar-SA"/>
        </w:rPr>
        <w:t>-</w:t>
      </w:r>
      <w:r w:rsidRPr="00D147A7">
        <w:rPr>
          <w:rFonts w:eastAsiaTheme="minorEastAsia"/>
          <w:kern w:val="0"/>
          <w:lang w:eastAsia="en-US" w:bidi="ar-SA"/>
        </w:rPr>
        <w:t xml:space="preserve">merking om als ‘persoonsgegevens’ te worden beschermd. De bepalingen van de privacywet zijn dus niet van toepassing op rechtspersonen, tenzij </w:t>
      </w:r>
      <w:r w:rsidR="00A82BBD">
        <w:rPr>
          <w:rFonts w:eastAsiaTheme="minorEastAsia"/>
          <w:kern w:val="0"/>
          <w:lang w:eastAsia="en-US" w:bidi="ar-SA"/>
        </w:rPr>
        <w:t xml:space="preserve">de </w:t>
      </w:r>
      <w:r w:rsidRPr="00D147A7">
        <w:rPr>
          <w:rFonts w:eastAsiaTheme="minorEastAsia"/>
          <w:kern w:val="0"/>
          <w:lang w:eastAsia="en-US" w:bidi="ar-SA"/>
        </w:rPr>
        <w:t>gegevens die verband houden met een rechtspersoon direct afhankelijk zijn van gegevens over een natuurlijke persoon (zoals bij eenpersoonsvennootschappen met beperkte aansprakelijkheid).</w:t>
      </w:r>
      <w:r w:rsidRPr="00D147A7">
        <w:rPr>
          <w:rFonts w:eastAsiaTheme="minorEastAsia"/>
          <w:kern w:val="0"/>
          <w:vertAlign w:val="superscript"/>
          <w:lang w:eastAsia="en-US" w:bidi="ar-SA"/>
        </w:rPr>
        <w:footnoteReference w:id="1049"/>
      </w:r>
      <w:r w:rsidRPr="00D147A7">
        <w:t xml:space="preserve"> Verder moet de privacywet ook toegepast worden wanneer zowel gegevens m.b.t. een rechtspersoon als gegevens betref</w:t>
      </w:r>
      <w:r w:rsidR="00A82BBD">
        <w:t>-</w:t>
      </w:r>
      <w:r w:rsidRPr="00D147A7">
        <w:t>fende een natuurlijke persoon verwerkt worden (zgn. ‘gemengde verwerkingen’).</w:t>
      </w:r>
      <w:r w:rsidRPr="00D147A7">
        <w:rPr>
          <w:vertAlign w:val="superscript"/>
        </w:rPr>
        <w:footnoteReference w:id="1050"/>
      </w:r>
      <w:r w:rsidRPr="00D147A7">
        <w:t xml:space="preserve"> </w:t>
      </w:r>
      <w:r w:rsidRPr="00D147A7">
        <w:rPr>
          <w:rFonts w:eastAsiaTheme="minorEastAsia"/>
          <w:kern w:val="0"/>
          <w:lang w:eastAsia="en-US" w:bidi="ar-SA"/>
        </w:rPr>
        <w:t>Het is niet geheel duidelijk of een ‘betrokkene’ in leven moet zijn opdat de hem of haar betreffende gegevens als persoonsgegevens gekwalificeerd worden.</w:t>
      </w:r>
      <w:r w:rsidRPr="00D147A7">
        <w:rPr>
          <w:rFonts w:eastAsiaTheme="minorEastAsia"/>
          <w:kern w:val="0"/>
          <w:vertAlign w:val="superscript"/>
          <w:lang w:eastAsia="en-US" w:bidi="ar-SA"/>
        </w:rPr>
        <w:footnoteReference w:id="1051"/>
      </w:r>
      <w:r w:rsidRPr="00D147A7">
        <w:rPr>
          <w:rFonts w:eastAsiaTheme="minorEastAsia"/>
          <w:kern w:val="0"/>
          <w:lang w:eastAsia="en-US" w:bidi="ar-SA"/>
        </w:rPr>
        <w:t xml:space="preserve"> Embryo’s en foetussen zijn perso</w:t>
      </w:r>
      <w:r w:rsidR="00A82BBD">
        <w:rPr>
          <w:rFonts w:eastAsiaTheme="minorEastAsia"/>
          <w:kern w:val="0"/>
          <w:lang w:eastAsia="en-US" w:bidi="ar-SA"/>
        </w:rPr>
        <w:t>-</w:t>
      </w:r>
      <w:r w:rsidRPr="00D147A7">
        <w:rPr>
          <w:rFonts w:eastAsiaTheme="minorEastAsia"/>
          <w:kern w:val="0"/>
          <w:lang w:eastAsia="en-US" w:bidi="ar-SA"/>
        </w:rPr>
        <w:t>nen in wording, maar beschikken volgens de letter van de vigerende wet</w:t>
      </w:r>
      <w:r w:rsidR="00A82BBD">
        <w:rPr>
          <w:rFonts w:eastAsiaTheme="minorEastAsia"/>
          <w:kern w:val="0"/>
          <w:lang w:eastAsia="en-US" w:bidi="ar-SA"/>
        </w:rPr>
        <w:t>geving</w:t>
      </w:r>
      <w:r w:rsidRPr="00D147A7">
        <w:rPr>
          <w:rFonts w:eastAsiaTheme="minorEastAsia"/>
          <w:kern w:val="0"/>
          <w:lang w:eastAsia="en-US" w:bidi="ar-SA"/>
        </w:rPr>
        <w:t xml:space="preserve"> niet over een juridische persoonlijkheid.</w:t>
      </w:r>
      <w:r w:rsidRPr="00D147A7">
        <w:rPr>
          <w:rFonts w:eastAsiaTheme="minorEastAsia"/>
          <w:kern w:val="0"/>
          <w:vertAlign w:val="superscript"/>
          <w:lang w:eastAsia="en-US" w:bidi="ar-SA"/>
        </w:rPr>
        <w:footnoteReference w:id="1052"/>
      </w:r>
      <w:r w:rsidRPr="00D147A7">
        <w:rPr>
          <w:rFonts w:eastAsiaTheme="minorEastAsia"/>
          <w:kern w:val="0"/>
          <w:lang w:eastAsia="en-US" w:bidi="ar-SA"/>
        </w:rPr>
        <w:t xml:space="preserve"> Zinsneden uit de </w:t>
      </w:r>
      <w:r w:rsidRPr="00D147A7">
        <w:rPr>
          <w:rFonts w:eastAsiaTheme="minorEastAsia"/>
          <w:i/>
          <w:kern w:val="0"/>
          <w:lang w:eastAsia="en-US" w:bidi="ar-SA"/>
        </w:rPr>
        <w:t>digesta</w:t>
      </w:r>
      <w:r w:rsidRPr="00D147A7">
        <w:rPr>
          <w:rFonts w:eastAsiaTheme="minorEastAsia"/>
          <w:kern w:val="0"/>
          <w:lang w:eastAsia="en-US" w:bidi="ar-SA"/>
        </w:rPr>
        <w:t xml:space="preserve"> van de bekende rechtsgeleerden Aemilius Papianus ((…)</w:t>
      </w:r>
      <w:r w:rsidRPr="00D147A7">
        <w:rPr>
          <w:rFonts w:eastAsiaTheme="minorEastAsia"/>
          <w:i/>
          <w:kern w:val="0"/>
          <w:lang w:eastAsia="en-US" w:bidi="ar-SA"/>
        </w:rPr>
        <w:t xml:space="preserve"> partus nondum editus homo non recte fuisse dicitur</w:t>
      </w:r>
      <w:r w:rsidRPr="00D147A7">
        <w:rPr>
          <w:rFonts w:eastAsiaTheme="minorEastAsia"/>
          <w:i/>
          <w:kern w:val="0"/>
          <w:vertAlign w:val="superscript"/>
          <w:lang w:eastAsia="en-US" w:bidi="ar-SA"/>
        </w:rPr>
        <w:footnoteReference w:id="1053"/>
      </w:r>
      <w:r w:rsidRPr="00D147A7">
        <w:rPr>
          <w:rFonts w:eastAsiaTheme="minorEastAsia"/>
          <w:kern w:val="0"/>
          <w:lang w:eastAsia="en-US" w:bidi="ar-SA"/>
        </w:rPr>
        <w:t xml:space="preserve">) en Domotius Ulpianus ((…) </w:t>
      </w:r>
      <w:r w:rsidRPr="00D147A7">
        <w:rPr>
          <w:rFonts w:eastAsiaTheme="minorEastAsia"/>
          <w:i/>
          <w:kern w:val="0"/>
          <w:lang w:eastAsia="en-US" w:bidi="ar-SA"/>
        </w:rPr>
        <w:t>partus enim antequam edatur, mulieris portio est vel viscerum</w:t>
      </w:r>
      <w:r w:rsidRPr="00D147A7">
        <w:rPr>
          <w:rFonts w:eastAsiaTheme="minorEastAsia"/>
          <w:kern w:val="0"/>
          <w:vertAlign w:val="superscript"/>
          <w:lang w:eastAsia="en-US" w:bidi="ar-SA"/>
        </w:rPr>
        <w:footnoteReference w:id="1054"/>
      </w:r>
      <w:r w:rsidRPr="00D147A7">
        <w:rPr>
          <w:rFonts w:eastAsiaTheme="minorEastAsia"/>
          <w:kern w:val="0"/>
          <w:lang w:eastAsia="en-US" w:bidi="ar-SA"/>
        </w:rPr>
        <w:t>) tonen aan dat dit een erfenis van het Romeinse recht</w:t>
      </w:r>
      <w:r w:rsidR="00A82BBD" w:rsidRPr="00A82BBD">
        <w:rPr>
          <w:rFonts w:eastAsiaTheme="minorEastAsia"/>
          <w:kern w:val="0"/>
          <w:lang w:eastAsia="en-US" w:bidi="ar-SA"/>
        </w:rPr>
        <w:t xml:space="preserve"> </w:t>
      </w:r>
      <w:r w:rsidR="00A82BBD" w:rsidRPr="00D147A7">
        <w:rPr>
          <w:rFonts w:eastAsiaTheme="minorEastAsia"/>
          <w:kern w:val="0"/>
          <w:lang w:eastAsia="en-US" w:bidi="ar-SA"/>
        </w:rPr>
        <w:t>is</w:t>
      </w:r>
      <w:r w:rsidRPr="00D147A7">
        <w:rPr>
          <w:rFonts w:eastAsiaTheme="minorEastAsia"/>
          <w:kern w:val="0"/>
          <w:lang w:eastAsia="en-US" w:bidi="ar-SA"/>
        </w:rPr>
        <w:t xml:space="preserve">. Toch wordt ervoor gepleit om deze gegevens in de praktijk </w:t>
      </w:r>
      <w:r w:rsidR="00A82BBD">
        <w:rPr>
          <w:rFonts w:eastAsiaTheme="minorEastAsia"/>
          <w:kern w:val="0"/>
          <w:lang w:eastAsia="en-US" w:bidi="ar-SA"/>
        </w:rPr>
        <w:t xml:space="preserve">analoog aan </w:t>
      </w:r>
      <w:r w:rsidRPr="00D147A7">
        <w:rPr>
          <w:rFonts w:eastAsiaTheme="minorEastAsia"/>
          <w:kern w:val="0"/>
          <w:lang w:eastAsia="en-US" w:bidi="ar-SA"/>
        </w:rPr>
        <w:t>persoonsgegevens te beschermen.</w:t>
      </w:r>
      <w:r w:rsidRPr="00D147A7">
        <w:rPr>
          <w:rFonts w:eastAsiaTheme="minorEastAsia"/>
          <w:kern w:val="0"/>
          <w:vertAlign w:val="superscript"/>
          <w:lang w:eastAsia="en-US" w:bidi="ar-SA"/>
        </w:rPr>
        <w:footnoteReference w:id="1055"/>
      </w:r>
      <w:r w:rsidRPr="00D147A7">
        <w:rPr>
          <w:rFonts w:eastAsiaTheme="minorEastAsia"/>
          <w:kern w:val="0"/>
          <w:lang w:eastAsia="en-US" w:bidi="ar-SA"/>
        </w:rPr>
        <w:t xml:space="preserve"> Diezelfde redenering wordt doorgetrokken voor gegevens </w:t>
      </w:r>
      <w:r w:rsidR="00256FD8">
        <w:rPr>
          <w:rFonts w:eastAsiaTheme="minorEastAsia"/>
          <w:kern w:val="0"/>
          <w:lang w:eastAsia="en-US" w:bidi="ar-SA"/>
        </w:rPr>
        <w:t>m.b.t.</w:t>
      </w:r>
      <w:r w:rsidRPr="00D147A7">
        <w:rPr>
          <w:rFonts w:eastAsiaTheme="minorEastAsia"/>
          <w:kern w:val="0"/>
          <w:lang w:eastAsia="en-US" w:bidi="ar-SA"/>
        </w:rPr>
        <w:t xml:space="preserve"> overleden personen</w:t>
      </w:r>
      <w:r w:rsidRPr="00D147A7">
        <w:rPr>
          <w:rFonts w:eastAsiaTheme="minorEastAsia"/>
          <w:kern w:val="0"/>
          <w:vertAlign w:val="superscript"/>
          <w:lang w:eastAsia="en-US" w:bidi="ar-SA"/>
        </w:rPr>
        <w:footnoteReference w:id="1056"/>
      </w:r>
      <w:r w:rsidRPr="00D147A7">
        <w:rPr>
          <w:rFonts w:eastAsiaTheme="minorEastAsia"/>
          <w:kern w:val="0"/>
          <w:lang w:eastAsia="en-US" w:bidi="ar-SA"/>
        </w:rPr>
        <w:t xml:space="preserve">, al eindigt de persoonlijkheid </w:t>
      </w:r>
      <w:r w:rsidRPr="00D147A7">
        <w:rPr>
          <w:rFonts w:eastAsiaTheme="minorEastAsia"/>
          <w:kern w:val="0"/>
          <w:lang w:eastAsia="en-US" w:bidi="ar-SA"/>
        </w:rPr>
        <w:lastRenderedPageBreak/>
        <w:t>strikt juridisch gezien met de dood.</w:t>
      </w:r>
      <w:r w:rsidRPr="00D147A7">
        <w:rPr>
          <w:rFonts w:eastAsiaTheme="minorEastAsia"/>
          <w:kern w:val="0"/>
          <w:vertAlign w:val="superscript"/>
          <w:lang w:eastAsia="en-US" w:bidi="ar-SA"/>
        </w:rPr>
        <w:footnoteReference w:id="1057"/>
      </w:r>
      <w:r w:rsidRPr="00D147A7">
        <w:rPr>
          <w:rFonts w:eastAsiaTheme="minorEastAsia"/>
          <w:kern w:val="0"/>
          <w:lang w:eastAsia="en-US" w:bidi="ar-SA"/>
        </w:rPr>
        <w:t xml:space="preserve"> </w:t>
      </w:r>
      <w:r w:rsidR="00256FD8">
        <w:rPr>
          <w:rFonts w:eastAsiaTheme="minorEastAsia"/>
          <w:kern w:val="0"/>
          <w:lang w:eastAsia="en-US" w:bidi="ar-SA"/>
        </w:rPr>
        <w:t>Zo, bijvoorbeeld,</w:t>
      </w:r>
      <w:r w:rsidRPr="00D147A7">
        <w:rPr>
          <w:rFonts w:eastAsiaTheme="minorEastAsia"/>
          <w:kern w:val="0"/>
          <w:lang w:eastAsia="en-US" w:bidi="ar-SA"/>
        </w:rPr>
        <w:t xml:space="preserve"> </w:t>
      </w:r>
      <w:r w:rsidR="00256FD8">
        <w:rPr>
          <w:rFonts w:eastAsiaTheme="minorEastAsia"/>
          <w:kern w:val="0"/>
          <w:lang w:eastAsia="en-US" w:bidi="ar-SA"/>
        </w:rPr>
        <w:t xml:space="preserve">blijft </w:t>
      </w:r>
      <w:r w:rsidRPr="00D147A7">
        <w:rPr>
          <w:rFonts w:eastAsiaTheme="minorEastAsia"/>
          <w:kern w:val="0"/>
          <w:lang w:eastAsia="en-US" w:bidi="ar-SA"/>
        </w:rPr>
        <w:t xml:space="preserve">het medisch beroepsgeheim </w:t>
      </w:r>
      <w:r w:rsidR="00256FD8">
        <w:rPr>
          <w:rFonts w:eastAsiaTheme="minorEastAsia"/>
          <w:kern w:val="0"/>
          <w:lang w:eastAsia="en-US" w:bidi="ar-SA"/>
        </w:rPr>
        <w:t xml:space="preserve">ook </w:t>
      </w:r>
      <w:r w:rsidRPr="00D147A7">
        <w:rPr>
          <w:rFonts w:eastAsiaTheme="minorEastAsia"/>
          <w:kern w:val="0"/>
          <w:lang w:eastAsia="en-US" w:bidi="ar-SA"/>
        </w:rPr>
        <w:t>na het overlijden van de patiënt onverminderd van kracht.</w:t>
      </w:r>
      <w:r w:rsidRPr="00D147A7">
        <w:rPr>
          <w:rFonts w:eastAsiaTheme="minorEastAsia"/>
          <w:kern w:val="0"/>
          <w:vertAlign w:val="superscript"/>
          <w:lang w:eastAsia="en-US" w:bidi="ar-SA"/>
        </w:rPr>
        <w:footnoteReference w:id="1058"/>
      </w:r>
      <w:r w:rsidRPr="00D147A7">
        <w:rPr>
          <w:rFonts w:eastAsiaTheme="minorEastAsia"/>
          <w:kern w:val="0"/>
          <w:lang w:eastAsia="en-US" w:bidi="ar-SA"/>
        </w:rPr>
        <w:t xml:space="preserve"> </w:t>
      </w:r>
      <w:r w:rsidR="00256FD8">
        <w:rPr>
          <w:rFonts w:eastAsiaTheme="minorEastAsia"/>
          <w:kern w:val="0"/>
          <w:lang w:eastAsia="en-US" w:bidi="ar-SA"/>
        </w:rPr>
        <w:t>Verder kan verwezen worden naar</w:t>
      </w:r>
      <w:r w:rsidR="00256FD8" w:rsidRPr="00D147A7">
        <w:rPr>
          <w:rFonts w:eastAsiaTheme="minorEastAsia"/>
          <w:kern w:val="0"/>
          <w:lang w:eastAsia="en-US" w:bidi="ar-SA"/>
        </w:rPr>
        <w:t xml:space="preserve"> </w:t>
      </w:r>
      <w:r w:rsidRPr="00D147A7">
        <w:rPr>
          <w:rFonts w:eastAsiaTheme="minorEastAsia"/>
          <w:kern w:val="0"/>
          <w:lang w:eastAsia="en-US" w:bidi="ar-SA"/>
        </w:rPr>
        <w:t xml:space="preserve">het recht op vergetelheid en het ethisch principe dat </w:t>
      </w:r>
      <w:r w:rsidR="00256FD8">
        <w:rPr>
          <w:rFonts w:eastAsiaTheme="minorEastAsia"/>
          <w:kern w:val="0"/>
          <w:lang w:eastAsia="en-US" w:bidi="ar-SA"/>
        </w:rPr>
        <w:t xml:space="preserve">ook </w:t>
      </w:r>
      <w:r w:rsidRPr="00D147A7">
        <w:rPr>
          <w:rFonts w:eastAsiaTheme="minorEastAsia"/>
          <w:kern w:val="0"/>
          <w:lang w:eastAsia="en-US" w:bidi="ar-SA"/>
        </w:rPr>
        <w:t xml:space="preserve">doden rechten hebben, </w:t>
      </w:r>
      <w:r w:rsidR="00256FD8">
        <w:rPr>
          <w:rFonts w:eastAsiaTheme="minorEastAsia"/>
          <w:kern w:val="0"/>
          <w:lang w:eastAsia="en-US" w:bidi="ar-SA"/>
        </w:rPr>
        <w:t>al was het maar ter bescherming van</w:t>
      </w:r>
      <w:r w:rsidRPr="00D147A7">
        <w:rPr>
          <w:rFonts w:eastAsiaTheme="minorEastAsia"/>
          <w:kern w:val="0"/>
          <w:lang w:eastAsia="en-US" w:bidi="ar-SA"/>
        </w:rPr>
        <w:t xml:space="preserve"> de belangen van nabestaanden.</w:t>
      </w:r>
      <w:r w:rsidRPr="00D147A7">
        <w:rPr>
          <w:rFonts w:eastAsiaTheme="minorEastAsia"/>
          <w:kern w:val="0"/>
          <w:vertAlign w:val="superscript"/>
          <w:lang w:eastAsia="en-US" w:bidi="ar-SA"/>
        </w:rPr>
        <w:footnoteReference w:id="1059"/>
      </w:r>
      <w:r w:rsidRPr="00D147A7">
        <w:rPr>
          <w:rFonts w:eastAsiaTheme="minorEastAsia"/>
          <w:kern w:val="0"/>
          <w:lang w:eastAsia="en-US" w:bidi="ar-SA"/>
        </w:rPr>
        <w:t xml:space="preserve"> In de praktijk zal men er evenwel rekening mee houden of een persoon al dan niet in het nabije verleden overleden is.</w:t>
      </w:r>
      <w:r w:rsidRPr="00D147A7">
        <w:rPr>
          <w:rFonts w:eastAsiaTheme="minorEastAsia"/>
          <w:kern w:val="0"/>
          <w:vertAlign w:val="superscript"/>
          <w:lang w:eastAsia="en-US" w:bidi="ar-SA"/>
        </w:rPr>
        <w:footnoteReference w:id="1060"/>
      </w:r>
      <w:r w:rsidRPr="00D147A7">
        <w:rPr>
          <w:rFonts w:eastAsiaTheme="minorEastAsia"/>
          <w:kern w:val="0"/>
          <w:lang w:eastAsia="en-US" w:bidi="ar-SA"/>
        </w:rPr>
        <w:t xml:space="preserve"> Enkel als gegevens over niet levende personen ook informatie bevatten over derden die wel (nog) in leven zijn, is er geen stof tot discussie. Zo is het bijvoorbeeld niet ondenkbaar dat uit gegevens over ongeborenen</w:t>
      </w:r>
      <w:r w:rsidR="00146741">
        <w:rPr>
          <w:rFonts w:eastAsiaTheme="minorEastAsia"/>
          <w:kern w:val="0"/>
          <w:lang w:eastAsia="en-US" w:bidi="ar-SA"/>
        </w:rPr>
        <w:t xml:space="preserve"> ook</w:t>
      </w:r>
      <w:r w:rsidRPr="00D147A7">
        <w:rPr>
          <w:rFonts w:eastAsiaTheme="minorEastAsia"/>
          <w:kern w:val="0"/>
          <w:lang w:eastAsia="en-US" w:bidi="ar-SA"/>
        </w:rPr>
        <w:t xml:space="preserve"> informatie over de gezondheidstoestand van de ouders kan worden afgeleid.</w:t>
      </w:r>
      <w:r w:rsidRPr="00D147A7">
        <w:rPr>
          <w:rFonts w:eastAsiaTheme="minorEastAsia"/>
          <w:kern w:val="0"/>
          <w:vertAlign w:val="superscript"/>
          <w:lang w:eastAsia="en-US" w:bidi="ar-SA"/>
        </w:rPr>
        <w:footnoteReference w:id="1061"/>
      </w:r>
      <w:r w:rsidRPr="00D147A7">
        <w:rPr>
          <w:rFonts w:eastAsiaTheme="minorEastAsia"/>
          <w:kern w:val="0"/>
          <w:lang w:eastAsia="en-US" w:bidi="ar-SA"/>
        </w:rPr>
        <w:t xml:space="preserve"> Daarom moeten genetische gegevens – die op meer dan één persoon betrekking hebben – een bijzondere bescherming genieten.</w:t>
      </w:r>
      <w:r w:rsidRPr="00D147A7">
        <w:rPr>
          <w:rFonts w:eastAsiaTheme="minorEastAsia"/>
          <w:kern w:val="0"/>
          <w:vertAlign w:val="superscript"/>
          <w:lang w:eastAsia="en-US" w:bidi="ar-SA"/>
        </w:rPr>
        <w:footnoteReference w:id="1062"/>
      </w:r>
      <w:r w:rsidRPr="00D147A7">
        <w:rPr>
          <w:rFonts w:eastAsiaTheme="minorEastAsia"/>
          <w:kern w:val="0"/>
          <w:lang w:eastAsia="en-US" w:bidi="ar-SA"/>
        </w:rPr>
        <w:t xml:space="preserve"> Hoewel de Nationale Raad van de Orde der geneesheren in 2000 de toenmalige Minister van Justitie op het gebrek aan derge</w:t>
      </w:r>
      <w:r w:rsidR="00146741">
        <w:rPr>
          <w:rFonts w:eastAsiaTheme="minorEastAsia"/>
          <w:kern w:val="0"/>
          <w:lang w:eastAsia="en-US" w:bidi="ar-SA"/>
        </w:rPr>
        <w:t>-</w:t>
      </w:r>
      <w:r w:rsidRPr="00D147A7">
        <w:rPr>
          <w:rFonts w:eastAsiaTheme="minorEastAsia"/>
          <w:kern w:val="0"/>
          <w:lang w:eastAsia="en-US" w:bidi="ar-SA"/>
        </w:rPr>
        <w:t>lijk beschermingsregime in België wees</w:t>
      </w:r>
      <w:r w:rsidRPr="00D147A7">
        <w:rPr>
          <w:rFonts w:eastAsiaTheme="minorEastAsia"/>
          <w:kern w:val="0"/>
          <w:vertAlign w:val="superscript"/>
          <w:lang w:eastAsia="en-US" w:bidi="ar-SA"/>
        </w:rPr>
        <w:footnoteReference w:id="1063"/>
      </w:r>
      <w:r w:rsidRPr="00D147A7">
        <w:rPr>
          <w:rFonts w:eastAsiaTheme="minorEastAsia"/>
          <w:kern w:val="0"/>
          <w:lang w:eastAsia="en-US" w:bidi="ar-SA"/>
        </w:rPr>
        <w:t>, werd hier in het uitvoeringsbesluit van 13 febru</w:t>
      </w:r>
      <w:r w:rsidR="00146741">
        <w:rPr>
          <w:rFonts w:eastAsiaTheme="minorEastAsia"/>
          <w:kern w:val="0"/>
          <w:lang w:eastAsia="en-US" w:bidi="ar-SA"/>
        </w:rPr>
        <w:t>-</w:t>
      </w:r>
      <w:r w:rsidRPr="00D147A7">
        <w:rPr>
          <w:rFonts w:eastAsiaTheme="minorEastAsia"/>
          <w:kern w:val="0"/>
          <w:lang w:eastAsia="en-US" w:bidi="ar-SA"/>
        </w:rPr>
        <w:t>ari 2001 niet aan tegemoet gekomen.</w:t>
      </w:r>
    </w:p>
    <w:p w:rsidR="000F560E" w:rsidRPr="00D147A7" w:rsidRDefault="000F560E" w:rsidP="000F560E">
      <w:pPr>
        <w:jc w:val="both"/>
        <w:rPr>
          <w:rFonts w:eastAsiaTheme="minorEastAsia"/>
          <w:kern w:val="0"/>
          <w:lang w:eastAsia="en-US" w:bidi="ar-SA"/>
        </w:rPr>
      </w:pPr>
      <w:r w:rsidRPr="00D147A7">
        <w:rPr>
          <w:rFonts w:eastAsiaTheme="minorEastAsia"/>
          <w:kern w:val="0"/>
          <w:lang w:eastAsia="en-US" w:bidi="ar-SA"/>
        </w:rPr>
        <w:t xml:space="preserve">Een bijkomende vereiste om </w:t>
      </w:r>
      <w:r w:rsidR="00476D03">
        <w:rPr>
          <w:rFonts w:eastAsiaTheme="minorEastAsia"/>
          <w:kern w:val="0"/>
          <w:lang w:eastAsia="en-US" w:bidi="ar-SA"/>
        </w:rPr>
        <w:t>van</w:t>
      </w:r>
      <w:r w:rsidRPr="00D147A7">
        <w:rPr>
          <w:rFonts w:eastAsiaTheme="minorEastAsia"/>
          <w:kern w:val="0"/>
          <w:lang w:eastAsia="en-US" w:bidi="ar-SA"/>
        </w:rPr>
        <w:t xml:space="preserve"> een persoonsgegeven te kunnen spreken, is dat achterhaald kan worden op welke persoon het gegeven betrekking heeft. Terwijl in de Nederlandse en Franse privacywetgeving enkel onderscheid gemaakt wordt tussen herleidbare en niet-herleid</w:t>
      </w:r>
      <w:r w:rsidR="00476D03">
        <w:rPr>
          <w:rFonts w:eastAsiaTheme="minorEastAsia"/>
          <w:kern w:val="0"/>
          <w:lang w:eastAsia="en-US" w:bidi="ar-SA"/>
        </w:rPr>
        <w:t>-</w:t>
      </w:r>
      <w:r w:rsidRPr="00D147A7">
        <w:rPr>
          <w:rFonts w:eastAsiaTheme="minorEastAsia"/>
          <w:kern w:val="0"/>
          <w:lang w:eastAsia="en-US" w:bidi="ar-SA"/>
        </w:rPr>
        <w:t>bare persoonsgegevens</w:t>
      </w:r>
      <w:r w:rsidRPr="00D147A7">
        <w:rPr>
          <w:rFonts w:eastAsiaTheme="minorEastAsia"/>
          <w:kern w:val="0"/>
          <w:vertAlign w:val="superscript"/>
          <w:lang w:eastAsia="en-US" w:bidi="ar-SA"/>
        </w:rPr>
        <w:footnoteReference w:id="1064"/>
      </w:r>
      <w:r w:rsidRPr="00D147A7">
        <w:rPr>
          <w:rFonts w:eastAsiaTheme="minorEastAsia"/>
          <w:kern w:val="0"/>
          <w:lang w:eastAsia="en-US" w:bidi="ar-SA"/>
        </w:rPr>
        <w:t xml:space="preserve">, worden herleidbare gegevens in België verder opgesplitst in </w:t>
      </w:r>
      <w:r w:rsidRPr="00D147A7">
        <w:t>ge</w:t>
      </w:r>
      <w:r w:rsidR="00476D03">
        <w:t>-</w:t>
      </w:r>
      <w:r w:rsidRPr="00D147A7">
        <w:t>ïdentificeerde en identificeerbare gegevens.</w:t>
      </w:r>
      <w:r w:rsidRPr="00D147A7">
        <w:rPr>
          <w:vertAlign w:val="superscript"/>
        </w:rPr>
        <w:footnoteReference w:id="1065"/>
      </w:r>
      <w:r w:rsidRPr="00D147A7">
        <w:t xml:space="preserve"> Als het volstaat om enkel aan de hand van het gegeven af te leiden op wie het gegeven betrekking heeft, wordt de betrokkene als geïdentifi</w:t>
      </w:r>
      <w:r w:rsidR="00476D03">
        <w:t>-</w:t>
      </w:r>
      <w:r w:rsidRPr="00D147A7">
        <w:t>ceerd beschouwd. Dit zal het geval zijn als de combinatie van ‘direct identificerende gege</w:t>
      </w:r>
      <w:r w:rsidR="00476D03">
        <w:t>-</w:t>
      </w:r>
      <w:r w:rsidRPr="00D147A7">
        <w:t>vens’ – zoals familienaam, voornaam, geboortedatum, etc. – dusdanig uniek is dat Jan Modaal met zekerheid (of met zeer grote waarschijnlijkheid) de betrokkene kan identificeren.</w:t>
      </w:r>
      <w:r w:rsidRPr="00D147A7">
        <w:rPr>
          <w:vertAlign w:val="superscript"/>
        </w:rPr>
        <w:footnoteReference w:id="1066"/>
      </w:r>
      <w:r w:rsidRPr="00D147A7">
        <w:t xml:space="preserve"> Zo</w:t>
      </w:r>
      <w:r w:rsidR="00476D03">
        <w:t>-</w:t>
      </w:r>
      <w:r w:rsidRPr="00D147A7">
        <w:t>dra de mogelijkheid bestaat om een persoon rechtstreeks of onrechtstreeks te identificeren –</w:t>
      </w:r>
      <w:r w:rsidRPr="00D147A7">
        <w:rPr>
          <w:iCs/>
        </w:rPr>
        <w:t xml:space="preserve"> </w:t>
      </w:r>
      <w:r w:rsidRPr="00D147A7">
        <w:rPr>
          <w:i/>
          <w:iCs/>
        </w:rPr>
        <w:lastRenderedPageBreak/>
        <w:t>aan de hand van een identificatienummer</w:t>
      </w:r>
      <w:r w:rsidRPr="00D147A7">
        <w:rPr>
          <w:iCs/>
          <w:vertAlign w:val="superscript"/>
        </w:rPr>
        <w:footnoteReference w:id="1067"/>
      </w:r>
      <w:r w:rsidRPr="00D147A7">
        <w:rPr>
          <w:i/>
          <w:iCs/>
        </w:rPr>
        <w:t xml:space="preserve"> of van één of meer specifieke elementen die ken</w:t>
      </w:r>
      <w:r w:rsidR="00476D03">
        <w:rPr>
          <w:i/>
          <w:iCs/>
        </w:rPr>
        <w:t>-</w:t>
      </w:r>
      <w:r w:rsidRPr="00D147A7">
        <w:rPr>
          <w:i/>
          <w:iCs/>
        </w:rPr>
        <w:t>merkend zijn voor zijn of haar fysieke, fysiologische, psychische, economische, culturele of so</w:t>
      </w:r>
      <w:r w:rsidR="00476D03">
        <w:rPr>
          <w:i/>
          <w:iCs/>
        </w:rPr>
        <w:t>-</w:t>
      </w:r>
      <w:r w:rsidRPr="00D147A7">
        <w:rPr>
          <w:i/>
          <w:iCs/>
        </w:rPr>
        <w:t>ciale identiteit</w:t>
      </w:r>
      <w:r w:rsidRPr="00D147A7">
        <w:rPr>
          <w:vertAlign w:val="superscript"/>
        </w:rPr>
        <w:footnoteReference w:id="1068"/>
      </w:r>
      <w:r w:rsidRPr="00D147A7">
        <w:rPr>
          <w:i/>
          <w:iCs/>
        </w:rPr>
        <w:t xml:space="preserve"> </w:t>
      </w:r>
      <w:r w:rsidRPr="00D147A7">
        <w:rPr>
          <w:iCs/>
        </w:rPr>
        <w:t>– is deze persoon identificeerbaar in de zin van de Belgische privacywet</w:t>
      </w:r>
      <w:r w:rsidRPr="00D147A7">
        <w:t xml:space="preserve">. De persoon waarop een gegeven betrekking heeft, kan dan in combinatie met andere gegevens geïdentificeerd worden. </w:t>
      </w:r>
      <w:r w:rsidRPr="00D147A7">
        <w:rPr>
          <w:i/>
        </w:rPr>
        <w:t>Zolang iemand nog in staat is om, met welk redelijkerwijs inzetbaar middel ook, te achterhalen op welk individu de informatie betrekking heeft</w:t>
      </w:r>
      <w:r w:rsidRPr="00D147A7">
        <w:t>, spreekt men van een persoonsgegeven.</w:t>
      </w:r>
      <w:r w:rsidRPr="00D147A7">
        <w:rPr>
          <w:rFonts w:eastAsiaTheme="minorEastAsia"/>
          <w:kern w:val="0"/>
          <w:sz w:val="22"/>
          <w:szCs w:val="22"/>
          <w:shd w:val="clear" w:color="auto" w:fill="FFFFFF"/>
          <w:vertAlign w:val="superscript"/>
          <w:lang w:eastAsia="en-US" w:bidi="ar-SA"/>
        </w:rPr>
        <w:footnoteReference w:id="1069"/>
      </w:r>
      <w:r w:rsidRPr="00D147A7">
        <w:rPr>
          <w:rFonts w:eastAsiaTheme="minorEastAsia"/>
          <w:kern w:val="0"/>
          <w:sz w:val="22"/>
          <w:szCs w:val="22"/>
          <w:shd w:val="clear" w:color="auto" w:fill="FFFFFF"/>
          <w:lang w:eastAsia="en-US" w:bidi="ar-SA"/>
        </w:rPr>
        <w:t xml:space="preserve"> </w:t>
      </w:r>
      <w:r w:rsidRPr="00D147A7">
        <w:rPr>
          <w:rFonts w:eastAsiaTheme="minorEastAsia"/>
          <w:kern w:val="0"/>
          <w:shd w:val="clear" w:color="auto" w:fill="FFFFFF"/>
          <w:lang w:eastAsia="en-US" w:bidi="ar-SA"/>
        </w:rPr>
        <w:t xml:space="preserve">Het betreft immers gegevens </w:t>
      </w:r>
      <w:r w:rsidRPr="00D147A7">
        <w:rPr>
          <w:rFonts w:eastAsiaTheme="minorEastAsia"/>
          <w:i/>
          <w:kern w:val="0"/>
          <w:shd w:val="clear" w:color="auto" w:fill="FFFFFF"/>
          <w:lang w:eastAsia="en-US" w:bidi="ar-SA"/>
        </w:rPr>
        <w:t xml:space="preserve">die </w:t>
      </w:r>
      <w:r w:rsidRPr="00D147A7">
        <w:rPr>
          <w:rFonts w:eastAsiaTheme="minorEastAsia"/>
          <w:kern w:val="0"/>
          <w:shd w:val="clear" w:color="auto" w:fill="FFFFFF"/>
          <w:lang w:eastAsia="en-US" w:bidi="ar-SA"/>
        </w:rPr>
        <w:t>(…)</w:t>
      </w:r>
      <w:r w:rsidRPr="00D147A7">
        <w:rPr>
          <w:rFonts w:eastAsiaTheme="minorEastAsia"/>
          <w:i/>
          <w:kern w:val="0"/>
          <w:shd w:val="clear" w:color="auto" w:fill="FFFFFF"/>
          <w:lang w:eastAsia="en-US" w:bidi="ar-SA"/>
        </w:rPr>
        <w:t xml:space="preserve"> door middel van een code in verband kunnen worden gebracht met een geïdentificeerde of identificeerbare persoon</w:t>
      </w:r>
      <w:r w:rsidRPr="00D147A7">
        <w:rPr>
          <w:rFonts w:eastAsiaTheme="minorEastAsia"/>
          <w:kern w:val="0"/>
          <w:shd w:val="clear" w:color="auto" w:fill="FFFFFF"/>
          <w:lang w:eastAsia="en-US" w:bidi="ar-SA"/>
        </w:rPr>
        <w:t>.</w:t>
      </w:r>
      <w:r w:rsidRPr="00D147A7">
        <w:rPr>
          <w:rFonts w:eastAsiaTheme="minorEastAsia"/>
          <w:kern w:val="0"/>
          <w:shd w:val="clear" w:color="auto" w:fill="FFFFFF"/>
          <w:vertAlign w:val="superscript"/>
          <w:lang w:eastAsia="en-US" w:bidi="ar-SA"/>
        </w:rPr>
        <w:footnoteReference w:id="1070"/>
      </w:r>
      <w:r w:rsidRPr="00D147A7">
        <w:rPr>
          <w:rFonts w:eastAsiaTheme="minorEastAsia"/>
          <w:kern w:val="0"/>
          <w:shd w:val="clear" w:color="auto" w:fill="FFFFFF"/>
          <w:lang w:eastAsia="en-US" w:bidi="ar-SA"/>
        </w:rPr>
        <w:t xml:space="preserve"> De verantwoordelijke voor de verwerking kan de gegevens ofwel zelf coderen, ofwel een inter</w:t>
      </w:r>
      <w:r w:rsidR="00476D03">
        <w:rPr>
          <w:rFonts w:eastAsiaTheme="minorEastAsia"/>
          <w:kern w:val="0"/>
          <w:shd w:val="clear" w:color="auto" w:fill="FFFFFF"/>
          <w:lang w:eastAsia="en-US" w:bidi="ar-SA"/>
        </w:rPr>
        <w:t>-</w:t>
      </w:r>
      <w:r w:rsidRPr="00D147A7">
        <w:rPr>
          <w:rFonts w:eastAsiaTheme="minorEastAsia"/>
          <w:kern w:val="0"/>
          <w:shd w:val="clear" w:color="auto" w:fill="FFFFFF"/>
          <w:lang w:eastAsia="en-US" w:bidi="ar-SA"/>
        </w:rPr>
        <w:t>mediaire organisatie hiermee belasten.</w:t>
      </w:r>
      <w:r w:rsidRPr="00D147A7">
        <w:rPr>
          <w:rFonts w:eastAsiaTheme="minorEastAsia"/>
          <w:kern w:val="0"/>
          <w:shd w:val="clear" w:color="auto" w:fill="FFFFFF"/>
          <w:vertAlign w:val="superscript"/>
          <w:lang w:eastAsia="en-US" w:bidi="ar-SA"/>
        </w:rPr>
        <w:footnoteReference w:id="1071"/>
      </w:r>
      <w:r w:rsidRPr="00D147A7">
        <w:rPr>
          <w:rFonts w:eastAsiaTheme="minorEastAsia"/>
          <w:kern w:val="0"/>
          <w:shd w:val="clear" w:color="auto" w:fill="FFFFFF"/>
          <w:lang w:eastAsia="en-US" w:bidi="ar-SA"/>
        </w:rPr>
        <w:t xml:space="preserve"> Enkel wanneer</w:t>
      </w:r>
      <w:r w:rsidRPr="00D147A7">
        <w:rPr>
          <w:rFonts w:eastAsiaTheme="minorEastAsia"/>
          <w:kern w:val="0"/>
          <w:lang w:eastAsia="en-US" w:bidi="ar-SA"/>
        </w:rPr>
        <w:t xml:space="preserve"> gegevens slechts met onevenredig veel tijd, geld of mankracht tot een geïdentificeerd of identificeerbare persoon kunnen worden teruggebracht, is er geen sprake meer van persoonsgegevens. Dit is met name het geval bij ge</w:t>
      </w:r>
      <w:r w:rsidR="00476D03">
        <w:rPr>
          <w:rFonts w:eastAsiaTheme="minorEastAsia"/>
          <w:kern w:val="0"/>
          <w:lang w:eastAsia="en-US" w:bidi="ar-SA"/>
        </w:rPr>
        <w:t>-</w:t>
      </w:r>
      <w:r w:rsidRPr="00D147A7">
        <w:rPr>
          <w:rFonts w:eastAsiaTheme="minorEastAsia"/>
          <w:kern w:val="0"/>
          <w:lang w:eastAsia="en-US" w:bidi="ar-SA"/>
        </w:rPr>
        <w:t>gevens die dermate gecodeerd zijn dat er geen terugweg uit de anonimiteit meer mogelijk is (</w:t>
      </w:r>
      <w:r w:rsidR="00476D03">
        <w:rPr>
          <w:rFonts w:eastAsiaTheme="minorEastAsia"/>
          <w:kern w:val="0"/>
          <w:lang w:eastAsia="en-US" w:bidi="ar-SA"/>
        </w:rPr>
        <w:t xml:space="preserve">de </w:t>
      </w:r>
      <w:r w:rsidRPr="00D147A7">
        <w:rPr>
          <w:rFonts w:eastAsiaTheme="minorEastAsia"/>
          <w:kern w:val="0"/>
          <w:lang w:eastAsia="en-US" w:bidi="ar-SA"/>
        </w:rPr>
        <w:t>zgn. geanonimiseerde gegevens).</w:t>
      </w:r>
      <w:r w:rsidRPr="00D147A7">
        <w:rPr>
          <w:rFonts w:eastAsiaTheme="minorEastAsia"/>
          <w:kern w:val="0"/>
          <w:shd w:val="clear" w:color="auto" w:fill="FFFFFF"/>
          <w:vertAlign w:val="superscript"/>
          <w:lang w:eastAsia="en-US" w:bidi="ar-SA"/>
        </w:rPr>
        <w:footnoteReference w:id="1072"/>
      </w:r>
      <w:r w:rsidRPr="00D147A7">
        <w:rPr>
          <w:rFonts w:eastAsiaTheme="minorEastAsia"/>
          <w:kern w:val="0"/>
          <w:shd w:val="clear" w:color="auto" w:fill="FFFFFF"/>
          <w:lang w:eastAsia="en-US" w:bidi="ar-SA"/>
        </w:rPr>
        <w:t xml:space="preserve"> Het is essentieel dat de anonimisering absoluut is en er met geen enkel redelijkerwijs inzetbaar middel nog een terugweg uit de anonimiteit moge</w:t>
      </w:r>
      <w:r w:rsidR="00476D03">
        <w:rPr>
          <w:rFonts w:eastAsiaTheme="minorEastAsia"/>
          <w:kern w:val="0"/>
          <w:shd w:val="clear" w:color="auto" w:fill="FFFFFF"/>
          <w:lang w:eastAsia="en-US" w:bidi="ar-SA"/>
        </w:rPr>
        <w:t>-</w:t>
      </w:r>
      <w:r w:rsidRPr="00D147A7">
        <w:rPr>
          <w:rFonts w:eastAsiaTheme="minorEastAsia"/>
          <w:kern w:val="0"/>
          <w:shd w:val="clear" w:color="auto" w:fill="FFFFFF"/>
          <w:lang w:eastAsia="en-US" w:bidi="ar-SA"/>
        </w:rPr>
        <w:t>lijk is.</w:t>
      </w:r>
    </w:p>
    <w:p w:rsidR="000F560E" w:rsidRPr="00D147A7" w:rsidRDefault="000F560E" w:rsidP="000F560E">
      <w:pPr>
        <w:jc w:val="both"/>
      </w:pPr>
    </w:p>
    <w:p w:rsidR="000F560E" w:rsidRPr="00D147A7" w:rsidRDefault="000F560E" w:rsidP="000F560E">
      <w:pPr>
        <w:jc w:val="both"/>
      </w:pPr>
      <w:r w:rsidRPr="00D147A7">
        <w:t xml:space="preserve">‘Gezondheidsgegevens’ – medische persoonsgegevens of persoonsgegevens met betrekking tot de gezondheid – zijn </w:t>
      </w:r>
      <w:r w:rsidRPr="00D147A7">
        <w:rPr>
          <w:i/>
          <w:iCs/>
        </w:rPr>
        <w:t>alle gegevens van persoonlijke aard waaruit informatie kan worden afgeleid omtrent de vroegere, huidige of toekomstige fysieke of psychische gezondheidstoe</w:t>
      </w:r>
      <w:r w:rsidR="00476D03">
        <w:rPr>
          <w:i/>
          <w:iCs/>
        </w:rPr>
        <w:t>-</w:t>
      </w:r>
      <w:r w:rsidRPr="00D147A7">
        <w:rPr>
          <w:i/>
          <w:iCs/>
        </w:rPr>
        <w:t>stand van de natuurlijke persoon die is of kan worden geïdentificeerd, met uitzondering van de louter administratieve of boekhoudkundige gegevens betreffende de geneeskundige behan</w:t>
      </w:r>
      <w:r w:rsidR="00476D03">
        <w:rPr>
          <w:i/>
          <w:iCs/>
        </w:rPr>
        <w:t>-</w:t>
      </w:r>
      <w:r w:rsidRPr="00D147A7">
        <w:rPr>
          <w:i/>
          <w:iCs/>
        </w:rPr>
        <w:t>deling of verzorging</w:t>
      </w:r>
      <w:r w:rsidRPr="00D147A7">
        <w:t>.</w:t>
      </w:r>
      <w:r w:rsidRPr="00D147A7">
        <w:rPr>
          <w:vertAlign w:val="superscript"/>
        </w:rPr>
        <w:footnoteReference w:id="1073"/>
      </w:r>
      <w:r w:rsidRPr="00D147A7">
        <w:t xml:space="preserve"> Net als de term ‘persoonsgegeven’ moet het begrip ‘gezondheidsge</w:t>
      </w:r>
      <w:r w:rsidR="00476D03">
        <w:t>-</w:t>
      </w:r>
      <w:r w:rsidRPr="00D147A7">
        <w:lastRenderedPageBreak/>
        <w:t>geven’ zeer ruim worden ingevuld.</w:t>
      </w:r>
      <w:r w:rsidRPr="00D147A7">
        <w:rPr>
          <w:vertAlign w:val="superscript"/>
        </w:rPr>
        <w:footnoteReference w:id="1074"/>
      </w:r>
      <w:r w:rsidRPr="00D147A7">
        <w:t xml:space="preserve"> </w:t>
      </w:r>
      <w:r w:rsidRPr="00D147A7">
        <w:rPr>
          <w:rFonts w:eastAsiaTheme="minorEastAsia"/>
          <w:kern w:val="0"/>
          <w:lang w:eastAsia="en-US" w:bidi="ar-SA"/>
        </w:rPr>
        <w:t>De aard – en niet het gebruik –</w:t>
      </w:r>
      <w:r w:rsidR="00476D03">
        <w:rPr>
          <w:rFonts w:eastAsiaTheme="minorEastAsia"/>
          <w:kern w:val="0"/>
          <w:lang w:eastAsia="en-US" w:bidi="ar-SA"/>
        </w:rPr>
        <w:t xml:space="preserve"> </w:t>
      </w:r>
      <w:r w:rsidRPr="00D147A7">
        <w:rPr>
          <w:rFonts w:eastAsiaTheme="minorEastAsia"/>
          <w:kern w:val="0"/>
          <w:lang w:eastAsia="en-US" w:bidi="ar-SA"/>
        </w:rPr>
        <w:t>bepaalt of het al dan niet een gezondheidsgegeven betreft.</w:t>
      </w:r>
      <w:r w:rsidRPr="00D147A7">
        <w:rPr>
          <w:rFonts w:eastAsiaTheme="minorEastAsia"/>
          <w:b/>
          <w:kern w:val="0"/>
          <w:lang w:eastAsia="en-US" w:bidi="ar-SA"/>
        </w:rPr>
        <w:t xml:space="preserve"> </w:t>
      </w:r>
      <w:r w:rsidRPr="00D147A7">
        <w:rPr>
          <w:rFonts w:eastAsiaTheme="minorEastAsia"/>
          <w:kern w:val="0"/>
          <w:lang w:eastAsia="en-US" w:bidi="ar-SA"/>
        </w:rPr>
        <w:t>Ook gegevens die niet door een arts worden ingezameld, evenals gegevens die in het kader van de individuele zorgverlening worden aangelegd maar die niet in een patiëntendossier of bestand worden opgenomen, kunnen onder de noemer ‘ge</w:t>
      </w:r>
      <w:r w:rsidR="00476D03">
        <w:rPr>
          <w:rFonts w:eastAsiaTheme="minorEastAsia"/>
          <w:kern w:val="0"/>
          <w:lang w:eastAsia="en-US" w:bidi="ar-SA"/>
        </w:rPr>
        <w:t>-</w:t>
      </w:r>
      <w:r w:rsidRPr="00D147A7">
        <w:rPr>
          <w:rFonts w:eastAsiaTheme="minorEastAsia"/>
          <w:kern w:val="0"/>
          <w:lang w:eastAsia="en-US" w:bidi="ar-SA"/>
        </w:rPr>
        <w:t>zondheidsgegeven’ vallen.</w:t>
      </w:r>
      <w:r w:rsidRPr="00D147A7">
        <w:rPr>
          <w:rFonts w:eastAsiaTheme="minorEastAsia"/>
          <w:kern w:val="0"/>
          <w:vertAlign w:val="superscript"/>
          <w:lang w:eastAsia="en-US" w:bidi="ar-SA"/>
        </w:rPr>
        <w:footnoteReference w:id="1075"/>
      </w:r>
      <w:r w:rsidRPr="00D147A7">
        <w:rPr>
          <w:rFonts w:eastAsiaTheme="minorEastAsia"/>
          <w:b/>
          <w:kern w:val="0"/>
          <w:lang w:eastAsia="en-US" w:bidi="ar-SA"/>
        </w:rPr>
        <w:t xml:space="preserve"> </w:t>
      </w:r>
      <w:r w:rsidRPr="00D147A7">
        <w:t>Aan de andere kant gaan niet alle gegevens uit een patiënten</w:t>
      </w:r>
      <w:r w:rsidR="00476D03">
        <w:t>-</w:t>
      </w:r>
      <w:r w:rsidRPr="00D147A7">
        <w:t>dossier automatisch door als gezondheidsgegeven. De privacywet is immers enkel van toepas</w:t>
      </w:r>
      <w:r w:rsidR="00476D03">
        <w:t>-</w:t>
      </w:r>
      <w:r w:rsidRPr="00D147A7">
        <w:t xml:space="preserve">sing op </w:t>
      </w:r>
      <w:r w:rsidRPr="00D147A7">
        <w:rPr>
          <w:i/>
          <w:iCs/>
        </w:rPr>
        <w:t>elke geheel of gedeeltelijk geautomatiseerde verwerking van persoonsgegevens, als</w:t>
      </w:r>
      <w:r w:rsidR="00476D03">
        <w:rPr>
          <w:i/>
          <w:iCs/>
        </w:rPr>
        <w:t>-</w:t>
      </w:r>
      <w:r w:rsidRPr="00D147A7">
        <w:rPr>
          <w:i/>
          <w:iCs/>
        </w:rPr>
        <w:t>ook op elke niet-geautomatiseerde verwerking van persoonsgegevens die in een bestand zijn opgenomen of die bestemd zijn om daarin te worden opgenomen</w:t>
      </w:r>
      <w:r w:rsidRPr="00D147A7">
        <w:t>.</w:t>
      </w:r>
      <w:r w:rsidRPr="00D147A7">
        <w:rPr>
          <w:vertAlign w:val="superscript"/>
        </w:rPr>
        <w:footnoteReference w:id="1076"/>
      </w:r>
    </w:p>
    <w:p w:rsidR="000F560E" w:rsidRPr="00D147A7" w:rsidRDefault="000F560E" w:rsidP="000F560E">
      <w:pPr>
        <w:jc w:val="both"/>
      </w:pPr>
    </w:p>
    <w:p w:rsidR="000F560E" w:rsidRPr="00476D03" w:rsidRDefault="000F560E" w:rsidP="000F560E">
      <w:pPr>
        <w:widowControl/>
        <w:suppressAutoHyphens w:val="0"/>
        <w:jc w:val="both"/>
        <w:rPr>
          <w:bCs/>
        </w:rPr>
      </w:pPr>
      <w:r w:rsidRPr="00D147A7">
        <w:t xml:space="preserve">De wetgever heeft in de privacywet een niet-limitatieve, chronologisch geordende lijst van handelingen opgenomen die als ‘verwerking’ worden beschouwd. Een ‘verwerking’ is </w:t>
      </w:r>
      <w:r w:rsidR="00476D03">
        <w:rPr>
          <w:i/>
          <w:iCs/>
        </w:rPr>
        <w:t>elke be-</w:t>
      </w:r>
      <w:r w:rsidRPr="00D147A7">
        <w:rPr>
          <w:i/>
          <w:iCs/>
        </w:rPr>
        <w:t>werking of elk geheel van bewerkingen met betrekking tot persoonsgegevens, al dan niet uit</w:t>
      </w:r>
      <w:r w:rsidR="00476D03">
        <w:rPr>
          <w:i/>
          <w:iCs/>
        </w:rPr>
        <w:t>-</w:t>
      </w:r>
      <w:r w:rsidRPr="00D147A7">
        <w:rPr>
          <w:i/>
          <w:iCs/>
        </w:rPr>
        <w:t>gevoerd met behulp van geautomatiseerde procedés, zoals het verzamelen, vastleggen, orde</w:t>
      </w:r>
      <w:r w:rsidR="00476D03">
        <w:rPr>
          <w:i/>
          <w:iCs/>
        </w:rPr>
        <w:t>-</w:t>
      </w:r>
      <w:r w:rsidRPr="00D147A7">
        <w:rPr>
          <w:i/>
          <w:iCs/>
        </w:rPr>
        <w:t xml:space="preserve">nen, bewaren, bijwerken, wijzigen </w:t>
      </w:r>
      <w:r w:rsidRPr="00D147A7">
        <w:rPr>
          <w:iCs/>
        </w:rPr>
        <w:t>[inclusief coderen en anonimiseren</w:t>
      </w:r>
      <w:r w:rsidRPr="00D147A7">
        <w:rPr>
          <w:iCs/>
          <w:vertAlign w:val="superscript"/>
        </w:rPr>
        <w:footnoteReference w:id="1077"/>
      </w:r>
      <w:r w:rsidRPr="00D147A7">
        <w:rPr>
          <w:iCs/>
        </w:rPr>
        <w:t>]</w:t>
      </w:r>
      <w:r w:rsidRPr="00D147A7">
        <w:rPr>
          <w:i/>
          <w:iCs/>
        </w:rPr>
        <w:t>, opvragen, raadple</w:t>
      </w:r>
      <w:r w:rsidR="00476D03">
        <w:rPr>
          <w:i/>
          <w:iCs/>
        </w:rPr>
        <w:t>-</w:t>
      </w:r>
      <w:r w:rsidRPr="00D147A7">
        <w:rPr>
          <w:i/>
          <w:iCs/>
        </w:rPr>
        <w:t>gen, gebruiken, verstrekken door middel van doorzending, verspreiden of op enigerlei andere wijze ter beschikking stellen, samenbrengen, met elkaar in verband brengen, alsmede het af</w:t>
      </w:r>
      <w:r w:rsidR="00476D03">
        <w:rPr>
          <w:i/>
          <w:iCs/>
        </w:rPr>
        <w:t>-</w:t>
      </w:r>
      <w:r w:rsidRPr="00D147A7">
        <w:rPr>
          <w:i/>
          <w:iCs/>
        </w:rPr>
        <w:t>schermen, uitwissen en vernietigen</w:t>
      </w:r>
      <w:r w:rsidRPr="00D147A7">
        <w:t>.</w:t>
      </w:r>
      <w:r w:rsidRPr="00D147A7">
        <w:rPr>
          <w:vertAlign w:val="superscript"/>
        </w:rPr>
        <w:footnoteReference w:id="1078"/>
      </w:r>
      <w:r w:rsidRPr="00D147A7">
        <w:t xml:space="preserve"> Iedere manipulatie van persoonsgegevens is dus een ‘verwerking’ in de zin van de privacywet, tenzij de manueel gemanipuleerde persoonsgege</w:t>
      </w:r>
      <w:r w:rsidR="00476D03">
        <w:t>-</w:t>
      </w:r>
      <w:r w:rsidRPr="00D147A7">
        <w:t>vens niet in een bestand worden opgenomen.</w:t>
      </w:r>
      <w:r w:rsidRPr="00D147A7">
        <w:rPr>
          <w:vertAlign w:val="superscript"/>
        </w:rPr>
        <w:footnoteReference w:id="1079"/>
      </w:r>
      <w:r w:rsidRPr="00D147A7">
        <w:t xml:space="preserve"> Het begrip ‘bestand’ is dus vooral van belang om te bepalen op welke manuele verwerkingen de privacywet van toepassing is. </w:t>
      </w:r>
      <w:r w:rsidRPr="00D147A7">
        <w:rPr>
          <w:rFonts w:eastAsiaTheme="minorEastAsia"/>
          <w:kern w:val="0"/>
          <w:lang w:eastAsia="en-US" w:bidi="ar-SA"/>
        </w:rPr>
        <w:t>Voor geauto</w:t>
      </w:r>
      <w:r w:rsidR="00476D03">
        <w:rPr>
          <w:rFonts w:eastAsiaTheme="minorEastAsia"/>
          <w:kern w:val="0"/>
          <w:lang w:eastAsia="en-US" w:bidi="ar-SA"/>
        </w:rPr>
        <w:t>-</w:t>
      </w:r>
      <w:r w:rsidRPr="00D147A7">
        <w:rPr>
          <w:rFonts w:eastAsiaTheme="minorEastAsia"/>
          <w:kern w:val="0"/>
          <w:lang w:eastAsia="en-US" w:bidi="ar-SA"/>
        </w:rPr>
        <w:t>matiseerde verwerkingen (zoals geïnformatiseerde databanken) staat d</w:t>
      </w:r>
      <w:r w:rsidR="00476D03">
        <w:rPr>
          <w:rFonts w:eastAsiaTheme="minorEastAsia"/>
          <w:kern w:val="0"/>
          <w:lang w:eastAsia="en-US" w:bidi="ar-SA"/>
        </w:rPr>
        <w:t>i</w:t>
      </w:r>
      <w:r w:rsidRPr="00D147A7">
        <w:rPr>
          <w:rFonts w:eastAsiaTheme="minorEastAsia"/>
          <w:kern w:val="0"/>
          <w:lang w:eastAsia="en-US" w:bidi="ar-SA"/>
        </w:rPr>
        <w:t xml:space="preserve">t buiten kijf. </w:t>
      </w:r>
      <w:r w:rsidRPr="00D147A7">
        <w:t>Terwijl alle elektronische patiëntendossiers dus aan de bepalingen van de privacywet onderhevig zijn</w:t>
      </w:r>
      <w:r w:rsidRPr="00D147A7">
        <w:rPr>
          <w:vertAlign w:val="superscript"/>
        </w:rPr>
        <w:footnoteReference w:id="1080"/>
      </w:r>
      <w:r w:rsidRPr="00D147A7">
        <w:t xml:space="preserve">, is dat voor manueel aangelegde patiëntendossiers slechts het geval als ze deel van een bestand </w:t>
      </w:r>
      <w:r w:rsidR="00476D03" w:rsidRPr="00D147A7">
        <w:t xml:space="preserve">uitmaken </w:t>
      </w:r>
      <w:r w:rsidRPr="00D147A7">
        <w:t>of op zichzelf een bestand zijn. Om van een bestand te kunnen spreken, moet aan twee afzonderlijke criteria voldaan</w:t>
      </w:r>
      <w:r w:rsidR="00476D03" w:rsidRPr="00476D03">
        <w:t xml:space="preserve"> </w:t>
      </w:r>
      <w:r w:rsidR="00476D03" w:rsidRPr="00D147A7">
        <w:t>worden</w:t>
      </w:r>
      <w:r w:rsidRPr="00D147A7">
        <w:t>: de persoonsgegevens moeten een ge</w:t>
      </w:r>
      <w:r w:rsidR="00476D03">
        <w:t>-</w:t>
      </w:r>
      <w:r w:rsidRPr="00D147A7">
        <w:lastRenderedPageBreak/>
        <w:t>structureerd geheel zijn én ze moeten volgens welbepaalde criteria toegankelijk zijn.</w:t>
      </w:r>
      <w:r w:rsidRPr="00D147A7">
        <w:rPr>
          <w:vertAlign w:val="superscript"/>
        </w:rPr>
        <w:footnoteReference w:id="1081"/>
      </w:r>
      <w:r w:rsidRPr="00D147A7">
        <w:t xml:space="preserve"> O</w:t>
      </w:r>
      <w:r w:rsidRPr="00D147A7">
        <w:rPr>
          <w:bCs/>
        </w:rPr>
        <w:t xml:space="preserve">f de persoonsgegevens op centraal of </w:t>
      </w:r>
      <w:r w:rsidR="00476D03">
        <w:rPr>
          <w:bCs/>
        </w:rPr>
        <w:t xml:space="preserve">op </w:t>
      </w:r>
      <w:r w:rsidRPr="00D147A7">
        <w:rPr>
          <w:bCs/>
        </w:rPr>
        <w:t>decentraal niveau gestructureerd zijn en of ze op functio</w:t>
      </w:r>
      <w:r w:rsidR="00476D03">
        <w:rPr>
          <w:bCs/>
        </w:rPr>
        <w:t>-</w:t>
      </w:r>
      <w:r w:rsidRPr="00D147A7">
        <w:rPr>
          <w:bCs/>
        </w:rPr>
        <w:t>nele of op geografische wijze verspreid zijn, is hier van geen verder belang.</w:t>
      </w:r>
      <w:r w:rsidRPr="00D147A7">
        <w:rPr>
          <w:vertAlign w:val="superscript"/>
        </w:rPr>
        <w:footnoteReference w:id="1082"/>
      </w:r>
      <w:r w:rsidRPr="00D147A7">
        <w:t xml:space="preserve"> Wel moeten de gegevens op een ordelijke wijze gestructureerd zijn, zodat ze teruggevonden kunnen wor</w:t>
      </w:r>
      <w:r w:rsidR="00476D03">
        <w:t>-</w:t>
      </w:r>
      <w:r w:rsidRPr="00D147A7">
        <w:t xml:space="preserve">den zonder dat daar één of meerdere dossiers integraal voor </w:t>
      </w:r>
      <w:r w:rsidR="00476D03" w:rsidRPr="00D147A7">
        <w:t xml:space="preserve">moeten worden </w:t>
      </w:r>
      <w:r w:rsidRPr="00D147A7">
        <w:t>door</w:t>
      </w:r>
      <w:r w:rsidR="00476D03">
        <w:t>ge</w:t>
      </w:r>
      <w:r w:rsidRPr="00D147A7">
        <w:t>nomen.</w:t>
      </w:r>
      <w:r w:rsidRPr="00D147A7">
        <w:rPr>
          <w:vertAlign w:val="superscript"/>
        </w:rPr>
        <w:footnoteReference w:id="1083"/>
      </w:r>
      <w:r w:rsidRPr="00D147A7">
        <w:t xml:space="preserve"> Omdat bescheiden in veel gevallen persoonsgegevens bevatten en ze in archiefdiensten geor</w:t>
      </w:r>
      <w:r w:rsidR="00476D03">
        <w:t>-</w:t>
      </w:r>
      <w:r w:rsidRPr="00D147A7">
        <w:t>dend, bewaard en toegankelijk gemaakt worden met het oog op systematische raadplegingen, zijn archiefstukken in een archiefbewaarplaats een bestand in de zin van de privacywet.</w:t>
      </w:r>
      <w:r w:rsidRPr="00D147A7">
        <w:rPr>
          <w:vertAlign w:val="superscript"/>
        </w:rPr>
        <w:footnoteReference w:id="1084"/>
      </w:r>
      <w:r w:rsidRPr="00D147A7">
        <w:t xml:space="preserve"> Een manueel aangelegd patiëntendossier met min of meer chronologisch gerangschikte docu</w:t>
      </w:r>
      <w:r w:rsidR="00476D03">
        <w:t>-</w:t>
      </w:r>
      <w:r w:rsidRPr="00D147A7">
        <w:t>menten van velerlei aard wordt niet als systematisch toegankelijk geheel beschouwd.</w:t>
      </w:r>
      <w:r w:rsidRPr="00D147A7">
        <w:rPr>
          <w:vertAlign w:val="superscript"/>
        </w:rPr>
        <w:footnoteReference w:id="1085"/>
      </w:r>
      <w:r w:rsidRPr="00D147A7">
        <w:t xml:space="preserve"> </w:t>
      </w:r>
    </w:p>
    <w:p w:rsidR="000F560E" w:rsidRPr="00D147A7" w:rsidRDefault="000F560E" w:rsidP="000F560E">
      <w:pPr>
        <w:jc w:val="both"/>
        <w:rPr>
          <w:i/>
          <w:color w:val="FF0000"/>
        </w:rPr>
      </w:pPr>
    </w:p>
    <w:p w:rsidR="000F560E" w:rsidRPr="00D147A7" w:rsidRDefault="000F560E" w:rsidP="000F560E">
      <w:pPr>
        <w:jc w:val="both"/>
        <w:rPr>
          <w:highlight w:val="darkBlue"/>
        </w:rPr>
      </w:pPr>
      <w:r w:rsidRPr="00D147A7">
        <w:t xml:space="preserve">De ‘verantwoordelijke voor de verwerking’ is </w:t>
      </w:r>
      <w:r w:rsidRPr="00D147A7">
        <w:rPr>
          <w:i/>
        </w:rPr>
        <w:t>de natuurlijke persoon of de rechtspersoon, de feitelijke organisatie of het openbaar bestuur die alleen of samen met anderen</w:t>
      </w:r>
      <w:r w:rsidRPr="00D147A7">
        <w:rPr>
          <w:vertAlign w:val="superscript"/>
        </w:rPr>
        <w:footnoteReference w:id="1086"/>
      </w:r>
      <w:r w:rsidRPr="00D147A7">
        <w:rPr>
          <w:i/>
        </w:rPr>
        <w:t xml:space="preserve"> het doel en de middelen voor de verwerking van persoonsgegevens bepaalt</w:t>
      </w:r>
      <w:r w:rsidRPr="00D147A7">
        <w:t>.</w:t>
      </w:r>
      <w:r w:rsidRPr="00D147A7">
        <w:rPr>
          <w:vertAlign w:val="superscript"/>
        </w:rPr>
        <w:footnoteReference w:id="1087"/>
      </w:r>
      <w:r w:rsidR="00476D03">
        <w:t xml:space="preserve"> Doorgaans wordt de ar-</w:t>
      </w:r>
      <w:r w:rsidRPr="00D147A7">
        <w:t>chiefvormer als verantwoordelijke aangeduid.</w:t>
      </w:r>
      <w:r w:rsidRPr="00D147A7">
        <w:rPr>
          <w:vertAlign w:val="superscript"/>
        </w:rPr>
        <w:footnoteReference w:id="1088"/>
      </w:r>
      <w:r w:rsidRPr="00D147A7">
        <w:t xml:space="preserve"> Ook diegene die beslissingsbevoegd is met betrekking tot de verwerking (zoals de organisator of verantwoordelijke voor een historisch onderzoeksproject) wordt als verantwoordelijke aangemerkt.</w:t>
      </w:r>
      <w:r w:rsidRPr="00D147A7">
        <w:rPr>
          <w:vertAlign w:val="superscript"/>
        </w:rPr>
        <w:footnoteReference w:id="1089"/>
      </w:r>
      <w:r w:rsidRPr="00D147A7">
        <w:t xml:space="preserve"> In het vorige deel werd reeds opgemerkt dat gezondheidsgegevens in principe onder de</w:t>
      </w:r>
      <w:r w:rsidR="00476D03">
        <w:t xml:space="preserve"> verantwoordelijkheid van een be-</w:t>
      </w:r>
      <w:r w:rsidRPr="00D147A7">
        <w:t xml:space="preserve">roepsbeoefenaar in de gezondheidszorg verwerkt moeten worden, omdat zij – met inbegrip </w:t>
      </w:r>
      <w:r w:rsidRPr="00D147A7">
        <w:lastRenderedPageBreak/>
        <w:t>van hun gemachtigden – aan het medisch beroepsgeheim gebonden zijn.</w:t>
      </w:r>
      <w:r w:rsidRPr="00D147A7">
        <w:rPr>
          <w:vertAlign w:val="superscript"/>
        </w:rPr>
        <w:footnoteReference w:id="1090"/>
      </w:r>
      <w:r w:rsidRPr="00D147A7">
        <w:t xml:space="preserve"> Omdat de verant</w:t>
      </w:r>
      <w:r w:rsidR="00981978">
        <w:t>-</w:t>
      </w:r>
      <w:r w:rsidRPr="00D147A7">
        <w:t>woordelijkheid voor de verwerking van gezondheidsgegevens in verzorgingsinstellingen bij de algemene en uiteindelijke verantwoordelijke van de instelling berust (die niet noodzakelijk een zorgverlener is), moet een geneesheer aangesteld om toezicht uit te oefenen op de verwer</w:t>
      </w:r>
      <w:r w:rsidR="00981978">
        <w:t>-</w:t>
      </w:r>
      <w:r w:rsidRPr="00D147A7">
        <w:t>king.</w:t>
      </w:r>
      <w:r w:rsidRPr="00D147A7">
        <w:rPr>
          <w:vertAlign w:val="superscript"/>
        </w:rPr>
        <w:footnoteReference w:id="1091"/>
      </w:r>
      <w:r w:rsidRPr="00D147A7">
        <w:t xml:space="preserve"> Onderzoekers worden verzocht om in hun aangifte aan de nationale privacycommis</w:t>
      </w:r>
      <w:r w:rsidR="00981978">
        <w:t>-</w:t>
      </w:r>
      <w:r w:rsidRPr="00D147A7">
        <w:t>sie de identiteit van de verantwoordelijke mee te delen.</w:t>
      </w:r>
      <w:r w:rsidRPr="00D147A7">
        <w:rPr>
          <w:vertAlign w:val="superscript"/>
        </w:rPr>
        <w:footnoteReference w:id="1092"/>
      </w:r>
      <w:r w:rsidRPr="00D147A7">
        <w:t xml:space="preserve"> </w:t>
      </w:r>
    </w:p>
    <w:p w:rsidR="000F560E" w:rsidRPr="00D147A7" w:rsidRDefault="000F560E" w:rsidP="000F560E">
      <w:pPr>
        <w:jc w:val="both"/>
        <w:rPr>
          <w:color w:val="FF0000"/>
          <w:highlight w:val="darkBlue"/>
        </w:rPr>
      </w:pPr>
    </w:p>
    <w:p w:rsidR="000F560E" w:rsidRPr="00D147A7" w:rsidRDefault="000F560E" w:rsidP="000F560E">
      <w:pPr>
        <w:jc w:val="both"/>
      </w:pPr>
      <w:r w:rsidRPr="00D147A7">
        <w:t xml:space="preserve">De ‘verwerker’ is </w:t>
      </w:r>
      <w:r w:rsidRPr="00D147A7">
        <w:rPr>
          <w:i/>
        </w:rPr>
        <w:t>de natuurlijke persoon, de rechtspersoon, de feitelijke vereniging of het openbaar bestuur die ten behoeve van de verantwoordelijke voor de verwerking persoonsge</w:t>
      </w:r>
      <w:r w:rsidR="00981978">
        <w:rPr>
          <w:i/>
        </w:rPr>
        <w:t>-</w:t>
      </w:r>
      <w:r w:rsidRPr="00D147A7">
        <w:rPr>
          <w:i/>
        </w:rPr>
        <w:t>gevens verwerkt, met uitsluiting van de personen die rechtstreeks onder het gezag van de ver</w:t>
      </w:r>
      <w:r w:rsidR="00981978">
        <w:rPr>
          <w:i/>
        </w:rPr>
        <w:t>-</w:t>
      </w:r>
      <w:r w:rsidRPr="00D147A7">
        <w:rPr>
          <w:i/>
        </w:rPr>
        <w:t>antwoordelijke voor de verwerking gemachtigd zijn om de gegevens te verwerken</w:t>
      </w:r>
      <w:r w:rsidRPr="00D147A7">
        <w:t>.</w:t>
      </w:r>
      <w:r w:rsidRPr="00D147A7">
        <w:rPr>
          <w:vertAlign w:val="superscript"/>
        </w:rPr>
        <w:footnoteReference w:id="1093"/>
      </w:r>
      <w:r w:rsidRPr="00D147A7">
        <w:t xml:space="preserve"> In vele gevallen zal het begrip ‘verwerker’ op meer dan één persoon betrekking hebben. Medewer</w:t>
      </w:r>
      <w:r w:rsidR="00981978">
        <w:t>-</w:t>
      </w:r>
      <w:r w:rsidRPr="00D147A7">
        <w:t>kers van (archiefdiensten in) verzorgingsinstellingen zijn geen verwe</w:t>
      </w:r>
      <w:r w:rsidR="00981978">
        <w:t>rkers in de zin van de pri</w:t>
      </w:r>
      <w:r w:rsidRPr="00D147A7">
        <w:t xml:space="preserve">vacywet aangezien zij </w:t>
      </w:r>
      <w:r w:rsidR="00981978" w:rsidRPr="00D147A7">
        <w:t>gezondheids</w:t>
      </w:r>
      <w:r w:rsidR="00981978">
        <w:t>ge</w:t>
      </w:r>
      <w:r w:rsidR="00981978" w:rsidRPr="00D147A7">
        <w:t xml:space="preserve">gevens verwerken </w:t>
      </w:r>
      <w:r w:rsidRPr="00D147A7">
        <w:t>onder het directe gezag van de ver</w:t>
      </w:r>
      <w:r w:rsidR="00981978">
        <w:t>-</w:t>
      </w:r>
      <w:r w:rsidRPr="00D147A7">
        <w:t xml:space="preserve">antwoordelijke. Enkel als een zelfstandige archiefdienst ten behoeve van de archiefvormer werkt (bijvoorbeeld wanneer deze laatste zijn archief aan een archiefinstelling (contractueel) in bewaring geeft), is </w:t>
      </w:r>
      <w:r w:rsidR="00981978">
        <w:t xml:space="preserve">deze </w:t>
      </w:r>
      <w:r w:rsidRPr="00D147A7">
        <w:t>een verwerker in de zin van de privacywet. Het Algemeen Rijks</w:t>
      </w:r>
      <w:r w:rsidR="00981978">
        <w:t>-</w:t>
      </w:r>
      <w:r w:rsidRPr="00D147A7">
        <w:t>archief heeft daarentegen een wettelijk mandaat om documenten te archiveren (en dus per</w:t>
      </w:r>
      <w:r w:rsidR="00981978">
        <w:t>-</w:t>
      </w:r>
      <w:r w:rsidRPr="00D147A7">
        <w:t>soonsgegevens te verwerken), waardoor rijksarchivarissen verantwoordelijken voor de ver</w:t>
      </w:r>
      <w:r w:rsidR="00981978">
        <w:t>-</w:t>
      </w:r>
      <w:r w:rsidRPr="00D147A7">
        <w:t>werking zijn.</w:t>
      </w:r>
      <w:r w:rsidRPr="00D147A7">
        <w:rPr>
          <w:vertAlign w:val="superscript"/>
        </w:rPr>
        <w:footnoteReference w:id="1094"/>
      </w:r>
      <w:r w:rsidRPr="00D147A7">
        <w:t xml:space="preserve"> Wanneer de bewaring van patiëntendossiers daarentegen aan derden uitbe</w:t>
      </w:r>
      <w:r w:rsidR="00981978">
        <w:t>-</w:t>
      </w:r>
      <w:r w:rsidRPr="00D147A7">
        <w:t>steed wordt, wordt de archiefbewaarnemer wel als verwerker gekwalificeerd.</w:t>
      </w:r>
      <w:r w:rsidRPr="00D147A7">
        <w:rPr>
          <w:vertAlign w:val="superscript"/>
        </w:rPr>
        <w:footnoteReference w:id="1095"/>
      </w:r>
      <w:r w:rsidRPr="00D147A7">
        <w:t xml:space="preserve"> </w:t>
      </w:r>
    </w:p>
    <w:p w:rsidR="000F560E" w:rsidRPr="00D147A7" w:rsidRDefault="000F560E" w:rsidP="000F560E">
      <w:pPr>
        <w:jc w:val="both"/>
      </w:pPr>
    </w:p>
    <w:p w:rsidR="00981978" w:rsidRDefault="000F560E" w:rsidP="000F560E">
      <w:pPr>
        <w:jc w:val="both"/>
      </w:pPr>
      <w:r w:rsidRPr="00D147A7">
        <w:t>De personen waaraan (het resultaat van de verwerking van) de</w:t>
      </w:r>
      <w:r w:rsidR="00981978">
        <w:t xml:space="preserve"> persoonsgegevens meegedeeld wor</w:t>
      </w:r>
      <w:r w:rsidRPr="00D147A7">
        <w:t xml:space="preserve">den, zijn </w:t>
      </w:r>
      <w:r w:rsidR="00981978">
        <w:t xml:space="preserve">de </w:t>
      </w:r>
      <w:r w:rsidRPr="00D147A7">
        <w:t>‘ontvangers’.</w:t>
      </w:r>
      <w:r w:rsidRPr="00D147A7">
        <w:rPr>
          <w:vertAlign w:val="superscript"/>
        </w:rPr>
        <w:footnoteReference w:id="1096"/>
      </w:r>
      <w:r w:rsidRPr="00D147A7">
        <w:t xml:space="preserve"> De mededeling kan gepaard gaan met een overdracht van ge</w:t>
      </w:r>
      <w:r w:rsidR="00981978">
        <w:t>-</w:t>
      </w:r>
      <w:r w:rsidRPr="00D147A7">
        <w:t>gevens, al is dat niet vereist. Zodra de verantwoordelijke het anderen mogelijk maakt om per</w:t>
      </w:r>
      <w:r w:rsidR="00981978">
        <w:t>-</w:t>
      </w:r>
      <w:r w:rsidRPr="00D147A7">
        <w:t>soonsgegevens te raadplegen – zoals het plaatsen van gegevens op een website – spreekt men van een mededeling.</w:t>
      </w:r>
      <w:r w:rsidRPr="00D147A7">
        <w:rPr>
          <w:vertAlign w:val="superscript"/>
        </w:rPr>
        <w:footnoteReference w:id="1097"/>
      </w:r>
      <w:r w:rsidRPr="00D147A7">
        <w:t xml:space="preserve"> </w:t>
      </w:r>
    </w:p>
    <w:p w:rsidR="00981978" w:rsidRDefault="00981978" w:rsidP="000F560E">
      <w:pPr>
        <w:jc w:val="both"/>
      </w:pPr>
    </w:p>
    <w:p w:rsidR="000F560E" w:rsidRPr="00981978" w:rsidRDefault="000F560E" w:rsidP="000F560E">
      <w:pPr>
        <w:jc w:val="both"/>
      </w:pPr>
      <w:r w:rsidRPr="00D147A7">
        <w:lastRenderedPageBreak/>
        <w:t>Alle overige personen worden aangeduid als ‘derden’.</w:t>
      </w:r>
      <w:r w:rsidRPr="00D147A7">
        <w:rPr>
          <w:vertAlign w:val="superscript"/>
        </w:rPr>
        <w:footnoteReference w:id="1098"/>
      </w:r>
      <w:r w:rsidRPr="00D147A7">
        <w:t xml:space="preserve"> </w:t>
      </w:r>
      <w:r w:rsidRPr="00D147A7">
        <w:rPr>
          <w:rFonts w:eastAsiaTheme="minorEastAsia"/>
          <w:kern w:val="0"/>
          <w:lang w:eastAsia="en-US" w:bidi="ar-SA"/>
        </w:rPr>
        <w:t>In beginsel mogen gezondheidsge</w:t>
      </w:r>
      <w:r w:rsidR="00981978">
        <w:rPr>
          <w:rFonts w:eastAsiaTheme="minorEastAsia"/>
          <w:kern w:val="0"/>
          <w:lang w:eastAsia="en-US" w:bidi="ar-SA"/>
        </w:rPr>
        <w:t>-</w:t>
      </w:r>
      <w:r w:rsidRPr="00D147A7">
        <w:rPr>
          <w:rFonts w:eastAsiaTheme="minorEastAsia"/>
          <w:kern w:val="0"/>
          <w:lang w:eastAsia="en-US" w:bidi="ar-SA"/>
        </w:rPr>
        <w:t xml:space="preserve">gevens niet aan derden worden meegedeeld, tenzij dit bij of krachtens wet wordt toegestaan: in spoedgevallen of op basis van een schriftelijke toestemming (i.e. </w:t>
      </w:r>
      <w:r w:rsidRPr="00D147A7">
        <w:rPr>
          <w:rFonts w:eastAsiaTheme="minorEastAsia"/>
          <w:i/>
          <w:kern w:val="0"/>
          <w:lang w:eastAsia="en-US" w:bidi="ar-SA"/>
        </w:rPr>
        <w:t>een vrije, specifieke en op informatie berustende wilsuiting waarmee de betrokkene aanvaardt dat hem betreffende per</w:t>
      </w:r>
      <w:r w:rsidR="00981978">
        <w:rPr>
          <w:rFonts w:eastAsiaTheme="minorEastAsia"/>
          <w:i/>
          <w:kern w:val="0"/>
          <w:lang w:eastAsia="en-US" w:bidi="ar-SA"/>
        </w:rPr>
        <w:t>-</w:t>
      </w:r>
      <w:r w:rsidRPr="00D147A7">
        <w:rPr>
          <w:rFonts w:eastAsiaTheme="minorEastAsia"/>
          <w:i/>
          <w:kern w:val="0"/>
          <w:lang w:eastAsia="en-US" w:bidi="ar-SA"/>
        </w:rPr>
        <w:t>soonsgegevens worden verwerkt</w:t>
      </w:r>
      <w:r w:rsidRPr="00D147A7">
        <w:rPr>
          <w:rFonts w:eastAsiaTheme="minorEastAsia"/>
          <w:kern w:val="0"/>
          <w:vertAlign w:val="superscript"/>
          <w:lang w:eastAsia="en-US" w:bidi="ar-SA"/>
        </w:rPr>
        <w:footnoteReference w:id="1099"/>
      </w:r>
      <w:r w:rsidRPr="00D147A7">
        <w:rPr>
          <w:rFonts w:eastAsiaTheme="minorEastAsia"/>
          <w:kern w:val="0"/>
          <w:lang w:eastAsia="en-US" w:bidi="ar-SA"/>
        </w:rPr>
        <w:t>) van de betrokken patiënt aan zorgverleners word</w:t>
      </w:r>
      <w:r w:rsidR="00981978">
        <w:rPr>
          <w:rFonts w:eastAsiaTheme="minorEastAsia"/>
          <w:kern w:val="0"/>
          <w:lang w:eastAsia="en-US" w:bidi="ar-SA"/>
        </w:rPr>
        <w:t>en mee-ge</w:t>
      </w:r>
      <w:r w:rsidRPr="00D147A7">
        <w:rPr>
          <w:rFonts w:eastAsiaTheme="minorEastAsia"/>
          <w:kern w:val="0"/>
          <w:lang w:eastAsia="en-US" w:bidi="ar-SA"/>
        </w:rPr>
        <w:t>deeld, met het oog op de med</w:t>
      </w:r>
      <w:r w:rsidR="00981978">
        <w:rPr>
          <w:rFonts w:eastAsiaTheme="minorEastAsia"/>
          <w:kern w:val="0"/>
          <w:lang w:eastAsia="en-US" w:bidi="ar-SA"/>
        </w:rPr>
        <w:t>ische behandeling en gezondheids</w:t>
      </w:r>
      <w:r w:rsidRPr="00D147A7">
        <w:rPr>
          <w:rFonts w:eastAsiaTheme="minorEastAsia"/>
          <w:kern w:val="0"/>
          <w:lang w:eastAsia="en-US" w:bidi="ar-SA"/>
        </w:rPr>
        <w:t>gegevens tussen zorgverle</w:t>
      </w:r>
      <w:r w:rsidR="00981978">
        <w:rPr>
          <w:rFonts w:eastAsiaTheme="minorEastAsia"/>
          <w:kern w:val="0"/>
          <w:lang w:eastAsia="en-US" w:bidi="ar-SA"/>
        </w:rPr>
        <w:t>-</w:t>
      </w:r>
      <w:r w:rsidRPr="00D147A7">
        <w:rPr>
          <w:rFonts w:eastAsiaTheme="minorEastAsia"/>
          <w:kern w:val="0"/>
          <w:lang w:eastAsia="en-US" w:bidi="ar-SA"/>
        </w:rPr>
        <w:t>ners onderling worden uitgewisseld.</w:t>
      </w:r>
      <w:r w:rsidRPr="00D147A7">
        <w:rPr>
          <w:rFonts w:eastAsiaTheme="minorEastAsia"/>
          <w:kern w:val="0"/>
          <w:vertAlign w:val="superscript"/>
          <w:lang w:eastAsia="en-US" w:bidi="ar-SA"/>
        </w:rPr>
        <w:footnoteReference w:id="1100"/>
      </w:r>
      <w:r w:rsidRPr="00D147A7">
        <w:rPr>
          <w:rFonts w:eastAsiaTheme="minorEastAsia"/>
          <w:kern w:val="0"/>
          <w:lang w:eastAsia="en-US" w:bidi="ar-SA"/>
        </w:rPr>
        <w:t xml:space="preserve"> </w:t>
      </w:r>
    </w:p>
    <w:p w:rsidR="000F560E" w:rsidRPr="00D147A7" w:rsidRDefault="000F560E" w:rsidP="000F560E">
      <w:pPr>
        <w:jc w:val="both"/>
        <w:rPr>
          <w:rFonts w:eastAsiaTheme="minorEastAsia"/>
          <w:kern w:val="0"/>
          <w:lang w:eastAsia="en-US" w:bidi="ar-SA"/>
        </w:rPr>
      </w:pPr>
    </w:p>
    <w:p w:rsidR="000F560E" w:rsidRPr="00D147A7" w:rsidRDefault="000F560E" w:rsidP="000F560E">
      <w:pPr>
        <w:widowControl/>
        <w:suppressAutoHyphens w:val="0"/>
        <w:rPr>
          <w:kern w:val="0"/>
          <w:sz w:val="22"/>
          <w:szCs w:val="22"/>
        </w:rPr>
      </w:pPr>
    </w:p>
    <w:p w:rsidR="000F560E" w:rsidRPr="00D147A7" w:rsidRDefault="000F560E" w:rsidP="000F560E">
      <w:pPr>
        <w:widowControl/>
        <w:suppressAutoHyphens w:val="0"/>
        <w:rPr>
          <w:smallCaps/>
          <w:kern w:val="0"/>
        </w:rPr>
      </w:pPr>
      <w:r w:rsidRPr="00D147A7">
        <w:rPr>
          <w:smallCaps/>
          <w:kern w:val="0"/>
        </w:rPr>
        <w:t xml:space="preserve">4.3 Voorwaarden voor rechtmatige verwerkingen </w:t>
      </w:r>
    </w:p>
    <w:p w:rsidR="000F560E" w:rsidRPr="00D147A7" w:rsidRDefault="000F560E" w:rsidP="000F560E">
      <w:pPr>
        <w:jc w:val="both"/>
        <w:rPr>
          <w:b/>
          <w:bCs/>
        </w:rPr>
      </w:pPr>
    </w:p>
    <w:p w:rsidR="000F560E" w:rsidRPr="00D147A7" w:rsidRDefault="000F560E" w:rsidP="000F560E">
      <w:pPr>
        <w:widowControl/>
        <w:suppressAutoHyphens w:val="0"/>
        <w:ind w:firstLine="708"/>
        <w:jc w:val="both"/>
        <w:rPr>
          <w:b/>
          <w:kern w:val="0"/>
        </w:rPr>
      </w:pPr>
      <w:r w:rsidRPr="00D147A7">
        <w:rPr>
          <w:b/>
          <w:kern w:val="0"/>
        </w:rPr>
        <w:t>Hoofdstuk 1: Algemene voorwaarden voor de verwerking van persoonsgegevens</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kern w:val="0"/>
        </w:rPr>
      </w:pPr>
      <w:r w:rsidRPr="00D147A7">
        <w:rPr>
          <w:kern w:val="0"/>
        </w:rPr>
        <w:t>Hoewel in iedere privacywetgevingen een titel gewijd is aan de ‘Algemene voorwaarden voor de rechtmatigheid van de verwerking van persoonsgegevens’</w:t>
      </w:r>
      <w:r w:rsidRPr="00D147A7">
        <w:rPr>
          <w:vertAlign w:val="superscript"/>
        </w:rPr>
        <w:footnoteReference w:id="1101"/>
      </w:r>
      <w:r w:rsidRPr="00D147A7">
        <w:rPr>
          <w:kern w:val="0"/>
        </w:rPr>
        <w:t>, moeten alle bepalingen van de privacywet nageleefd worden opdat een verwerking als rechtmatig kan worden beschouwd. Te allen tijde moeten de (algemene) kwalitatieve vereisten worden nageleefd, de rechten van de betrokkene(n) gerespecteerd worden, de eisen betreffende de vertrouwelijkheid en de be</w:t>
      </w:r>
      <w:r w:rsidR="00981978">
        <w:rPr>
          <w:kern w:val="0"/>
        </w:rPr>
        <w:t>-</w:t>
      </w:r>
      <w:r w:rsidRPr="00D147A7">
        <w:rPr>
          <w:kern w:val="0"/>
        </w:rPr>
        <w:t>veiliging toegepast worden, de omstandigheden aan de toelaatbaarheidscriteria getoetst wor</w:t>
      </w:r>
      <w:r w:rsidR="00981978">
        <w:rPr>
          <w:kern w:val="0"/>
        </w:rPr>
        <w:t>-</w:t>
      </w:r>
      <w:r w:rsidRPr="00D147A7">
        <w:rPr>
          <w:kern w:val="0"/>
        </w:rPr>
        <w:t>den, de regels inzake de aanmelding bij de nationale privacycommissie en de transparantie van de verwerking nageleefd worden, evenals de regels inzake de uitvoer van persoonsgege</w:t>
      </w:r>
      <w:r w:rsidR="00981978">
        <w:rPr>
          <w:kern w:val="0"/>
        </w:rPr>
        <w:t>-</w:t>
      </w:r>
      <w:r w:rsidRPr="00D147A7">
        <w:rPr>
          <w:kern w:val="0"/>
        </w:rPr>
        <w:t>vens naar landen buiten de Europese Gemeenschap in acht genomen worden.</w:t>
      </w:r>
      <w:r w:rsidRPr="00D147A7">
        <w:rPr>
          <w:vertAlign w:val="superscript"/>
        </w:rPr>
        <w:footnoteReference w:id="1102"/>
      </w:r>
      <w:r w:rsidRPr="00D147A7">
        <w:rPr>
          <w:rFonts w:eastAsiaTheme="minorEastAsia"/>
          <w:kern w:val="0"/>
          <w:lang w:eastAsia="en-US" w:bidi="ar-SA"/>
        </w:rPr>
        <w:t xml:space="preserve"> Verder moet ook nagegaan worden </w:t>
      </w:r>
      <w:r w:rsidRPr="00D147A7">
        <w:rPr>
          <w:kern w:val="0"/>
        </w:rPr>
        <w:t>of de beperkingen voor de verwerking van bijzondere categorieën per</w:t>
      </w:r>
      <w:r w:rsidR="00981978">
        <w:rPr>
          <w:kern w:val="0"/>
        </w:rPr>
        <w:t>-</w:t>
      </w:r>
      <w:r w:rsidRPr="00D147A7">
        <w:rPr>
          <w:kern w:val="0"/>
        </w:rPr>
        <w:t xml:space="preserve">soonsgegevens </w:t>
      </w:r>
      <w:r w:rsidR="00981978">
        <w:rPr>
          <w:kern w:val="0"/>
        </w:rPr>
        <w:t xml:space="preserve">al dan niet </w:t>
      </w:r>
      <w:r w:rsidRPr="00D147A7">
        <w:rPr>
          <w:kern w:val="0"/>
        </w:rPr>
        <w:t xml:space="preserve">van toepassing zijn. Omdat gezondheidsgegevens een speciale soort persoonsgegevens zijn, zullen de specifieke voorschriften hieronder </w:t>
      </w:r>
      <w:r w:rsidRPr="00D147A7">
        <w:rPr>
          <w:i/>
          <w:kern w:val="0"/>
        </w:rPr>
        <w:t>in extenso</w:t>
      </w:r>
      <w:r w:rsidRPr="00D147A7">
        <w:rPr>
          <w:kern w:val="0"/>
        </w:rPr>
        <w:t xml:space="preserve"> </w:t>
      </w:r>
      <w:r w:rsidR="00981978" w:rsidRPr="00D147A7">
        <w:rPr>
          <w:kern w:val="0"/>
        </w:rPr>
        <w:t>behan</w:t>
      </w:r>
      <w:r w:rsidR="00981978">
        <w:rPr>
          <w:kern w:val="0"/>
        </w:rPr>
        <w:t>-</w:t>
      </w:r>
      <w:r w:rsidR="00981978" w:rsidRPr="00D147A7">
        <w:rPr>
          <w:kern w:val="0"/>
        </w:rPr>
        <w:t xml:space="preserve">deld </w:t>
      </w:r>
      <w:r w:rsidRPr="00D147A7">
        <w:rPr>
          <w:kern w:val="0"/>
        </w:rPr>
        <w:t xml:space="preserve">worden. </w:t>
      </w:r>
    </w:p>
    <w:p w:rsidR="000F560E" w:rsidRPr="00981978" w:rsidRDefault="000F560E" w:rsidP="00981978">
      <w:pPr>
        <w:widowControl/>
        <w:suppressAutoHyphens w:val="0"/>
        <w:jc w:val="both"/>
        <w:rPr>
          <w:kern w:val="2"/>
        </w:rPr>
      </w:pPr>
      <w:r w:rsidRPr="00D147A7">
        <w:rPr>
          <w:kern w:val="0"/>
        </w:rPr>
        <w:t xml:space="preserve">Als de betrokkene kan aantonen dat één van de bepalingen uit de privacywet geschonden werd en hij of zij daardoor schade heeft ondervonden, zal </w:t>
      </w:r>
      <w:r w:rsidR="00981978" w:rsidRPr="00D147A7">
        <w:rPr>
          <w:kern w:val="0"/>
        </w:rPr>
        <w:t>de verantwoordelijke voor de ver</w:t>
      </w:r>
      <w:r w:rsidR="00981978">
        <w:rPr>
          <w:kern w:val="0"/>
        </w:rPr>
        <w:t>-</w:t>
      </w:r>
      <w:r w:rsidR="00981978" w:rsidRPr="00D147A7">
        <w:rPr>
          <w:kern w:val="0"/>
        </w:rPr>
        <w:t xml:space="preserve">werking </w:t>
      </w:r>
      <w:r w:rsidR="00981978">
        <w:rPr>
          <w:kern w:val="0"/>
        </w:rPr>
        <w:t xml:space="preserve">hiervoor </w:t>
      </w:r>
      <w:r w:rsidRPr="00D147A7">
        <w:rPr>
          <w:kern w:val="0"/>
        </w:rPr>
        <w:t>– mits het causaal verband tussen de fout en de schade kan worden aange</w:t>
      </w:r>
      <w:r w:rsidR="00981978">
        <w:rPr>
          <w:kern w:val="0"/>
        </w:rPr>
        <w:t>-</w:t>
      </w:r>
      <w:r w:rsidRPr="00D147A7">
        <w:rPr>
          <w:kern w:val="0"/>
        </w:rPr>
        <w:t>toond</w:t>
      </w:r>
      <w:r w:rsidRPr="00D147A7">
        <w:rPr>
          <w:vertAlign w:val="superscript"/>
        </w:rPr>
        <w:footnoteReference w:id="1103"/>
      </w:r>
      <w:r w:rsidRPr="00D147A7">
        <w:rPr>
          <w:kern w:val="0"/>
        </w:rPr>
        <w:t xml:space="preserve"> –</w:t>
      </w:r>
      <w:r w:rsidR="00981978">
        <w:rPr>
          <w:kern w:val="0"/>
        </w:rPr>
        <w:t xml:space="preserve"> </w:t>
      </w:r>
      <w:r w:rsidR="00981978" w:rsidRPr="00D147A7">
        <w:rPr>
          <w:kern w:val="0"/>
        </w:rPr>
        <w:t>aansprakelijk gesteld</w:t>
      </w:r>
      <w:r w:rsidR="00981978" w:rsidRPr="00981978">
        <w:rPr>
          <w:kern w:val="0"/>
        </w:rPr>
        <w:t xml:space="preserve"> </w:t>
      </w:r>
      <w:r w:rsidR="00981978" w:rsidRPr="00D147A7">
        <w:rPr>
          <w:kern w:val="0"/>
        </w:rPr>
        <w:t>worden</w:t>
      </w:r>
      <w:r w:rsidRPr="00D147A7">
        <w:rPr>
          <w:kern w:val="0"/>
        </w:rPr>
        <w:t>.</w:t>
      </w:r>
      <w:r w:rsidRPr="00D147A7">
        <w:rPr>
          <w:vertAlign w:val="superscript"/>
        </w:rPr>
        <w:footnoteReference w:id="1104"/>
      </w:r>
      <w:r w:rsidRPr="00D147A7">
        <w:rPr>
          <w:kern w:val="2"/>
        </w:rPr>
        <w:t xml:space="preserve"> </w:t>
      </w:r>
    </w:p>
    <w:p w:rsidR="00AF492F" w:rsidRDefault="00AF492F" w:rsidP="000F560E">
      <w:pPr>
        <w:jc w:val="both"/>
        <w:rPr>
          <w:bCs/>
          <w:kern w:val="2"/>
        </w:rPr>
      </w:pPr>
    </w:p>
    <w:p w:rsidR="000F560E" w:rsidRPr="00D147A7" w:rsidRDefault="000F560E" w:rsidP="000F560E">
      <w:pPr>
        <w:jc w:val="both"/>
      </w:pPr>
      <w:r w:rsidRPr="00D147A7">
        <w:rPr>
          <w:bCs/>
          <w:kern w:val="2"/>
        </w:rPr>
        <w:t xml:space="preserve">Hoewel de verwerking van gezondheidsgegevens aan een bijzondere regime onderworpen wordt, blijven ook de algemene voorwaarden onverminderd van toepassing. </w:t>
      </w:r>
      <w:r w:rsidRPr="00D147A7">
        <w:t xml:space="preserve">De kwalitatieve </w:t>
      </w:r>
      <w:r w:rsidRPr="00D147A7">
        <w:lastRenderedPageBreak/>
        <w:t xml:space="preserve">eisen waaraan alle verwerkingen moeten voldoen, worden hier kort uiteengezet. </w:t>
      </w:r>
    </w:p>
    <w:p w:rsidR="000F560E" w:rsidRPr="00D147A7" w:rsidRDefault="000F560E" w:rsidP="000F560E">
      <w:pPr>
        <w:jc w:val="both"/>
        <w:rPr>
          <w:bCs/>
          <w:kern w:val="2"/>
        </w:rPr>
      </w:pPr>
      <w:r w:rsidRPr="00D147A7">
        <w:rPr>
          <w:bCs/>
          <w:kern w:val="2"/>
        </w:rPr>
        <w:t>Een verwerking is slechts geoorloofd als de verwerkte persoonsgegevens toereikend, ter zake dienend en niet overmatig zijn.</w:t>
      </w:r>
      <w:r w:rsidRPr="00D147A7">
        <w:rPr>
          <w:bCs/>
          <w:kern w:val="2"/>
          <w:vertAlign w:val="superscript"/>
        </w:rPr>
        <w:footnoteReference w:id="1105"/>
      </w:r>
      <w:r w:rsidRPr="00D147A7">
        <w:rPr>
          <w:bCs/>
          <w:kern w:val="2"/>
        </w:rPr>
        <w:t xml:space="preserve"> </w:t>
      </w:r>
      <w:r w:rsidRPr="00D147A7">
        <w:rPr>
          <w:rFonts w:eastAsiaTheme="minorEastAsia"/>
          <w:kern w:val="0"/>
          <w:lang w:eastAsia="en-US" w:bidi="ar-SA"/>
        </w:rPr>
        <w:t xml:space="preserve">Ieder geval zal afzonderlijk aan deze criteria </w:t>
      </w:r>
      <w:r w:rsidR="00981978" w:rsidRPr="00D147A7">
        <w:rPr>
          <w:rFonts w:eastAsiaTheme="minorEastAsia"/>
          <w:kern w:val="0"/>
          <w:lang w:eastAsia="en-US" w:bidi="ar-SA"/>
        </w:rPr>
        <w:t xml:space="preserve">getoetst </w:t>
      </w:r>
      <w:r w:rsidRPr="00D147A7">
        <w:rPr>
          <w:rFonts w:eastAsiaTheme="minorEastAsia"/>
          <w:kern w:val="0"/>
          <w:lang w:eastAsia="en-US" w:bidi="ar-SA"/>
        </w:rPr>
        <w:t>moe</w:t>
      </w:r>
      <w:r w:rsidR="00981978">
        <w:rPr>
          <w:rFonts w:eastAsiaTheme="minorEastAsia"/>
          <w:kern w:val="0"/>
          <w:lang w:eastAsia="en-US" w:bidi="ar-SA"/>
        </w:rPr>
        <w:t>-</w:t>
      </w:r>
      <w:r w:rsidRPr="00D147A7">
        <w:rPr>
          <w:rFonts w:eastAsiaTheme="minorEastAsia"/>
          <w:kern w:val="0"/>
          <w:lang w:eastAsia="en-US" w:bidi="ar-SA"/>
        </w:rPr>
        <w:t>ten worden.</w:t>
      </w:r>
      <w:r w:rsidRPr="00D147A7">
        <w:rPr>
          <w:rFonts w:eastAsiaTheme="minorEastAsia"/>
          <w:kern w:val="0"/>
          <w:vertAlign w:val="superscript"/>
          <w:lang w:eastAsia="en-US" w:bidi="ar-SA"/>
        </w:rPr>
        <w:footnoteReference w:id="1106"/>
      </w:r>
      <w:r w:rsidRPr="00D147A7">
        <w:rPr>
          <w:rFonts w:eastAsiaTheme="minorEastAsia"/>
          <w:b/>
          <w:kern w:val="0"/>
          <w:lang w:eastAsia="en-US" w:bidi="ar-SA"/>
        </w:rPr>
        <w:t xml:space="preserve"> </w:t>
      </w:r>
      <w:r w:rsidRPr="00D147A7">
        <w:rPr>
          <w:bCs/>
          <w:kern w:val="2"/>
        </w:rPr>
        <w:t>De privacywetgeving erkent dat welbepaalde, uitdrukkelijk omschreven en gerechtvaardigde doeleinden</w:t>
      </w:r>
      <w:r w:rsidRPr="00D147A7">
        <w:rPr>
          <w:bCs/>
          <w:kern w:val="2"/>
          <w:vertAlign w:val="superscript"/>
        </w:rPr>
        <w:footnoteReference w:id="1107"/>
      </w:r>
      <w:r w:rsidRPr="00D147A7">
        <w:rPr>
          <w:bCs/>
          <w:kern w:val="2"/>
        </w:rPr>
        <w:t xml:space="preserve"> van een verwerking pas gerea</w:t>
      </w:r>
      <w:r w:rsidR="007834B7">
        <w:rPr>
          <w:bCs/>
          <w:kern w:val="2"/>
        </w:rPr>
        <w:t>liseerd kunnen worden als er vol</w:t>
      </w:r>
      <w:r w:rsidRPr="00D147A7">
        <w:rPr>
          <w:bCs/>
          <w:kern w:val="2"/>
        </w:rPr>
        <w:t xml:space="preserve">doende persoonsgegevens </w:t>
      </w:r>
      <w:r w:rsidR="007834B7" w:rsidRPr="00D147A7">
        <w:rPr>
          <w:bCs/>
          <w:kern w:val="2"/>
        </w:rPr>
        <w:t xml:space="preserve">verwerkt </w:t>
      </w:r>
      <w:r w:rsidRPr="00D147A7">
        <w:rPr>
          <w:bCs/>
          <w:kern w:val="2"/>
        </w:rPr>
        <w:t>mogen worden. Het risico dat dit inzicht tot een ver</w:t>
      </w:r>
      <w:r w:rsidR="007834B7">
        <w:rPr>
          <w:bCs/>
          <w:kern w:val="2"/>
        </w:rPr>
        <w:t>-</w:t>
      </w:r>
      <w:r w:rsidRPr="00D147A7">
        <w:rPr>
          <w:bCs/>
          <w:kern w:val="2"/>
        </w:rPr>
        <w:t>zamelwoede zou leiden, wordt meteen in de kiem gesmoord. Enkel wanneer gegevens kwali</w:t>
      </w:r>
      <w:r w:rsidR="007834B7">
        <w:rPr>
          <w:bCs/>
          <w:kern w:val="2"/>
        </w:rPr>
        <w:t>-</w:t>
      </w:r>
      <w:r w:rsidRPr="00D147A7">
        <w:rPr>
          <w:bCs/>
          <w:kern w:val="2"/>
        </w:rPr>
        <w:t>tatief en kwantitatief relevant zijn om de nuttige en noodzakelijke doeleinden van een verwer</w:t>
      </w:r>
      <w:r w:rsidR="007834B7">
        <w:rPr>
          <w:bCs/>
          <w:kern w:val="2"/>
        </w:rPr>
        <w:t>-</w:t>
      </w:r>
      <w:r w:rsidRPr="00D147A7">
        <w:rPr>
          <w:bCs/>
          <w:kern w:val="2"/>
        </w:rPr>
        <w:t>king te realiseren, mogen ze verwerkt worden. Opdat de omvang en de aard van de persoons</w:t>
      </w:r>
      <w:r w:rsidR="007834B7">
        <w:rPr>
          <w:bCs/>
          <w:kern w:val="2"/>
        </w:rPr>
        <w:t>-</w:t>
      </w:r>
      <w:r w:rsidRPr="00D147A7">
        <w:rPr>
          <w:bCs/>
          <w:kern w:val="2"/>
        </w:rPr>
        <w:t>gegevens aan de doeleinden van de verwerking getoetst zouden kunnen worden, moeten ze reeds vóór de inzameling afgebakend en geformuleerd zijn. Dit komt onder meer tot uiting in de verplichting van de verantwoordelijke om de doelstelling(en) van de verwerking – in het geval de persoonsgegevens bij de betrokkene zelf verkregen worden – vóór de acquisitie aan de betrokkene mee te delen.</w:t>
      </w:r>
      <w:r w:rsidRPr="00D147A7">
        <w:rPr>
          <w:bCs/>
          <w:kern w:val="2"/>
          <w:vertAlign w:val="superscript"/>
        </w:rPr>
        <w:footnoteReference w:id="1108"/>
      </w:r>
      <w:r w:rsidRPr="00D147A7">
        <w:rPr>
          <w:bCs/>
          <w:kern w:val="2"/>
        </w:rPr>
        <w:t xml:space="preserve"> Als de gegevens uit andere bron verkregen worden, moeten de geaspireerde ambities uiterlijk op het moment van de eerste mededeling aan een derde be</w:t>
      </w:r>
      <w:r w:rsidR="007834B7">
        <w:rPr>
          <w:bCs/>
          <w:kern w:val="2"/>
        </w:rPr>
        <w:t>-</w:t>
      </w:r>
      <w:r w:rsidRPr="00D147A7">
        <w:rPr>
          <w:bCs/>
          <w:kern w:val="2"/>
        </w:rPr>
        <w:t>kend</w:t>
      </w:r>
      <w:r w:rsidR="007834B7">
        <w:rPr>
          <w:bCs/>
          <w:kern w:val="2"/>
        </w:rPr>
        <w:t xml:space="preserve"> </w:t>
      </w:r>
      <w:r w:rsidR="007834B7" w:rsidRPr="00D147A7">
        <w:rPr>
          <w:bCs/>
          <w:kern w:val="2"/>
        </w:rPr>
        <w:t xml:space="preserve">worden </w:t>
      </w:r>
      <w:r w:rsidRPr="00D147A7">
        <w:rPr>
          <w:bCs/>
          <w:kern w:val="2"/>
        </w:rPr>
        <w:t>gemaakt.</w:t>
      </w:r>
      <w:r w:rsidRPr="00D147A7">
        <w:rPr>
          <w:bCs/>
          <w:kern w:val="2"/>
          <w:vertAlign w:val="superscript"/>
        </w:rPr>
        <w:footnoteReference w:id="1109"/>
      </w:r>
      <w:r w:rsidRPr="00D147A7">
        <w:rPr>
          <w:bCs/>
          <w:kern w:val="2"/>
        </w:rPr>
        <w:t xml:space="preserve"> In beide gevallen moet de betrokkene zijn toestemming verlenen om de hem betreffende persoonsgegevens te verwerken</w:t>
      </w:r>
      <w:r w:rsidRPr="00D147A7">
        <w:rPr>
          <w:bCs/>
          <w:kern w:val="2"/>
          <w:vertAlign w:val="superscript"/>
        </w:rPr>
        <w:footnoteReference w:id="1110"/>
      </w:r>
      <w:r w:rsidRPr="00D147A7">
        <w:rPr>
          <w:bCs/>
          <w:kern w:val="2"/>
        </w:rPr>
        <w:t>, wat hem in zekere mate garan</w:t>
      </w:r>
      <w:r w:rsidR="007834B7">
        <w:rPr>
          <w:bCs/>
          <w:kern w:val="2"/>
        </w:rPr>
        <w:t>-</w:t>
      </w:r>
      <w:r w:rsidRPr="00D147A7">
        <w:rPr>
          <w:bCs/>
          <w:kern w:val="2"/>
        </w:rPr>
        <w:t>deert dat de verwerking op eerlijke en rechtmatige wijze geschiedt.</w:t>
      </w:r>
      <w:r w:rsidRPr="00D147A7">
        <w:rPr>
          <w:bCs/>
          <w:kern w:val="2"/>
          <w:vertAlign w:val="superscript"/>
        </w:rPr>
        <w:footnoteReference w:id="1111"/>
      </w:r>
      <w:r w:rsidRPr="00D147A7">
        <w:rPr>
          <w:bCs/>
          <w:kern w:val="2"/>
        </w:rPr>
        <w:t xml:space="preserve"> Naast het doel van de verwerking moet de betrokkene ook op de hoogte gesteld worden van de naam en het adres </w:t>
      </w:r>
      <w:r w:rsidRPr="00D147A7">
        <w:rPr>
          <w:bCs/>
          <w:kern w:val="2"/>
        </w:rPr>
        <w:lastRenderedPageBreak/>
        <w:t>van de verantwoordelijke, het doel (of de doelen) van de verzameling en van de verwerking, een beschrijving van de categorie(ën) betrokkenen en van de (categorieën) gegevens die daar</w:t>
      </w:r>
      <w:r w:rsidR="007834B7">
        <w:rPr>
          <w:bCs/>
          <w:kern w:val="2"/>
        </w:rPr>
        <w:t>-</w:t>
      </w:r>
      <w:r w:rsidRPr="00D147A7">
        <w:rPr>
          <w:bCs/>
          <w:kern w:val="2"/>
        </w:rPr>
        <w:t>op betrekking hebben, de (categorieën) ontvangers aan wie de gegevens kunnen worden ver</w:t>
      </w:r>
      <w:r w:rsidR="007834B7">
        <w:rPr>
          <w:bCs/>
          <w:kern w:val="2"/>
        </w:rPr>
        <w:t>-</w:t>
      </w:r>
      <w:r w:rsidRPr="00D147A7">
        <w:rPr>
          <w:bCs/>
          <w:kern w:val="2"/>
        </w:rPr>
        <w:t>schaft, etc.</w:t>
      </w:r>
      <w:r w:rsidRPr="00D147A7">
        <w:rPr>
          <w:bCs/>
          <w:kern w:val="2"/>
          <w:vertAlign w:val="superscript"/>
        </w:rPr>
        <w:footnoteReference w:id="1112"/>
      </w:r>
      <w:r w:rsidRPr="00D147A7">
        <w:rPr>
          <w:bCs/>
          <w:kern w:val="2"/>
        </w:rPr>
        <w:t xml:space="preserve"> De manier waarop deze informatie aan de betrokkene moet worden meege</w:t>
      </w:r>
      <w:r w:rsidR="007834B7">
        <w:rPr>
          <w:bCs/>
          <w:kern w:val="2"/>
        </w:rPr>
        <w:t>-</w:t>
      </w:r>
      <w:r w:rsidRPr="00D147A7">
        <w:rPr>
          <w:bCs/>
          <w:kern w:val="2"/>
        </w:rPr>
        <w:t xml:space="preserve">deeld, </w:t>
      </w:r>
      <w:r w:rsidR="007834B7">
        <w:rPr>
          <w:bCs/>
          <w:kern w:val="2"/>
        </w:rPr>
        <w:t>werd</w:t>
      </w:r>
      <w:r w:rsidRPr="00D147A7">
        <w:rPr>
          <w:bCs/>
          <w:kern w:val="2"/>
        </w:rPr>
        <w:t xml:space="preserve"> niet vast</w:t>
      </w:r>
      <w:r w:rsidR="007834B7">
        <w:rPr>
          <w:bCs/>
          <w:kern w:val="2"/>
        </w:rPr>
        <w:t>gelegd</w:t>
      </w:r>
      <w:r w:rsidRPr="00D147A7">
        <w:rPr>
          <w:bCs/>
          <w:kern w:val="2"/>
        </w:rPr>
        <w:t>. De kennisgevingsplicht kan schriftelijk of mondeling en uitdruk</w:t>
      </w:r>
      <w:r w:rsidR="007834B7">
        <w:rPr>
          <w:bCs/>
          <w:kern w:val="2"/>
        </w:rPr>
        <w:t>-</w:t>
      </w:r>
      <w:r w:rsidRPr="00D147A7">
        <w:rPr>
          <w:bCs/>
          <w:kern w:val="2"/>
        </w:rPr>
        <w:t>kelijk of impliciet worden nageleefd.</w:t>
      </w:r>
      <w:r w:rsidRPr="00D147A7">
        <w:rPr>
          <w:bCs/>
          <w:kern w:val="2"/>
          <w:vertAlign w:val="superscript"/>
        </w:rPr>
        <w:footnoteReference w:id="1113"/>
      </w:r>
      <w:r w:rsidRPr="00D147A7">
        <w:rPr>
          <w:bCs/>
          <w:kern w:val="2"/>
        </w:rPr>
        <w:t xml:space="preserve"> Terwijl in ziekenhuizen in de meeste gevallen een privacyreglement aan de patiënten </w:t>
      </w:r>
      <w:r w:rsidR="007834B7" w:rsidRPr="00D147A7">
        <w:rPr>
          <w:bCs/>
          <w:kern w:val="2"/>
        </w:rPr>
        <w:t xml:space="preserve">overhandigd </w:t>
      </w:r>
      <w:r w:rsidRPr="00D147A7">
        <w:rPr>
          <w:bCs/>
          <w:kern w:val="2"/>
        </w:rPr>
        <w:t>zal</w:t>
      </w:r>
      <w:r w:rsidR="007834B7" w:rsidRPr="007834B7">
        <w:rPr>
          <w:bCs/>
          <w:kern w:val="2"/>
        </w:rPr>
        <w:t xml:space="preserve"> </w:t>
      </w:r>
      <w:r w:rsidR="007834B7" w:rsidRPr="00D147A7">
        <w:rPr>
          <w:bCs/>
          <w:kern w:val="2"/>
        </w:rPr>
        <w:t>worden</w:t>
      </w:r>
      <w:r w:rsidRPr="00D147A7">
        <w:rPr>
          <w:bCs/>
          <w:kern w:val="2"/>
        </w:rPr>
        <w:t>, ligt dit bij huisartsen veelal in de wachtzaal ter inzage.</w:t>
      </w:r>
      <w:r w:rsidRPr="00D147A7">
        <w:rPr>
          <w:bCs/>
          <w:kern w:val="2"/>
          <w:vertAlign w:val="superscript"/>
        </w:rPr>
        <w:footnoteReference w:id="1114"/>
      </w:r>
      <w:r w:rsidRPr="00D147A7">
        <w:rPr>
          <w:bCs/>
          <w:kern w:val="2"/>
        </w:rPr>
        <w:t xml:space="preserve"> Van deze plicht mag enkel worden afgeweken als dat – bij (verdere) verwerkingen voor historische, wetenschappelijke en/of statistische doeleinden – onmogelijk lijkt</w:t>
      </w:r>
      <w:r w:rsidR="007834B7">
        <w:rPr>
          <w:bCs/>
          <w:kern w:val="2"/>
        </w:rPr>
        <w:t>,</w:t>
      </w:r>
      <w:r w:rsidRPr="00D147A7">
        <w:rPr>
          <w:bCs/>
          <w:kern w:val="2"/>
        </w:rPr>
        <w:t xml:space="preserve"> onevenredig veel moeite kost of wanneer dit uitdrukkelijk wordt toegestaan door of krachtens de wet.</w:t>
      </w:r>
      <w:r w:rsidRPr="00D147A7">
        <w:rPr>
          <w:bCs/>
          <w:kern w:val="2"/>
          <w:vertAlign w:val="superscript"/>
        </w:rPr>
        <w:footnoteReference w:id="1115"/>
      </w:r>
      <w:r w:rsidRPr="00D147A7">
        <w:rPr>
          <w:bCs/>
          <w:kern w:val="2"/>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kern w:val="0"/>
        </w:rPr>
        <w:t>De kennisgevingsplicht heeft bovendien nog een tweede luik. Ieder doeleinde van een ver</w:t>
      </w:r>
      <w:r w:rsidR="007834B7">
        <w:rPr>
          <w:kern w:val="0"/>
        </w:rPr>
        <w:t>-</w:t>
      </w:r>
      <w:r w:rsidRPr="00D147A7">
        <w:rPr>
          <w:kern w:val="0"/>
        </w:rPr>
        <w:t>werking van persoonsgegevens moet door de nationale privacycommissie – een onafhanke</w:t>
      </w:r>
      <w:r w:rsidR="007834B7">
        <w:rPr>
          <w:kern w:val="0"/>
        </w:rPr>
        <w:t>-</w:t>
      </w:r>
      <w:r w:rsidRPr="00D147A7">
        <w:rPr>
          <w:kern w:val="0"/>
        </w:rPr>
        <w:t>lijke overheidsinstelling met een bemiddelende, adviserende en controlerende functie m.b.t. de naleving van de privacywet binnen de landsgrenzen</w:t>
      </w:r>
      <w:r w:rsidRPr="00D147A7">
        <w:rPr>
          <w:bCs/>
          <w:kern w:val="2"/>
          <w:vertAlign w:val="superscript"/>
        </w:rPr>
        <w:footnoteReference w:id="1116"/>
      </w:r>
      <w:r w:rsidRPr="00D147A7">
        <w:rPr>
          <w:kern w:val="0"/>
        </w:rPr>
        <w:t xml:space="preserve"> – ter goedkeuring worden voorge</w:t>
      </w:r>
      <w:r w:rsidR="00654170">
        <w:rPr>
          <w:kern w:val="0"/>
        </w:rPr>
        <w:t>-</w:t>
      </w:r>
      <w:r w:rsidRPr="00D147A7">
        <w:rPr>
          <w:kern w:val="0"/>
        </w:rPr>
        <w:t>legd.</w:t>
      </w:r>
      <w:r w:rsidRPr="00D147A7">
        <w:rPr>
          <w:bCs/>
          <w:kern w:val="2"/>
          <w:vertAlign w:val="superscript"/>
        </w:rPr>
        <w:footnoteReference w:id="1117"/>
      </w:r>
      <w:r w:rsidRPr="00D147A7">
        <w:rPr>
          <w:kern w:val="0"/>
        </w:rPr>
        <w:t xml:space="preserve"> </w:t>
      </w:r>
      <w:r w:rsidRPr="00D147A7">
        <w:rPr>
          <w:rFonts w:eastAsiaTheme="minorEastAsia"/>
          <w:kern w:val="0"/>
          <w:lang w:eastAsia="en-US" w:bidi="ar-SA"/>
        </w:rPr>
        <w:t xml:space="preserve">Het is mogelijk dat één fysische of logische gegevensverzameling voor verschillende </w:t>
      </w:r>
      <w:r w:rsidRPr="00D147A7">
        <w:rPr>
          <w:rFonts w:eastAsiaTheme="minorEastAsia"/>
          <w:kern w:val="0"/>
          <w:lang w:eastAsia="en-US" w:bidi="ar-SA"/>
        </w:rPr>
        <w:lastRenderedPageBreak/>
        <w:t xml:space="preserve">doeleinden kan worden verwerkt (waarbij ieder doeleinde als afzonderlijke verwerking </w:t>
      </w:r>
      <w:r w:rsidR="00654170" w:rsidRPr="00D147A7">
        <w:rPr>
          <w:rFonts w:eastAsiaTheme="minorEastAsia"/>
          <w:kern w:val="0"/>
          <w:lang w:eastAsia="en-US" w:bidi="ar-SA"/>
        </w:rPr>
        <w:t xml:space="preserve">wordt </w:t>
      </w:r>
      <w:r w:rsidRPr="00D147A7">
        <w:rPr>
          <w:rFonts w:eastAsiaTheme="minorEastAsia"/>
          <w:kern w:val="0"/>
          <w:lang w:eastAsia="en-US" w:bidi="ar-SA"/>
        </w:rPr>
        <w:t>beschouwd), terwijl ook gegevens die op verschillende plaatsen bewaard worden voor een</w:t>
      </w:r>
      <w:r w:rsidR="004C29AE">
        <w:rPr>
          <w:rFonts w:eastAsiaTheme="minorEastAsia"/>
          <w:kern w:val="0"/>
          <w:lang w:eastAsia="en-US" w:bidi="ar-SA"/>
        </w:rPr>
        <w:t>-</w:t>
      </w:r>
      <w:r w:rsidRPr="00D147A7">
        <w:rPr>
          <w:rFonts w:eastAsiaTheme="minorEastAsia"/>
          <w:kern w:val="0"/>
          <w:lang w:eastAsia="en-US" w:bidi="ar-SA"/>
        </w:rPr>
        <w:t>zelfde doeleinde verwerkt kunnen worden.</w:t>
      </w:r>
      <w:r w:rsidRPr="00D147A7">
        <w:rPr>
          <w:rFonts w:eastAsiaTheme="minorEastAsia"/>
          <w:kern w:val="0"/>
          <w:vertAlign w:val="superscript"/>
          <w:lang w:eastAsia="en-US" w:bidi="ar-SA"/>
        </w:rPr>
        <w:footnoteReference w:id="1118"/>
      </w:r>
      <w:r w:rsidRPr="00D147A7">
        <w:rPr>
          <w:rFonts w:eastAsiaTheme="minorEastAsia"/>
          <w:kern w:val="0"/>
          <w:lang w:eastAsia="en-US" w:bidi="ar-SA"/>
        </w:rPr>
        <w:t xml:space="preserve"> </w:t>
      </w:r>
      <w:r w:rsidRPr="00D147A7">
        <w:rPr>
          <w:kern w:val="0"/>
        </w:rPr>
        <w:t>De privacywet stelt een beperkt aantal gevallen – veelal standaardverwerkingen –</w:t>
      </w:r>
      <w:r w:rsidR="00654170">
        <w:rPr>
          <w:kern w:val="0"/>
        </w:rPr>
        <w:t xml:space="preserve"> </w:t>
      </w:r>
      <w:r w:rsidRPr="00D147A7">
        <w:rPr>
          <w:kern w:val="0"/>
        </w:rPr>
        <w:t>van deze aangifteplicht</w:t>
      </w:r>
      <w:r w:rsidR="00654170" w:rsidRPr="00654170">
        <w:rPr>
          <w:kern w:val="0"/>
        </w:rPr>
        <w:t xml:space="preserve"> </w:t>
      </w:r>
      <w:r w:rsidR="00654170" w:rsidRPr="00D147A7">
        <w:rPr>
          <w:kern w:val="0"/>
        </w:rPr>
        <w:t>vrij</w:t>
      </w:r>
      <w:r w:rsidRPr="00D147A7">
        <w:rPr>
          <w:kern w:val="0"/>
        </w:rPr>
        <w:t>, mits aan de nodige voorwaar</w:t>
      </w:r>
      <w:r w:rsidR="004C29AE">
        <w:rPr>
          <w:kern w:val="0"/>
        </w:rPr>
        <w:t>-</w:t>
      </w:r>
      <w:r w:rsidRPr="00D147A7">
        <w:rPr>
          <w:kern w:val="0"/>
        </w:rPr>
        <w:t>den word</w:t>
      </w:r>
      <w:r w:rsidR="00654170">
        <w:rPr>
          <w:kern w:val="0"/>
        </w:rPr>
        <w:t>t</w:t>
      </w:r>
      <w:r w:rsidRPr="00D147A7">
        <w:rPr>
          <w:kern w:val="0"/>
        </w:rPr>
        <w:t xml:space="preserve"> voldaan.</w:t>
      </w:r>
      <w:r w:rsidRPr="00D147A7">
        <w:rPr>
          <w:bCs/>
          <w:kern w:val="2"/>
          <w:vertAlign w:val="superscript"/>
        </w:rPr>
        <w:footnoteReference w:id="1119"/>
      </w:r>
      <w:r w:rsidRPr="00D147A7">
        <w:rPr>
          <w:kern w:val="0"/>
        </w:rPr>
        <w:t xml:space="preserve"> Alle aangiften die bij de privacycommissie </w:t>
      </w:r>
      <w:r w:rsidR="003456C0" w:rsidRPr="00D147A7">
        <w:rPr>
          <w:kern w:val="0"/>
        </w:rPr>
        <w:t xml:space="preserve">ingediend </w:t>
      </w:r>
      <w:r w:rsidRPr="00D147A7">
        <w:rPr>
          <w:kern w:val="0"/>
        </w:rPr>
        <w:t>worden, worden in een (openbaar) register opgetekend.</w:t>
      </w:r>
      <w:r w:rsidRPr="00D147A7">
        <w:rPr>
          <w:kern w:val="2"/>
          <w:vertAlign w:val="superscript"/>
        </w:rPr>
        <w:footnoteReference w:id="1120"/>
      </w:r>
      <w:r w:rsidRPr="00D147A7">
        <w:rPr>
          <w:kern w:val="0"/>
        </w:rPr>
        <w:t xml:space="preserve"> Bovendien is er </w:t>
      </w:r>
      <w:r w:rsidRPr="00D147A7">
        <w:rPr>
          <w:rFonts w:eastAsiaTheme="minorEastAsia"/>
          <w:kern w:val="0"/>
          <w:lang w:eastAsia="en-US" w:bidi="ar-SA"/>
        </w:rPr>
        <w:t xml:space="preserve">sinds januari 2004 </w:t>
      </w:r>
      <w:r w:rsidRPr="00D147A7">
        <w:rPr>
          <w:kern w:val="0"/>
        </w:rPr>
        <w:t>ook een over</w:t>
      </w:r>
      <w:r w:rsidR="004C29AE">
        <w:rPr>
          <w:kern w:val="0"/>
        </w:rPr>
        <w:t>-</w:t>
      </w:r>
      <w:r w:rsidRPr="00D147A7">
        <w:rPr>
          <w:kern w:val="0"/>
        </w:rPr>
        <w:t>koepelende</w:t>
      </w:r>
      <w:r w:rsidRPr="00D147A7">
        <w:rPr>
          <w:rFonts w:eastAsiaTheme="minorEastAsia"/>
          <w:kern w:val="0"/>
          <w:lang w:eastAsia="en-US" w:bidi="ar-SA"/>
        </w:rPr>
        <w:t>, Europese toezichthouder voor gegevensbescherming (</w:t>
      </w:r>
      <w:r w:rsidRPr="00D147A7">
        <w:rPr>
          <w:rFonts w:eastAsiaTheme="minorEastAsia"/>
          <w:i/>
          <w:kern w:val="0"/>
          <w:lang w:eastAsia="en-US" w:bidi="ar-SA"/>
        </w:rPr>
        <w:t>European Data Protection Supervisor</w:t>
      </w:r>
      <w:r w:rsidRPr="00D147A7">
        <w:rPr>
          <w:rFonts w:eastAsiaTheme="minorEastAsia"/>
          <w:kern w:val="0"/>
          <w:lang w:eastAsia="en-US" w:bidi="ar-SA"/>
        </w:rPr>
        <w:t xml:space="preserve"> of EPDS) actief.</w:t>
      </w:r>
      <w:r w:rsidRPr="00D147A7">
        <w:rPr>
          <w:rFonts w:eastAsiaTheme="minorEastAsia"/>
          <w:kern w:val="0"/>
          <w:vertAlign w:val="superscript"/>
          <w:lang w:eastAsia="en-US" w:bidi="ar-SA"/>
        </w:rPr>
        <w:footnoteReference w:id="1121"/>
      </w:r>
      <w:r w:rsidRPr="00D147A7">
        <w:rPr>
          <w:rFonts w:eastAsiaTheme="minorEastAsia"/>
          <w:kern w:val="0"/>
          <w:lang w:eastAsia="en-US" w:bidi="ar-SA"/>
        </w:rPr>
        <w:t xml:space="preserve"> Deze toezichthouder heeft als taak ervoor te zorgen dat de fundamentele rechten en vrijheden van natuurlijke perso</w:t>
      </w:r>
      <w:r w:rsidR="003456C0">
        <w:rPr>
          <w:rFonts w:eastAsiaTheme="minorEastAsia"/>
          <w:kern w:val="0"/>
          <w:lang w:eastAsia="en-US" w:bidi="ar-SA"/>
        </w:rPr>
        <w:t>nen, met het recht op de bescher</w:t>
      </w:r>
      <w:r w:rsidRPr="00D147A7">
        <w:rPr>
          <w:rFonts w:eastAsiaTheme="minorEastAsia"/>
          <w:kern w:val="0"/>
          <w:lang w:eastAsia="en-US" w:bidi="ar-SA"/>
        </w:rPr>
        <w:t>ming van de persoonlijke levenssfeer in het bijzonder, bij de verwerking van persoonsgegevens door de voormalige EG-instellingen en -organen in acht genomen</w:t>
      </w:r>
      <w:r w:rsidR="004C29AE" w:rsidRPr="004C29AE">
        <w:rPr>
          <w:rFonts w:eastAsiaTheme="minorEastAsia"/>
          <w:kern w:val="0"/>
          <w:lang w:eastAsia="en-US" w:bidi="ar-SA"/>
        </w:rPr>
        <w:t xml:space="preserve"> </w:t>
      </w:r>
      <w:r w:rsidR="004C29AE" w:rsidRPr="00D147A7">
        <w:rPr>
          <w:rFonts w:eastAsiaTheme="minorEastAsia"/>
          <w:kern w:val="0"/>
          <w:lang w:eastAsia="en-US" w:bidi="ar-SA"/>
        </w:rPr>
        <w:t>worden</w:t>
      </w:r>
      <w:r w:rsidRPr="00D147A7">
        <w:rPr>
          <w:rFonts w:eastAsiaTheme="minorEastAsia"/>
          <w:kern w:val="0"/>
          <w:lang w:eastAsia="en-US" w:bidi="ar-SA"/>
        </w:rPr>
        <w:t>.</w:t>
      </w:r>
    </w:p>
    <w:p w:rsidR="000F560E" w:rsidRPr="00D147A7" w:rsidRDefault="000F560E" w:rsidP="000F560E">
      <w:pPr>
        <w:jc w:val="both"/>
        <w:rPr>
          <w:bCs/>
          <w:kern w:val="2"/>
        </w:rPr>
      </w:pPr>
      <w:r w:rsidRPr="00D147A7">
        <w:rPr>
          <w:bCs/>
          <w:kern w:val="2"/>
        </w:rPr>
        <w:t>Enkel in de Belgische privacywet wordt nog een bijkomende mogelijkheid voorzien om de kennisgeving uit te stellen, met name wanneer dat noodzakelijk is voor het welslagen van een medisch-wetenschappelijk experiment (zoals het uittesten van nieuwe geneesmiddelen waar</w:t>
      </w:r>
      <w:r w:rsidR="004C29AE">
        <w:rPr>
          <w:bCs/>
          <w:kern w:val="2"/>
        </w:rPr>
        <w:t>-</w:t>
      </w:r>
      <w:r w:rsidRPr="00D147A7">
        <w:rPr>
          <w:bCs/>
          <w:kern w:val="2"/>
        </w:rPr>
        <w:t>bij aan sommige patiënten placebo’s worden toegediend). Ook in deze gevallen moeten speci</w:t>
      </w:r>
      <w:r w:rsidR="004C29AE">
        <w:rPr>
          <w:bCs/>
          <w:kern w:val="2"/>
        </w:rPr>
        <w:t>-</w:t>
      </w:r>
      <w:r w:rsidRPr="00D147A7">
        <w:rPr>
          <w:bCs/>
          <w:kern w:val="2"/>
        </w:rPr>
        <w:t>fieke voorwaarden strikt worden nageleefd.</w:t>
      </w:r>
      <w:r w:rsidRPr="00D147A7">
        <w:rPr>
          <w:bCs/>
          <w:kern w:val="2"/>
          <w:vertAlign w:val="superscript"/>
        </w:rPr>
        <w:footnoteReference w:id="1122"/>
      </w:r>
      <w:r w:rsidRPr="00D147A7">
        <w:rPr>
          <w:bCs/>
          <w:kern w:val="2"/>
        </w:rPr>
        <w:t xml:space="preserve"> </w:t>
      </w:r>
    </w:p>
    <w:p w:rsidR="000F560E" w:rsidRPr="00D147A7" w:rsidRDefault="000F560E" w:rsidP="000F560E">
      <w:pPr>
        <w:jc w:val="both"/>
        <w:rPr>
          <w:bCs/>
          <w:kern w:val="2"/>
        </w:rPr>
      </w:pPr>
    </w:p>
    <w:p w:rsidR="000F560E" w:rsidRPr="00D147A7" w:rsidRDefault="000F560E" w:rsidP="000F560E">
      <w:pPr>
        <w:jc w:val="both"/>
        <w:rPr>
          <w:bCs/>
          <w:kern w:val="2"/>
        </w:rPr>
      </w:pPr>
      <w:r w:rsidRPr="00D147A7">
        <w:rPr>
          <w:bCs/>
          <w:kern w:val="2"/>
        </w:rPr>
        <w:t>De kwaliteitszorg van de verantwoordelijke beperkt zich niet tot de inzameling, maar strekt zich over de gehele verwerkingsperiode uit.</w:t>
      </w:r>
      <w:r w:rsidRPr="00D147A7">
        <w:rPr>
          <w:bCs/>
          <w:kern w:val="2"/>
          <w:vertAlign w:val="superscript"/>
        </w:rPr>
        <w:footnoteReference w:id="1123"/>
      </w:r>
      <w:r w:rsidRPr="00D147A7">
        <w:rPr>
          <w:bCs/>
          <w:kern w:val="2"/>
        </w:rPr>
        <w:t xml:space="preserve"> De verantwoordelijke heeft een middelenver</w:t>
      </w:r>
      <w:r w:rsidR="004C29AE">
        <w:rPr>
          <w:bCs/>
          <w:kern w:val="2"/>
        </w:rPr>
        <w:t>-</w:t>
      </w:r>
      <w:r w:rsidRPr="00D147A7">
        <w:rPr>
          <w:bCs/>
          <w:kern w:val="2"/>
        </w:rPr>
        <w:t>bintenis om ervoor te zorgen dat de persoonsgegevens – indien nodig – bijgewerkt kunnen worden. Bovendien moet hij ervoor zorgen dat de verwerking op vertrouwelijke en beveiligde wijze geschiedt.</w:t>
      </w:r>
      <w:r w:rsidRPr="00D147A7">
        <w:rPr>
          <w:bCs/>
          <w:kern w:val="2"/>
          <w:vertAlign w:val="superscript"/>
        </w:rPr>
        <w:footnoteReference w:id="1124"/>
      </w:r>
      <w:r w:rsidRPr="00D147A7">
        <w:rPr>
          <w:bCs/>
          <w:kern w:val="2"/>
        </w:rPr>
        <w:t xml:space="preserve"> Ook de betrokkenen kunnen een aandeel hebben in de kwaliteit van de verwerking. Na identificatie kan hen de (on)rechtstreekse toegang tot de hen betreffende ge</w:t>
      </w:r>
      <w:r w:rsidR="004C29AE">
        <w:rPr>
          <w:bCs/>
          <w:kern w:val="2"/>
        </w:rPr>
        <w:t>-</w:t>
      </w:r>
      <w:r w:rsidRPr="00D147A7">
        <w:rPr>
          <w:bCs/>
          <w:kern w:val="2"/>
        </w:rPr>
        <w:t>gevens niet ontzegd</w:t>
      </w:r>
      <w:r w:rsidR="004C29AE" w:rsidRPr="004C29AE">
        <w:rPr>
          <w:bCs/>
          <w:kern w:val="2"/>
        </w:rPr>
        <w:t xml:space="preserve"> </w:t>
      </w:r>
      <w:r w:rsidR="004C29AE" w:rsidRPr="00D147A7">
        <w:rPr>
          <w:bCs/>
          <w:kern w:val="2"/>
        </w:rPr>
        <w:t>worden</w:t>
      </w:r>
      <w:r w:rsidRPr="00D147A7">
        <w:rPr>
          <w:bCs/>
          <w:kern w:val="2"/>
        </w:rPr>
        <w:t>.</w:t>
      </w:r>
      <w:r w:rsidRPr="00D147A7">
        <w:rPr>
          <w:bCs/>
          <w:kern w:val="2"/>
          <w:vertAlign w:val="superscript"/>
        </w:rPr>
        <w:footnoteReference w:id="1125"/>
      </w:r>
      <w:r w:rsidRPr="00D147A7">
        <w:rPr>
          <w:bCs/>
          <w:kern w:val="2"/>
        </w:rPr>
        <w:t xml:space="preserve"> Incorrect en/of onvolledig bevonden gegevens moeten koste</w:t>
      </w:r>
      <w:r w:rsidR="004C29AE">
        <w:rPr>
          <w:bCs/>
          <w:kern w:val="2"/>
        </w:rPr>
        <w:t>-</w:t>
      </w:r>
      <w:r w:rsidRPr="00D147A7">
        <w:rPr>
          <w:bCs/>
          <w:kern w:val="2"/>
        </w:rPr>
        <w:lastRenderedPageBreak/>
        <w:t>loos verbeterd of aangevuld worden en kunnen zelfs – in geval van irrelevantie, illegale regi</w:t>
      </w:r>
      <w:r w:rsidR="004C29AE">
        <w:rPr>
          <w:bCs/>
          <w:kern w:val="2"/>
        </w:rPr>
        <w:t>-</w:t>
      </w:r>
      <w:r w:rsidRPr="00D147A7">
        <w:rPr>
          <w:bCs/>
          <w:kern w:val="2"/>
        </w:rPr>
        <w:t>stratie of feitelijke onjuistheid – verwijderd of afgeschermd worden.</w:t>
      </w:r>
      <w:r w:rsidRPr="00D147A7">
        <w:rPr>
          <w:bCs/>
          <w:kern w:val="2"/>
          <w:vertAlign w:val="superscript"/>
        </w:rPr>
        <w:footnoteReference w:id="1126"/>
      </w:r>
      <w:r w:rsidRPr="00D147A7">
        <w:rPr>
          <w:rFonts w:eastAsiaTheme="minorEastAsia"/>
          <w:b/>
          <w:color w:val="FFFFFF" w:themeColor="background1"/>
          <w:kern w:val="0"/>
          <w:vertAlign w:val="superscript"/>
          <w:lang w:eastAsia="en-US" w:bidi="ar-SA"/>
        </w:rPr>
        <w:t xml:space="preserve"> </w:t>
      </w:r>
      <w:r w:rsidRPr="00D147A7">
        <w:rPr>
          <w:bCs/>
          <w:kern w:val="2"/>
        </w:rPr>
        <w:t>Ook kan de verwer</w:t>
      </w:r>
      <w:r w:rsidR="004C29AE">
        <w:rPr>
          <w:bCs/>
          <w:kern w:val="2"/>
        </w:rPr>
        <w:t>-</w:t>
      </w:r>
      <w:r w:rsidRPr="00D147A7">
        <w:rPr>
          <w:bCs/>
          <w:kern w:val="2"/>
        </w:rPr>
        <w:t>king verhinderd worden als de betrokkene hier zwaarwegende en gerechtvaardigde bezwaren kan tegen inbrengen, tenzij andere</w:t>
      </w:r>
      <w:r w:rsidR="004C29AE">
        <w:rPr>
          <w:bCs/>
          <w:kern w:val="2"/>
        </w:rPr>
        <w:t>,</w:t>
      </w:r>
      <w:r w:rsidRPr="00D147A7">
        <w:rPr>
          <w:bCs/>
          <w:kern w:val="2"/>
        </w:rPr>
        <w:t xml:space="preserve"> algemene (wettelijke) belangen prevaleren.</w:t>
      </w:r>
      <w:r w:rsidRPr="00D147A7">
        <w:rPr>
          <w:bCs/>
          <w:kern w:val="2"/>
          <w:vertAlign w:val="superscript"/>
        </w:rPr>
        <w:footnoteReference w:id="1127"/>
      </w:r>
      <w:r w:rsidRPr="00D147A7">
        <w:rPr>
          <w:bCs/>
          <w:kern w:val="2"/>
        </w:rPr>
        <w:t xml:space="preserve"> Betrokken</w:t>
      </w:r>
      <w:r w:rsidR="004C29AE">
        <w:rPr>
          <w:bCs/>
          <w:kern w:val="2"/>
        </w:rPr>
        <w:t>-</w:t>
      </w:r>
      <w:r w:rsidRPr="00D147A7">
        <w:rPr>
          <w:bCs/>
          <w:kern w:val="2"/>
        </w:rPr>
        <w:t>en kunnen al deze rechten bij de rechtbank van eerste aanleg of bij de nationale privacycom</w:t>
      </w:r>
      <w:r w:rsidR="004C29AE">
        <w:rPr>
          <w:bCs/>
          <w:kern w:val="2"/>
        </w:rPr>
        <w:t>-</w:t>
      </w:r>
      <w:r w:rsidRPr="00D147A7">
        <w:rPr>
          <w:bCs/>
          <w:kern w:val="2"/>
        </w:rPr>
        <w:t>missie afdwingen.</w:t>
      </w:r>
      <w:r w:rsidRPr="00D147A7">
        <w:rPr>
          <w:bCs/>
          <w:kern w:val="2"/>
          <w:vertAlign w:val="superscript"/>
        </w:rPr>
        <w:footnoteReference w:id="1128"/>
      </w:r>
      <w:r w:rsidRPr="00D147A7">
        <w:rPr>
          <w:bCs/>
          <w:kern w:val="2"/>
        </w:rPr>
        <w:t xml:space="preserve"> </w:t>
      </w:r>
    </w:p>
    <w:p w:rsidR="000F560E" w:rsidRPr="00D147A7" w:rsidRDefault="000F560E" w:rsidP="000F560E">
      <w:pPr>
        <w:jc w:val="both"/>
        <w:rPr>
          <w:bCs/>
          <w:kern w:val="2"/>
        </w:rPr>
      </w:pPr>
    </w:p>
    <w:p w:rsidR="00C71467" w:rsidRDefault="000F560E" w:rsidP="00AF492F">
      <w:pPr>
        <w:jc w:val="both"/>
        <w:rPr>
          <w:bCs/>
          <w:kern w:val="2"/>
        </w:rPr>
      </w:pPr>
      <w:r w:rsidRPr="00D147A7">
        <w:rPr>
          <w:bCs/>
          <w:kern w:val="2"/>
        </w:rPr>
        <w:t>In principe mogen persoonsgegevens niet langer bijhouden worden dan nodig is om de doel</w:t>
      </w:r>
      <w:r w:rsidR="004C29AE">
        <w:rPr>
          <w:bCs/>
          <w:kern w:val="2"/>
        </w:rPr>
        <w:t>-</w:t>
      </w:r>
      <w:r w:rsidRPr="00D147A7">
        <w:rPr>
          <w:bCs/>
          <w:kern w:val="2"/>
        </w:rPr>
        <w:t>stellingen van de verwerking te verwezenlijken.</w:t>
      </w:r>
      <w:r w:rsidRPr="00D147A7">
        <w:rPr>
          <w:bCs/>
          <w:kern w:val="2"/>
          <w:vertAlign w:val="superscript"/>
        </w:rPr>
        <w:footnoteReference w:id="1129"/>
      </w:r>
      <w:r w:rsidRPr="00D147A7">
        <w:rPr>
          <w:bCs/>
          <w:kern w:val="2"/>
        </w:rPr>
        <w:t xml:space="preserve"> Dit vormt ook de basis voor het recht van de betrokkene op vergetelheid.</w:t>
      </w:r>
      <w:r w:rsidRPr="00D147A7">
        <w:rPr>
          <w:bCs/>
          <w:kern w:val="2"/>
          <w:vertAlign w:val="superscript"/>
        </w:rPr>
        <w:footnoteReference w:id="1130"/>
      </w:r>
      <w:r w:rsidRPr="00D147A7">
        <w:rPr>
          <w:bCs/>
          <w:kern w:val="2"/>
        </w:rPr>
        <w:t xml:space="preserve"> Toch wordt in de privacywet impliciet onderscheid ge</w:t>
      </w:r>
      <w:r w:rsidR="004C29AE">
        <w:rPr>
          <w:bCs/>
          <w:kern w:val="2"/>
        </w:rPr>
        <w:t>-</w:t>
      </w:r>
      <w:r w:rsidRPr="00D147A7">
        <w:rPr>
          <w:bCs/>
          <w:kern w:val="2"/>
        </w:rPr>
        <w:t>maakt tussen primaire en secundaire verwerkingen.</w:t>
      </w:r>
      <w:r w:rsidRPr="00D147A7">
        <w:rPr>
          <w:bCs/>
          <w:kern w:val="2"/>
          <w:vertAlign w:val="superscript"/>
        </w:rPr>
        <w:footnoteReference w:id="1131"/>
      </w:r>
      <w:r w:rsidRPr="00D147A7">
        <w:rPr>
          <w:bCs/>
          <w:kern w:val="2"/>
        </w:rPr>
        <w:t xml:space="preserve"> Daarom moet de betrokkene niet alleen over de (modaliteiten van de) verwerking worden ingelicht, maar ook over de periode waarin deze gegevens zullen worden bewaard.</w:t>
      </w:r>
      <w:r w:rsidRPr="00D147A7">
        <w:rPr>
          <w:bCs/>
          <w:kern w:val="2"/>
          <w:vertAlign w:val="superscript"/>
        </w:rPr>
        <w:footnoteReference w:id="1132"/>
      </w:r>
      <w:r w:rsidRPr="00D147A7">
        <w:rPr>
          <w:bCs/>
          <w:kern w:val="2"/>
        </w:rPr>
        <w:t xml:space="preserve"> In principe moet een secundaire of ‘verde</w:t>
      </w:r>
      <w:r w:rsidR="004C29AE">
        <w:rPr>
          <w:bCs/>
          <w:kern w:val="2"/>
        </w:rPr>
        <w:t>-</w:t>
      </w:r>
      <w:r w:rsidRPr="00D147A7">
        <w:rPr>
          <w:bCs/>
          <w:kern w:val="2"/>
        </w:rPr>
        <w:t>re</w:t>
      </w:r>
      <w:r w:rsidR="004C29AE">
        <w:rPr>
          <w:bCs/>
          <w:kern w:val="2"/>
        </w:rPr>
        <w:t>’</w:t>
      </w:r>
      <w:r w:rsidRPr="00D147A7">
        <w:rPr>
          <w:bCs/>
          <w:kern w:val="2"/>
        </w:rPr>
        <w:t xml:space="preserve"> ver</w:t>
      </w:r>
      <w:r w:rsidR="004C29AE">
        <w:rPr>
          <w:bCs/>
          <w:kern w:val="2"/>
        </w:rPr>
        <w:t>werking</w:t>
      </w:r>
      <w:r w:rsidRPr="00D147A7">
        <w:rPr>
          <w:bCs/>
          <w:kern w:val="2"/>
        </w:rPr>
        <w:t xml:space="preserve"> kaderen binnen of verenigbaar zijn met de doeleinden waarvoor de persoons</w:t>
      </w:r>
      <w:r w:rsidR="004C29AE">
        <w:rPr>
          <w:bCs/>
          <w:kern w:val="2"/>
        </w:rPr>
        <w:t>-</w:t>
      </w:r>
      <w:r w:rsidRPr="00D147A7">
        <w:rPr>
          <w:bCs/>
          <w:kern w:val="2"/>
        </w:rPr>
        <w:lastRenderedPageBreak/>
        <w:t>gegevens verkregen werden, zoals ze ook aan de betrokkene en aan de nationale privacycom</w:t>
      </w:r>
      <w:r w:rsidR="004C29AE">
        <w:rPr>
          <w:bCs/>
          <w:kern w:val="2"/>
        </w:rPr>
        <w:t>-</w:t>
      </w:r>
      <w:r w:rsidRPr="00D147A7">
        <w:rPr>
          <w:bCs/>
          <w:kern w:val="2"/>
        </w:rPr>
        <w:t>missie werden meegedeeld.</w:t>
      </w:r>
      <w:r w:rsidRPr="00D147A7">
        <w:rPr>
          <w:bCs/>
          <w:kern w:val="2"/>
          <w:vertAlign w:val="superscript"/>
        </w:rPr>
        <w:footnoteReference w:id="1133"/>
      </w:r>
      <w:r w:rsidRPr="00D147A7">
        <w:rPr>
          <w:bCs/>
          <w:kern w:val="2"/>
        </w:rPr>
        <w:t xml:space="preserve"> Er mag evenwel niet blind gestaard worden op deze uitgangs</w:t>
      </w:r>
      <w:r w:rsidR="004C29AE">
        <w:rPr>
          <w:bCs/>
          <w:kern w:val="2"/>
        </w:rPr>
        <w:t>-</w:t>
      </w:r>
      <w:r w:rsidRPr="00D147A7">
        <w:rPr>
          <w:bCs/>
          <w:kern w:val="2"/>
        </w:rPr>
        <w:t>regel. Niet iedere verdere verwerking waarbij andere dan de oorspronkelijke doeleinden wor</w:t>
      </w:r>
      <w:r w:rsidR="004C29AE">
        <w:rPr>
          <w:bCs/>
          <w:kern w:val="2"/>
        </w:rPr>
        <w:t>-</w:t>
      </w:r>
      <w:r w:rsidRPr="00D147A7">
        <w:rPr>
          <w:bCs/>
          <w:kern w:val="2"/>
        </w:rPr>
        <w:t>den nagestreefd, mogen resoluut van de hand gewezen worden. Wanneer verdere verwer</w:t>
      </w:r>
      <w:r w:rsidR="004C29AE">
        <w:rPr>
          <w:bCs/>
          <w:kern w:val="2"/>
        </w:rPr>
        <w:t>-</w:t>
      </w:r>
      <w:r w:rsidRPr="00D147A7">
        <w:rPr>
          <w:bCs/>
          <w:kern w:val="2"/>
        </w:rPr>
        <w:t>kingen niet met het oorspronkelijk doel</w:t>
      </w:r>
      <w:r w:rsidR="004C29AE" w:rsidRPr="004C29AE">
        <w:rPr>
          <w:bCs/>
          <w:kern w:val="2"/>
        </w:rPr>
        <w:t xml:space="preserve"> </w:t>
      </w:r>
      <w:r w:rsidR="004C29AE" w:rsidRPr="00D147A7">
        <w:rPr>
          <w:bCs/>
          <w:kern w:val="2"/>
        </w:rPr>
        <w:t>verenigbaar zijn</w:t>
      </w:r>
      <w:r w:rsidRPr="00D147A7">
        <w:rPr>
          <w:bCs/>
          <w:kern w:val="2"/>
        </w:rPr>
        <w:t>, maar alle wetsbepalingen wel nage</w:t>
      </w:r>
      <w:r w:rsidR="004C29AE">
        <w:rPr>
          <w:bCs/>
          <w:kern w:val="2"/>
        </w:rPr>
        <w:t>-</w:t>
      </w:r>
      <w:r w:rsidRPr="00D147A7">
        <w:rPr>
          <w:bCs/>
          <w:kern w:val="2"/>
        </w:rPr>
        <w:t>leefd worden, moeten de persoonsgegevens niet noodzakelijk opnieuw bij de betrokkene wor</w:t>
      </w:r>
      <w:r w:rsidR="004C29AE">
        <w:rPr>
          <w:bCs/>
          <w:kern w:val="2"/>
        </w:rPr>
        <w:t>-</w:t>
      </w:r>
      <w:r w:rsidRPr="00D147A7">
        <w:rPr>
          <w:bCs/>
          <w:kern w:val="2"/>
        </w:rPr>
        <w:t>den ingezameld. Wel moet</w:t>
      </w:r>
      <w:r w:rsidRPr="00D147A7">
        <w:rPr>
          <w:kern w:val="2"/>
        </w:rPr>
        <w:t xml:space="preserve"> de geïnformeerde toestemming van de betrokkene en een gunstig antwoord op de (gewijzigde) aangifte bij de nationale privacycommissie opnieuw bekomen worden.</w:t>
      </w:r>
      <w:r w:rsidRPr="00D147A7">
        <w:rPr>
          <w:kern w:val="2"/>
          <w:vertAlign w:val="superscript"/>
        </w:rPr>
        <w:footnoteReference w:id="1134"/>
      </w:r>
      <w:r w:rsidRPr="00D147A7">
        <w:rPr>
          <w:kern w:val="2"/>
        </w:rPr>
        <w:t xml:space="preserve"> </w:t>
      </w:r>
      <w:r w:rsidRPr="00D147A7">
        <w:rPr>
          <w:bCs/>
          <w:kern w:val="2"/>
        </w:rPr>
        <w:t>Een specifieke uitzondering betreft de verdere verwerking van persoonsgegevens voor historische, wetenschappelijke en statistische doeleinden, die toegestaan wordt mits bij</w:t>
      </w:r>
      <w:r w:rsidR="004C29AE">
        <w:rPr>
          <w:bCs/>
          <w:kern w:val="2"/>
        </w:rPr>
        <w:t>-</w:t>
      </w:r>
      <w:r w:rsidRPr="00D147A7">
        <w:rPr>
          <w:bCs/>
          <w:kern w:val="2"/>
        </w:rPr>
        <w:t>zondere voorwaarden in acht genomen</w:t>
      </w:r>
      <w:r w:rsidR="004C29AE" w:rsidRPr="004C29AE">
        <w:rPr>
          <w:bCs/>
          <w:kern w:val="2"/>
        </w:rPr>
        <w:t xml:space="preserve"> </w:t>
      </w:r>
      <w:r w:rsidR="004C29AE" w:rsidRPr="00D147A7">
        <w:rPr>
          <w:bCs/>
          <w:kern w:val="2"/>
        </w:rPr>
        <w:t>worden</w:t>
      </w:r>
      <w:r w:rsidRPr="00D147A7">
        <w:rPr>
          <w:bCs/>
          <w:kern w:val="2"/>
        </w:rPr>
        <w:t>.</w:t>
      </w:r>
      <w:r w:rsidRPr="00D147A7">
        <w:rPr>
          <w:bCs/>
          <w:kern w:val="2"/>
          <w:vertAlign w:val="superscript"/>
        </w:rPr>
        <w:footnoteReference w:id="1135"/>
      </w:r>
      <w:r w:rsidRPr="00D147A7">
        <w:rPr>
          <w:bCs/>
          <w:kern w:val="2"/>
        </w:rPr>
        <w:t xml:space="preserve"> Zo zijn de voorwaarden vastgelegd waar</w:t>
      </w:r>
      <w:r w:rsidR="004C29AE">
        <w:rPr>
          <w:bCs/>
          <w:kern w:val="2"/>
        </w:rPr>
        <w:t>-</w:t>
      </w:r>
      <w:r w:rsidRPr="00D147A7">
        <w:rPr>
          <w:bCs/>
          <w:kern w:val="2"/>
        </w:rPr>
        <w:t>aan openbare overheden en private instellingen moeten voldoen om persoonsgegevens te ver</w:t>
      </w:r>
      <w:r w:rsidR="004C29AE">
        <w:rPr>
          <w:bCs/>
          <w:kern w:val="2"/>
        </w:rPr>
        <w:t>-</w:t>
      </w:r>
      <w:r w:rsidRPr="00D147A7">
        <w:rPr>
          <w:bCs/>
          <w:kern w:val="2"/>
        </w:rPr>
        <w:t>werken en aan derden mee te delen. Verdere verwerkingen voor historisch, wetenschappelijk en statistisch onderzoek wordt niet principieel verboden, maar aan een aantal voorwaarden onderworpen.</w:t>
      </w:r>
      <w:r w:rsidRPr="00D147A7">
        <w:rPr>
          <w:bCs/>
          <w:kern w:val="2"/>
          <w:vertAlign w:val="superscript"/>
        </w:rPr>
        <w:footnoteReference w:id="1136"/>
      </w:r>
      <w:r w:rsidRPr="00D147A7">
        <w:rPr>
          <w:bCs/>
          <w:kern w:val="2"/>
        </w:rPr>
        <w:t xml:space="preserve"> Persoonsgegevens mogen alleen voor welbepaalde, duidelijk omschreven en gerechtvaardigde doelen verwerkt worden (of voor doeleinden van uitsluitend persoonlijke of huishoudelijke aard</w:t>
      </w:r>
      <w:r w:rsidRPr="00D147A7">
        <w:rPr>
          <w:bCs/>
          <w:kern w:val="2"/>
          <w:vertAlign w:val="superscript"/>
        </w:rPr>
        <w:footnoteReference w:id="1137"/>
      </w:r>
      <w:r w:rsidRPr="00D147A7">
        <w:rPr>
          <w:bCs/>
          <w:kern w:val="2"/>
        </w:rPr>
        <w:t>). Hoewel deze specifieke uitzondering zeer goed uitgewerkt is in de privacywetgeving (met het Belgische PrivacyKB in het bijzonder), zijn niet alle moeilijkhe</w:t>
      </w:r>
      <w:r w:rsidR="004C29AE">
        <w:rPr>
          <w:bCs/>
          <w:kern w:val="2"/>
        </w:rPr>
        <w:t>-</w:t>
      </w:r>
      <w:r w:rsidRPr="00D147A7">
        <w:rPr>
          <w:bCs/>
          <w:kern w:val="2"/>
        </w:rPr>
        <w:t>den uitgeklaard. Eén van de vele onbeantwoorde vragen is hoe wetenschappelijke onderzoe</w:t>
      </w:r>
      <w:r w:rsidR="004C29AE">
        <w:rPr>
          <w:bCs/>
          <w:kern w:val="2"/>
        </w:rPr>
        <w:t>-</w:t>
      </w:r>
      <w:r w:rsidRPr="00D147A7">
        <w:rPr>
          <w:bCs/>
          <w:kern w:val="2"/>
        </w:rPr>
        <w:t>kers naar hun bronnen kunnen verwijzen zonder daarbij de persoonlijke levenssfeer aan te tasten van de personen wiens gegevens verwerkt werden.</w:t>
      </w:r>
      <w:r w:rsidRPr="00D147A7">
        <w:rPr>
          <w:bCs/>
          <w:kern w:val="2"/>
          <w:vertAlign w:val="superscript"/>
        </w:rPr>
        <w:footnoteReference w:id="1138"/>
      </w:r>
      <w:r w:rsidRPr="00D147A7">
        <w:rPr>
          <w:bCs/>
          <w:kern w:val="2"/>
        </w:rPr>
        <w:t xml:space="preserve"> Een antwoord op deze vraag kan ook niet teruggevonden worden in de vademeca van de privacycommissie waarin de conse</w:t>
      </w:r>
      <w:r w:rsidR="004C29AE">
        <w:rPr>
          <w:bCs/>
          <w:kern w:val="2"/>
        </w:rPr>
        <w:t>-</w:t>
      </w:r>
      <w:r w:rsidRPr="00D147A7">
        <w:rPr>
          <w:bCs/>
          <w:kern w:val="2"/>
        </w:rPr>
        <w:t>quenties van de privacywet voor het (historisch) onderzoek worden</w:t>
      </w:r>
      <w:r w:rsidR="00B70F0E" w:rsidRPr="00B70F0E">
        <w:rPr>
          <w:bCs/>
          <w:kern w:val="2"/>
        </w:rPr>
        <w:t xml:space="preserve"> </w:t>
      </w:r>
      <w:r w:rsidR="00B70F0E" w:rsidRPr="00D147A7">
        <w:rPr>
          <w:bCs/>
          <w:kern w:val="2"/>
        </w:rPr>
        <w:t>toegelicht</w:t>
      </w:r>
      <w:r w:rsidRPr="00D147A7">
        <w:rPr>
          <w:bCs/>
          <w:kern w:val="2"/>
        </w:rPr>
        <w:t>.</w:t>
      </w:r>
      <w:r w:rsidRPr="00D147A7">
        <w:rPr>
          <w:bCs/>
          <w:kern w:val="2"/>
          <w:vertAlign w:val="superscript"/>
        </w:rPr>
        <w:footnoteReference w:id="1139"/>
      </w:r>
      <w:r w:rsidR="00AF492F">
        <w:rPr>
          <w:bCs/>
          <w:kern w:val="2"/>
        </w:rPr>
        <w:t xml:space="preserve"> </w:t>
      </w:r>
    </w:p>
    <w:p w:rsidR="00AF492F" w:rsidRPr="00AF492F" w:rsidRDefault="00AF492F" w:rsidP="00AF492F">
      <w:pPr>
        <w:jc w:val="both"/>
        <w:rPr>
          <w:bCs/>
          <w:kern w:val="2"/>
        </w:rPr>
      </w:pPr>
    </w:p>
    <w:p w:rsidR="000F560E" w:rsidRPr="00D147A7" w:rsidRDefault="000F560E" w:rsidP="00C71467">
      <w:pPr>
        <w:widowControl/>
        <w:suppressAutoHyphens w:val="0"/>
        <w:ind w:left="708"/>
        <w:jc w:val="both"/>
        <w:rPr>
          <w:rFonts w:eastAsiaTheme="minorEastAsia"/>
          <w:b/>
          <w:kern w:val="0"/>
          <w:lang w:eastAsia="en-US" w:bidi="ar-SA"/>
        </w:rPr>
      </w:pPr>
      <w:r w:rsidRPr="00D147A7">
        <w:rPr>
          <w:rFonts w:eastAsiaTheme="minorEastAsia"/>
          <w:b/>
          <w:kern w:val="0"/>
          <w:lang w:eastAsia="en-US" w:bidi="ar-SA"/>
        </w:rPr>
        <w:t>Hoofdstuk 2: Specifieke voo</w:t>
      </w:r>
      <w:r w:rsidR="00C71467">
        <w:rPr>
          <w:rFonts w:eastAsiaTheme="minorEastAsia"/>
          <w:b/>
          <w:kern w:val="0"/>
          <w:lang w:eastAsia="en-US" w:bidi="ar-SA"/>
        </w:rPr>
        <w:t xml:space="preserve">rwaarden voor de verwerking van </w:t>
      </w:r>
      <w:r w:rsidRPr="00D147A7">
        <w:rPr>
          <w:rFonts w:eastAsiaTheme="minorEastAsia"/>
          <w:b/>
          <w:kern w:val="0"/>
          <w:lang w:eastAsia="en-US" w:bidi="ar-SA"/>
        </w:rPr>
        <w:t>gezondheidsgege</w:t>
      </w:r>
      <w:r w:rsidR="00C71467">
        <w:rPr>
          <w:rFonts w:eastAsiaTheme="minorEastAsia"/>
          <w:b/>
          <w:kern w:val="0"/>
          <w:lang w:eastAsia="en-US" w:bidi="ar-SA"/>
        </w:rPr>
        <w:t>-</w:t>
      </w:r>
      <w:r w:rsidRPr="00D147A7">
        <w:rPr>
          <w:rFonts w:eastAsiaTheme="minorEastAsia"/>
          <w:b/>
          <w:kern w:val="0"/>
          <w:lang w:eastAsia="en-US" w:bidi="ar-SA"/>
        </w:rPr>
        <w:t>vens</w:t>
      </w:r>
    </w:p>
    <w:p w:rsidR="000F560E" w:rsidRPr="00D147A7" w:rsidRDefault="000F560E" w:rsidP="000F560E">
      <w:pPr>
        <w:jc w:val="both"/>
      </w:pPr>
    </w:p>
    <w:p w:rsidR="000F560E" w:rsidRPr="00D147A7" w:rsidRDefault="000F560E" w:rsidP="000F560E">
      <w:pPr>
        <w:jc w:val="both"/>
      </w:pPr>
      <w:r w:rsidRPr="00D147A7">
        <w:t>De verwerking van gevoelige persoonsgegevens, zoals gezondheidsgegevens, word</w:t>
      </w:r>
      <w:r w:rsidR="00CC43B8">
        <w:t>t</w:t>
      </w:r>
      <w:r w:rsidRPr="00D147A7">
        <w:t xml:space="preserve"> – omwil</w:t>
      </w:r>
      <w:r w:rsidR="00CC43B8">
        <w:t>-</w:t>
      </w:r>
      <w:r w:rsidRPr="00D147A7">
        <w:t>le van hun delicate aard – preventief gereguleerd.</w:t>
      </w:r>
      <w:r w:rsidRPr="00D147A7">
        <w:rPr>
          <w:vertAlign w:val="superscript"/>
        </w:rPr>
        <w:footnoteReference w:id="1140"/>
      </w:r>
      <w:r w:rsidRPr="00D147A7">
        <w:t xml:space="preserve"> D.w.z. dat er een algemeen verwerkings</w:t>
      </w:r>
      <w:r w:rsidR="00CC43B8">
        <w:t>-</w:t>
      </w:r>
      <w:r w:rsidRPr="00D147A7">
        <w:lastRenderedPageBreak/>
        <w:t>verbod geldt</w:t>
      </w:r>
      <w:r w:rsidRPr="00D147A7">
        <w:rPr>
          <w:vertAlign w:val="superscript"/>
        </w:rPr>
        <w:footnoteReference w:id="1141"/>
      </w:r>
      <w:r w:rsidRPr="00D147A7">
        <w:t>, waarvan slechts in een beperkt aantal gevallen kan worden afgeweken.</w:t>
      </w:r>
      <w:r w:rsidRPr="00D147A7">
        <w:rPr>
          <w:vertAlign w:val="superscript"/>
        </w:rPr>
        <w:footnoteReference w:id="1142"/>
      </w:r>
      <w:r w:rsidRPr="00D147A7">
        <w:t xml:space="preserve"> In theorie moet vóór iedere verwerking de goedkeuring van (het Sectoraal Comité van de Sociale Zekerheid en van de Gezondheid</w:t>
      </w:r>
      <w:r w:rsidRPr="00D147A7">
        <w:rPr>
          <w:vertAlign w:val="superscript"/>
        </w:rPr>
        <w:footnoteReference w:id="1143"/>
      </w:r>
      <w:r w:rsidRPr="00D147A7">
        <w:t xml:space="preserve"> van) de privacycommissie bekomen worden.</w:t>
      </w:r>
      <w:r w:rsidRPr="00D147A7">
        <w:rPr>
          <w:vertAlign w:val="superscript"/>
        </w:rPr>
        <w:footnoteReference w:id="1144"/>
      </w:r>
      <w:r w:rsidRPr="00D147A7">
        <w:t xml:space="preserve"> Ook moet de uitdrukkelijke, geïnformeerde toestemming van de betrokken patiënt bekomen wor</w:t>
      </w:r>
      <w:r w:rsidR="00CC43B8">
        <w:t>-</w:t>
      </w:r>
      <w:r w:rsidRPr="00D147A7">
        <w:t>den (</w:t>
      </w:r>
      <w:r w:rsidRPr="00CC43B8">
        <w:rPr>
          <w:i/>
        </w:rPr>
        <w:t>opt-in</w:t>
      </w:r>
      <w:r w:rsidRPr="00D147A7">
        <w:t>)</w:t>
      </w:r>
      <w:r w:rsidRPr="00D147A7">
        <w:rPr>
          <w:vertAlign w:val="superscript"/>
        </w:rPr>
        <w:footnoteReference w:id="1145"/>
      </w:r>
      <w:r w:rsidRPr="00D147A7">
        <w:t xml:space="preserve">, tenzij: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betrokkene lichamelijk of juridisch onbekwaam is om zijn toestemming te verlenen en de verwerking essentieel is om de vitale belangen van de betrokkene of van derden te be</w:t>
      </w:r>
      <w:r w:rsidR="00CC43B8">
        <w:rPr>
          <w:rFonts w:ascii="Times New Roman" w:hAnsi="Times New Roman" w:cs="Times New Roman"/>
          <w:sz w:val="24"/>
          <w:szCs w:val="24"/>
        </w:rPr>
        <w:t>-</w:t>
      </w:r>
      <w:r w:rsidRPr="00D147A7">
        <w:rPr>
          <w:rFonts w:ascii="Times New Roman" w:hAnsi="Times New Roman" w:cs="Times New Roman"/>
          <w:sz w:val="24"/>
          <w:szCs w:val="24"/>
        </w:rPr>
        <w:t>schermen (zoals in nood</w:t>
      </w:r>
      <w:r w:rsidR="00CC43B8">
        <w:rPr>
          <w:rFonts w:ascii="Times New Roman" w:hAnsi="Times New Roman" w:cs="Times New Roman"/>
          <w:sz w:val="24"/>
          <w:szCs w:val="24"/>
        </w:rPr>
        <w:t>situaties</w:t>
      </w:r>
      <w:r w:rsidRPr="00D147A7">
        <w:rPr>
          <w:rFonts w:ascii="Times New Roman" w:hAnsi="Times New Roman" w:cs="Times New Roman"/>
          <w:sz w:val="24"/>
          <w:szCs w:val="24"/>
        </w:rPr>
        <w:t>)</w:t>
      </w:r>
      <w:r w:rsidRPr="00D147A7">
        <w:rPr>
          <w:rFonts w:ascii="Times New Roman" w:hAnsi="Times New Roman" w:cs="Times New Roman"/>
          <w:sz w:val="24"/>
          <w:szCs w:val="24"/>
          <w:vertAlign w:val="superscript"/>
        </w:rPr>
        <w:footnoteReference w:id="1146"/>
      </w:r>
      <w:r w:rsidRPr="00D147A7">
        <w:rPr>
          <w:rFonts w:ascii="Times New Roman" w:hAnsi="Times New Roman" w:cs="Times New Roman"/>
          <w:sz w:val="24"/>
          <w:szCs w:val="24"/>
        </w:rPr>
        <w:t xml:space="preserve">;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verwerking noodzakelijk is voor de uitvoering van de arbeidsrechtelijke rechten en plichten van de verantwoordelijke voor de verwerking</w:t>
      </w:r>
      <w:r w:rsidRPr="00D147A7">
        <w:rPr>
          <w:rFonts w:ascii="Times New Roman" w:hAnsi="Times New Roman" w:cs="Times New Roman"/>
          <w:sz w:val="24"/>
          <w:szCs w:val="24"/>
          <w:vertAlign w:val="superscript"/>
        </w:rPr>
        <w:footnoteReference w:id="1147"/>
      </w:r>
      <w:r w:rsidR="00CC43B8">
        <w:rPr>
          <w:rFonts w:ascii="Times New Roman" w:hAnsi="Times New Roman" w:cs="Times New Roman"/>
          <w:sz w:val="24"/>
          <w:szCs w:val="24"/>
        </w:rPr>
        <w:t>,</w:t>
      </w:r>
      <w:r w:rsidRPr="00D147A7">
        <w:rPr>
          <w:rFonts w:ascii="Times New Roman" w:hAnsi="Times New Roman" w:cs="Times New Roman"/>
          <w:sz w:val="24"/>
          <w:szCs w:val="24"/>
        </w:rPr>
        <w:t xml:space="preserve"> zoals reglementeringen inzake po</w:t>
      </w:r>
      <w:r w:rsidR="00CC43B8">
        <w:rPr>
          <w:rFonts w:ascii="Times New Roman" w:hAnsi="Times New Roman" w:cs="Times New Roman"/>
          <w:sz w:val="24"/>
          <w:szCs w:val="24"/>
        </w:rPr>
        <w:t>-</w:t>
      </w:r>
      <w:r w:rsidRPr="00D147A7">
        <w:rPr>
          <w:rFonts w:ascii="Times New Roman" w:hAnsi="Times New Roman" w:cs="Times New Roman"/>
          <w:sz w:val="24"/>
          <w:szCs w:val="24"/>
        </w:rPr>
        <w:t>litiek en syndicaal verlof; schorsing van de arbeidsovereenkomst wegens zwangerschap of borstvoeding; of klein verlet (plechtige communie, priesterwijding, etc.)</w:t>
      </w:r>
      <w:r w:rsidRPr="00D147A7">
        <w:rPr>
          <w:rFonts w:ascii="Times New Roman" w:hAnsi="Times New Roman" w:cs="Times New Roman"/>
          <w:sz w:val="24"/>
          <w:szCs w:val="24"/>
          <w:vertAlign w:val="superscript"/>
        </w:rPr>
        <w:footnoteReference w:id="1148"/>
      </w:r>
      <w:r w:rsidRPr="00D147A7">
        <w:rPr>
          <w:rFonts w:ascii="Times New Roman" w:hAnsi="Times New Roman" w:cs="Times New Roman"/>
          <w:sz w:val="24"/>
          <w:szCs w:val="24"/>
        </w:rPr>
        <w:t xml:space="preserve">;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gegevens verwerkt worden in het kader van de gerechtvaardigde activiteiten van een stichting, vereniging of enige andere instantie die op politiek, levensbeschouwelijk, gods</w:t>
      </w:r>
      <w:r w:rsidR="00CC43B8">
        <w:rPr>
          <w:rFonts w:ascii="Times New Roman" w:hAnsi="Times New Roman" w:cs="Times New Roman"/>
          <w:sz w:val="24"/>
          <w:szCs w:val="24"/>
        </w:rPr>
        <w:t>-</w:t>
      </w:r>
      <w:r w:rsidRPr="00D147A7">
        <w:rPr>
          <w:rFonts w:ascii="Times New Roman" w:hAnsi="Times New Roman" w:cs="Times New Roman"/>
          <w:sz w:val="24"/>
          <w:szCs w:val="24"/>
        </w:rPr>
        <w:t>dienstig of vakbondsgebied werkzaam is en daarmee geen winst nastreeft</w:t>
      </w:r>
      <w:r w:rsidRPr="00D147A7">
        <w:rPr>
          <w:rFonts w:ascii="Times New Roman" w:hAnsi="Times New Roman" w:cs="Times New Roman"/>
          <w:sz w:val="24"/>
          <w:szCs w:val="24"/>
          <w:vertAlign w:val="superscript"/>
        </w:rPr>
        <w:footnoteReference w:id="1149"/>
      </w:r>
      <w:r w:rsidRPr="00D147A7">
        <w:rPr>
          <w:rFonts w:ascii="Times New Roman" w:hAnsi="Times New Roman" w:cs="Times New Roman"/>
          <w:sz w:val="24"/>
          <w:szCs w:val="24"/>
        </w:rPr>
        <w:t xml:space="preserve">;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betrokkene de gegevens in kwestie reeds op duidelijke wijze openbaar gemaakt heeft</w:t>
      </w:r>
      <w:r w:rsidRPr="00D147A7">
        <w:rPr>
          <w:rFonts w:ascii="Times New Roman" w:hAnsi="Times New Roman" w:cs="Times New Roman"/>
          <w:sz w:val="24"/>
          <w:szCs w:val="24"/>
          <w:vertAlign w:val="superscript"/>
        </w:rPr>
        <w:footnoteReference w:id="1150"/>
      </w:r>
      <w:r w:rsidRPr="00D147A7">
        <w:rPr>
          <w:rFonts w:ascii="Times New Roman" w:hAnsi="Times New Roman" w:cs="Times New Roman"/>
          <w:sz w:val="24"/>
          <w:szCs w:val="24"/>
        </w:rPr>
        <w:t xml:space="preserve">;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verwerking noodzakelijk is voor de vaststelling, uitoefening of verdediging van een recht in rechte</w:t>
      </w:r>
      <w:r w:rsidRPr="00D147A7">
        <w:rPr>
          <w:rFonts w:ascii="Times New Roman" w:hAnsi="Times New Roman" w:cs="Times New Roman"/>
          <w:sz w:val="24"/>
          <w:szCs w:val="24"/>
          <w:vertAlign w:val="superscript"/>
        </w:rPr>
        <w:footnoteReference w:id="1151"/>
      </w:r>
      <w:r w:rsidRPr="00D147A7">
        <w:rPr>
          <w:rFonts w:ascii="Times New Roman" w:hAnsi="Times New Roman" w:cs="Times New Roman"/>
          <w:sz w:val="24"/>
          <w:szCs w:val="24"/>
        </w:rPr>
        <w:t>, zoals bijvoorbeeld in het kader van een rechtsgeding over de aansprakelijk</w:t>
      </w:r>
      <w:r w:rsidR="00CC43B8">
        <w:rPr>
          <w:rFonts w:ascii="Times New Roman" w:hAnsi="Times New Roman" w:cs="Times New Roman"/>
          <w:sz w:val="24"/>
          <w:szCs w:val="24"/>
        </w:rPr>
        <w:t>-</w:t>
      </w:r>
      <w:r w:rsidRPr="00D147A7">
        <w:rPr>
          <w:rFonts w:ascii="Times New Roman" w:hAnsi="Times New Roman" w:cs="Times New Roman"/>
          <w:sz w:val="24"/>
          <w:szCs w:val="24"/>
        </w:rPr>
        <w:t>heid van een beroepsbeoefenaar</w:t>
      </w:r>
      <w:r w:rsidRPr="00D147A7">
        <w:rPr>
          <w:rFonts w:ascii="Times New Roman" w:hAnsi="Times New Roman" w:cs="Times New Roman"/>
          <w:sz w:val="24"/>
          <w:szCs w:val="24"/>
          <w:vertAlign w:val="superscript"/>
        </w:rPr>
        <w:footnoteReference w:id="1152"/>
      </w:r>
      <w:r w:rsidRPr="00D147A7">
        <w:rPr>
          <w:rFonts w:ascii="Times New Roman" w:hAnsi="Times New Roman" w:cs="Times New Roman"/>
          <w:sz w:val="24"/>
          <w:szCs w:val="24"/>
        </w:rPr>
        <w:t>;</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lastRenderedPageBreak/>
        <w:t>de verwerking noodzakelijk is voor doeleinden van preventieve geneeskunde of medi</w:t>
      </w:r>
      <w:r w:rsidR="00CC43B8">
        <w:rPr>
          <w:rFonts w:ascii="Times New Roman" w:hAnsi="Times New Roman" w:cs="Times New Roman"/>
          <w:sz w:val="24"/>
          <w:szCs w:val="24"/>
        </w:rPr>
        <w:t>-</w:t>
      </w:r>
      <w:r w:rsidRPr="00D147A7">
        <w:rPr>
          <w:rFonts w:ascii="Times New Roman" w:hAnsi="Times New Roman" w:cs="Times New Roman"/>
          <w:sz w:val="24"/>
          <w:szCs w:val="24"/>
        </w:rPr>
        <w:t>sche diagnose, voor een goede zorgverlening of behandeling aan de betrokkene of diens ver</w:t>
      </w:r>
      <w:r w:rsidR="00CC43B8">
        <w:rPr>
          <w:rFonts w:ascii="Times New Roman" w:hAnsi="Times New Roman" w:cs="Times New Roman"/>
          <w:sz w:val="24"/>
          <w:szCs w:val="24"/>
        </w:rPr>
        <w:t>-</w:t>
      </w:r>
      <w:r w:rsidRPr="00D147A7">
        <w:rPr>
          <w:rFonts w:ascii="Times New Roman" w:hAnsi="Times New Roman" w:cs="Times New Roman"/>
          <w:sz w:val="24"/>
          <w:szCs w:val="24"/>
        </w:rPr>
        <w:t>want of voor het beheer van gezondheidsdiensten</w:t>
      </w:r>
      <w:r w:rsidRPr="00D147A7">
        <w:rPr>
          <w:rFonts w:ascii="Times New Roman" w:hAnsi="Times New Roman" w:cs="Times New Roman"/>
          <w:sz w:val="24"/>
          <w:szCs w:val="24"/>
          <w:vertAlign w:val="superscript"/>
        </w:rPr>
        <w:footnoteReference w:id="1153"/>
      </w:r>
      <w:r w:rsidRPr="00D147A7">
        <w:rPr>
          <w:rFonts w:ascii="Times New Roman" w:hAnsi="Times New Roman" w:cs="Times New Roman"/>
          <w:sz w:val="24"/>
          <w:szCs w:val="24"/>
        </w:rPr>
        <w:t xml:space="preserve">; </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verwerking vereist is om redenen van zwaarwegend algemeen belang.</w:t>
      </w:r>
      <w:r w:rsidRPr="00D147A7">
        <w:rPr>
          <w:rFonts w:ascii="Times New Roman" w:hAnsi="Times New Roman" w:cs="Times New Roman"/>
          <w:sz w:val="24"/>
          <w:szCs w:val="24"/>
          <w:vertAlign w:val="superscript"/>
        </w:rPr>
        <w:footnoteReference w:id="1154"/>
      </w:r>
      <w:r w:rsidRPr="00D147A7">
        <w:rPr>
          <w:rFonts w:ascii="Times New Roman" w:hAnsi="Times New Roman" w:cs="Times New Roman"/>
          <w:sz w:val="24"/>
          <w:szCs w:val="24"/>
        </w:rPr>
        <w:t xml:space="preserve"> Hier</w:t>
      </w:r>
      <w:r w:rsidR="00CC43B8">
        <w:rPr>
          <w:rFonts w:ascii="Times New Roman" w:hAnsi="Times New Roman" w:cs="Times New Roman"/>
          <w:sz w:val="24"/>
          <w:szCs w:val="24"/>
        </w:rPr>
        <w:t>toe</w:t>
      </w:r>
      <w:r w:rsidRPr="00D147A7">
        <w:rPr>
          <w:rFonts w:ascii="Times New Roman" w:hAnsi="Times New Roman" w:cs="Times New Roman"/>
          <w:sz w:val="24"/>
          <w:szCs w:val="24"/>
        </w:rPr>
        <w:t xml:space="preserve"> word</w:t>
      </w:r>
      <w:r w:rsidR="00CC43B8">
        <w:rPr>
          <w:rFonts w:ascii="Times New Roman" w:hAnsi="Times New Roman" w:cs="Times New Roman"/>
          <w:sz w:val="24"/>
          <w:szCs w:val="24"/>
        </w:rPr>
        <w:t>t</w:t>
      </w:r>
      <w:r w:rsidRPr="00D147A7">
        <w:rPr>
          <w:rFonts w:ascii="Times New Roman" w:hAnsi="Times New Roman" w:cs="Times New Roman"/>
          <w:sz w:val="24"/>
          <w:szCs w:val="24"/>
        </w:rPr>
        <w:t xml:space="preserve"> gerekend: onderzoek voor historische, wetenschappelijke of statistische doeleinden</w:t>
      </w:r>
      <w:r w:rsidRPr="00D147A7">
        <w:rPr>
          <w:rFonts w:ascii="Times New Roman" w:hAnsi="Times New Roman" w:cs="Times New Roman"/>
          <w:sz w:val="24"/>
          <w:szCs w:val="24"/>
          <w:vertAlign w:val="superscript"/>
        </w:rPr>
        <w:footnoteReference w:id="1155"/>
      </w:r>
      <w:r w:rsidRPr="00D147A7">
        <w:rPr>
          <w:rFonts w:ascii="Times New Roman" w:hAnsi="Times New Roman" w:cs="Times New Roman"/>
          <w:sz w:val="24"/>
          <w:szCs w:val="24"/>
        </w:rPr>
        <w:t>, onderzoeken in het kader van de volksgezondheid</w:t>
      </w:r>
      <w:r w:rsidRPr="00D147A7">
        <w:rPr>
          <w:rFonts w:ascii="Times New Roman" w:hAnsi="Times New Roman" w:cs="Times New Roman"/>
          <w:sz w:val="24"/>
          <w:szCs w:val="24"/>
          <w:vertAlign w:val="superscript"/>
        </w:rPr>
        <w:footnoteReference w:id="1156"/>
      </w:r>
      <w:r w:rsidRPr="00D147A7">
        <w:rPr>
          <w:rFonts w:ascii="Times New Roman" w:hAnsi="Times New Roman" w:cs="Times New Roman"/>
          <w:sz w:val="24"/>
          <w:szCs w:val="24"/>
        </w:rPr>
        <w:t xml:space="preserve"> of de sociale zekerheid</w:t>
      </w:r>
      <w:r w:rsidRPr="00D147A7">
        <w:rPr>
          <w:rFonts w:ascii="Times New Roman" w:hAnsi="Times New Roman" w:cs="Times New Roman"/>
          <w:sz w:val="24"/>
          <w:szCs w:val="24"/>
          <w:vertAlign w:val="superscript"/>
        </w:rPr>
        <w:footnoteReference w:id="1157"/>
      </w:r>
      <w:r w:rsidR="00CC43B8">
        <w:rPr>
          <w:rFonts w:ascii="Times New Roman" w:hAnsi="Times New Roman" w:cs="Times New Roman"/>
          <w:sz w:val="24"/>
          <w:szCs w:val="24"/>
        </w:rPr>
        <w:t>;</w:t>
      </w:r>
      <w:r w:rsidRPr="00D147A7">
        <w:rPr>
          <w:rFonts w:ascii="Times New Roman" w:hAnsi="Times New Roman" w:cs="Times New Roman"/>
          <w:sz w:val="24"/>
          <w:szCs w:val="24"/>
        </w:rPr>
        <w:t xml:space="preserve"> en registra</w:t>
      </w:r>
      <w:r w:rsidR="00CC43B8">
        <w:rPr>
          <w:rFonts w:ascii="Times New Roman" w:hAnsi="Times New Roman" w:cs="Times New Roman"/>
          <w:sz w:val="24"/>
          <w:szCs w:val="24"/>
        </w:rPr>
        <w:t>-</w:t>
      </w:r>
      <w:r w:rsidRPr="00D147A7">
        <w:rPr>
          <w:rFonts w:ascii="Times New Roman" w:hAnsi="Times New Roman" w:cs="Times New Roman"/>
          <w:sz w:val="24"/>
          <w:szCs w:val="24"/>
        </w:rPr>
        <w:t>ties van doodsoorzaken in de registers van de burgerlijke stand.</w:t>
      </w:r>
      <w:r w:rsidRPr="00D147A7">
        <w:rPr>
          <w:rFonts w:ascii="Times New Roman" w:hAnsi="Times New Roman" w:cs="Times New Roman"/>
          <w:sz w:val="24"/>
          <w:szCs w:val="24"/>
          <w:vertAlign w:val="superscript"/>
        </w:rPr>
        <w:footnoteReference w:id="1158"/>
      </w:r>
      <w:r w:rsidRPr="00D147A7">
        <w:rPr>
          <w:rFonts w:ascii="Times New Roman" w:hAnsi="Times New Roman" w:cs="Times New Roman"/>
          <w:sz w:val="24"/>
          <w:szCs w:val="24"/>
        </w:rPr>
        <w:t xml:space="preserve"> Voor de ‘belangrijke re</w:t>
      </w:r>
      <w:r w:rsidR="00CC43B8">
        <w:rPr>
          <w:rFonts w:ascii="Times New Roman" w:hAnsi="Times New Roman" w:cs="Times New Roman"/>
          <w:sz w:val="24"/>
          <w:szCs w:val="24"/>
        </w:rPr>
        <w:t>-</w:t>
      </w:r>
      <w:r w:rsidRPr="00D147A7">
        <w:rPr>
          <w:rFonts w:ascii="Times New Roman" w:hAnsi="Times New Roman" w:cs="Times New Roman"/>
          <w:sz w:val="24"/>
          <w:szCs w:val="24"/>
        </w:rPr>
        <w:t>denen van publiek belang’ moet naar art</w:t>
      </w:r>
      <w:r w:rsidR="00CC43B8">
        <w:rPr>
          <w:rFonts w:ascii="Times New Roman" w:hAnsi="Times New Roman" w:cs="Times New Roman"/>
          <w:sz w:val="24"/>
          <w:szCs w:val="24"/>
        </w:rPr>
        <w:t>ikel</w:t>
      </w:r>
      <w:r w:rsidRPr="00D147A7">
        <w:rPr>
          <w:rFonts w:ascii="Times New Roman" w:hAnsi="Times New Roman" w:cs="Times New Roman"/>
          <w:sz w:val="24"/>
          <w:szCs w:val="24"/>
        </w:rPr>
        <w:t xml:space="preserve"> 8 EVRM verwezen worden, waarin de gevallen opgesomd </w:t>
      </w:r>
      <w:r w:rsidR="00CC43B8" w:rsidRPr="00D147A7">
        <w:rPr>
          <w:rFonts w:ascii="Times New Roman" w:hAnsi="Times New Roman" w:cs="Times New Roman"/>
          <w:sz w:val="24"/>
          <w:szCs w:val="24"/>
        </w:rPr>
        <w:t xml:space="preserve">worden </w:t>
      </w:r>
      <w:r w:rsidRPr="00D147A7">
        <w:rPr>
          <w:rFonts w:ascii="Times New Roman" w:hAnsi="Times New Roman" w:cs="Times New Roman"/>
          <w:sz w:val="24"/>
          <w:szCs w:val="24"/>
        </w:rPr>
        <w:t>waarbij de overheid zich in het privéleven van de burgers mag inmeng</w:t>
      </w:r>
      <w:r w:rsidR="00CC43B8">
        <w:rPr>
          <w:rFonts w:ascii="Times New Roman" w:hAnsi="Times New Roman" w:cs="Times New Roman"/>
          <w:sz w:val="24"/>
          <w:szCs w:val="24"/>
        </w:rPr>
        <w:t>-</w:t>
      </w:r>
      <w:r w:rsidRPr="00D147A7">
        <w:rPr>
          <w:rFonts w:ascii="Times New Roman" w:hAnsi="Times New Roman" w:cs="Times New Roman"/>
          <w:sz w:val="24"/>
          <w:szCs w:val="24"/>
        </w:rPr>
        <w:t>en</w:t>
      </w:r>
      <w:r w:rsidRPr="00D147A7">
        <w:rPr>
          <w:rFonts w:ascii="Times New Roman" w:hAnsi="Times New Roman" w:cs="Times New Roman"/>
          <w:sz w:val="24"/>
          <w:szCs w:val="24"/>
          <w:vertAlign w:val="superscript"/>
        </w:rPr>
        <w:footnoteReference w:id="1159"/>
      </w:r>
      <w:r w:rsidRPr="00D147A7">
        <w:rPr>
          <w:rFonts w:ascii="Times New Roman" w:hAnsi="Times New Roman" w:cs="Times New Roman"/>
          <w:sz w:val="24"/>
          <w:szCs w:val="24"/>
        </w:rPr>
        <w:t>;</w:t>
      </w:r>
    </w:p>
    <w:p w:rsidR="000F560E" w:rsidRPr="00D147A7" w:rsidRDefault="000F560E" w:rsidP="006A58E2">
      <w:pPr>
        <w:pStyle w:val="Geenafstand"/>
        <w:numPr>
          <w:ilvl w:val="0"/>
          <w:numId w:val="38"/>
        </w:numPr>
        <w:ind w:left="0" w:hanging="11"/>
        <w:jc w:val="both"/>
        <w:rPr>
          <w:rFonts w:ascii="Times New Roman" w:hAnsi="Times New Roman" w:cs="Times New Roman"/>
          <w:sz w:val="24"/>
          <w:szCs w:val="24"/>
        </w:rPr>
      </w:pPr>
      <w:r w:rsidRPr="00D147A7">
        <w:rPr>
          <w:rFonts w:ascii="Times New Roman" w:hAnsi="Times New Roman" w:cs="Times New Roman"/>
          <w:sz w:val="24"/>
          <w:szCs w:val="24"/>
        </w:rPr>
        <w:t>de gegevens verwerkt worden om een concreet gevaar of een strafrechtelijke inbreuk te voorkomen</w:t>
      </w:r>
      <w:r w:rsidRPr="00D147A7">
        <w:rPr>
          <w:rFonts w:ascii="Times New Roman" w:hAnsi="Times New Roman" w:cs="Times New Roman"/>
          <w:sz w:val="24"/>
          <w:szCs w:val="24"/>
          <w:vertAlign w:val="superscript"/>
        </w:rPr>
        <w:footnoteReference w:id="1160"/>
      </w:r>
      <w:r w:rsidRPr="00D147A7">
        <w:rPr>
          <w:rFonts w:ascii="Times New Roman" w:hAnsi="Times New Roman" w:cs="Times New Roman"/>
          <w:sz w:val="24"/>
          <w:szCs w:val="24"/>
        </w:rPr>
        <w:t xml:space="preserve"> (zoals bijvoorbeeld de verwerking van genetische gegevens in het raam van een juridische procedure of een strafrechtelijk onderzoek</w:t>
      </w:r>
      <w:r w:rsidRPr="00D147A7">
        <w:rPr>
          <w:rFonts w:ascii="Times New Roman" w:hAnsi="Times New Roman" w:cs="Times New Roman"/>
          <w:sz w:val="24"/>
          <w:szCs w:val="24"/>
          <w:vertAlign w:val="superscript"/>
        </w:rPr>
        <w:footnoteReference w:id="1161"/>
      </w:r>
      <w:r w:rsidRPr="00D147A7">
        <w:rPr>
          <w:rFonts w:ascii="Times New Roman" w:hAnsi="Times New Roman" w:cs="Times New Roman"/>
          <w:sz w:val="24"/>
          <w:szCs w:val="24"/>
        </w:rPr>
        <w:t>)</w:t>
      </w:r>
      <w:r w:rsidR="006A58E2" w:rsidRPr="00D147A7">
        <w:rPr>
          <w:rFonts w:ascii="Times New Roman" w:hAnsi="Times New Roman" w:cs="Times New Roman"/>
          <w:sz w:val="24"/>
          <w:szCs w:val="24"/>
        </w:rPr>
        <w:t>.</w:t>
      </w:r>
    </w:p>
    <w:p w:rsidR="000F560E" w:rsidRPr="00D147A7" w:rsidRDefault="000F560E" w:rsidP="000F560E">
      <w:pPr>
        <w:jc w:val="both"/>
      </w:pPr>
      <w:r w:rsidRPr="00D147A7">
        <w:lastRenderedPageBreak/>
        <w:t xml:space="preserve">Omwille van het delicate karakter van gezondheidsgegevens, mogen ze in principe alleen onder de verantwoordelijkheid van een beroepsbeoefenaar in de gezondheidszorg </w:t>
      </w:r>
      <w:r w:rsidR="00CC43B8" w:rsidRPr="00D147A7">
        <w:t xml:space="preserve">worden </w:t>
      </w:r>
      <w:r w:rsidRPr="00D147A7">
        <w:t>ver</w:t>
      </w:r>
      <w:r w:rsidR="00CC43B8">
        <w:t>-</w:t>
      </w:r>
      <w:r w:rsidRPr="00D147A7">
        <w:t>werkt.</w:t>
      </w:r>
      <w:r w:rsidRPr="00D147A7">
        <w:rPr>
          <w:vertAlign w:val="superscript"/>
        </w:rPr>
        <w:footnoteReference w:id="1162"/>
      </w:r>
      <w:r w:rsidRPr="00D147A7">
        <w:t xml:space="preserve"> Samen met hun gemachtigden zijn zij immers aan het medisch beroepsgeheim ge</w:t>
      </w:r>
      <w:r w:rsidR="00CC43B8">
        <w:t>-</w:t>
      </w:r>
      <w:r w:rsidRPr="00D147A7">
        <w:t>bonden. Van dit principe mag enkel afgeweken worden wanneer de betrokkene hiervoor zijn expliciete, geïnformeerde toestemming verleende of als met de verwerking een dringend ge</w:t>
      </w:r>
      <w:r w:rsidR="00CC43B8">
        <w:t>-</w:t>
      </w:r>
      <w:r w:rsidRPr="00D147A7">
        <w:t xml:space="preserve">vaar of een bepaalde strafrechtelijke inbreuk </w:t>
      </w:r>
      <w:r w:rsidR="00CC43B8" w:rsidRPr="00D147A7">
        <w:t xml:space="preserve">verhinderd </w:t>
      </w:r>
      <w:r w:rsidRPr="00D147A7">
        <w:t>kan worden.</w:t>
      </w:r>
      <w:r w:rsidRPr="00D147A7">
        <w:rPr>
          <w:vertAlign w:val="superscript"/>
        </w:rPr>
        <w:footnoteReference w:id="1163"/>
      </w:r>
    </w:p>
    <w:p w:rsidR="000F560E" w:rsidRPr="00D147A7" w:rsidRDefault="000F560E" w:rsidP="000F560E">
      <w:pPr>
        <w:jc w:val="both"/>
      </w:pPr>
      <w:r w:rsidRPr="00D147A7">
        <w:t>Enkel in België geldt nog een bijkomende restrictie: gezondheidsgegevens mogen in principe alleen bij de betrokkene zelf worden ingezameld.</w:t>
      </w:r>
      <w:r w:rsidRPr="00D147A7">
        <w:rPr>
          <w:vertAlign w:val="superscript"/>
        </w:rPr>
        <w:footnoteReference w:id="1164"/>
      </w:r>
      <w:r w:rsidRPr="00D147A7">
        <w:t xml:space="preserve"> Enkel als de betrokkene hier niet toe in staat is of als de verwerking vereist is om de doeleinden van een geoorloofde verwerking te realiseren</w:t>
      </w:r>
      <w:r w:rsidRPr="00D147A7">
        <w:rPr>
          <w:vertAlign w:val="superscript"/>
        </w:rPr>
        <w:footnoteReference w:id="1165"/>
      </w:r>
      <w:r w:rsidRPr="00D147A7">
        <w:t>, mogen gezondheidsgegevens ook via andere kanalen verkregen worden.</w:t>
      </w:r>
      <w:r w:rsidRPr="00D147A7">
        <w:rPr>
          <w:vertAlign w:val="superscript"/>
        </w:rPr>
        <w:footnoteReference w:id="1166"/>
      </w:r>
    </w:p>
    <w:p w:rsidR="000F560E" w:rsidRPr="00D147A7" w:rsidRDefault="000F560E" w:rsidP="000F560E">
      <w:pPr>
        <w:jc w:val="both"/>
      </w:pPr>
    </w:p>
    <w:p w:rsidR="000F560E" w:rsidRPr="00D147A7" w:rsidRDefault="000F560E" w:rsidP="000F560E">
      <w:pPr>
        <w:jc w:val="both"/>
      </w:pPr>
      <w:r w:rsidRPr="00D147A7">
        <w:t xml:space="preserve">Net als voor historici, archivarissen en </w:t>
      </w:r>
      <w:r w:rsidRPr="00CC43B8">
        <w:rPr>
          <w:i/>
        </w:rPr>
        <w:t>records managers</w:t>
      </w:r>
      <w:r w:rsidRPr="00D147A7">
        <w:t xml:space="preserve"> is de speciale regeling voor de ver</w:t>
      </w:r>
      <w:r w:rsidR="00CC43B8">
        <w:t>-</w:t>
      </w:r>
      <w:r w:rsidRPr="00D147A7">
        <w:t>wer</w:t>
      </w:r>
      <w:r w:rsidR="00CC43B8">
        <w:t xml:space="preserve">king van persoonsgegevens voor </w:t>
      </w:r>
      <w:r w:rsidRPr="00D147A7">
        <w:t>historische, statistische en wetenschappelijke doeleinden ook voor zorgverleners van bijzonder belang.</w:t>
      </w:r>
      <w:r w:rsidRPr="00D147A7">
        <w:rPr>
          <w:vertAlign w:val="superscript"/>
        </w:rPr>
        <w:footnoteReference w:id="1167"/>
      </w:r>
      <w:r w:rsidRPr="00D147A7">
        <w:t xml:space="preserve"> Op courante basis zullen zorgverleners de gezondheidsgegevens die in het kader van </w:t>
      </w:r>
      <w:r w:rsidR="00CC43B8">
        <w:t>de</w:t>
      </w:r>
      <w:r w:rsidRPr="00D147A7">
        <w:t xml:space="preserve"> normale, legitieme werkzaamheden ingezameld </w:t>
      </w:r>
      <w:r w:rsidR="006B4C46">
        <w:t>werden</w:t>
      </w:r>
      <w:r w:rsidRPr="00D147A7">
        <w:t xml:space="preserve"> op een later tijdstip zelf hergebruiken of aan derden meedelen.</w:t>
      </w:r>
      <w:r w:rsidRPr="00D147A7">
        <w:rPr>
          <w:vertAlign w:val="superscript"/>
        </w:rPr>
        <w:footnoteReference w:id="1168"/>
      </w:r>
      <w:r w:rsidRPr="00D147A7">
        <w:t xml:space="preserve"> Wanneer de doel</w:t>
      </w:r>
      <w:r w:rsidR="006B4C46">
        <w:t>-</w:t>
      </w:r>
      <w:r w:rsidRPr="00D147A7">
        <w:t xml:space="preserve">einden van </w:t>
      </w:r>
      <w:r w:rsidR="006B4C46">
        <w:t>secundaire</w:t>
      </w:r>
      <w:r w:rsidRPr="00D147A7">
        <w:t xml:space="preserve"> (al dan niet geautomatiseerde) verwerkingen niet harmoniëren met de doelstellingen van de </w:t>
      </w:r>
      <w:r w:rsidR="006B4C46">
        <w:t>primaire</w:t>
      </w:r>
      <w:r w:rsidRPr="00D147A7">
        <w:t xml:space="preserve"> verwerking, wordt het </w:t>
      </w:r>
      <w:r w:rsidRPr="00D147A7">
        <w:rPr>
          <w:rFonts w:eastAsiaTheme="minorEastAsia"/>
          <w:kern w:val="0"/>
          <w:lang w:eastAsia="en-US" w:bidi="ar-SA"/>
        </w:rPr>
        <w:t>finaliteitsbeginsel of de informationele zelfbeschikking (van de patiënt) geschonden.</w:t>
      </w:r>
      <w:r w:rsidRPr="00D147A7">
        <w:rPr>
          <w:rFonts w:eastAsiaTheme="minorEastAsia"/>
          <w:kern w:val="0"/>
          <w:vertAlign w:val="superscript"/>
          <w:lang w:eastAsia="en-US" w:bidi="ar-SA"/>
        </w:rPr>
        <w:footnoteReference w:id="1169"/>
      </w:r>
      <w:r w:rsidRPr="00D147A7">
        <w:t xml:space="preserve"> Met behulp van nieuwe technologische hulp</w:t>
      </w:r>
      <w:r w:rsidR="006B4C46">
        <w:t>-</w:t>
      </w:r>
      <w:r w:rsidRPr="00D147A7">
        <w:t>middelen kan men veel eenvoudiger grotere archiefreeksen (ver)werken, klassieke barrières zoals tijd en plaats doorbreken,… Toch zijn hier ook vele nadelen aan verbonden. Omdat ge</w:t>
      </w:r>
      <w:r w:rsidR="006B4C46">
        <w:t>-</w:t>
      </w:r>
      <w:r w:rsidRPr="00D147A7">
        <w:t xml:space="preserve">gevens veel eenvoudiger en in veel grotere hoeveelheden verkregen kunnen worden, moet hiervoor niet langer bij de betrokkenen zelf worden aangeklopt. Zonder bijkomende wettelijke bepalingen kan geredeneerd worden dat betrokkenen niet </w:t>
      </w:r>
      <w:r w:rsidR="006B4C46" w:rsidRPr="00D147A7">
        <w:t xml:space="preserve">van grootschalige geautomatiseerde verwerkingen </w:t>
      </w:r>
      <w:r w:rsidRPr="00D147A7">
        <w:t>op de hoogte gesteld moeten worden, aangezien het bekomen van hun toestem</w:t>
      </w:r>
      <w:r w:rsidR="006B4C46">
        <w:t>-</w:t>
      </w:r>
      <w:r w:rsidRPr="00D147A7">
        <w:lastRenderedPageBreak/>
        <w:t>ming onevenredig veel moeite en/of middelen zou vergen. Daarom werd dit achterpoortje me</w:t>
      </w:r>
      <w:r w:rsidR="006B4C46">
        <w:t>-</w:t>
      </w:r>
      <w:r w:rsidRPr="00D147A7">
        <w:t>teen juridisch dichtgetimmerd met de implementatie van een specifieke regeling waarbij ver</w:t>
      </w:r>
      <w:r w:rsidR="006B4C46">
        <w:t>-</w:t>
      </w:r>
      <w:r w:rsidRPr="00D147A7">
        <w:t xml:space="preserve">dere verwerkingen voor historische, wetenschappelijke en statistische doeleinden als legitiem beschouwd kunnen worden – </w:t>
      </w:r>
      <w:r w:rsidR="006B4C46">
        <w:t xml:space="preserve">ook </w:t>
      </w:r>
      <w:r w:rsidRPr="00D147A7">
        <w:t xml:space="preserve">al werden de gegevens voor andere doeleinden verkregen – </w:t>
      </w:r>
      <w:r w:rsidR="006B4C46">
        <w:t>op voorwaarde dat</w:t>
      </w:r>
      <w:r w:rsidRPr="00D147A7">
        <w:t xml:space="preserve"> de gegevens aan het zogenaamde </w:t>
      </w:r>
      <w:r w:rsidR="006B4C46">
        <w:t>‘</w:t>
      </w:r>
      <w:r w:rsidRPr="00D147A7">
        <w:t>cascadesysteem</w:t>
      </w:r>
      <w:r w:rsidR="006B4C46">
        <w:t>’</w:t>
      </w:r>
      <w:r w:rsidRPr="00D147A7">
        <w:t xml:space="preserve"> onderworpen wor</w:t>
      </w:r>
      <w:r w:rsidR="006B4C46">
        <w:t>-</w:t>
      </w:r>
      <w:r w:rsidRPr="00D147A7">
        <w:t>den.</w:t>
      </w:r>
      <w:r w:rsidRPr="00D147A7">
        <w:rPr>
          <w:vertAlign w:val="superscript"/>
        </w:rPr>
        <w:footnoteReference w:id="1170"/>
      </w:r>
      <w:r w:rsidRPr="00D147A7">
        <w:t xml:space="preserve"> De mate waarin de persoonsgegevens beschermd moeten worden, wordt afgestemd op het risico </w:t>
      </w:r>
      <w:r w:rsidR="006B4C46">
        <w:t>dat</w:t>
      </w:r>
      <w:r w:rsidRPr="00D147A7">
        <w:t xml:space="preserve"> de persoonlijke levenssfeer van de betrokkene</w:t>
      </w:r>
      <w:r w:rsidR="006B4C46">
        <w:t>(</w:t>
      </w:r>
      <w:r w:rsidRPr="00D147A7">
        <w:t>n</w:t>
      </w:r>
      <w:r w:rsidR="006B4C46">
        <w:t>) geschonden kan worden</w:t>
      </w:r>
      <w:r w:rsidRPr="00D147A7">
        <w:t>.</w:t>
      </w:r>
      <w:r w:rsidRPr="00D147A7">
        <w:rPr>
          <w:vertAlign w:val="superscript"/>
        </w:rPr>
        <w:footnoteReference w:id="1171"/>
      </w:r>
      <w:r w:rsidRPr="00D147A7">
        <w:t xml:space="preserve"> Krachtens het uitgangspunt van deze regeling mogen enkel persoonsgegevens in geanonimi</w:t>
      </w:r>
      <w:r w:rsidR="006B4C46">
        <w:t>-</w:t>
      </w:r>
      <w:r w:rsidRPr="00D147A7">
        <w:t>seerde vorm (verder) verwerkt en gepubliceerd worden voor historische, statistische of weten</w:t>
      </w:r>
      <w:r w:rsidR="006B4C46">
        <w:t>-</w:t>
      </w:r>
      <w:r w:rsidRPr="00D147A7">
        <w:t>schappelijke doeleinden.</w:t>
      </w:r>
      <w:r w:rsidRPr="00D147A7">
        <w:rPr>
          <w:vertAlign w:val="superscript"/>
        </w:rPr>
        <w:footnoteReference w:id="1172"/>
      </w:r>
      <w:r w:rsidRPr="00D147A7">
        <w:t xml:space="preserve"> De bepalingen van de privacywetgeving zijn niet van toepassing op anonieme gegevens, </w:t>
      </w:r>
      <w:r w:rsidR="006B4C46">
        <w:t>omdat</w:t>
      </w:r>
      <w:r w:rsidRPr="00D147A7">
        <w:t xml:space="preserve"> ze niet (meer) als persoonsgegevens worden beschouwd.</w:t>
      </w:r>
      <w:r w:rsidR="006B4C46">
        <w:rPr>
          <w:rStyle w:val="Voetnootmarkering"/>
        </w:rPr>
        <w:footnoteReference w:id="1173"/>
      </w:r>
      <w:r w:rsidRPr="00D147A7">
        <w:t xml:space="preserve"> </w:t>
      </w:r>
      <w:r w:rsidR="006B4C46">
        <w:t>Wanneer</w:t>
      </w:r>
      <w:r w:rsidRPr="00D147A7">
        <w:t xml:space="preserve"> geanonimiseerde gegevens </w:t>
      </w:r>
      <w:r w:rsidR="006B4C46">
        <w:t xml:space="preserve">verwerkt worden, </w:t>
      </w:r>
      <w:r w:rsidRPr="00D147A7">
        <w:t>moeten de betrokkene(n) en (het Sec</w:t>
      </w:r>
      <w:r w:rsidR="006B4C46">
        <w:t>-</w:t>
      </w:r>
      <w:r w:rsidRPr="00D147A7">
        <w:t>toraal Comité van de Sociale Zekerheid en van de Gezondheid van</w:t>
      </w:r>
      <w:r w:rsidRPr="00D147A7">
        <w:rPr>
          <w:vertAlign w:val="superscript"/>
        </w:rPr>
        <w:footnoteReference w:id="1174"/>
      </w:r>
      <w:r w:rsidRPr="00D147A7">
        <w:t xml:space="preserve">) de privacycommissie </w:t>
      </w:r>
      <w:r w:rsidR="006B4C46">
        <w:t xml:space="preserve">dan ook </w:t>
      </w:r>
      <w:r w:rsidRPr="00D147A7">
        <w:t>niet op de hoogte gebracht</w:t>
      </w:r>
      <w:r w:rsidR="006B4C46" w:rsidRPr="006B4C46">
        <w:t xml:space="preserve"> </w:t>
      </w:r>
      <w:r w:rsidR="006B4C46" w:rsidRPr="00D147A7">
        <w:t>worden</w:t>
      </w:r>
      <w:r w:rsidRPr="00D147A7">
        <w:t>.</w:t>
      </w:r>
      <w:r w:rsidRPr="00D147A7">
        <w:rPr>
          <w:vertAlign w:val="superscript"/>
        </w:rPr>
        <w:footnoteReference w:id="1175"/>
      </w:r>
      <w:r w:rsidRPr="00D147A7">
        <w:t xml:space="preserve"> </w:t>
      </w:r>
      <w:r w:rsidRPr="00D147A7">
        <w:rPr>
          <w:rFonts w:eastAsiaTheme="minorEastAsia"/>
          <w:kern w:val="0"/>
          <w:lang w:eastAsia="en-US" w:bidi="ar-SA"/>
        </w:rPr>
        <w:t>Anonieme gegevens zijn overigens niet louter naamloze gegevens, aangezien in sommige gevallen ook zonder de naam van de betrokke</w:t>
      </w:r>
      <w:r w:rsidR="006B4C46">
        <w:rPr>
          <w:rFonts w:eastAsiaTheme="minorEastAsia"/>
          <w:kern w:val="0"/>
          <w:lang w:eastAsia="en-US" w:bidi="ar-SA"/>
        </w:rPr>
        <w:t>-</w:t>
      </w:r>
      <w:r w:rsidRPr="00D147A7">
        <w:rPr>
          <w:rFonts w:eastAsiaTheme="minorEastAsia"/>
          <w:kern w:val="0"/>
          <w:lang w:eastAsia="en-US" w:bidi="ar-SA"/>
        </w:rPr>
        <w:t>ne(n) diens identiteit kan worden achterhaald.</w:t>
      </w:r>
      <w:r w:rsidRPr="00D147A7">
        <w:rPr>
          <w:rFonts w:eastAsiaTheme="minorEastAsia"/>
          <w:kern w:val="0"/>
          <w:vertAlign w:val="superscript"/>
          <w:lang w:eastAsia="en-US" w:bidi="ar-SA"/>
        </w:rPr>
        <w:footnoteReference w:id="1176"/>
      </w:r>
    </w:p>
    <w:p w:rsidR="000F560E" w:rsidRPr="00D147A7" w:rsidRDefault="000F560E" w:rsidP="000F560E">
      <w:pPr>
        <w:jc w:val="both"/>
      </w:pPr>
      <w:r w:rsidRPr="00D147A7">
        <w:t>Het is evenwel niet altijd mogelijk om onderzoek te verrichten aan de hand van anonieme ge</w:t>
      </w:r>
      <w:r w:rsidR="006B4C46">
        <w:t>-</w:t>
      </w:r>
      <w:r w:rsidRPr="00D147A7">
        <w:t>gevens. In het voorgaande deel werd het voorbeeld beschreven van het onderzoek naar de bij</w:t>
      </w:r>
      <w:r w:rsidR="006B4C46">
        <w:t>-</w:t>
      </w:r>
      <w:r w:rsidRPr="00D147A7">
        <w:t>werkingen van geneesmiddelen op lange termijn. Om na te kunnen gaan hoe de betrokken pa</w:t>
      </w:r>
      <w:r w:rsidR="006B4C46">
        <w:t>-</w:t>
      </w:r>
      <w:r w:rsidRPr="00D147A7">
        <w:t>tiënten het na een bepaalde tijd vergaa</w:t>
      </w:r>
      <w:r w:rsidR="006B4C46">
        <w:t>n</w:t>
      </w:r>
      <w:r w:rsidRPr="00D147A7">
        <w:t>, moeten de hen betreffende gegevens geïdentificeerd of identificeerbaar blijven zonder dat de verantwoordelijke voor de verwerking of de verwer</w:t>
      </w:r>
      <w:r w:rsidR="006B4C46">
        <w:t>-</w:t>
      </w:r>
      <w:r w:rsidRPr="00D147A7">
        <w:t>ker(s) de identiteit van de betrokken patiënt(en) kennen.</w:t>
      </w:r>
      <w:r w:rsidRPr="00D147A7">
        <w:rPr>
          <w:vertAlign w:val="superscript"/>
        </w:rPr>
        <w:footnoteReference w:id="1177"/>
      </w:r>
      <w:r w:rsidRPr="00D147A7">
        <w:t xml:space="preserve"> In bepaalde situaties moet het dus mogelijk zijn om gecodeerde gezondheidsgegevens te verwerken.</w:t>
      </w:r>
      <w:r w:rsidRPr="00D147A7">
        <w:rPr>
          <w:vertAlign w:val="superscript"/>
        </w:rPr>
        <w:footnoteReference w:id="1178"/>
      </w:r>
      <w:r w:rsidRPr="00D147A7">
        <w:t xml:space="preserve"> </w:t>
      </w:r>
      <w:r w:rsidRPr="00D147A7">
        <w:rPr>
          <w:bCs/>
          <w:kern w:val="2"/>
        </w:rPr>
        <w:t>De gegevens moeten vóór de verwerking gecodeerd worden door een intermediaire organisatie</w:t>
      </w:r>
      <w:r w:rsidRPr="00D147A7">
        <w:rPr>
          <w:bCs/>
          <w:kern w:val="2"/>
          <w:vertAlign w:val="superscript"/>
        </w:rPr>
        <w:footnoteReference w:id="1179"/>
      </w:r>
      <w:r w:rsidR="006B4C46">
        <w:rPr>
          <w:bCs/>
          <w:kern w:val="2"/>
        </w:rPr>
        <w:t>,</w:t>
      </w:r>
      <w:r w:rsidRPr="00D147A7">
        <w:rPr>
          <w:bCs/>
          <w:kern w:val="2"/>
        </w:rPr>
        <w:t xml:space="preserve"> die onafhanke</w:t>
      </w:r>
      <w:r w:rsidR="006B4C46">
        <w:rPr>
          <w:bCs/>
          <w:kern w:val="2"/>
        </w:rPr>
        <w:t>-</w:t>
      </w:r>
      <w:r w:rsidRPr="00D147A7">
        <w:rPr>
          <w:bCs/>
          <w:kern w:val="2"/>
        </w:rPr>
        <w:t>lijk van de verantwoordelijke voor de verwerking opereert (de zgn. Trusted Third Party)</w:t>
      </w:r>
      <w:r w:rsidR="006B4C46">
        <w:rPr>
          <w:bCs/>
          <w:kern w:val="2"/>
        </w:rPr>
        <w:t xml:space="preserve"> –</w:t>
      </w:r>
      <w:r w:rsidRPr="00D147A7">
        <w:rPr>
          <w:bCs/>
          <w:kern w:val="2"/>
        </w:rPr>
        <w:t xml:space="preserve"> al </w:t>
      </w:r>
      <w:r w:rsidR="006B4C46">
        <w:rPr>
          <w:bCs/>
          <w:kern w:val="2"/>
        </w:rPr>
        <w:t>krijgt</w:t>
      </w:r>
      <w:r w:rsidRPr="00D147A7">
        <w:rPr>
          <w:bCs/>
          <w:kern w:val="2"/>
        </w:rPr>
        <w:t xml:space="preserve"> dit in de praktijk zelden </w:t>
      </w:r>
      <w:r w:rsidR="006B4C46">
        <w:rPr>
          <w:bCs/>
          <w:kern w:val="2"/>
        </w:rPr>
        <w:t>navolging</w:t>
      </w:r>
      <w:r w:rsidRPr="00D147A7">
        <w:rPr>
          <w:bCs/>
          <w:kern w:val="2"/>
        </w:rPr>
        <w:t>.</w:t>
      </w:r>
      <w:r w:rsidRPr="00D147A7">
        <w:rPr>
          <w:bCs/>
          <w:kern w:val="2"/>
          <w:vertAlign w:val="superscript"/>
        </w:rPr>
        <w:footnoteReference w:id="1180"/>
      </w:r>
      <w:r w:rsidRPr="00D147A7">
        <w:rPr>
          <w:bCs/>
          <w:kern w:val="2"/>
        </w:rPr>
        <w:t xml:space="preserve"> </w:t>
      </w:r>
      <w:r w:rsidRPr="00D147A7">
        <w:t xml:space="preserve">Voor de codering kan beroep gedaan worden op </w:t>
      </w:r>
      <w:r w:rsidRPr="00D147A7">
        <w:rPr>
          <w:i/>
        </w:rPr>
        <w:t>Privacy Enhancing Technologies</w:t>
      </w:r>
      <w:r w:rsidRPr="00D147A7">
        <w:t xml:space="preserve">, i.e. </w:t>
      </w:r>
      <w:r w:rsidRPr="00D147A7">
        <w:rPr>
          <w:rFonts w:eastAsiaTheme="minorEastAsia"/>
          <w:kern w:val="0"/>
          <w:lang w:eastAsia="en-US" w:bidi="ar-SA"/>
        </w:rPr>
        <w:t>een geheel aan ICT-maatregelen (protocollen, standaar</w:t>
      </w:r>
      <w:r w:rsidR="006B4C46">
        <w:rPr>
          <w:rFonts w:eastAsiaTheme="minorEastAsia"/>
          <w:kern w:val="0"/>
          <w:lang w:eastAsia="en-US" w:bidi="ar-SA"/>
        </w:rPr>
        <w:t>-</w:t>
      </w:r>
      <w:r w:rsidRPr="00D147A7">
        <w:rPr>
          <w:rFonts w:eastAsiaTheme="minorEastAsia"/>
          <w:kern w:val="0"/>
          <w:lang w:eastAsia="en-US" w:bidi="ar-SA"/>
        </w:rPr>
        <w:t>den en technieken) die de informationele privacy beschermen door identificerende elementen uit persoonsgegevens te verwijderen of te minimaliseren zonder de functionaliteit van deze gegevens</w:t>
      </w:r>
      <w:r w:rsidR="002A214B">
        <w:rPr>
          <w:rFonts w:eastAsiaTheme="minorEastAsia"/>
          <w:kern w:val="0"/>
          <w:lang w:eastAsia="en-US" w:bidi="ar-SA"/>
        </w:rPr>
        <w:t xml:space="preserve"> aan te tasten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181"/>
      </w:r>
      <w:r w:rsidRPr="00D147A7">
        <w:rPr>
          <w:rFonts w:eastAsiaTheme="minorEastAsia"/>
          <w:kern w:val="0"/>
          <w:lang w:eastAsia="en-US" w:bidi="ar-SA"/>
        </w:rPr>
        <w:t xml:space="preserve"> </w:t>
      </w:r>
      <w:r w:rsidRPr="00D147A7">
        <w:rPr>
          <w:bCs/>
          <w:kern w:val="2"/>
        </w:rPr>
        <w:t xml:space="preserve">Wanneer een onderzoeker niet-geanonimiseerde persoonsgegevens </w:t>
      </w:r>
      <w:r w:rsidRPr="00D147A7">
        <w:rPr>
          <w:bCs/>
          <w:kern w:val="2"/>
        </w:rPr>
        <w:lastRenderedPageBreak/>
        <w:t>wenst te verwerken, moet hiervoor de goedkeuring van de privacycommissie bekomen wor</w:t>
      </w:r>
      <w:r w:rsidR="002A214B">
        <w:rPr>
          <w:bCs/>
          <w:kern w:val="2"/>
        </w:rPr>
        <w:t>-</w:t>
      </w:r>
      <w:r w:rsidRPr="00D147A7">
        <w:rPr>
          <w:bCs/>
          <w:kern w:val="2"/>
        </w:rPr>
        <w:t>den. De betrokkene(n) moet(en) daarentegen niet geïnformeerd worden.</w:t>
      </w:r>
      <w:r w:rsidRPr="00D147A7">
        <w:rPr>
          <w:bCs/>
          <w:kern w:val="2"/>
          <w:vertAlign w:val="superscript"/>
        </w:rPr>
        <w:footnoteReference w:id="1182"/>
      </w:r>
      <w:r w:rsidRPr="00D147A7">
        <w:rPr>
          <w:bCs/>
          <w:kern w:val="2"/>
        </w:rPr>
        <w:t xml:space="preserve"> </w:t>
      </w:r>
      <w:r w:rsidRPr="00D147A7">
        <w:t xml:space="preserve">Het gevaar op een schending van de persoonlijke levenssfeer van de betrokkene(n) schuilt immers niet zozeer </w:t>
      </w:r>
      <w:r w:rsidRPr="00D147A7">
        <w:rPr>
          <w:rFonts w:eastAsiaTheme="minorEastAsia"/>
          <w:kern w:val="0"/>
          <w:lang w:eastAsia="en-US" w:bidi="ar-SA"/>
        </w:rPr>
        <w:t>in het wetenschappelijk onderzoek op zich, maar in het nader gebruik van nominatieve persoons</w:t>
      </w:r>
      <w:r w:rsidR="002A214B">
        <w:rPr>
          <w:rFonts w:eastAsiaTheme="minorEastAsia"/>
          <w:kern w:val="0"/>
          <w:lang w:eastAsia="en-US" w:bidi="ar-SA"/>
        </w:rPr>
        <w:t>-</w:t>
      </w:r>
      <w:r w:rsidRPr="00D147A7">
        <w:rPr>
          <w:rFonts w:eastAsiaTheme="minorEastAsia"/>
          <w:kern w:val="0"/>
          <w:lang w:eastAsia="en-US" w:bidi="ar-SA"/>
        </w:rPr>
        <w:t>gegevens door onderzoekers</w:t>
      </w:r>
      <w:r w:rsidRPr="00D147A7">
        <w:t>.</w:t>
      </w:r>
      <w:r w:rsidRPr="00D147A7">
        <w:rPr>
          <w:vertAlign w:val="superscript"/>
        </w:rPr>
        <w:footnoteReference w:id="1183"/>
      </w:r>
      <w:r w:rsidRPr="00D147A7">
        <w:t xml:space="preserve"> Voor de publicatie van de onderzoeksresultaten van per</w:t>
      </w:r>
      <w:r w:rsidR="002A214B">
        <w:t>-</w:t>
      </w:r>
      <w:r w:rsidRPr="00D147A7">
        <w:t xml:space="preserve">soonsgegevens (en dus ook gecodeerde gegevens) in verband met levende personen moet wel de toestemming van de betrokkene(n) bekomen worden, tenzij het om een publieke figuur gaat of de gegevens duidelijk door de betrokkene(n) zelf in de openbaarheid gebracht werden. Voor de bescherming van persoonsgegevens over overledenen moet er rekening gehouden worden met de belangen van (nog </w:t>
      </w:r>
      <w:r w:rsidR="002A214B">
        <w:t xml:space="preserve">in </w:t>
      </w:r>
      <w:r w:rsidRPr="00D147A7">
        <w:t>leven</w:t>
      </w:r>
      <w:r w:rsidR="002A214B">
        <w:t xml:space="preserve"> zijn</w:t>
      </w:r>
      <w:r w:rsidRPr="00D147A7">
        <w:t>de) nabestaanden.</w:t>
      </w:r>
      <w:r w:rsidRPr="00D147A7">
        <w:rPr>
          <w:vertAlign w:val="superscript"/>
        </w:rPr>
        <w:footnoteReference w:id="1184"/>
      </w:r>
      <w:r w:rsidRPr="00D147A7">
        <w:t xml:space="preserve">  </w:t>
      </w:r>
    </w:p>
    <w:p w:rsidR="000F560E" w:rsidRPr="00D147A7" w:rsidRDefault="000F560E" w:rsidP="000F560E">
      <w:pPr>
        <w:jc w:val="both"/>
        <w:rPr>
          <w:b/>
          <w:bCs/>
          <w:i/>
          <w:iCs/>
        </w:rPr>
      </w:pPr>
      <w:r w:rsidRPr="00D147A7">
        <w:t>Pas in de allerlaatste fase – wanneer de doeleinden van de verwerking zelfs niet aan de hand van gecodeerde gegevens verwezenlijkt kunnen worden – m</w:t>
      </w:r>
      <w:r w:rsidR="002A214B">
        <w:t>ogen</w:t>
      </w:r>
      <w:r w:rsidRPr="00D147A7">
        <w:t xml:space="preserve"> niet-gecodeerde gezond</w:t>
      </w:r>
      <w:r w:rsidR="002A214B">
        <w:t>-</w:t>
      </w:r>
      <w:r w:rsidRPr="00D147A7">
        <w:t>heidsgegevens</w:t>
      </w:r>
      <w:r w:rsidR="002A214B">
        <w:t xml:space="preserve"> verwerkt worden</w:t>
      </w:r>
      <w:r w:rsidRPr="00D147A7">
        <w:t>.</w:t>
      </w:r>
      <w:r w:rsidRPr="00D147A7">
        <w:rPr>
          <w:vertAlign w:val="superscript"/>
        </w:rPr>
        <w:footnoteReference w:id="1185"/>
      </w:r>
      <w:r w:rsidRPr="00D147A7">
        <w:t xml:space="preserve"> Omdat in deze gevallen het risico op aantasting van de persoonlijke levenssfeer van de betrokkene(n) het grootst is, worden deze verwerkingen aan het strengste beschermingsregime onderworpen. Wederom moeten de nationale privacycom</w:t>
      </w:r>
      <w:r w:rsidR="002A214B">
        <w:t>-</w:t>
      </w:r>
      <w:r w:rsidRPr="00D147A7">
        <w:t>missie en de (betrokken) patiënt(en) over de modaliteiten van de verwerking</w:t>
      </w:r>
      <w:r w:rsidR="002A214B" w:rsidRPr="002A214B">
        <w:t xml:space="preserve"> </w:t>
      </w:r>
      <w:r w:rsidR="002A214B" w:rsidRPr="00D147A7">
        <w:t>op de hoogte ge</w:t>
      </w:r>
      <w:r w:rsidR="002A214B">
        <w:t>-</w:t>
      </w:r>
      <w:r w:rsidR="002A214B" w:rsidRPr="00D147A7">
        <w:t>bracht worden</w:t>
      </w:r>
      <w:r w:rsidRPr="00D147A7">
        <w:t>. Maar i.t.t. de verwerking van gecodeerde gegevens mag in deze gevallen geen genoegen genomen worden met een impliciete toestemming van de patiënt(en) of diens ver</w:t>
      </w:r>
      <w:r w:rsidR="002A214B">
        <w:t>-</w:t>
      </w:r>
      <w:r w:rsidRPr="00D147A7">
        <w:t xml:space="preserve">tegenwoordiger(s). Zonder hun </w:t>
      </w:r>
      <w:r w:rsidRPr="00D147A7">
        <w:rPr>
          <w:i/>
        </w:rPr>
        <w:t>explicit informed consent</w:t>
      </w:r>
      <w:r w:rsidRPr="00D147A7">
        <w:t xml:space="preserve"> – die op ieder ogenblik weer </w:t>
      </w:r>
      <w:r w:rsidR="002A214B">
        <w:t xml:space="preserve">kan </w:t>
      </w:r>
      <w:r w:rsidR="002A214B" w:rsidRPr="00D147A7">
        <w:t>in</w:t>
      </w:r>
      <w:r w:rsidR="002A214B">
        <w:t>-ge</w:t>
      </w:r>
      <w:r w:rsidR="002A214B" w:rsidRPr="00D147A7">
        <w:t>tr</w:t>
      </w:r>
      <w:r w:rsidR="002A214B">
        <w:t>o</w:t>
      </w:r>
      <w:r w:rsidR="002A214B" w:rsidRPr="00D147A7">
        <w:t>kken</w:t>
      </w:r>
      <w:r w:rsidR="002A214B">
        <w:t xml:space="preserve"> worden</w:t>
      </w:r>
      <w:r w:rsidRPr="00D147A7">
        <w:rPr>
          <w:vertAlign w:val="superscript"/>
        </w:rPr>
        <w:footnoteReference w:id="1186"/>
      </w:r>
      <w:r w:rsidRPr="00D147A7">
        <w:t xml:space="preserve"> – mogen er geenszins niet-gecodeerde gezondheidsgegevens verwerkt worden</w:t>
      </w:r>
      <w:r w:rsidRPr="00D147A7">
        <w:rPr>
          <w:vertAlign w:val="superscript"/>
        </w:rPr>
        <w:footnoteReference w:id="1187"/>
      </w:r>
      <w:r w:rsidRPr="00D147A7">
        <w:t>, tenzij de gegevens in kwestie kennelijk door de patiënt zelf geopenbaard werden</w:t>
      </w:r>
      <w:r w:rsidR="002A214B">
        <w:t>;</w:t>
      </w:r>
      <w:r w:rsidRPr="00D147A7">
        <w:t xml:space="preserve"> </w:t>
      </w:r>
      <w:r w:rsidR="002A214B">
        <w:t xml:space="preserve">ze </w:t>
      </w:r>
      <w:r w:rsidRPr="00D147A7">
        <w:t>in nauw verband staan met het publiek karakter van de patiënt of de feiten waarbij deze be</w:t>
      </w:r>
      <w:r w:rsidR="002A214B">
        <w:t>-</w:t>
      </w:r>
      <w:r w:rsidRPr="00D147A7">
        <w:t>trokken is (geweest)</w:t>
      </w:r>
      <w:r w:rsidRPr="00D147A7">
        <w:rPr>
          <w:vertAlign w:val="superscript"/>
        </w:rPr>
        <w:footnoteReference w:id="1188"/>
      </w:r>
      <w:r w:rsidR="002A214B">
        <w:t>;</w:t>
      </w:r>
      <w:r w:rsidRPr="00D147A7">
        <w:t xml:space="preserve"> of wanneer de nationale privacycommissie beaamt dat deze verplich</w:t>
      </w:r>
      <w:r w:rsidR="002A214B">
        <w:t>-</w:t>
      </w:r>
      <w:r w:rsidRPr="00D147A7">
        <w:t>tingen onmogelijk of slechts met onevenredig veel moeite kunnen worden</w:t>
      </w:r>
      <w:r w:rsidR="002A214B" w:rsidRPr="002A214B">
        <w:t xml:space="preserve"> </w:t>
      </w:r>
      <w:r w:rsidR="002A214B" w:rsidRPr="00D147A7">
        <w:t>nageleefd</w:t>
      </w:r>
      <w:r w:rsidRPr="00D147A7">
        <w:t>.</w:t>
      </w:r>
      <w:r w:rsidRPr="00D147A7">
        <w:rPr>
          <w:vertAlign w:val="superscript"/>
        </w:rPr>
        <w:footnoteReference w:id="1189"/>
      </w:r>
    </w:p>
    <w:p w:rsidR="000F560E" w:rsidRDefault="000F560E" w:rsidP="00AF492F">
      <w:pPr>
        <w:widowControl/>
        <w:suppressAutoHyphens w:val="0"/>
        <w:jc w:val="both"/>
        <w:rPr>
          <w:rFonts w:eastAsiaTheme="minorEastAsia"/>
          <w:b/>
          <w:kern w:val="0"/>
          <w:lang w:eastAsia="en-US" w:bidi="ar-SA"/>
        </w:rPr>
      </w:pPr>
    </w:p>
    <w:p w:rsidR="00AF492F" w:rsidRDefault="00AF492F" w:rsidP="00AF492F">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smallCaps/>
          <w:kern w:val="0"/>
          <w:sz w:val="22"/>
          <w:szCs w:val="22"/>
          <w:lang w:eastAsia="en-US" w:bidi="ar-SA"/>
        </w:rPr>
      </w:pPr>
      <w:r w:rsidRPr="00D147A7">
        <w:rPr>
          <w:rFonts w:eastAsiaTheme="minorEastAsia"/>
          <w:smallCaps/>
          <w:kern w:val="0"/>
          <w:lang w:eastAsia="en-US" w:bidi="ar-SA"/>
        </w:rPr>
        <w:t>4.4 Praktijkvoorbeelden</w:t>
      </w:r>
      <w:r w:rsidRPr="00D147A7">
        <w:rPr>
          <w:rFonts w:eastAsiaTheme="minorEastAsia"/>
          <w:smallCaps/>
          <w:kern w:val="0"/>
          <w:sz w:val="22"/>
          <w:szCs w:val="22"/>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laatste decennia geniet de bescherming van de (informationele) privacy een niet aflatende belangstelling van zowel internationale als nationale wetgevende instanties. Hierdoor is het recht op privacy – zeker in de bestudeerde landen – dermate ingeburgerd, dat de bescherming van de persoonlijke levenssfeer als vanzelfsprekend wordt beschouwd.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het laatste onderdeel van dit deel worden twee uitzonderingen aangehaald waarbij de ver</w:t>
      </w:r>
      <w:r w:rsidR="002A214B">
        <w:rPr>
          <w:rFonts w:eastAsiaTheme="minorEastAsia"/>
          <w:kern w:val="0"/>
          <w:lang w:eastAsia="en-US" w:bidi="ar-SA"/>
        </w:rPr>
        <w:t>-</w:t>
      </w:r>
      <w:r w:rsidRPr="00D147A7">
        <w:rPr>
          <w:rFonts w:eastAsiaTheme="minorEastAsia"/>
          <w:kern w:val="0"/>
          <w:lang w:eastAsia="en-US" w:bidi="ar-SA"/>
        </w:rPr>
        <w:t xml:space="preserve">werking van gezondheidsgegevens – en de publicatie van de </w:t>
      </w:r>
      <w:r w:rsidR="002A214B">
        <w:rPr>
          <w:rFonts w:eastAsiaTheme="minorEastAsia"/>
          <w:kern w:val="0"/>
          <w:lang w:eastAsia="en-US" w:bidi="ar-SA"/>
        </w:rPr>
        <w:t>onderzoeks</w:t>
      </w:r>
      <w:r w:rsidRPr="00D147A7">
        <w:rPr>
          <w:rFonts w:eastAsiaTheme="minorEastAsia"/>
          <w:kern w:val="0"/>
          <w:lang w:eastAsia="en-US" w:bidi="ar-SA"/>
        </w:rPr>
        <w:t xml:space="preserve">resultaten – niet volgens de (strikte) regels van de privacywet verliepen.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Het eerste voorbeeld is het ophefmakende boek </w:t>
      </w:r>
      <w:r w:rsidRPr="00D147A7">
        <w:rPr>
          <w:rFonts w:eastAsiaTheme="minorEastAsia"/>
          <w:i/>
          <w:kern w:val="0"/>
          <w:lang w:eastAsia="en-US" w:bidi="ar-SA"/>
        </w:rPr>
        <w:t>Le Grand Secret</w:t>
      </w:r>
      <w:r w:rsidRPr="00D147A7">
        <w:rPr>
          <w:rFonts w:eastAsiaTheme="minorEastAsia"/>
          <w:kern w:val="0"/>
          <w:lang w:eastAsia="en-US" w:bidi="ar-SA"/>
        </w:rPr>
        <w:t xml:space="preserve"> waarin Claude Gubler, de lijfarts van de voormalige Franse president François Mitterrand en gewezen verantwoorde</w:t>
      </w:r>
      <w:r w:rsidR="002A214B">
        <w:rPr>
          <w:rFonts w:eastAsiaTheme="minorEastAsia"/>
          <w:kern w:val="0"/>
          <w:lang w:eastAsia="en-US" w:bidi="ar-SA"/>
        </w:rPr>
        <w:t>-</w:t>
      </w:r>
      <w:r w:rsidRPr="00D147A7">
        <w:rPr>
          <w:rFonts w:eastAsiaTheme="minorEastAsia"/>
          <w:kern w:val="0"/>
          <w:lang w:eastAsia="en-US" w:bidi="ar-SA"/>
        </w:rPr>
        <w:t xml:space="preserve">lijke voor de </w:t>
      </w:r>
      <w:r w:rsidRPr="00D147A7">
        <w:rPr>
          <w:rFonts w:eastAsiaTheme="minorEastAsia"/>
          <w:i/>
          <w:kern w:val="0"/>
          <w:lang w:eastAsia="en-US" w:bidi="ar-SA"/>
        </w:rPr>
        <w:t>Inspection générale de la sécurité sociale</w:t>
      </w:r>
      <w:r w:rsidRPr="00D147A7">
        <w:rPr>
          <w:rFonts w:eastAsiaTheme="minorEastAsia"/>
          <w:kern w:val="0"/>
          <w:vertAlign w:val="superscript"/>
          <w:lang w:eastAsia="en-US" w:bidi="ar-SA"/>
        </w:rPr>
        <w:footnoteReference w:id="1190"/>
      </w:r>
      <w:r w:rsidRPr="00D147A7">
        <w:rPr>
          <w:rFonts w:eastAsiaTheme="minorEastAsia"/>
          <w:kern w:val="0"/>
          <w:lang w:eastAsia="en-US" w:bidi="ar-SA"/>
        </w:rPr>
        <w:t>, met behulp van journalist Michel Gonod het ziekteproces van Mitterrand uit de doeken d</w:t>
      </w:r>
      <w:r w:rsidR="002A214B">
        <w:rPr>
          <w:rFonts w:eastAsiaTheme="minorEastAsia"/>
          <w:kern w:val="0"/>
          <w:lang w:eastAsia="en-US" w:bidi="ar-SA"/>
        </w:rPr>
        <w:t>eed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191"/>
      </w:r>
      <w:r w:rsidRPr="00D147A7">
        <w:rPr>
          <w:rFonts w:eastAsiaTheme="minorEastAsia"/>
          <w:kern w:val="0"/>
          <w:lang w:eastAsia="en-US" w:bidi="ar-SA"/>
        </w:rPr>
        <w:t xml:space="preserve"> Gubler onthulde in dit boek dat bij Mitterrand reeds in oktober 1981 – kort na zijn eerste grote buitenlandse reis als president – prostaatkanker geconstateerd was.</w:t>
      </w:r>
      <w:r w:rsidRPr="00D147A7">
        <w:rPr>
          <w:rFonts w:eastAsiaTheme="minorEastAsia"/>
          <w:kern w:val="0"/>
          <w:vertAlign w:val="superscript"/>
          <w:lang w:eastAsia="en-US" w:bidi="ar-SA"/>
        </w:rPr>
        <w:footnoteReference w:id="1192"/>
      </w:r>
      <w:r w:rsidRPr="00D147A7">
        <w:rPr>
          <w:rFonts w:eastAsiaTheme="minorEastAsia"/>
          <w:kern w:val="0"/>
          <w:lang w:eastAsia="en-US" w:bidi="ar-SA"/>
        </w:rPr>
        <w:t xml:space="preserve"> Gubler beschrijft zijn gewetensbezwaren bij het ver</w:t>
      </w:r>
      <w:r w:rsidR="002A214B">
        <w:rPr>
          <w:rFonts w:eastAsiaTheme="minorEastAsia"/>
          <w:kern w:val="0"/>
          <w:lang w:eastAsia="en-US" w:bidi="ar-SA"/>
        </w:rPr>
        <w:t>-</w:t>
      </w:r>
      <w:r w:rsidRPr="00D147A7">
        <w:rPr>
          <w:rFonts w:eastAsiaTheme="minorEastAsia"/>
          <w:kern w:val="0"/>
          <w:lang w:eastAsia="en-US" w:bidi="ar-SA"/>
        </w:rPr>
        <w:t xml:space="preserve">zwijgen van de ware gezondheidstoestand van het staatshoofd. Elf jaar lang vervalste Gubler de medische bulletins, waarmee Mitterrand het Franse volk beloofd had om zijn medische </w:t>
      </w:r>
      <w:r w:rsidR="002A214B">
        <w:rPr>
          <w:rFonts w:eastAsiaTheme="minorEastAsia"/>
          <w:kern w:val="0"/>
          <w:lang w:eastAsia="en-US" w:bidi="ar-SA"/>
        </w:rPr>
        <w:t>toestand</w:t>
      </w:r>
      <w:r w:rsidRPr="00D147A7">
        <w:rPr>
          <w:rFonts w:eastAsiaTheme="minorEastAsia"/>
          <w:kern w:val="0"/>
          <w:lang w:eastAsia="en-US" w:bidi="ar-SA"/>
        </w:rPr>
        <w:t xml:space="preserve"> op halfjaarlijkse basis publiekelijk bekend te maken.</w:t>
      </w:r>
      <w:r w:rsidRPr="00D147A7">
        <w:rPr>
          <w:rFonts w:eastAsiaTheme="minorEastAsia"/>
          <w:kern w:val="0"/>
          <w:vertAlign w:val="superscript"/>
          <w:lang w:eastAsia="en-US" w:bidi="ar-SA"/>
        </w:rPr>
        <w:footnoteReference w:id="1193"/>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In november 1995 verwierf uitgeverij Plon de publicatierechten van </w:t>
      </w:r>
      <w:r w:rsidRPr="00D147A7">
        <w:rPr>
          <w:rFonts w:eastAsiaTheme="minorEastAsia"/>
          <w:i/>
          <w:kern w:val="0"/>
          <w:lang w:eastAsia="en-US" w:bidi="ar-SA"/>
        </w:rPr>
        <w:t>Le Grand Secret</w:t>
      </w:r>
      <w:r w:rsidRPr="00D147A7">
        <w:rPr>
          <w:rFonts w:eastAsiaTheme="minorEastAsia"/>
          <w:kern w:val="0"/>
          <w:lang w:eastAsia="en-US" w:bidi="ar-SA"/>
        </w:rPr>
        <w:t>. Omdat Mitterrand op 8 januari 1996 overleed, werd de publicatie voorlopig uitgesteld.</w:t>
      </w:r>
      <w:r w:rsidRPr="00D147A7">
        <w:rPr>
          <w:rFonts w:eastAsiaTheme="minorEastAsia"/>
          <w:kern w:val="0"/>
          <w:vertAlign w:val="superscript"/>
          <w:lang w:eastAsia="en-US" w:bidi="ar-SA"/>
        </w:rPr>
        <w:footnoteReference w:id="1194"/>
      </w:r>
      <w:r w:rsidRPr="00D147A7">
        <w:rPr>
          <w:rFonts w:eastAsiaTheme="minorEastAsia"/>
          <w:kern w:val="0"/>
          <w:lang w:eastAsia="en-US" w:bidi="ar-SA"/>
        </w:rPr>
        <w:t xml:space="preserve"> </w:t>
      </w:r>
      <w:r w:rsidR="002A214B">
        <w:rPr>
          <w:rFonts w:eastAsiaTheme="minorEastAsia"/>
          <w:kern w:val="0"/>
          <w:lang w:eastAsia="en-US" w:bidi="ar-SA"/>
        </w:rPr>
        <w:t>Omdat</w:t>
      </w:r>
      <w:r w:rsidRPr="00D147A7">
        <w:rPr>
          <w:rFonts w:eastAsiaTheme="minorEastAsia"/>
          <w:kern w:val="0"/>
          <w:lang w:eastAsia="en-US" w:bidi="ar-SA"/>
        </w:rPr>
        <w:t xml:space="preserve"> de professionele deskundigheid van Gubler publiekelijk in vraag getrokken werd, werd het boek op 17 januari toch in de rekken geplaatst.</w:t>
      </w:r>
      <w:r w:rsidRPr="00D147A7">
        <w:rPr>
          <w:rFonts w:eastAsiaTheme="minorEastAsia"/>
          <w:kern w:val="0"/>
          <w:vertAlign w:val="superscript"/>
          <w:lang w:eastAsia="en-US" w:bidi="ar-SA"/>
        </w:rPr>
        <w:footnoteReference w:id="1195"/>
      </w:r>
      <w:r w:rsidRPr="00D147A7">
        <w:rPr>
          <w:rFonts w:eastAsiaTheme="minorEastAsia"/>
          <w:kern w:val="0"/>
          <w:lang w:eastAsia="en-US" w:bidi="ar-SA"/>
        </w:rPr>
        <w:t xml:space="preserve"> Mitterrands nabestaanden reageerden hier on</w:t>
      </w:r>
      <w:r w:rsidR="002A214B">
        <w:rPr>
          <w:rFonts w:eastAsiaTheme="minorEastAsia"/>
          <w:kern w:val="0"/>
          <w:lang w:eastAsia="en-US" w:bidi="ar-SA"/>
        </w:rPr>
        <w:t>-</w:t>
      </w:r>
      <w:r w:rsidRPr="00D147A7">
        <w:rPr>
          <w:rFonts w:eastAsiaTheme="minorEastAsia"/>
          <w:kern w:val="0"/>
          <w:lang w:eastAsia="en-US" w:bidi="ar-SA"/>
        </w:rPr>
        <w:t>middellijk op.</w:t>
      </w:r>
      <w:r w:rsidRPr="00D147A7">
        <w:rPr>
          <w:rFonts w:eastAsiaTheme="minorEastAsia"/>
          <w:kern w:val="0"/>
          <w:vertAlign w:val="superscript"/>
          <w:lang w:eastAsia="en-US" w:bidi="ar-SA"/>
        </w:rPr>
        <w:footnoteReference w:id="1196"/>
      </w:r>
      <w:r w:rsidRPr="00D147A7">
        <w:rPr>
          <w:rFonts w:eastAsiaTheme="minorEastAsia"/>
          <w:kern w:val="0"/>
          <w:lang w:eastAsia="en-US" w:bidi="ar-SA"/>
        </w:rPr>
        <w:t xml:space="preserve"> Zij meenden dat Gubler zich vergreep aan de schending van het medisch be</w:t>
      </w:r>
      <w:r w:rsidR="002A214B">
        <w:rPr>
          <w:rFonts w:eastAsiaTheme="minorEastAsia"/>
          <w:kern w:val="0"/>
          <w:lang w:eastAsia="en-US" w:bidi="ar-SA"/>
        </w:rPr>
        <w:t>-</w:t>
      </w:r>
      <w:r w:rsidRPr="00D147A7">
        <w:rPr>
          <w:rFonts w:eastAsiaTheme="minorEastAsia"/>
          <w:kern w:val="0"/>
          <w:lang w:eastAsia="en-US" w:bidi="ar-SA"/>
        </w:rPr>
        <w:t>roepsgeheim</w:t>
      </w:r>
      <w:r w:rsidR="002A214B">
        <w:rPr>
          <w:rFonts w:eastAsiaTheme="minorEastAsia"/>
          <w:kern w:val="0"/>
          <w:lang w:eastAsia="en-US" w:bidi="ar-SA"/>
        </w:rPr>
        <w:t>, waardoor</w:t>
      </w:r>
      <w:r w:rsidRPr="00D147A7">
        <w:rPr>
          <w:rFonts w:eastAsiaTheme="minorEastAsia"/>
          <w:kern w:val="0"/>
          <w:lang w:eastAsia="en-US" w:bidi="ar-SA"/>
        </w:rPr>
        <w:t xml:space="preserve"> het recht op privacy van de ex-president en diens nabestaanden aan</w:t>
      </w:r>
      <w:r w:rsidR="002A214B">
        <w:rPr>
          <w:rFonts w:eastAsiaTheme="minorEastAsia"/>
          <w:kern w:val="0"/>
          <w:lang w:eastAsia="en-US" w:bidi="ar-SA"/>
        </w:rPr>
        <w:t>ge-</w:t>
      </w:r>
      <w:r w:rsidRPr="00D147A7">
        <w:rPr>
          <w:rFonts w:eastAsiaTheme="minorEastAsia"/>
          <w:kern w:val="0"/>
          <w:lang w:eastAsia="en-US" w:bidi="ar-SA"/>
        </w:rPr>
        <w:t>tast</w:t>
      </w:r>
      <w:r w:rsidR="002A214B">
        <w:rPr>
          <w:rFonts w:eastAsiaTheme="minorEastAsia"/>
          <w:kern w:val="0"/>
          <w:lang w:eastAsia="en-US" w:bidi="ar-SA"/>
        </w:rPr>
        <w:t xml:space="preserve"> werd</w:t>
      </w:r>
      <w:r w:rsidRPr="00D147A7">
        <w:rPr>
          <w:rFonts w:eastAsiaTheme="minorEastAsia"/>
          <w:kern w:val="0"/>
          <w:lang w:eastAsia="en-US" w:bidi="ar-SA"/>
        </w:rPr>
        <w:t>. Gubler verweerde zich met de bewering dat Mitterrand hem opgedragen had om dit nieuws na zijn dood in de openbaarheid te brengen.</w:t>
      </w:r>
      <w:r w:rsidRPr="00D147A7">
        <w:rPr>
          <w:rFonts w:eastAsiaTheme="minorEastAsia"/>
          <w:kern w:val="0"/>
          <w:vertAlign w:val="superscript"/>
          <w:lang w:eastAsia="en-US" w:bidi="ar-SA"/>
        </w:rPr>
        <w:footnoteReference w:id="1197"/>
      </w:r>
      <w:r w:rsidRPr="00D147A7">
        <w:rPr>
          <w:rFonts w:eastAsiaTheme="minorEastAsia"/>
          <w:kern w:val="0"/>
          <w:lang w:eastAsia="en-US" w:bidi="ar-SA"/>
        </w:rPr>
        <w:t xml:space="preserve"> Dit weerhield de Parijse kortgeding</w:t>
      </w:r>
      <w:r w:rsidR="002A214B">
        <w:rPr>
          <w:rFonts w:eastAsiaTheme="minorEastAsia"/>
          <w:kern w:val="0"/>
          <w:lang w:eastAsia="en-US" w:bidi="ar-SA"/>
        </w:rPr>
        <w:t>-</w:t>
      </w:r>
      <w:r w:rsidRPr="00D147A7">
        <w:rPr>
          <w:rFonts w:eastAsiaTheme="minorEastAsia"/>
          <w:kern w:val="0"/>
          <w:lang w:eastAsia="en-US" w:bidi="ar-SA"/>
        </w:rPr>
        <w:t xml:space="preserve">rechter er niet van om op 18 januari een (voorlopig) verspreidingsverbod op te leggen, onder verbeurte van 1.000 Franse frank (€ 152) per exemplaar dat in de tussentijd geopenbaard of verspreid </w:t>
      </w:r>
      <w:r w:rsidR="002A214B">
        <w:rPr>
          <w:rFonts w:eastAsiaTheme="minorEastAsia"/>
          <w:kern w:val="0"/>
          <w:lang w:eastAsia="en-US" w:bidi="ar-SA"/>
        </w:rPr>
        <w:t>zou worden</w:t>
      </w:r>
      <w:r w:rsidRPr="00D147A7">
        <w:rPr>
          <w:rFonts w:eastAsiaTheme="minorEastAsia"/>
          <w:kern w:val="0"/>
          <w:lang w:eastAsia="en-US" w:bidi="ar-SA"/>
        </w:rPr>
        <w:t>. Deze uitspraak werd op 13 maart door het hof van beroep</w:t>
      </w:r>
      <w:r w:rsidR="002A214B" w:rsidRPr="002A214B">
        <w:rPr>
          <w:rFonts w:eastAsiaTheme="minorEastAsia"/>
          <w:kern w:val="0"/>
          <w:lang w:eastAsia="en-US" w:bidi="ar-SA"/>
        </w:rPr>
        <w:t xml:space="preserve"> </w:t>
      </w:r>
      <w:r w:rsidR="002A214B" w:rsidRPr="00D147A7">
        <w:rPr>
          <w:rFonts w:eastAsiaTheme="minorEastAsia"/>
          <w:kern w:val="0"/>
          <w:lang w:eastAsia="en-US" w:bidi="ar-SA"/>
        </w:rPr>
        <w:t>beves</w:t>
      </w:r>
      <w:r w:rsidR="002A214B">
        <w:rPr>
          <w:rFonts w:eastAsiaTheme="minorEastAsia"/>
          <w:kern w:val="0"/>
          <w:lang w:eastAsia="en-US" w:bidi="ar-SA"/>
        </w:rPr>
        <w:t>-</w:t>
      </w:r>
      <w:r w:rsidR="002A214B" w:rsidRPr="00D147A7">
        <w:rPr>
          <w:rFonts w:eastAsiaTheme="minorEastAsia"/>
          <w:kern w:val="0"/>
          <w:lang w:eastAsia="en-US" w:bidi="ar-SA"/>
        </w:rPr>
        <w:t>tigd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198"/>
      </w:r>
      <w:r w:rsidRPr="00D147A7">
        <w:rPr>
          <w:rFonts w:eastAsiaTheme="minorEastAsia"/>
          <w:kern w:val="0"/>
          <w:lang w:eastAsia="en-US" w:bidi="ar-SA"/>
        </w:rPr>
        <w:t xml:space="preserve"> Aan de familieleden van Mitterrand werd drie maanden tijd gegevens om naar de bodemrechter te stappen. Inmiddels was het kwaad echter reeds geschied: de volledige eerste oplage van het boek (33.000 exemplaren) was uitverkocht, de media had massaal verslag uit</w:t>
      </w:r>
      <w:r w:rsidR="001C0D44">
        <w:rPr>
          <w:rFonts w:eastAsiaTheme="minorEastAsia"/>
          <w:kern w:val="0"/>
          <w:lang w:eastAsia="en-US" w:bidi="ar-SA"/>
        </w:rPr>
        <w:t>-</w:t>
      </w:r>
      <w:r w:rsidRPr="00D147A7">
        <w:rPr>
          <w:rFonts w:eastAsiaTheme="minorEastAsia"/>
          <w:kern w:val="0"/>
          <w:lang w:eastAsia="en-US" w:bidi="ar-SA"/>
        </w:rPr>
        <w:t>gebracht en het boek werd ook – nadat Pascal Barbraud uit Besançon (Doubs) het op internet geplaatst had – via elektronische weg verspreid.</w:t>
      </w:r>
      <w:r w:rsidRPr="00D147A7">
        <w:rPr>
          <w:rFonts w:eastAsiaTheme="minorEastAsia"/>
          <w:kern w:val="0"/>
          <w:vertAlign w:val="superscript"/>
          <w:lang w:eastAsia="en-US" w:bidi="ar-SA"/>
        </w:rPr>
        <w:footnoteReference w:id="1199"/>
      </w:r>
      <w:r w:rsidRPr="00D147A7">
        <w:rPr>
          <w:rFonts w:eastAsiaTheme="minorEastAsia"/>
          <w:kern w:val="0"/>
          <w:lang w:eastAsia="en-US" w:bidi="ar-SA"/>
        </w:rPr>
        <w:t xml:space="preserve"> Op 23 oktober 1996 werd het tijdelijk ver</w:t>
      </w:r>
      <w:r w:rsidR="001C0D44">
        <w:rPr>
          <w:rFonts w:eastAsiaTheme="minorEastAsia"/>
          <w:kern w:val="0"/>
          <w:lang w:eastAsia="en-US" w:bidi="ar-SA"/>
        </w:rPr>
        <w:t>-</w:t>
      </w:r>
      <w:r w:rsidRPr="00D147A7">
        <w:rPr>
          <w:rFonts w:eastAsiaTheme="minorEastAsia"/>
          <w:kern w:val="0"/>
          <w:lang w:eastAsia="en-US" w:bidi="ar-SA"/>
        </w:rPr>
        <w:t>bod in een definitief verspreidingsverbod</w:t>
      </w:r>
      <w:r w:rsidR="001C0D44" w:rsidRPr="001C0D44">
        <w:rPr>
          <w:rFonts w:eastAsiaTheme="minorEastAsia"/>
          <w:kern w:val="0"/>
          <w:lang w:eastAsia="en-US" w:bidi="ar-SA"/>
        </w:rPr>
        <w:t xml:space="preserve"> </w:t>
      </w:r>
      <w:r w:rsidR="001C0D44" w:rsidRPr="00D147A7">
        <w:rPr>
          <w:rFonts w:eastAsiaTheme="minorEastAsia"/>
          <w:kern w:val="0"/>
          <w:lang w:eastAsia="en-US" w:bidi="ar-SA"/>
        </w:rPr>
        <w:t>omgezet</w:t>
      </w:r>
      <w:r w:rsidRPr="00D147A7">
        <w:rPr>
          <w:rFonts w:eastAsiaTheme="minorEastAsia"/>
          <w:kern w:val="0"/>
          <w:lang w:eastAsia="en-US" w:bidi="ar-SA"/>
        </w:rPr>
        <w:t xml:space="preserve">. Deze uitspraak werd op 27 mei 1997 bevestigd door het Parijse hof van beroep, die Gubler en uitgeverij Plon tevens veroordeelde tot het betalen van 340.000 Franse frank (€ 51.833) als schadevergoeding aan de familie van Mitterrand wegens ernstige inbreuk op hun privacy en voor het gebrek aan respect voor hun ‘onmetelijk verdriet naar aanleiding van het verlies van man of vader’. Voor de omvang van </w:t>
      </w:r>
      <w:r w:rsidRPr="00D147A7">
        <w:rPr>
          <w:rFonts w:eastAsiaTheme="minorEastAsia"/>
          <w:kern w:val="0"/>
          <w:lang w:eastAsia="en-US" w:bidi="ar-SA"/>
        </w:rPr>
        <w:lastRenderedPageBreak/>
        <w:t>deze straf hield de rechtbank rekening met Gublers ‘perfide’ winstbejag én met het feit dat de familieleden geen inzage gekregen hadden alvorens het boek in de winkels versche</w:t>
      </w:r>
      <w:r w:rsidR="001C0D44">
        <w:rPr>
          <w:rFonts w:eastAsiaTheme="minorEastAsia"/>
          <w:kern w:val="0"/>
          <w:lang w:eastAsia="en-US" w:bidi="ar-SA"/>
        </w:rPr>
        <w:t xml:space="preserve">en. Deze uitspraak werd onderschreven </w:t>
      </w:r>
      <w:r w:rsidRPr="00D147A7">
        <w:rPr>
          <w:rFonts w:eastAsiaTheme="minorEastAsia"/>
          <w:kern w:val="0"/>
          <w:lang w:eastAsia="en-US" w:bidi="ar-SA"/>
        </w:rPr>
        <w:t>door het Hof van Cassatie op 14 december 1999.</w:t>
      </w:r>
      <w:r w:rsidRPr="00D147A7">
        <w:rPr>
          <w:rFonts w:eastAsiaTheme="minorEastAsia"/>
          <w:kern w:val="0"/>
          <w:vertAlign w:val="superscript"/>
          <w:lang w:eastAsia="en-US" w:bidi="ar-SA"/>
        </w:rPr>
        <w:footnoteReference w:id="1200"/>
      </w:r>
      <w:r w:rsidRPr="00D147A7">
        <w:rPr>
          <w:rFonts w:eastAsiaTheme="minorEastAsia"/>
          <w:kern w:val="0"/>
          <w:lang w:eastAsia="en-US" w:bidi="ar-SA"/>
        </w:rPr>
        <w:t xml:space="preserve">  </w:t>
      </w:r>
      <w:r w:rsidR="001C0D44">
        <w:rPr>
          <w:rFonts w:eastAsiaTheme="minorEastAsia"/>
          <w:kern w:val="0"/>
          <w:lang w:val="fr-BE" w:eastAsia="en-US" w:bidi="ar-SA"/>
        </w:rPr>
        <w:t>Daar-naast</w:t>
      </w:r>
      <w:r w:rsidRPr="00D147A7">
        <w:rPr>
          <w:rFonts w:eastAsiaTheme="minorEastAsia"/>
          <w:kern w:val="0"/>
          <w:lang w:val="fr-BE" w:eastAsia="en-US" w:bidi="ar-SA"/>
        </w:rPr>
        <w:t xml:space="preserve"> w</w:t>
      </w:r>
      <w:r w:rsidR="001C0D44">
        <w:rPr>
          <w:rFonts w:eastAsiaTheme="minorEastAsia"/>
          <w:kern w:val="0"/>
          <w:lang w:val="fr-BE" w:eastAsia="en-US" w:bidi="ar-SA"/>
        </w:rPr>
        <w:t>erd</w:t>
      </w:r>
      <w:r w:rsidRPr="00D147A7">
        <w:rPr>
          <w:rFonts w:eastAsiaTheme="minorEastAsia"/>
          <w:kern w:val="0"/>
          <w:lang w:val="fr-BE" w:eastAsia="en-US" w:bidi="ar-SA"/>
        </w:rPr>
        <w:t xml:space="preserve"> Gubler op 6 april 1997 ook tuchtrechtelijk veroordeeld door het CNOM «</w:t>
      </w:r>
      <w:r w:rsidRPr="00D147A7">
        <w:rPr>
          <w:rFonts w:eastAsiaTheme="minorEastAsia"/>
          <w:i/>
          <w:kern w:val="0"/>
          <w:lang w:val="fr-BE" w:eastAsia="en-US" w:bidi="ar-SA"/>
        </w:rPr>
        <w:t>pour a</w:t>
      </w:r>
      <w:r w:rsidR="001C0D44">
        <w:rPr>
          <w:rFonts w:eastAsiaTheme="minorEastAsia"/>
          <w:i/>
          <w:kern w:val="0"/>
          <w:lang w:val="fr-BE" w:eastAsia="en-US" w:bidi="ar-SA"/>
        </w:rPr>
        <w:t>-</w:t>
      </w:r>
      <w:r w:rsidRPr="00D147A7">
        <w:rPr>
          <w:rFonts w:eastAsiaTheme="minorEastAsia"/>
          <w:i/>
          <w:kern w:val="0"/>
          <w:lang w:val="fr-BE" w:eastAsia="en-US" w:bidi="ar-SA"/>
        </w:rPr>
        <w:t xml:space="preserve">voir révélé des faits couverts par le secret médical </w:t>
      </w:r>
      <w:r w:rsidRPr="00D147A7">
        <w:rPr>
          <w:rFonts w:eastAsiaTheme="minorEastAsia"/>
          <w:kern w:val="0"/>
          <w:lang w:val="fr-BE" w:eastAsia="en-US" w:bidi="ar-SA"/>
        </w:rPr>
        <w:t>(…)</w:t>
      </w:r>
      <w:r w:rsidRPr="001C0D44">
        <w:rPr>
          <w:rFonts w:eastAsiaTheme="minorEastAsia"/>
          <w:i/>
          <w:kern w:val="0"/>
          <w:lang w:val="fr-BE" w:eastAsia="en-US" w:bidi="ar-SA"/>
        </w:rPr>
        <w:t>,</w:t>
      </w:r>
      <w:r w:rsidRPr="00D147A7">
        <w:rPr>
          <w:rFonts w:eastAsiaTheme="minorEastAsia"/>
          <w:i/>
          <w:kern w:val="0"/>
          <w:lang w:val="fr-BE" w:eastAsia="en-US" w:bidi="ar-SA"/>
        </w:rPr>
        <w:t xml:space="preserve"> avoir délivré des certificats médicaux de complaisance et avoir porté atteinte à l'honneur de la profession</w:t>
      </w:r>
      <w:r w:rsidRPr="00D147A7">
        <w:rPr>
          <w:rFonts w:eastAsiaTheme="minorEastAsia"/>
          <w:kern w:val="0"/>
          <w:lang w:val="fr-BE" w:eastAsia="en-US" w:bidi="ar-SA"/>
        </w:rPr>
        <w:t>», wat door de Raad van State</w:t>
      </w:r>
      <w:r w:rsidR="001C0D44" w:rsidRPr="001C0D44">
        <w:rPr>
          <w:rFonts w:eastAsiaTheme="minorEastAsia"/>
          <w:kern w:val="0"/>
          <w:lang w:val="fr-BE" w:eastAsia="en-US" w:bidi="ar-SA"/>
        </w:rPr>
        <w:t xml:space="preserve"> </w:t>
      </w:r>
      <w:r w:rsidR="001C0D44" w:rsidRPr="00D147A7">
        <w:rPr>
          <w:rFonts w:eastAsiaTheme="minorEastAsia"/>
          <w:kern w:val="0"/>
          <w:lang w:val="fr-BE" w:eastAsia="en-US" w:bidi="ar-SA"/>
        </w:rPr>
        <w:t>bekrachtigd werd</w:t>
      </w:r>
      <w:r w:rsidRPr="00D147A7">
        <w:rPr>
          <w:rFonts w:eastAsiaTheme="minorEastAsia"/>
          <w:kern w:val="0"/>
          <w:lang w:val="fr-BE" w:eastAsia="en-US" w:bidi="ar-SA"/>
        </w:rPr>
        <w:t>.</w:t>
      </w:r>
      <w:r w:rsidRPr="00D147A7">
        <w:rPr>
          <w:rFonts w:eastAsiaTheme="minorEastAsia"/>
          <w:kern w:val="0"/>
          <w:vertAlign w:val="superscript"/>
          <w:lang w:eastAsia="en-US" w:bidi="ar-SA"/>
        </w:rPr>
        <w:footnoteReference w:id="1201"/>
      </w:r>
      <w:r w:rsidRPr="00D147A7">
        <w:rPr>
          <w:rFonts w:eastAsiaTheme="minorEastAsia"/>
          <w:kern w:val="0"/>
          <w:lang w:val="fr-BE" w:eastAsia="en-US" w:bidi="ar-SA"/>
        </w:rPr>
        <w:t xml:space="preserve"> </w:t>
      </w:r>
      <w:r w:rsidRPr="00D147A7">
        <w:rPr>
          <w:rFonts w:eastAsiaTheme="minorEastAsia"/>
          <w:kern w:val="0"/>
          <w:lang w:eastAsia="en-US" w:bidi="ar-SA"/>
        </w:rPr>
        <w:t xml:space="preserve">Door </w:t>
      </w:r>
      <w:r w:rsidR="001C0D44">
        <w:rPr>
          <w:rFonts w:eastAsiaTheme="minorEastAsia"/>
          <w:kern w:val="0"/>
          <w:lang w:eastAsia="en-US" w:bidi="ar-SA"/>
        </w:rPr>
        <w:t>di</w:t>
      </w:r>
      <w:r w:rsidRPr="00D147A7">
        <w:rPr>
          <w:rFonts w:eastAsiaTheme="minorEastAsia"/>
          <w:kern w:val="0"/>
          <w:lang w:eastAsia="en-US" w:bidi="ar-SA"/>
        </w:rPr>
        <w:t>t boek werd Mitterrand postuum onteerd. Op voorstel van de Orde van Verdienste en de Orde van het Legioen van eer keurde president Jacques Chirac in 1999 de besluiten goed waarmee Mitterrand uit beide ridderordes gezet werd.</w:t>
      </w:r>
      <w:r w:rsidRPr="00D147A7">
        <w:rPr>
          <w:rFonts w:eastAsiaTheme="minorEastAsia"/>
          <w:kern w:val="0"/>
          <w:vertAlign w:val="superscript"/>
          <w:lang w:eastAsia="en-US" w:bidi="ar-SA"/>
        </w:rPr>
        <w:footnoteReference w:id="1202"/>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Omdat Gubler het recht op vrije meningsuiting (artikel 10 EVRM) ontzegd werd, trok uitge</w:t>
      </w:r>
      <w:r w:rsidR="001C0D44">
        <w:rPr>
          <w:rFonts w:eastAsiaTheme="minorEastAsia"/>
          <w:kern w:val="0"/>
          <w:lang w:eastAsia="en-US" w:bidi="ar-SA"/>
        </w:rPr>
        <w:t>-</w:t>
      </w:r>
      <w:r w:rsidRPr="00D147A7">
        <w:rPr>
          <w:rFonts w:eastAsiaTheme="minorEastAsia"/>
          <w:kern w:val="0"/>
          <w:lang w:eastAsia="en-US" w:bidi="ar-SA"/>
        </w:rPr>
        <w:t xml:space="preserve">verij Plon op 9 juni 2000 naar het Europees Hof voor de Rechten van de Mens te Straatsburg, </w:t>
      </w:r>
      <w:r w:rsidR="001C0D44">
        <w:rPr>
          <w:rFonts w:eastAsiaTheme="minorEastAsia"/>
          <w:kern w:val="0"/>
          <w:lang w:eastAsia="en-US" w:bidi="ar-SA"/>
        </w:rPr>
        <w:t>al</w:t>
      </w:r>
      <w:r w:rsidRPr="00D147A7">
        <w:rPr>
          <w:rFonts w:eastAsiaTheme="minorEastAsia"/>
          <w:kern w:val="0"/>
          <w:lang w:eastAsia="en-US" w:bidi="ar-SA"/>
        </w:rPr>
        <w:t>waar de zaak op 18 mei 2004 voorkwam. Het EHRM oordeelde dat het voorlopig publica</w:t>
      </w:r>
      <w:r w:rsidR="001C0D44">
        <w:rPr>
          <w:rFonts w:eastAsiaTheme="minorEastAsia"/>
          <w:kern w:val="0"/>
          <w:lang w:eastAsia="en-US" w:bidi="ar-SA"/>
        </w:rPr>
        <w:t>-</w:t>
      </w:r>
      <w:r w:rsidRPr="00D147A7">
        <w:rPr>
          <w:rFonts w:eastAsiaTheme="minorEastAsia"/>
          <w:kern w:val="0"/>
          <w:lang w:eastAsia="en-US" w:bidi="ar-SA"/>
        </w:rPr>
        <w:t xml:space="preserve">tieverbod niet in strijd met het EVRM </w:t>
      </w:r>
      <w:r w:rsidR="001C0D44">
        <w:rPr>
          <w:rFonts w:eastAsiaTheme="minorEastAsia"/>
          <w:kern w:val="0"/>
          <w:lang w:eastAsia="en-US" w:bidi="ar-SA"/>
        </w:rPr>
        <w:t>wa</w:t>
      </w:r>
      <w:r w:rsidRPr="00D147A7">
        <w:rPr>
          <w:rFonts w:eastAsiaTheme="minorEastAsia"/>
          <w:kern w:val="0"/>
          <w:lang w:eastAsia="en-US" w:bidi="ar-SA"/>
        </w:rPr>
        <w:t>s omdat het boek vertrouwelijke medische gegevens bevat, waarvan de openbaring zo kort na zijn overlijden Mitterrands reputatie buitensporige schade berokkende. Dit argument g</w:t>
      </w:r>
      <w:r w:rsidR="001C0D44">
        <w:rPr>
          <w:rFonts w:eastAsiaTheme="minorEastAsia"/>
          <w:kern w:val="0"/>
          <w:lang w:eastAsia="en-US" w:bidi="ar-SA"/>
        </w:rPr>
        <w:t>aat</w:t>
      </w:r>
      <w:r w:rsidRPr="00D147A7">
        <w:rPr>
          <w:rFonts w:eastAsiaTheme="minorEastAsia"/>
          <w:kern w:val="0"/>
          <w:lang w:eastAsia="en-US" w:bidi="ar-SA"/>
        </w:rPr>
        <w:t xml:space="preserve"> evenwel niet langer op voor het definitieve publicatie</w:t>
      </w:r>
      <w:r w:rsidR="001C0D44">
        <w:rPr>
          <w:rFonts w:eastAsiaTheme="minorEastAsia"/>
          <w:kern w:val="0"/>
          <w:lang w:eastAsia="en-US" w:bidi="ar-SA"/>
        </w:rPr>
        <w:t>-</w:t>
      </w:r>
      <w:r w:rsidRPr="00D147A7">
        <w:rPr>
          <w:rFonts w:eastAsiaTheme="minorEastAsia"/>
          <w:kern w:val="0"/>
          <w:lang w:eastAsia="en-US" w:bidi="ar-SA"/>
        </w:rPr>
        <w:t>verbod. En omdat de handelingsbekwaamheid van de president van een republiek niet onder het medisch beroepsgeheim valt, maar betrekking heeft op het leven van het volk, moet na verloop van tijd het recht op vrijheid van meningsuiting prevaleren.</w:t>
      </w:r>
      <w:r w:rsidRPr="00D147A7">
        <w:rPr>
          <w:rFonts w:eastAsiaTheme="minorEastAsia"/>
          <w:kern w:val="0"/>
          <w:vertAlign w:val="superscript"/>
          <w:lang w:eastAsia="en-US" w:bidi="ar-SA"/>
        </w:rPr>
        <w:footnoteReference w:id="1203"/>
      </w:r>
      <w:r w:rsidRPr="00D147A7">
        <w:rPr>
          <w:rFonts w:eastAsiaTheme="minorEastAsia"/>
          <w:kern w:val="0"/>
          <w:lang w:eastAsia="en-US" w:bidi="ar-SA"/>
        </w:rPr>
        <w:t xml:space="preserve"> Met deze uitspraak haalde Claude Gubler acht jaar na de feiten alsnog zijn gelijk, waardoor het boek sinds febru</w:t>
      </w:r>
      <w:r w:rsidR="001C0D44">
        <w:rPr>
          <w:rFonts w:eastAsiaTheme="minorEastAsia"/>
          <w:kern w:val="0"/>
          <w:lang w:eastAsia="en-US" w:bidi="ar-SA"/>
        </w:rPr>
        <w:t>-</w:t>
      </w:r>
      <w:r w:rsidRPr="00D147A7">
        <w:rPr>
          <w:rFonts w:eastAsiaTheme="minorEastAsia"/>
          <w:kern w:val="0"/>
          <w:lang w:eastAsia="en-US" w:bidi="ar-SA"/>
        </w:rPr>
        <w:t xml:space="preserve">ari 2005 opnieuw gepubliceerd werd, ditmaal door uitgeverij Rocher.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2012 gingen twee Franse journalisten op hetzelfde elan</w:t>
      </w:r>
      <w:r w:rsidR="001C0D44" w:rsidRPr="001C0D44">
        <w:rPr>
          <w:rFonts w:eastAsiaTheme="minorEastAsia"/>
          <w:kern w:val="0"/>
          <w:lang w:eastAsia="en-US" w:bidi="ar-SA"/>
        </w:rPr>
        <w:t xml:space="preserve"> </w:t>
      </w:r>
      <w:r w:rsidR="001C0D44" w:rsidRPr="00D147A7">
        <w:rPr>
          <w:rFonts w:eastAsiaTheme="minorEastAsia"/>
          <w:kern w:val="0"/>
          <w:lang w:eastAsia="en-US" w:bidi="ar-SA"/>
        </w:rPr>
        <w:t>verder</w:t>
      </w:r>
      <w:r w:rsidRPr="00D147A7">
        <w:rPr>
          <w:rFonts w:eastAsiaTheme="minorEastAsia"/>
          <w:kern w:val="0"/>
          <w:lang w:eastAsia="en-US" w:bidi="ar-SA"/>
        </w:rPr>
        <w:t xml:space="preserve">, </w:t>
      </w:r>
      <w:r w:rsidR="001C0D44">
        <w:rPr>
          <w:rFonts w:eastAsiaTheme="minorEastAsia"/>
          <w:kern w:val="0"/>
          <w:lang w:eastAsia="en-US" w:bidi="ar-SA"/>
        </w:rPr>
        <w:t>zij het</w:t>
      </w:r>
      <w:r w:rsidRPr="00D147A7">
        <w:rPr>
          <w:rFonts w:eastAsiaTheme="minorEastAsia"/>
          <w:kern w:val="0"/>
          <w:lang w:eastAsia="en-US" w:bidi="ar-SA"/>
        </w:rPr>
        <w:t xml:space="preserve"> op grootschaliger niveau, </w:t>
      </w:r>
      <w:r w:rsidR="001C0D44">
        <w:rPr>
          <w:rFonts w:eastAsiaTheme="minorEastAsia"/>
          <w:kern w:val="0"/>
          <w:lang w:eastAsia="en-US" w:bidi="ar-SA"/>
        </w:rPr>
        <w:t>door een</w:t>
      </w:r>
      <w:r w:rsidRPr="00D147A7">
        <w:rPr>
          <w:rFonts w:eastAsiaTheme="minorEastAsia"/>
          <w:kern w:val="0"/>
          <w:lang w:eastAsia="en-US" w:bidi="ar-SA"/>
        </w:rPr>
        <w:t xml:space="preserve"> boek </w:t>
      </w:r>
      <w:r w:rsidR="001C0D44">
        <w:rPr>
          <w:rFonts w:eastAsiaTheme="minorEastAsia"/>
          <w:kern w:val="0"/>
          <w:lang w:eastAsia="en-US" w:bidi="ar-SA"/>
        </w:rPr>
        <w:t>op de markt te brengen waarin</w:t>
      </w:r>
      <w:r w:rsidRPr="00D147A7">
        <w:rPr>
          <w:rFonts w:eastAsiaTheme="minorEastAsia"/>
          <w:kern w:val="0"/>
          <w:lang w:eastAsia="en-US" w:bidi="ar-SA"/>
        </w:rPr>
        <w:t xml:space="preserve"> alle medische geheimen van alle presi</w:t>
      </w:r>
      <w:r w:rsidR="001C0D44">
        <w:rPr>
          <w:rFonts w:eastAsiaTheme="minorEastAsia"/>
          <w:kern w:val="0"/>
          <w:lang w:eastAsia="en-US" w:bidi="ar-SA"/>
        </w:rPr>
        <w:t>-</w:t>
      </w:r>
      <w:r w:rsidRPr="00D147A7">
        <w:rPr>
          <w:rFonts w:eastAsiaTheme="minorEastAsia"/>
          <w:kern w:val="0"/>
          <w:lang w:eastAsia="en-US" w:bidi="ar-SA"/>
        </w:rPr>
        <w:t>denten van de Franse Republiek</w:t>
      </w:r>
      <w:r w:rsidR="001C0D44">
        <w:rPr>
          <w:rFonts w:eastAsiaTheme="minorEastAsia"/>
          <w:kern w:val="0"/>
          <w:lang w:eastAsia="en-US" w:bidi="ar-SA"/>
        </w:rPr>
        <w:t xml:space="preserve"> aan de kaak gesteld werden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204"/>
      </w:r>
      <w:r w:rsidRPr="00D147A7">
        <w:rPr>
          <w:rFonts w:eastAsiaTheme="minorEastAsia"/>
          <w:kern w:val="0"/>
          <w:lang w:eastAsia="en-US" w:bidi="ar-SA"/>
        </w:rPr>
        <w:t xml:space="preserve"> Volgens hen had Mitterrand nog </w:t>
      </w:r>
      <w:r w:rsidR="001C0D44">
        <w:rPr>
          <w:rFonts w:eastAsiaTheme="minorEastAsia"/>
          <w:kern w:val="0"/>
          <w:lang w:eastAsia="en-US" w:bidi="ar-SA"/>
        </w:rPr>
        <w:t>meer op zijn kerfstok</w:t>
      </w:r>
      <w:r w:rsidRPr="00D147A7">
        <w:rPr>
          <w:rFonts w:eastAsiaTheme="minorEastAsia"/>
          <w:kern w:val="0"/>
          <w:lang w:eastAsia="en-US" w:bidi="ar-SA"/>
        </w:rPr>
        <w:t xml:space="preserve">: op 6 januari 1996 zou hij zelf zijn lijdensweg beëindigd hebben </w:t>
      </w:r>
      <w:r w:rsidRPr="00D147A7">
        <w:rPr>
          <w:rFonts w:eastAsiaTheme="minorEastAsia"/>
          <w:i/>
          <w:kern w:val="0"/>
          <w:lang w:eastAsia="en-US" w:bidi="ar-SA"/>
        </w:rPr>
        <w:t>par moyen d’une injection intraveineuse</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205"/>
      </w:r>
      <w:r w:rsidRPr="00D147A7">
        <w:rPr>
          <w:rFonts w:eastAsiaTheme="minorEastAsia"/>
          <w:kern w:val="0"/>
          <w:lang w:eastAsia="en-US" w:bidi="ar-SA"/>
        </w:rPr>
        <w:t xml:space="preserve"> Dat tot voor kort een sluier gehuld was rond de omstandigheden waarin Mitterrand overleed, heeft wellicht te maken met het feit dat eutha</w:t>
      </w:r>
      <w:r w:rsidR="001C0D44">
        <w:rPr>
          <w:rFonts w:eastAsiaTheme="minorEastAsia"/>
          <w:kern w:val="0"/>
          <w:lang w:eastAsia="en-US" w:bidi="ar-SA"/>
        </w:rPr>
        <w:t>-</w:t>
      </w:r>
      <w:r w:rsidRPr="00D147A7">
        <w:rPr>
          <w:rFonts w:eastAsiaTheme="minorEastAsia"/>
          <w:kern w:val="0"/>
          <w:lang w:eastAsia="en-US" w:bidi="ar-SA"/>
        </w:rPr>
        <w:t>nasie destijds nog niet gelegaliseerd was in Frankrijk. Die deur werd pas in 2005 op een kier gezet.</w:t>
      </w:r>
      <w:r w:rsidRPr="00D147A7">
        <w:rPr>
          <w:rFonts w:eastAsiaTheme="minorEastAsia"/>
          <w:kern w:val="0"/>
          <w:vertAlign w:val="superscript"/>
          <w:lang w:eastAsia="en-US" w:bidi="ar-SA"/>
        </w:rPr>
        <w:footnoteReference w:id="1206"/>
      </w:r>
      <w:r w:rsidRPr="00D147A7">
        <w:rPr>
          <w:rFonts w:eastAsiaTheme="minorEastAsia"/>
          <w:kern w:val="0"/>
          <w:lang w:eastAsia="en-US" w:bidi="ar-SA"/>
        </w:rPr>
        <w:t xml:space="preserve"> Dat dit boek – naast de vele andere onthullingen over de gezondheid van de Franse presidenten – veel minder ophef teweeg bracht, heeft te maken met het feit dat de weg reeds </w:t>
      </w:r>
      <w:r w:rsidRPr="00D147A7">
        <w:rPr>
          <w:rFonts w:eastAsiaTheme="minorEastAsia"/>
          <w:kern w:val="0"/>
          <w:lang w:eastAsia="en-US" w:bidi="ar-SA"/>
        </w:rPr>
        <w:lastRenderedPageBreak/>
        <w:t>door Claude Gubler bereden was</w:t>
      </w:r>
      <w:r w:rsidR="001C0D44">
        <w:rPr>
          <w:rFonts w:eastAsiaTheme="minorEastAsia"/>
          <w:kern w:val="0"/>
          <w:lang w:eastAsia="en-US" w:bidi="ar-SA"/>
        </w:rPr>
        <w:t>.</w:t>
      </w:r>
      <w:r w:rsidRPr="00D147A7">
        <w:rPr>
          <w:rFonts w:eastAsiaTheme="minorEastAsia"/>
          <w:kern w:val="0"/>
          <w:lang w:eastAsia="en-US" w:bidi="ar-SA"/>
        </w:rPr>
        <w:t xml:space="preserve"> </w:t>
      </w:r>
      <w:r w:rsidR="001C0D44">
        <w:rPr>
          <w:rFonts w:eastAsiaTheme="minorEastAsia"/>
          <w:kern w:val="0"/>
          <w:lang w:eastAsia="en-US" w:bidi="ar-SA"/>
        </w:rPr>
        <w:t>Bovendien zijn</w:t>
      </w:r>
      <w:r w:rsidRPr="00D147A7">
        <w:rPr>
          <w:rFonts w:eastAsiaTheme="minorEastAsia"/>
          <w:kern w:val="0"/>
          <w:lang w:eastAsia="en-US" w:bidi="ar-SA"/>
        </w:rPr>
        <w:t xml:space="preserve"> </w:t>
      </w:r>
      <w:r w:rsidR="001C0D44">
        <w:rPr>
          <w:rFonts w:eastAsiaTheme="minorEastAsia"/>
          <w:kern w:val="0"/>
          <w:lang w:eastAsia="en-US" w:bidi="ar-SA"/>
        </w:rPr>
        <w:t>de</w:t>
      </w:r>
      <w:r w:rsidRPr="00D147A7">
        <w:rPr>
          <w:rFonts w:eastAsiaTheme="minorEastAsia"/>
          <w:kern w:val="0"/>
          <w:lang w:eastAsia="en-US" w:bidi="ar-SA"/>
        </w:rPr>
        <w:t xml:space="preserve"> auteurs </w:t>
      </w:r>
      <w:r w:rsidR="001C0D44">
        <w:rPr>
          <w:rFonts w:eastAsiaTheme="minorEastAsia"/>
          <w:kern w:val="0"/>
          <w:lang w:eastAsia="en-US" w:bidi="ar-SA"/>
        </w:rPr>
        <w:t>journalisten en g</w:t>
      </w:r>
      <w:r w:rsidRPr="00D147A7">
        <w:rPr>
          <w:rFonts w:eastAsiaTheme="minorEastAsia"/>
          <w:kern w:val="0"/>
          <w:lang w:eastAsia="en-US" w:bidi="ar-SA"/>
        </w:rPr>
        <w:t>een beroeps</w:t>
      </w:r>
      <w:r w:rsidR="001C0D44">
        <w:rPr>
          <w:rFonts w:eastAsiaTheme="minorEastAsia"/>
          <w:kern w:val="0"/>
          <w:lang w:eastAsia="en-US" w:bidi="ar-SA"/>
        </w:rPr>
        <w:t>-</w:t>
      </w:r>
      <w:r w:rsidRPr="00D147A7">
        <w:rPr>
          <w:rFonts w:eastAsiaTheme="minorEastAsia"/>
          <w:kern w:val="0"/>
          <w:lang w:eastAsia="en-US" w:bidi="ar-SA"/>
        </w:rPr>
        <w:t>beoefenaar</w:t>
      </w:r>
      <w:r w:rsidR="001C0D44">
        <w:rPr>
          <w:rFonts w:eastAsiaTheme="minorEastAsia"/>
          <w:kern w:val="0"/>
          <w:lang w:eastAsia="en-US" w:bidi="ar-SA"/>
        </w:rPr>
        <w:t>s</w:t>
      </w:r>
      <w:r w:rsidRPr="00D147A7">
        <w:rPr>
          <w:rFonts w:eastAsiaTheme="minorEastAsia"/>
          <w:kern w:val="0"/>
          <w:lang w:eastAsia="en-US" w:bidi="ar-SA"/>
        </w:rPr>
        <w:t xml:space="preserve"> in de gezondheidszorg</w:t>
      </w:r>
      <w:r w:rsidR="001C0D44">
        <w:rPr>
          <w:rFonts w:eastAsiaTheme="minorEastAsia"/>
          <w:kern w:val="0"/>
          <w:lang w:eastAsia="en-US" w:bidi="ar-SA"/>
        </w:rPr>
        <w:t xml:space="preserve">. </w:t>
      </w:r>
      <w:r w:rsidR="00FB78F8">
        <w:rPr>
          <w:rFonts w:eastAsiaTheme="minorEastAsia"/>
          <w:kern w:val="0"/>
          <w:lang w:eastAsia="en-US" w:bidi="ar-SA"/>
        </w:rPr>
        <w:t>D</w:t>
      </w:r>
      <w:r w:rsidR="001C0D44">
        <w:rPr>
          <w:rFonts w:eastAsiaTheme="minorEastAsia"/>
          <w:kern w:val="0"/>
          <w:lang w:eastAsia="en-US" w:bidi="ar-SA"/>
        </w:rPr>
        <w:t>e bepalingen van de</w:t>
      </w:r>
      <w:r w:rsidR="001C0D44" w:rsidRPr="00D147A7">
        <w:rPr>
          <w:rFonts w:eastAsiaTheme="minorEastAsia"/>
          <w:kern w:val="0"/>
          <w:lang w:eastAsia="en-US" w:bidi="ar-SA"/>
        </w:rPr>
        <w:t xml:space="preserve"> privacywetgeving zijn immers niet van toepassing op verwerkingen van persoonsgegevens voor uitsluitend journalistieke doel</w:t>
      </w:r>
      <w:r w:rsidR="00FB78F8">
        <w:rPr>
          <w:rFonts w:eastAsiaTheme="minorEastAsia"/>
          <w:kern w:val="0"/>
          <w:lang w:eastAsia="en-US" w:bidi="ar-SA"/>
        </w:rPr>
        <w:t>-</w:t>
      </w:r>
      <w:r w:rsidR="001C0D44" w:rsidRPr="00D147A7">
        <w:rPr>
          <w:rFonts w:eastAsiaTheme="minorEastAsia"/>
          <w:kern w:val="0"/>
          <w:lang w:eastAsia="en-US" w:bidi="ar-SA"/>
        </w:rPr>
        <w:t>einden</w:t>
      </w:r>
      <w:r w:rsidR="001C0D44" w:rsidRPr="00D147A7">
        <w:rPr>
          <w:rFonts w:eastAsiaTheme="minorEastAsia"/>
          <w:kern w:val="0"/>
          <w:vertAlign w:val="superscript"/>
          <w:lang w:eastAsia="en-US" w:bidi="ar-SA"/>
        </w:rPr>
        <w:footnoteReference w:id="1207"/>
      </w:r>
      <w:r w:rsidR="00FB78F8">
        <w:rPr>
          <w:rFonts w:eastAsiaTheme="minorEastAsia"/>
          <w:kern w:val="0"/>
          <w:lang w:eastAsia="en-US" w:bidi="ar-SA"/>
        </w:rPr>
        <w:t>, hoewel de finaliteit van dit boek m.i. veeleer historisch dan journalistiek is.</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Een ander voorbeeld betreft een historische studie van eigen bodem, </w:t>
      </w:r>
      <w:r w:rsidRPr="00D147A7">
        <w:rPr>
          <w:rFonts w:eastAsiaTheme="minorEastAsia"/>
          <w:i/>
          <w:kern w:val="0"/>
          <w:lang w:eastAsia="en-US" w:bidi="ar-SA"/>
        </w:rPr>
        <w:t>De Duitsers kwamen niet. De lotgevallen van de joodse patiënten in de Geelse Kolonie (1940-1945)</w:t>
      </w:r>
      <w:r w:rsidRPr="00D147A7">
        <w:rPr>
          <w:rFonts w:eastAsiaTheme="minorEastAsia"/>
          <w:kern w:val="0"/>
          <w:lang w:eastAsia="en-US" w:bidi="ar-SA"/>
        </w:rPr>
        <w:t>, dat (nog) niet in een juridisch proces verwikkeld is.</w:t>
      </w:r>
      <w:r w:rsidRPr="00D147A7">
        <w:rPr>
          <w:rFonts w:eastAsiaTheme="minorEastAsia"/>
          <w:kern w:val="0"/>
          <w:vertAlign w:val="superscript"/>
          <w:lang w:eastAsia="en-US" w:bidi="ar-SA"/>
        </w:rPr>
        <w:footnoteReference w:id="1208"/>
      </w:r>
      <w:r w:rsidRPr="00D147A7">
        <w:rPr>
          <w:rFonts w:eastAsiaTheme="minorEastAsia"/>
          <w:kern w:val="0"/>
          <w:lang w:eastAsia="en-US" w:bidi="ar-SA"/>
        </w:rPr>
        <w:t xml:space="preserve"> In dit boek wordt het opmerkelijke verhaal van de joodse geesteszieken </w:t>
      </w:r>
      <w:r w:rsidR="00FB78F8" w:rsidRPr="00D147A7">
        <w:rPr>
          <w:rFonts w:eastAsiaTheme="minorEastAsia"/>
          <w:kern w:val="0"/>
          <w:lang w:eastAsia="en-US" w:bidi="ar-SA"/>
        </w:rPr>
        <w:t xml:space="preserve">uit de doeken gedaan </w:t>
      </w:r>
      <w:r w:rsidRPr="00D147A7">
        <w:rPr>
          <w:rFonts w:eastAsiaTheme="minorEastAsia"/>
          <w:kern w:val="0"/>
          <w:lang w:eastAsia="en-US" w:bidi="ar-SA"/>
        </w:rPr>
        <w:t>die tijdens de Tweede Wereldoorlog in de Rijks</w:t>
      </w:r>
      <w:r w:rsidR="00FB78F8">
        <w:rPr>
          <w:rFonts w:eastAsiaTheme="minorEastAsia"/>
          <w:kern w:val="0"/>
          <w:lang w:eastAsia="en-US" w:bidi="ar-SA"/>
        </w:rPr>
        <w:t>-</w:t>
      </w:r>
      <w:r w:rsidRPr="00D147A7">
        <w:rPr>
          <w:rFonts w:eastAsiaTheme="minorEastAsia"/>
          <w:kern w:val="0"/>
          <w:lang w:eastAsia="en-US" w:bidi="ar-SA"/>
        </w:rPr>
        <w:t>kolonie van Geel – d</w:t>
      </w:r>
      <w:r w:rsidR="00FB78F8">
        <w:rPr>
          <w:rFonts w:eastAsiaTheme="minorEastAsia"/>
          <w:kern w:val="0"/>
          <w:lang w:eastAsia="en-US" w:bidi="ar-SA"/>
        </w:rPr>
        <w:t>ie</w:t>
      </w:r>
      <w:r w:rsidRPr="00D147A7">
        <w:rPr>
          <w:rFonts w:eastAsiaTheme="minorEastAsia"/>
          <w:kern w:val="0"/>
          <w:lang w:eastAsia="en-US" w:bidi="ar-SA"/>
        </w:rPr>
        <w:t xml:space="preserve"> tussen 1850 en 1948 onder de verantwoordelijkheid van het Ministerie van Justitie viel en de rechtsvoorganger van het huidige Openbaar Psychiatrisch Ziekenhuis </w:t>
      </w:r>
      <w:r w:rsidR="00FB78F8">
        <w:rPr>
          <w:rFonts w:eastAsiaTheme="minorEastAsia"/>
          <w:kern w:val="0"/>
          <w:lang w:eastAsia="en-US" w:bidi="ar-SA"/>
        </w:rPr>
        <w:t xml:space="preserve">is </w:t>
      </w:r>
      <w:r w:rsidRPr="00D147A7">
        <w:rPr>
          <w:rFonts w:eastAsiaTheme="minorEastAsia"/>
          <w:kern w:val="0"/>
          <w:lang w:eastAsia="en-US" w:bidi="ar-SA"/>
        </w:rPr>
        <w:t xml:space="preserve">– verbleven en door samenloop van omstandigheden, </w:t>
      </w:r>
      <w:r w:rsidR="00FB78F8">
        <w:rPr>
          <w:rFonts w:eastAsiaTheme="minorEastAsia"/>
          <w:kern w:val="0"/>
          <w:lang w:eastAsia="en-US" w:bidi="ar-SA"/>
        </w:rPr>
        <w:t>zoals</w:t>
      </w:r>
      <w:r w:rsidRPr="00D147A7">
        <w:rPr>
          <w:rFonts w:eastAsiaTheme="minorEastAsia"/>
          <w:kern w:val="0"/>
          <w:lang w:eastAsia="en-US" w:bidi="ar-SA"/>
        </w:rPr>
        <w:t xml:space="preserve"> het systeem van gezinsverpleging, aan de deportatie </w:t>
      </w:r>
      <w:r w:rsidR="00FB78F8">
        <w:rPr>
          <w:rFonts w:eastAsiaTheme="minorEastAsia"/>
          <w:kern w:val="0"/>
          <w:lang w:eastAsia="en-US" w:bidi="ar-SA"/>
        </w:rPr>
        <w:t xml:space="preserve">wisten te </w:t>
      </w:r>
      <w:r w:rsidRPr="00D147A7">
        <w:rPr>
          <w:rFonts w:eastAsiaTheme="minorEastAsia"/>
          <w:kern w:val="0"/>
          <w:lang w:eastAsia="en-US" w:bidi="ar-SA"/>
        </w:rPr>
        <w:t>ontk</w:t>
      </w:r>
      <w:r w:rsidR="00FB78F8">
        <w:rPr>
          <w:rFonts w:eastAsiaTheme="minorEastAsia"/>
          <w:kern w:val="0"/>
          <w:lang w:eastAsia="en-US" w:bidi="ar-SA"/>
        </w:rPr>
        <w:t>o</w:t>
      </w:r>
      <w:r w:rsidRPr="00D147A7">
        <w:rPr>
          <w:rFonts w:eastAsiaTheme="minorEastAsia"/>
          <w:kern w:val="0"/>
          <w:lang w:eastAsia="en-US" w:bidi="ar-SA"/>
        </w:rPr>
        <w:t xml:space="preserve">men.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onderzoekers waren zich ongetwijfeld bewust van de gevoeligheid van de door hen bestu</w:t>
      </w:r>
      <w:r w:rsidR="00FB78F8">
        <w:rPr>
          <w:rFonts w:eastAsiaTheme="minorEastAsia"/>
          <w:kern w:val="0"/>
          <w:lang w:eastAsia="en-US" w:bidi="ar-SA"/>
        </w:rPr>
        <w:t>-</w:t>
      </w:r>
      <w:r w:rsidRPr="00D147A7">
        <w:rPr>
          <w:rFonts w:eastAsiaTheme="minorEastAsia"/>
          <w:kern w:val="0"/>
          <w:lang w:eastAsia="en-US" w:bidi="ar-SA"/>
        </w:rPr>
        <w:t>deerde materie. In het Algemeen Rijksarchief ondertekende zij bijvoorbeeld een onderzoeks</w:t>
      </w:r>
      <w:r w:rsidR="00FB78F8">
        <w:rPr>
          <w:rFonts w:eastAsiaTheme="minorEastAsia"/>
          <w:kern w:val="0"/>
          <w:lang w:eastAsia="en-US" w:bidi="ar-SA"/>
        </w:rPr>
        <w:t>-</w:t>
      </w:r>
      <w:r w:rsidRPr="00D147A7">
        <w:rPr>
          <w:rFonts w:eastAsiaTheme="minorEastAsia"/>
          <w:kern w:val="0"/>
          <w:lang w:eastAsia="en-US" w:bidi="ar-SA"/>
        </w:rPr>
        <w:t>verklaring, maar zullen ook in andere archiefdiensten (zoals deze van het Openbaar Psychia</w:t>
      </w:r>
      <w:r w:rsidR="00FB78F8">
        <w:rPr>
          <w:rFonts w:eastAsiaTheme="minorEastAsia"/>
          <w:kern w:val="0"/>
          <w:lang w:eastAsia="en-US" w:bidi="ar-SA"/>
        </w:rPr>
        <w:t>-</w:t>
      </w:r>
      <w:r w:rsidRPr="00D147A7">
        <w:rPr>
          <w:rFonts w:eastAsiaTheme="minorEastAsia"/>
          <w:kern w:val="0"/>
          <w:lang w:eastAsia="en-US" w:bidi="ar-SA"/>
        </w:rPr>
        <w:t xml:space="preserve">trisch Ziekenhuis) gauw gemerkt hebben dat hun onderzoek </w:t>
      </w:r>
      <w:r w:rsidR="00FB78F8">
        <w:rPr>
          <w:rFonts w:eastAsiaTheme="minorEastAsia"/>
          <w:kern w:val="0"/>
          <w:lang w:eastAsia="en-US" w:bidi="ar-SA"/>
        </w:rPr>
        <w:t>wegens</w:t>
      </w:r>
      <w:r w:rsidRPr="00D147A7">
        <w:rPr>
          <w:rFonts w:eastAsiaTheme="minorEastAsia"/>
          <w:kern w:val="0"/>
          <w:lang w:eastAsia="en-US" w:bidi="ar-SA"/>
        </w:rPr>
        <w:t xml:space="preserve"> de medische inslag een gevoelige snaar raakt. In de inleiding van het boek wordt kort naar het medisch beroepsge</w:t>
      </w:r>
      <w:r w:rsidR="00FB78F8">
        <w:rPr>
          <w:rFonts w:eastAsiaTheme="minorEastAsia"/>
          <w:kern w:val="0"/>
          <w:lang w:eastAsia="en-US" w:bidi="ar-SA"/>
        </w:rPr>
        <w:t>-</w:t>
      </w:r>
      <w:r w:rsidRPr="00D147A7">
        <w:rPr>
          <w:rFonts w:eastAsiaTheme="minorEastAsia"/>
          <w:kern w:val="0"/>
          <w:lang w:eastAsia="en-US" w:bidi="ar-SA"/>
        </w:rPr>
        <w:t>heim en de privacywet verwezen.</w:t>
      </w:r>
      <w:r w:rsidRPr="00D147A7">
        <w:rPr>
          <w:rFonts w:eastAsiaTheme="minorEastAsia"/>
          <w:kern w:val="0"/>
          <w:vertAlign w:val="superscript"/>
          <w:lang w:eastAsia="en-US" w:bidi="ar-SA"/>
        </w:rPr>
        <w:footnoteReference w:id="1209"/>
      </w:r>
      <w:r w:rsidRPr="00D147A7">
        <w:rPr>
          <w:rFonts w:eastAsiaTheme="minorEastAsia"/>
          <w:kern w:val="0"/>
          <w:lang w:eastAsia="en-US" w:bidi="ar-SA"/>
        </w:rPr>
        <w:t xml:space="preserve"> Daarbij wordt – foutief – gesteld dat de namen van de patiënten in kwestie geanonimiseerd werden door </w:t>
      </w:r>
      <w:r w:rsidR="00FB78F8">
        <w:rPr>
          <w:rFonts w:eastAsiaTheme="minorEastAsia"/>
          <w:kern w:val="0"/>
          <w:lang w:eastAsia="en-US" w:bidi="ar-SA"/>
        </w:rPr>
        <w:t>hen bij</w:t>
      </w:r>
      <w:r w:rsidRPr="00D147A7">
        <w:rPr>
          <w:rFonts w:eastAsiaTheme="minorEastAsia"/>
          <w:kern w:val="0"/>
          <w:lang w:eastAsia="en-US" w:bidi="ar-SA"/>
        </w:rPr>
        <w:t xml:space="preserve"> voornaam en de initiaal van de fa</w:t>
      </w:r>
      <w:r w:rsidR="00FB78F8">
        <w:rPr>
          <w:rFonts w:eastAsiaTheme="minorEastAsia"/>
          <w:kern w:val="0"/>
          <w:lang w:eastAsia="en-US" w:bidi="ar-SA"/>
        </w:rPr>
        <w:t>-</w:t>
      </w:r>
      <w:r w:rsidRPr="00D147A7">
        <w:rPr>
          <w:rFonts w:eastAsiaTheme="minorEastAsia"/>
          <w:kern w:val="0"/>
          <w:lang w:eastAsia="en-US" w:bidi="ar-SA"/>
        </w:rPr>
        <w:t>milienaam te ver</w:t>
      </w:r>
      <w:r w:rsidR="00FB78F8">
        <w:rPr>
          <w:rFonts w:eastAsiaTheme="minorEastAsia"/>
          <w:kern w:val="0"/>
          <w:lang w:eastAsia="en-US" w:bidi="ar-SA"/>
        </w:rPr>
        <w:t>noemen</w:t>
      </w:r>
      <w:r w:rsidRPr="00D147A7">
        <w:rPr>
          <w:rFonts w:eastAsiaTheme="minorEastAsia"/>
          <w:kern w:val="0"/>
          <w:lang w:eastAsia="en-US" w:bidi="ar-SA"/>
        </w:rPr>
        <w:t>. In feite betreft het hier gecodeerde gegevens in hun meest primitie</w:t>
      </w:r>
      <w:r w:rsidR="00FB78F8">
        <w:rPr>
          <w:rFonts w:eastAsiaTheme="minorEastAsia"/>
          <w:kern w:val="0"/>
          <w:lang w:eastAsia="en-US" w:bidi="ar-SA"/>
        </w:rPr>
        <w:t>-</w:t>
      </w:r>
      <w:r w:rsidRPr="00D147A7">
        <w:rPr>
          <w:rFonts w:eastAsiaTheme="minorEastAsia"/>
          <w:kern w:val="0"/>
          <w:lang w:eastAsia="en-US" w:bidi="ar-SA"/>
        </w:rPr>
        <w:t>ve gedaante, die toelaten om de betrokkenen op zeer eenvoudige wijze te identificeren. Dat voor drie patiënten – Leon Hirschfeld, Godalie Krajsman en Lion Van der Lijn – een uitzon</w:t>
      </w:r>
      <w:r w:rsidR="00FB78F8">
        <w:rPr>
          <w:rFonts w:eastAsiaTheme="minorEastAsia"/>
          <w:kern w:val="0"/>
          <w:lang w:eastAsia="en-US" w:bidi="ar-SA"/>
        </w:rPr>
        <w:t>-</w:t>
      </w:r>
      <w:r w:rsidRPr="00D147A7">
        <w:rPr>
          <w:rFonts w:eastAsiaTheme="minorEastAsia"/>
          <w:kern w:val="0"/>
          <w:lang w:eastAsia="en-US" w:bidi="ar-SA"/>
        </w:rPr>
        <w:t xml:space="preserve">dering gemaakt werd, wordt als volgt verantwoord: </w:t>
      </w:r>
      <w:r w:rsidRPr="00D147A7">
        <w:rPr>
          <w:rFonts w:eastAsiaTheme="minorEastAsia"/>
          <w:i/>
          <w:kern w:val="0"/>
          <w:lang w:eastAsia="en-US" w:bidi="ar-SA"/>
        </w:rPr>
        <w:t>Deze mensen zijn – meer dan anderen – publieke figuren over wie al eerder met naam en toenaam werd gepubliceerd</w:t>
      </w:r>
      <w:r w:rsidRPr="00D147A7">
        <w:rPr>
          <w:rFonts w:eastAsiaTheme="minorEastAsia"/>
          <w:kern w:val="0"/>
          <w:lang w:eastAsia="en-US" w:bidi="ar-SA"/>
        </w:rPr>
        <w:t>. De desbetref</w:t>
      </w:r>
      <w:r w:rsidR="00FB78F8">
        <w:rPr>
          <w:rFonts w:eastAsiaTheme="minorEastAsia"/>
          <w:kern w:val="0"/>
          <w:lang w:eastAsia="en-US" w:bidi="ar-SA"/>
        </w:rPr>
        <w:t>-</w:t>
      </w:r>
      <w:r w:rsidRPr="00D147A7">
        <w:rPr>
          <w:rFonts w:eastAsiaTheme="minorEastAsia"/>
          <w:kern w:val="0"/>
          <w:lang w:eastAsia="en-US" w:bidi="ar-SA"/>
        </w:rPr>
        <w:t xml:space="preserve">fende psychiatrische patiënten worden als publieke figuren beschouwd omdat ze destijds vrij over de straten van Geel liepen. Dit is een uiterst vreemde uitspraak, volgens dewelke wij allen publieke figuren zouden zijn. Bovendien kan </w:t>
      </w:r>
      <w:r w:rsidR="00FB78F8" w:rsidRPr="00D147A7">
        <w:rPr>
          <w:rFonts w:eastAsiaTheme="minorEastAsia"/>
          <w:kern w:val="0"/>
          <w:lang w:eastAsia="en-US" w:bidi="ar-SA"/>
        </w:rPr>
        <w:t xml:space="preserve">afgevraagd </w:t>
      </w:r>
      <w:r w:rsidRPr="00D147A7">
        <w:rPr>
          <w:rFonts w:eastAsiaTheme="minorEastAsia"/>
          <w:kern w:val="0"/>
          <w:lang w:eastAsia="en-US" w:bidi="ar-SA"/>
        </w:rPr>
        <w:t>worden in hoeverre hun hande</w:t>
      </w:r>
      <w:r w:rsidR="00FB78F8">
        <w:rPr>
          <w:rFonts w:eastAsiaTheme="minorEastAsia"/>
          <w:kern w:val="0"/>
          <w:lang w:eastAsia="en-US" w:bidi="ar-SA"/>
        </w:rPr>
        <w:t>-</w:t>
      </w:r>
      <w:r w:rsidRPr="00D147A7">
        <w:rPr>
          <w:rFonts w:eastAsiaTheme="minorEastAsia"/>
          <w:kern w:val="0"/>
          <w:lang w:eastAsia="en-US" w:bidi="ar-SA"/>
        </w:rPr>
        <w:t>lingen als ‘vrij’ kunnen worden beschouwd, vermits het om ontoerekeningsvatbare personen gaat. Ook voor het argument dat de namen van de drie voornoemde patiënten reeds in vroe</w:t>
      </w:r>
      <w:r w:rsidR="00FB78F8">
        <w:rPr>
          <w:rFonts w:eastAsiaTheme="minorEastAsia"/>
          <w:kern w:val="0"/>
          <w:lang w:eastAsia="en-US" w:bidi="ar-SA"/>
        </w:rPr>
        <w:t>-</w:t>
      </w:r>
      <w:r w:rsidRPr="00D147A7">
        <w:rPr>
          <w:rFonts w:eastAsiaTheme="minorEastAsia"/>
          <w:kern w:val="0"/>
          <w:lang w:eastAsia="en-US" w:bidi="ar-SA"/>
        </w:rPr>
        <w:t>gere publicaties aan bod kwamen, kan niet veel begrip aan de dag worden gelegd. Dat een welbepaald kwaad in het verleden kon geschieden, biedt toch geen vrijgeleide om de vigeren</w:t>
      </w:r>
      <w:r w:rsidR="00FB78F8">
        <w:rPr>
          <w:rFonts w:eastAsiaTheme="minorEastAsia"/>
          <w:kern w:val="0"/>
          <w:lang w:eastAsia="en-US" w:bidi="ar-SA"/>
        </w:rPr>
        <w:t>-</w:t>
      </w:r>
      <w:r w:rsidRPr="00D147A7">
        <w:rPr>
          <w:rFonts w:eastAsiaTheme="minorEastAsia"/>
          <w:kern w:val="0"/>
          <w:lang w:eastAsia="en-US" w:bidi="ar-SA"/>
        </w:rPr>
        <w:t xml:space="preserve">de wetgeving te schenden? Persoonsgegevens die gepubliceerd werden in een periode waarin er nog geen nationale privacywetgeving was, ontsnappen geenszins aan het toepassingsgebied van de huidige privacywet.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Verder wordt – terecht – naar het PrivacyKB gewezen, waarmee de mogelijkheid gecreëerd werd om o.m. historisch onderzoek op basis van persoonsgegevens te verrichten. Toch gaat men kort door de bocht door te suggereren dat dit KB de bepalingen van de Privacywet buiten werking stelt voor alle onderzoeken met historische, wetenschappelijke en statistische doel</w:t>
      </w:r>
      <w:r w:rsidR="00FB78F8">
        <w:rPr>
          <w:rFonts w:eastAsiaTheme="minorEastAsia"/>
          <w:kern w:val="0"/>
          <w:lang w:eastAsia="en-US" w:bidi="ar-SA"/>
        </w:rPr>
        <w:t>-</w:t>
      </w:r>
      <w:r w:rsidRPr="00D147A7">
        <w:rPr>
          <w:rFonts w:eastAsiaTheme="minorEastAsia"/>
          <w:kern w:val="0"/>
          <w:lang w:eastAsia="en-US" w:bidi="ar-SA"/>
        </w:rPr>
        <w:t xml:space="preserve">einden. In feite is het PrivacyKB een aanvulling op de Privacywet en moeten beide wetteksten in elkaars verlengde gelezen worden.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Ook wordt één van de twee aanbevelingen van de CBPL aangehaald, waarin de latere verwer</w:t>
      </w:r>
      <w:r w:rsidR="00FB78F8">
        <w:rPr>
          <w:rFonts w:eastAsiaTheme="minorEastAsia"/>
          <w:kern w:val="0"/>
          <w:lang w:eastAsia="en-US" w:bidi="ar-SA"/>
        </w:rPr>
        <w:t>-</w:t>
      </w:r>
      <w:r w:rsidRPr="00D147A7">
        <w:rPr>
          <w:rFonts w:eastAsiaTheme="minorEastAsia"/>
          <w:kern w:val="0"/>
          <w:lang w:eastAsia="en-US" w:bidi="ar-SA"/>
        </w:rPr>
        <w:t xml:space="preserve">king (en publicatie) </w:t>
      </w:r>
      <w:r w:rsidR="00FB78F8" w:rsidRPr="00D147A7">
        <w:rPr>
          <w:rFonts w:eastAsiaTheme="minorEastAsia"/>
          <w:kern w:val="0"/>
          <w:lang w:eastAsia="en-US" w:bidi="ar-SA"/>
        </w:rPr>
        <w:t xml:space="preserve">wordt </w:t>
      </w:r>
      <w:r w:rsidRPr="00D147A7">
        <w:rPr>
          <w:rFonts w:eastAsiaTheme="minorEastAsia"/>
          <w:kern w:val="0"/>
          <w:lang w:eastAsia="en-US" w:bidi="ar-SA"/>
        </w:rPr>
        <w:t>goedgekeurd van niet-gecodeerde persoonsgegevens in het kader van het onderzoek ‘</w:t>
      </w:r>
      <w:r w:rsidRPr="00FB78F8">
        <w:rPr>
          <w:rFonts w:eastAsiaTheme="minorEastAsia"/>
          <w:i/>
          <w:kern w:val="0"/>
          <w:lang w:eastAsia="en-US" w:bidi="ar-SA"/>
        </w:rPr>
        <w:t>Histoire de la Psychiatrie en Belgique au vingtième siècle</w:t>
      </w:r>
      <w:r w:rsidRPr="00D147A7">
        <w:rPr>
          <w:rFonts w:eastAsiaTheme="minorEastAsia"/>
          <w:kern w:val="0"/>
          <w:lang w:eastAsia="en-US" w:bidi="ar-SA"/>
        </w:rPr>
        <w:t xml:space="preserve">’ onder leiding </w:t>
      </w:r>
      <w:r w:rsidRPr="00D147A7">
        <w:rPr>
          <w:rFonts w:eastAsiaTheme="minorEastAsia"/>
          <w:kern w:val="0"/>
          <w:lang w:eastAsia="en-US" w:bidi="ar-SA"/>
        </w:rPr>
        <w:lastRenderedPageBreak/>
        <w:t>van professor Pieter Lagrou van de Université libre de Bruxelles (ULB).</w:t>
      </w:r>
      <w:r w:rsidRPr="00D147A7">
        <w:rPr>
          <w:rFonts w:eastAsiaTheme="minorEastAsia"/>
          <w:kern w:val="0"/>
          <w:vertAlign w:val="superscript"/>
          <w:lang w:eastAsia="en-US" w:bidi="ar-SA"/>
        </w:rPr>
        <w:footnoteReference w:id="1210"/>
      </w:r>
      <w:r w:rsidRPr="00D147A7">
        <w:rPr>
          <w:rFonts w:eastAsiaTheme="minorEastAsia"/>
          <w:kern w:val="0"/>
          <w:lang w:eastAsia="en-US" w:bidi="ar-SA"/>
        </w:rPr>
        <w:t xml:space="preserve"> Deze toestem</w:t>
      </w:r>
      <w:r w:rsidR="00FB78F8">
        <w:rPr>
          <w:rFonts w:eastAsiaTheme="minorEastAsia"/>
          <w:kern w:val="0"/>
          <w:lang w:eastAsia="en-US" w:bidi="ar-SA"/>
        </w:rPr>
        <w:t>-</w:t>
      </w:r>
      <w:r w:rsidRPr="00D147A7">
        <w:rPr>
          <w:rFonts w:eastAsiaTheme="minorEastAsia"/>
          <w:kern w:val="0"/>
          <w:lang w:eastAsia="en-US" w:bidi="ar-SA"/>
        </w:rPr>
        <w:t>ming geldt enkel en alleen voor dit academische onderzoeksproject en mag geenszins van toe</w:t>
      </w:r>
      <w:r w:rsidR="00FB78F8">
        <w:rPr>
          <w:rFonts w:eastAsiaTheme="minorEastAsia"/>
          <w:kern w:val="0"/>
          <w:lang w:eastAsia="en-US" w:bidi="ar-SA"/>
        </w:rPr>
        <w:t>-</w:t>
      </w:r>
      <w:r w:rsidRPr="00D147A7">
        <w:rPr>
          <w:rFonts w:eastAsiaTheme="minorEastAsia"/>
          <w:kern w:val="0"/>
          <w:lang w:eastAsia="en-US" w:bidi="ar-SA"/>
        </w:rPr>
        <w:t>passing worden geacht op alle verwerkingen van psychiatrische gezondheidsgegevens uit het 20</w:t>
      </w:r>
      <w:r w:rsidRPr="00D147A7">
        <w:rPr>
          <w:rFonts w:eastAsiaTheme="minorEastAsia"/>
          <w:kern w:val="0"/>
          <w:vertAlign w:val="superscript"/>
          <w:lang w:eastAsia="en-US" w:bidi="ar-SA"/>
        </w:rPr>
        <w:t>ste</w:t>
      </w:r>
      <w:r w:rsidRPr="00D147A7">
        <w:rPr>
          <w:rFonts w:eastAsiaTheme="minorEastAsia"/>
          <w:kern w:val="0"/>
          <w:lang w:eastAsia="en-US" w:bidi="ar-SA"/>
        </w:rPr>
        <w:t xml:space="preserve"> eeuwse België. Voor elke verwerking moet een afzonderlijke aangifte bij de CBPL wor</w:t>
      </w:r>
      <w:r w:rsidR="00FB78F8">
        <w:rPr>
          <w:rFonts w:eastAsiaTheme="minorEastAsia"/>
          <w:kern w:val="0"/>
          <w:lang w:eastAsia="en-US" w:bidi="ar-SA"/>
        </w:rPr>
        <w:t>-</w:t>
      </w:r>
      <w:r w:rsidRPr="00D147A7">
        <w:rPr>
          <w:rFonts w:eastAsiaTheme="minorEastAsia"/>
          <w:kern w:val="0"/>
          <w:lang w:eastAsia="en-US" w:bidi="ar-SA"/>
        </w:rPr>
        <w:t>den ingediend, die elk afzonderlijk aan de bepalingen van de privacywetgeving getoetst z</w:t>
      </w:r>
      <w:r w:rsidR="00FB78F8">
        <w:rPr>
          <w:rFonts w:eastAsiaTheme="minorEastAsia"/>
          <w:kern w:val="0"/>
          <w:lang w:eastAsia="en-US" w:bidi="ar-SA"/>
        </w:rPr>
        <w:t>u</w:t>
      </w:r>
      <w:r w:rsidRPr="00D147A7">
        <w:rPr>
          <w:rFonts w:eastAsiaTheme="minorEastAsia"/>
          <w:kern w:val="0"/>
          <w:lang w:eastAsia="en-US" w:bidi="ar-SA"/>
        </w:rPr>
        <w:t>l</w:t>
      </w:r>
      <w:r w:rsidR="00FB78F8">
        <w:rPr>
          <w:rFonts w:eastAsiaTheme="minorEastAsia"/>
          <w:kern w:val="0"/>
          <w:lang w:eastAsia="en-US" w:bidi="ar-SA"/>
        </w:rPr>
        <w:t>len</w:t>
      </w:r>
      <w:r w:rsidRPr="00D147A7">
        <w:rPr>
          <w:rFonts w:eastAsiaTheme="minorEastAsia"/>
          <w:kern w:val="0"/>
          <w:lang w:eastAsia="en-US" w:bidi="ar-SA"/>
        </w:rPr>
        <w:t xml:space="preserve"> worden.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kern van het probleem moet bij de uitgever van dit werk, Isabelle Meeus van uitgeverij MGraphics, gezocht worden. Dat het boek ‘De Duitsers kwamen niet’ op sensatie belust is, komt door de journalistieke kringen waarin mevrouw Meeus verkeert. Dezelfde uitgeverij geeft immers ook het Nieuwsblad van Geel uit, een plaatselijke krant waarin ook regelmatig artikels verschijnen van de coauteurs van Jos Rathé, Gorik Goris en Geert Vandecruys. Deze journalistieke achtergrond kan enigszins verklaren (maar zeker niet goedpraten) waarom men met de toepassing van de privacywet het niet al te n</w:t>
      </w:r>
      <w:r w:rsidR="00FB78F8">
        <w:rPr>
          <w:rFonts w:eastAsiaTheme="minorEastAsia"/>
          <w:kern w:val="0"/>
          <w:lang w:eastAsia="en-US" w:bidi="ar-SA"/>
        </w:rPr>
        <w:t xml:space="preserve">auw </w:t>
      </w:r>
      <w:r w:rsidR="000D5567">
        <w:rPr>
          <w:rFonts w:eastAsiaTheme="minorEastAsia"/>
          <w:kern w:val="0"/>
          <w:lang w:eastAsia="en-US" w:bidi="ar-SA"/>
        </w:rPr>
        <w:t>heeft genomen</w:t>
      </w:r>
      <w:r w:rsidR="00FB78F8">
        <w:rPr>
          <w:rFonts w:eastAsiaTheme="minorEastAsia"/>
          <w:kern w:val="0"/>
          <w:lang w:eastAsia="en-US" w:bidi="ar-SA"/>
        </w:rPr>
        <w:t xml:space="preserve">. </w:t>
      </w:r>
      <w:r w:rsidR="000D5567">
        <w:rPr>
          <w:rFonts w:eastAsiaTheme="minorEastAsia"/>
          <w:kern w:val="0"/>
          <w:lang w:eastAsia="en-US" w:bidi="ar-SA"/>
        </w:rPr>
        <w:t>Zoals hierboven reeds werd aangehaald, zijn d</w:t>
      </w:r>
      <w:r w:rsidR="00FB78F8">
        <w:rPr>
          <w:rFonts w:eastAsiaTheme="minorEastAsia"/>
          <w:kern w:val="0"/>
          <w:lang w:eastAsia="en-US" w:bidi="ar-SA"/>
        </w:rPr>
        <w:t>e bepalingen van de</w:t>
      </w:r>
      <w:r w:rsidRPr="00D147A7">
        <w:rPr>
          <w:rFonts w:eastAsiaTheme="minorEastAsia"/>
          <w:kern w:val="0"/>
          <w:lang w:eastAsia="en-US" w:bidi="ar-SA"/>
        </w:rPr>
        <w:t xml:space="preserve"> privacywetgeving niet van toepassing op verwerkingen voor uitsluitend journalistieke doeleinden.</w:t>
      </w:r>
      <w:r w:rsidRPr="00D147A7">
        <w:rPr>
          <w:rFonts w:eastAsiaTheme="minorEastAsia"/>
          <w:kern w:val="0"/>
          <w:vertAlign w:val="superscript"/>
          <w:lang w:eastAsia="en-US" w:bidi="ar-SA"/>
        </w:rPr>
        <w:footnoteReference w:id="1211"/>
      </w:r>
      <w:r w:rsidRPr="00D147A7">
        <w:rPr>
          <w:rFonts w:eastAsiaTheme="minorEastAsia"/>
          <w:kern w:val="0"/>
          <w:lang w:eastAsia="en-US" w:bidi="ar-SA"/>
        </w:rPr>
        <w:t xml:space="preserve"> </w:t>
      </w:r>
      <w:r w:rsidR="000D5567">
        <w:rPr>
          <w:rFonts w:eastAsiaTheme="minorEastAsia"/>
          <w:kern w:val="0"/>
          <w:lang w:eastAsia="en-US" w:bidi="ar-SA"/>
        </w:rPr>
        <w:t>Het lijkt de uitgever ontgaan te zijn dat</w:t>
      </w:r>
      <w:r w:rsidRPr="00D147A7">
        <w:rPr>
          <w:rFonts w:eastAsiaTheme="minorEastAsia"/>
          <w:kern w:val="0"/>
          <w:lang w:eastAsia="en-US" w:bidi="ar-SA"/>
        </w:rPr>
        <w:t xml:space="preserve"> de gezondheidsgegevens van de joodse patiënten voor historische (en niet voor jour</w:t>
      </w:r>
      <w:r w:rsidR="000D5567">
        <w:rPr>
          <w:rFonts w:eastAsiaTheme="minorEastAsia"/>
          <w:kern w:val="0"/>
          <w:lang w:eastAsia="en-US" w:bidi="ar-SA"/>
        </w:rPr>
        <w:t>-</w:t>
      </w:r>
      <w:r w:rsidRPr="00D147A7">
        <w:rPr>
          <w:rFonts w:eastAsiaTheme="minorEastAsia"/>
          <w:kern w:val="0"/>
          <w:lang w:eastAsia="en-US" w:bidi="ar-SA"/>
        </w:rPr>
        <w:t>nalistieke) doeleinden verwerkt</w:t>
      </w:r>
      <w:r w:rsidR="000D5567" w:rsidRPr="000D5567">
        <w:rPr>
          <w:rFonts w:eastAsiaTheme="minorEastAsia"/>
          <w:kern w:val="0"/>
          <w:lang w:eastAsia="en-US" w:bidi="ar-SA"/>
        </w:rPr>
        <w:t xml:space="preserve"> </w:t>
      </w:r>
      <w:r w:rsidR="000D5567" w:rsidRPr="00D147A7">
        <w:rPr>
          <w:rFonts w:eastAsiaTheme="minorEastAsia"/>
          <w:kern w:val="0"/>
          <w:lang w:eastAsia="en-US" w:bidi="ar-SA"/>
        </w:rPr>
        <w:t>werden</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journalistieke sfeer waarin deze publicatie tot stand kwam, verklaart ook waarom er zo</w:t>
      </w:r>
      <w:r w:rsidR="000D5567">
        <w:rPr>
          <w:rFonts w:eastAsiaTheme="minorEastAsia"/>
          <w:kern w:val="0"/>
          <w:lang w:eastAsia="en-US" w:bidi="ar-SA"/>
        </w:rPr>
        <w:t>-</w:t>
      </w:r>
      <w:r w:rsidRPr="00D147A7">
        <w:rPr>
          <w:rFonts w:eastAsiaTheme="minorEastAsia"/>
          <w:kern w:val="0"/>
          <w:lang w:eastAsia="en-US" w:bidi="ar-SA"/>
        </w:rPr>
        <w:t xml:space="preserve">veel foto’s in het boek werden opgenomen. Prentjes moeten het boek immers voor een zo breed mogelijk publiek toegankelijk maken, </w:t>
      </w:r>
      <w:r w:rsidR="000D5567">
        <w:rPr>
          <w:rFonts w:eastAsiaTheme="minorEastAsia"/>
          <w:kern w:val="0"/>
          <w:lang w:eastAsia="en-US" w:bidi="ar-SA"/>
        </w:rPr>
        <w:t>maar</w:t>
      </w:r>
      <w:r w:rsidRPr="00D147A7">
        <w:rPr>
          <w:rFonts w:eastAsiaTheme="minorEastAsia"/>
          <w:kern w:val="0"/>
          <w:lang w:eastAsia="en-US" w:bidi="ar-SA"/>
        </w:rPr>
        <w:t xml:space="preserve"> liggen </w:t>
      </w:r>
      <w:r w:rsidR="000D5567">
        <w:rPr>
          <w:rFonts w:eastAsiaTheme="minorEastAsia"/>
          <w:kern w:val="0"/>
          <w:lang w:eastAsia="en-US" w:bidi="ar-SA"/>
        </w:rPr>
        <w:t>meteen ook</w:t>
      </w:r>
      <w:r w:rsidRPr="00D147A7">
        <w:rPr>
          <w:rFonts w:eastAsiaTheme="minorEastAsia"/>
          <w:kern w:val="0"/>
          <w:lang w:eastAsia="en-US" w:bidi="ar-SA"/>
        </w:rPr>
        <w:t xml:space="preserve"> aan de basis van de grootste schending die het boek begaat.</w:t>
      </w:r>
      <w:r w:rsidRPr="00D147A7">
        <w:rPr>
          <w:rFonts w:eastAsiaTheme="minorEastAsia"/>
          <w:kern w:val="0"/>
          <w:vertAlign w:val="superscript"/>
          <w:lang w:eastAsia="en-US" w:bidi="ar-SA"/>
        </w:rPr>
        <w:footnoteReference w:id="1212"/>
      </w:r>
      <w:r w:rsidRPr="00D147A7">
        <w:rPr>
          <w:rFonts w:eastAsiaTheme="minorEastAsia"/>
          <w:kern w:val="0"/>
          <w:lang w:eastAsia="en-US" w:bidi="ar-SA"/>
        </w:rPr>
        <w:t xml:space="preserve"> Het recht op afbeelding is immers een fundamen</w:t>
      </w:r>
      <w:r w:rsidR="000D5567">
        <w:rPr>
          <w:rFonts w:eastAsiaTheme="minorEastAsia"/>
          <w:kern w:val="0"/>
          <w:lang w:eastAsia="en-US" w:bidi="ar-SA"/>
        </w:rPr>
        <w:t>-</w:t>
      </w:r>
      <w:r w:rsidRPr="00D147A7">
        <w:rPr>
          <w:rFonts w:eastAsiaTheme="minorEastAsia"/>
          <w:kern w:val="0"/>
          <w:lang w:eastAsia="en-US" w:bidi="ar-SA"/>
        </w:rPr>
        <w:t>teel, onverjaarbaar persoonlijkheidsrecht dat nimmer mag worden aangetast. Een geoorloofd gebruik van afbeeldingen is slechts toegelaten als de uitdrukkelijke toestemming van de afge</w:t>
      </w:r>
      <w:r w:rsidR="000D5567">
        <w:rPr>
          <w:rFonts w:eastAsiaTheme="minorEastAsia"/>
          <w:kern w:val="0"/>
          <w:lang w:eastAsia="en-US" w:bidi="ar-SA"/>
        </w:rPr>
        <w:t>-</w:t>
      </w:r>
      <w:r w:rsidRPr="00D147A7">
        <w:rPr>
          <w:rFonts w:eastAsiaTheme="minorEastAsia"/>
          <w:kern w:val="0"/>
          <w:lang w:eastAsia="en-US" w:bidi="ar-SA"/>
        </w:rPr>
        <w:t>beelde persoon bekomen wordt. Dat is niet gebeurd.</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i/>
          <w:smallCaps/>
          <w:kern w:val="0"/>
          <w:lang w:eastAsia="en-US" w:bidi="ar-SA"/>
        </w:rPr>
      </w:pPr>
      <w:r w:rsidRPr="00D147A7">
        <w:rPr>
          <w:rFonts w:eastAsiaTheme="minorEastAsia"/>
          <w:smallCaps/>
          <w:kern w:val="0"/>
          <w:lang w:eastAsia="en-US" w:bidi="ar-SA"/>
        </w:rPr>
        <w:t xml:space="preserve">4.5 Conclusie en aanbevelingen </w:t>
      </w:r>
      <w:r w:rsidRPr="00D147A7">
        <w:rPr>
          <w:rFonts w:eastAsiaTheme="minorEastAsia"/>
          <w:i/>
          <w:smallCaps/>
          <w:kern w:val="0"/>
          <w:lang w:eastAsia="en-US" w:bidi="ar-SA"/>
        </w:rPr>
        <w:t>de lege ferenda</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de Europese privacywetgevingen worden enkele beginselen verordend, waarop vrijwel al</w:t>
      </w:r>
      <w:r w:rsidR="000D5567">
        <w:rPr>
          <w:rFonts w:eastAsiaTheme="minorEastAsia"/>
          <w:kern w:val="0"/>
          <w:lang w:eastAsia="en-US" w:bidi="ar-SA"/>
        </w:rPr>
        <w:t>-</w:t>
      </w:r>
      <w:r w:rsidRPr="00D147A7">
        <w:rPr>
          <w:rFonts w:eastAsiaTheme="minorEastAsia"/>
          <w:kern w:val="0"/>
          <w:lang w:eastAsia="en-US" w:bidi="ar-SA"/>
        </w:rPr>
        <w:t>tijd uitzonderingen voorzien zijn. Dat is zeker en vast een goede zaak, al worden ze in onder</w:t>
      </w:r>
      <w:r w:rsidR="000D5567">
        <w:rPr>
          <w:rFonts w:eastAsiaTheme="minorEastAsia"/>
          <w:kern w:val="0"/>
          <w:lang w:eastAsia="en-US" w:bidi="ar-SA"/>
        </w:rPr>
        <w:t>-</w:t>
      </w:r>
      <w:r w:rsidRPr="00D147A7">
        <w:rPr>
          <w:rFonts w:eastAsiaTheme="minorEastAsia"/>
          <w:kern w:val="0"/>
          <w:lang w:eastAsia="en-US" w:bidi="ar-SA"/>
        </w:rPr>
        <w:t xml:space="preserve">staande samenvatting buiten beschouwing gelaten. Hiervoor wordt naar </w:t>
      </w:r>
      <w:r w:rsidR="000D5567">
        <w:rPr>
          <w:rFonts w:eastAsiaTheme="minorEastAsia"/>
          <w:kern w:val="0"/>
          <w:lang w:eastAsia="en-US" w:bidi="ar-SA"/>
        </w:rPr>
        <w:t>hoofdstuk 2 van het derde onder</w:t>
      </w:r>
      <w:r w:rsidRPr="00D147A7">
        <w:rPr>
          <w:rFonts w:eastAsiaTheme="minorEastAsia"/>
          <w:kern w:val="0"/>
          <w:lang w:eastAsia="en-US" w:bidi="ar-SA"/>
        </w:rPr>
        <w:t>deel van dit deel verwezen.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verantwoordelijke voor de verwerking moet persoonsgegevens op een eerlijke en rechtma</w:t>
      </w:r>
      <w:r w:rsidR="000D5567">
        <w:rPr>
          <w:rFonts w:eastAsiaTheme="minorEastAsia"/>
          <w:kern w:val="0"/>
          <w:lang w:eastAsia="en-US" w:bidi="ar-SA"/>
        </w:rPr>
        <w:t>-</w:t>
      </w:r>
      <w:r w:rsidRPr="00D147A7">
        <w:rPr>
          <w:rFonts w:eastAsiaTheme="minorEastAsia"/>
          <w:kern w:val="0"/>
          <w:lang w:eastAsia="en-US" w:bidi="ar-SA"/>
        </w:rPr>
        <w:t>tige wijze bekomen, die pas verwerkt mogen worden als hiervoor de geïnformeerde, uitdruk</w:t>
      </w:r>
      <w:r w:rsidR="000D5567">
        <w:rPr>
          <w:rFonts w:eastAsiaTheme="minorEastAsia"/>
          <w:kern w:val="0"/>
          <w:lang w:eastAsia="en-US" w:bidi="ar-SA"/>
        </w:rPr>
        <w:t>-</w:t>
      </w:r>
      <w:r w:rsidRPr="00D147A7">
        <w:rPr>
          <w:rFonts w:eastAsiaTheme="minorEastAsia"/>
          <w:kern w:val="0"/>
          <w:lang w:eastAsia="en-US" w:bidi="ar-SA"/>
        </w:rPr>
        <w:t xml:space="preserve">kelijke toestemming van de betrokkene bekomen wordt, die te allen tijde weer kan </w:t>
      </w:r>
      <w:r w:rsidR="000D5567" w:rsidRPr="00D147A7">
        <w:rPr>
          <w:rFonts w:eastAsiaTheme="minorEastAsia"/>
          <w:kern w:val="0"/>
          <w:lang w:eastAsia="en-US" w:bidi="ar-SA"/>
        </w:rPr>
        <w:t xml:space="preserve">worden </w:t>
      </w:r>
      <w:r w:rsidRPr="00D147A7">
        <w:rPr>
          <w:rFonts w:eastAsiaTheme="minorEastAsia"/>
          <w:kern w:val="0"/>
          <w:lang w:eastAsia="en-US" w:bidi="ar-SA"/>
        </w:rPr>
        <w:t>ingetrokken. De</w:t>
      </w:r>
      <w:r w:rsidR="000D5567">
        <w:rPr>
          <w:rFonts w:eastAsiaTheme="minorEastAsia"/>
          <w:kern w:val="0"/>
          <w:lang w:eastAsia="en-US" w:bidi="ar-SA"/>
        </w:rPr>
        <w:t xml:space="preserve"> betrokkene</w:t>
      </w:r>
      <w:r w:rsidRPr="00D147A7">
        <w:rPr>
          <w:rFonts w:eastAsiaTheme="minorEastAsia"/>
          <w:kern w:val="0"/>
          <w:lang w:eastAsia="en-US" w:bidi="ar-SA"/>
        </w:rPr>
        <w:t xml:space="preserve"> moet o.m. geïnformeerd worden over de identiteit van de verant</w:t>
      </w:r>
      <w:r w:rsidR="000D5567">
        <w:rPr>
          <w:rFonts w:eastAsiaTheme="minorEastAsia"/>
          <w:kern w:val="0"/>
          <w:lang w:eastAsia="en-US" w:bidi="ar-SA"/>
        </w:rPr>
        <w:t>-</w:t>
      </w:r>
      <w:r w:rsidRPr="00D147A7">
        <w:rPr>
          <w:rFonts w:eastAsiaTheme="minorEastAsia"/>
          <w:kern w:val="0"/>
          <w:lang w:eastAsia="en-US" w:bidi="ar-SA"/>
        </w:rPr>
        <w:t xml:space="preserve">woordelijke en over de doeleinden van de verwerking. Eenieder heeft het recht om de hem </w:t>
      </w:r>
      <w:r w:rsidR="000D5567">
        <w:rPr>
          <w:rFonts w:eastAsiaTheme="minorEastAsia"/>
          <w:kern w:val="0"/>
          <w:lang w:eastAsia="en-US" w:bidi="ar-SA"/>
        </w:rPr>
        <w:t xml:space="preserve">of haar </w:t>
      </w:r>
      <w:r w:rsidRPr="00D147A7">
        <w:rPr>
          <w:rFonts w:eastAsiaTheme="minorEastAsia"/>
          <w:kern w:val="0"/>
          <w:lang w:eastAsia="en-US" w:bidi="ar-SA"/>
        </w:rPr>
        <w:t>betreffende gegevens in te kijken en deze – indien nodig – kosteloos te laten verbeteren, aanvullen of verwijderen. In diezelfde optiek moet de verantwoordelijke voor de verwerking alle nodige maatregelen treffen om de kwaliteit van de persoonsgegevens tijdens de volledige verwerkingsperiode te verzekeren. Niet alleen de betrokkene moet overigens akkoord gaan met de verwerking, maar de verantwoordelijke moet ook voor iedere verwerking de goedkeu</w:t>
      </w:r>
      <w:r w:rsidR="000D5567">
        <w:rPr>
          <w:rFonts w:eastAsiaTheme="minorEastAsia"/>
          <w:kern w:val="0"/>
          <w:lang w:eastAsia="en-US" w:bidi="ar-SA"/>
        </w:rPr>
        <w:t>-</w:t>
      </w:r>
      <w:r w:rsidRPr="00D147A7">
        <w:rPr>
          <w:rFonts w:eastAsiaTheme="minorEastAsia"/>
          <w:kern w:val="0"/>
          <w:lang w:eastAsia="en-US" w:bidi="ar-SA"/>
        </w:rPr>
        <w:t>ring van de nationale privacycommissie verkrijgen.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De verantwoordelijke voor de verwerking mag niet meer, maar ook niet minder relevante per</w:t>
      </w:r>
      <w:r w:rsidR="000D5567">
        <w:rPr>
          <w:rFonts w:eastAsiaTheme="minorEastAsia"/>
          <w:kern w:val="0"/>
          <w:lang w:eastAsia="en-US" w:bidi="ar-SA"/>
        </w:rPr>
        <w:t>-</w:t>
      </w:r>
      <w:r w:rsidRPr="00D147A7">
        <w:rPr>
          <w:rFonts w:eastAsiaTheme="minorEastAsia"/>
          <w:kern w:val="0"/>
          <w:lang w:eastAsia="en-US" w:bidi="ar-SA"/>
        </w:rPr>
        <w:t>soonsgegevens verwerken dan nodig om de doeleinden van de verwerking te verwezenlijken. Deze doeleinden moeten overeenstemmen met de redenen waarvoor de gegevens bekomen werden. Is dat niet het geval, dan betreft het een nieuwe verwerking waarvoor opnieuw de goedkeuring van de betrokkene en de privacycommissie moet worden bekomen. Er is even</w:t>
      </w:r>
      <w:r w:rsidR="000D5567">
        <w:rPr>
          <w:rFonts w:eastAsiaTheme="minorEastAsia"/>
          <w:kern w:val="0"/>
          <w:lang w:eastAsia="en-US" w:bidi="ar-SA"/>
        </w:rPr>
        <w:t>-</w:t>
      </w:r>
      <w:r w:rsidRPr="00D147A7">
        <w:rPr>
          <w:rFonts w:eastAsiaTheme="minorEastAsia"/>
          <w:kern w:val="0"/>
          <w:lang w:eastAsia="en-US" w:bidi="ar-SA"/>
        </w:rPr>
        <w:t>wel een apart regime voor historisch, wetenschappelijk en statistisch onderzoek voorzien, waarbij persoonsgegevens wel voor andere dan de oorspronkelijke doeleinden verwerkt mo</w:t>
      </w:r>
      <w:r w:rsidR="000D5567">
        <w:rPr>
          <w:rFonts w:eastAsiaTheme="minorEastAsia"/>
          <w:kern w:val="0"/>
          <w:lang w:eastAsia="en-US" w:bidi="ar-SA"/>
        </w:rPr>
        <w:t>-</w:t>
      </w:r>
      <w:r w:rsidRPr="00D147A7">
        <w:rPr>
          <w:rFonts w:eastAsiaTheme="minorEastAsia"/>
          <w:kern w:val="0"/>
          <w:lang w:eastAsia="en-US" w:bidi="ar-SA"/>
        </w:rPr>
        <w:t>gen worden. In principe mogen persoonsgegevens in deze gevallen alleen in geanonimiseerde vorm verwerkt worden. Als de beoogde doeleinden hier evenwel niet mee gerealiseerd kun</w:t>
      </w:r>
      <w:r w:rsidR="000D5567">
        <w:rPr>
          <w:rFonts w:eastAsiaTheme="minorEastAsia"/>
          <w:kern w:val="0"/>
          <w:lang w:eastAsia="en-US" w:bidi="ar-SA"/>
        </w:rPr>
        <w:t>-</w:t>
      </w:r>
      <w:r w:rsidRPr="00D147A7">
        <w:rPr>
          <w:rFonts w:eastAsiaTheme="minorEastAsia"/>
          <w:kern w:val="0"/>
          <w:lang w:eastAsia="en-US" w:bidi="ar-SA"/>
        </w:rPr>
        <w:t xml:space="preserve">nen worden, kan in een volgende fase overgegaan worden tot de verwerking van gecodeerde gegevens. Enkel als het </w:t>
      </w:r>
      <w:r w:rsidR="000D5567">
        <w:rPr>
          <w:rFonts w:eastAsiaTheme="minorEastAsia"/>
          <w:kern w:val="0"/>
          <w:lang w:eastAsia="en-US" w:bidi="ar-SA"/>
        </w:rPr>
        <w:t xml:space="preserve">echt </w:t>
      </w:r>
      <w:r w:rsidRPr="00D147A7">
        <w:rPr>
          <w:rFonts w:eastAsiaTheme="minorEastAsia"/>
          <w:kern w:val="0"/>
          <w:lang w:eastAsia="en-US" w:bidi="ar-SA"/>
        </w:rPr>
        <w:t>niet anders kan, mogen de persoonsgegevens in niet-gecodeerde vorm verwerkt worden.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Omdat gezondheidsgegevens </w:t>
      </w:r>
      <w:r w:rsidR="000D5567">
        <w:rPr>
          <w:rFonts w:eastAsiaTheme="minorEastAsia"/>
          <w:kern w:val="0"/>
          <w:lang w:eastAsia="en-US" w:bidi="ar-SA"/>
        </w:rPr>
        <w:t>uiterst</w:t>
      </w:r>
      <w:r w:rsidRPr="00D147A7">
        <w:rPr>
          <w:rFonts w:eastAsiaTheme="minorEastAsia"/>
          <w:kern w:val="0"/>
          <w:lang w:eastAsia="en-US" w:bidi="ar-SA"/>
        </w:rPr>
        <w:t xml:space="preserve"> privacygevoelig zijn, geldt een principieel verwerkings</w:t>
      </w:r>
      <w:r w:rsidR="000D5567">
        <w:rPr>
          <w:rFonts w:eastAsiaTheme="minorEastAsia"/>
          <w:kern w:val="0"/>
          <w:lang w:eastAsia="en-US" w:bidi="ar-SA"/>
        </w:rPr>
        <w:t>-</w:t>
      </w:r>
      <w:r w:rsidRPr="00D147A7">
        <w:rPr>
          <w:rFonts w:eastAsiaTheme="minorEastAsia"/>
          <w:kern w:val="0"/>
          <w:lang w:eastAsia="en-US" w:bidi="ar-SA"/>
        </w:rPr>
        <w:t>verbod waar slechts in een beperkt aantal, bij wet opgesomde gevallen mag worden afgewe</w:t>
      </w:r>
      <w:r w:rsidR="000D5567">
        <w:rPr>
          <w:rFonts w:eastAsiaTheme="minorEastAsia"/>
          <w:kern w:val="0"/>
          <w:lang w:eastAsia="en-US" w:bidi="ar-SA"/>
        </w:rPr>
        <w:t>-</w:t>
      </w:r>
      <w:r w:rsidRPr="00D147A7">
        <w:rPr>
          <w:rFonts w:eastAsiaTheme="minorEastAsia"/>
          <w:kern w:val="0"/>
          <w:lang w:eastAsia="en-US" w:bidi="ar-SA"/>
        </w:rPr>
        <w:t>ken. Bovendien mogen gezondheidsgegevens doorgaans alleen onder de verantwoordelijkheid van een beroepsbeoefenaar in de gezondheidszorg verwerkt worden, aangezien zij aan het me</w:t>
      </w:r>
      <w:r w:rsidR="000D5567">
        <w:rPr>
          <w:rFonts w:eastAsiaTheme="minorEastAsia"/>
          <w:kern w:val="0"/>
          <w:lang w:eastAsia="en-US" w:bidi="ar-SA"/>
        </w:rPr>
        <w:t>-</w:t>
      </w:r>
      <w:r w:rsidRPr="00D147A7">
        <w:rPr>
          <w:rFonts w:eastAsiaTheme="minorEastAsia"/>
          <w:kern w:val="0"/>
          <w:lang w:eastAsia="en-US" w:bidi="ar-SA"/>
        </w:rPr>
        <w:t xml:space="preserve">disch beroepsgeheim gebonden zijn.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Belgische wetgever heeft, in vergelijking met Nederland en Frankrijk, de Europese priva</w:t>
      </w:r>
      <w:r w:rsidR="003D0CB3">
        <w:rPr>
          <w:rFonts w:eastAsiaTheme="minorEastAsia"/>
          <w:kern w:val="0"/>
          <w:lang w:eastAsia="en-US" w:bidi="ar-SA"/>
        </w:rPr>
        <w:t>-</w:t>
      </w:r>
      <w:r w:rsidRPr="00D147A7">
        <w:rPr>
          <w:rFonts w:eastAsiaTheme="minorEastAsia"/>
          <w:kern w:val="0"/>
          <w:lang w:eastAsia="en-US" w:bidi="ar-SA"/>
        </w:rPr>
        <w:t>cyrichtlijn goed omgezet naar de nationale wetgeving. Een voorbeeld dat enkel in de Belgi</w:t>
      </w:r>
      <w:r w:rsidR="003D0CB3">
        <w:rPr>
          <w:rFonts w:eastAsiaTheme="minorEastAsia"/>
          <w:kern w:val="0"/>
          <w:lang w:eastAsia="en-US" w:bidi="ar-SA"/>
        </w:rPr>
        <w:t>-</w:t>
      </w:r>
      <w:r w:rsidRPr="00D147A7">
        <w:rPr>
          <w:rFonts w:eastAsiaTheme="minorEastAsia"/>
          <w:kern w:val="0"/>
          <w:lang w:eastAsia="en-US" w:bidi="ar-SA"/>
        </w:rPr>
        <w:t>sche privacywet werd opgenomen, betreft het principe dat gezondheidsgegevens alleen bij de betrokkene zelf mogen worden</w:t>
      </w:r>
      <w:r w:rsidR="003D0CB3" w:rsidRPr="003D0CB3">
        <w:rPr>
          <w:rFonts w:eastAsiaTheme="minorEastAsia"/>
          <w:kern w:val="0"/>
          <w:lang w:eastAsia="en-US" w:bidi="ar-SA"/>
        </w:rPr>
        <w:t xml:space="preserve"> </w:t>
      </w:r>
      <w:r w:rsidR="003D0CB3" w:rsidRPr="00D147A7">
        <w:rPr>
          <w:rFonts w:eastAsiaTheme="minorEastAsia"/>
          <w:kern w:val="0"/>
          <w:lang w:eastAsia="en-US" w:bidi="ar-SA"/>
        </w:rPr>
        <w:t>ingezameld</w:t>
      </w:r>
      <w:r w:rsidRPr="00D147A7">
        <w:rPr>
          <w:rFonts w:eastAsiaTheme="minorEastAsia"/>
          <w:kern w:val="0"/>
          <w:lang w:eastAsia="en-US" w:bidi="ar-SA"/>
        </w:rPr>
        <w:t>. Bovendien beschikt enkel België over een speci</w:t>
      </w:r>
      <w:r w:rsidR="003D0CB3">
        <w:rPr>
          <w:rFonts w:eastAsiaTheme="minorEastAsia"/>
          <w:kern w:val="0"/>
          <w:lang w:eastAsia="en-US" w:bidi="ar-SA"/>
        </w:rPr>
        <w:t>-</w:t>
      </w:r>
      <w:r w:rsidRPr="00D147A7">
        <w:rPr>
          <w:rFonts w:eastAsiaTheme="minorEastAsia"/>
          <w:kern w:val="0"/>
          <w:lang w:eastAsia="en-US" w:bidi="ar-SA"/>
        </w:rPr>
        <w:t>fieke wettekst die aan de verwerking van persoonsgegevens voor historische, wetenschappe</w:t>
      </w:r>
      <w:r w:rsidR="003D0CB3">
        <w:rPr>
          <w:rFonts w:eastAsiaTheme="minorEastAsia"/>
          <w:kern w:val="0"/>
          <w:lang w:eastAsia="en-US" w:bidi="ar-SA"/>
        </w:rPr>
        <w:t>-</w:t>
      </w:r>
      <w:r w:rsidRPr="00D147A7">
        <w:rPr>
          <w:rFonts w:eastAsiaTheme="minorEastAsia"/>
          <w:kern w:val="0"/>
          <w:lang w:eastAsia="en-US" w:bidi="ar-SA"/>
        </w:rPr>
        <w:t>lijke en statistische doeleinden gewijd is. In Nederland en Frankrijk is dat immers beperkt tot enkele bepalingen in de privacywet zelf. Het enige puntje van kritiek is dat de Belgische wet</w:t>
      </w:r>
      <w:r w:rsidR="003D0CB3">
        <w:rPr>
          <w:rFonts w:eastAsiaTheme="minorEastAsia"/>
          <w:kern w:val="0"/>
          <w:lang w:eastAsia="en-US" w:bidi="ar-SA"/>
        </w:rPr>
        <w:t>-</w:t>
      </w:r>
      <w:r w:rsidRPr="00D147A7">
        <w:rPr>
          <w:rFonts w:eastAsiaTheme="minorEastAsia"/>
          <w:kern w:val="0"/>
          <w:lang w:eastAsia="en-US" w:bidi="ar-SA"/>
        </w:rPr>
        <w:t>geving geen afzonderlijk regime voor genetische gegevens</w:t>
      </w:r>
      <w:r w:rsidR="003D0CB3" w:rsidRPr="003D0CB3">
        <w:rPr>
          <w:rFonts w:eastAsiaTheme="minorEastAsia"/>
          <w:kern w:val="0"/>
          <w:lang w:eastAsia="en-US" w:bidi="ar-SA"/>
        </w:rPr>
        <w:t xml:space="preserve"> </w:t>
      </w:r>
      <w:r w:rsidR="00962948" w:rsidRPr="00D147A7">
        <w:rPr>
          <w:rFonts w:eastAsiaTheme="minorEastAsia"/>
          <w:kern w:val="0"/>
          <w:lang w:eastAsia="en-US" w:bidi="ar-SA"/>
        </w:rPr>
        <w:t xml:space="preserve">heeft </w:t>
      </w:r>
      <w:r w:rsidR="003D0CB3" w:rsidRPr="00D147A7">
        <w:rPr>
          <w:rFonts w:eastAsiaTheme="minorEastAsia"/>
          <w:kern w:val="0"/>
          <w:lang w:eastAsia="en-US" w:bidi="ar-SA"/>
        </w:rPr>
        <w:t>uitgewerkt</w:t>
      </w:r>
      <w:r w:rsidRPr="00D147A7">
        <w:rPr>
          <w:rFonts w:eastAsiaTheme="minorEastAsia"/>
          <w:kern w:val="0"/>
          <w:lang w:eastAsia="en-US" w:bidi="ar-SA"/>
        </w:rPr>
        <w:t xml:space="preserve">. Deze </w:t>
      </w:r>
      <w:r w:rsidR="00962948">
        <w:rPr>
          <w:rFonts w:eastAsiaTheme="minorEastAsia"/>
          <w:kern w:val="0"/>
          <w:lang w:eastAsia="en-US" w:bidi="ar-SA"/>
        </w:rPr>
        <w:t>moeten</w:t>
      </w:r>
      <w:r w:rsidRPr="00D147A7">
        <w:rPr>
          <w:rFonts w:eastAsiaTheme="minorEastAsia"/>
          <w:kern w:val="0"/>
          <w:lang w:eastAsia="en-US" w:bidi="ar-SA"/>
        </w:rPr>
        <w:t xml:space="preserve"> im</w:t>
      </w:r>
      <w:r w:rsidR="00962948">
        <w:rPr>
          <w:rFonts w:eastAsiaTheme="minorEastAsia"/>
          <w:kern w:val="0"/>
          <w:lang w:eastAsia="en-US" w:bidi="ar-SA"/>
        </w:rPr>
        <w:t>-</w:t>
      </w:r>
      <w:r w:rsidRPr="00D147A7">
        <w:rPr>
          <w:rFonts w:eastAsiaTheme="minorEastAsia"/>
          <w:kern w:val="0"/>
          <w:lang w:eastAsia="en-US" w:bidi="ar-SA"/>
        </w:rPr>
        <w:t>mers strenger beschermd worden dan ‘gewone’ gezondheidsgegevens die slechts op één per</w:t>
      </w:r>
      <w:r w:rsidR="00962948">
        <w:rPr>
          <w:rFonts w:eastAsiaTheme="minorEastAsia"/>
          <w:kern w:val="0"/>
          <w:lang w:eastAsia="en-US" w:bidi="ar-SA"/>
        </w:rPr>
        <w:t>-</w:t>
      </w:r>
      <w:r w:rsidRPr="00D147A7">
        <w:rPr>
          <w:rFonts w:eastAsiaTheme="minorEastAsia"/>
          <w:kern w:val="0"/>
          <w:lang w:eastAsia="en-US" w:bidi="ar-SA"/>
        </w:rPr>
        <w:t xml:space="preserve">soon betrekking hebben.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pPr>
      <w:r w:rsidRPr="00D147A7">
        <w:t>Een historicus zal dus persoonsgegevens mogen verwerken nadat de aangifte bij (een Secto</w:t>
      </w:r>
      <w:r w:rsidR="00962948">
        <w:t>-</w:t>
      </w:r>
      <w:r w:rsidRPr="00D147A7">
        <w:t xml:space="preserve">raal Comité van) de nationale privacycommissie gunstig bevonden werd. Hier knelt vaak het schoentje. Academische historici – en (doctoraats)studenten in het bijzonder – hebben vaak niet de tijd voor deze administratieve rompslomp. Zolang de onderzoeker niet gemachtigd wordt, mag hij </w:t>
      </w:r>
      <w:r w:rsidR="00962948">
        <w:t xml:space="preserve">of zij </w:t>
      </w:r>
      <w:r w:rsidRPr="00D147A7">
        <w:t>in theorie immers geen enkele bron raadplegen. De aangifteplicht vormt dus een ernstige belemmering voor het (historisch) onderzoek. Het is dan ook aangewezen dat de afdeling Gezondheid van het Sectoraal Comité van de Sociale Zekerheid en van de Ge</w:t>
      </w:r>
      <w:r w:rsidR="00962948">
        <w:t>-</w:t>
      </w:r>
      <w:r w:rsidRPr="00D147A7">
        <w:t>zondheid (van de CBPL) uitgebreid wordt met e</w:t>
      </w:r>
      <w:r w:rsidR="00962948">
        <w:t>en afzonderlijk orgaan dat zich</w:t>
      </w:r>
      <w:r w:rsidRPr="00D147A7">
        <w:t xml:space="preserve"> enkel bezig</w:t>
      </w:r>
      <w:r w:rsidR="00962948">
        <w:t>-</w:t>
      </w:r>
      <w:r w:rsidRPr="00D147A7">
        <w:t>houdt met de behandeling van dergelijke aanvragen. Onderzoekers zullen er dan ook veel minder voor terugdeinzen om een aangifte in te dienen. Hoewel de aangifteplicht bij de priva</w:t>
      </w:r>
      <w:r w:rsidR="00962948">
        <w:t>-</w:t>
      </w:r>
      <w:r w:rsidRPr="00D147A7">
        <w:t>cycommissie veelal dode letter blijft, leidt onderzoek naar en publicatie van gevoelig bron</w:t>
      </w:r>
      <w:r w:rsidR="00962948">
        <w:t>-</w:t>
      </w:r>
      <w:r w:rsidRPr="00D147A7">
        <w:t>nenmateriaal in de praktijk zelden tot incidenten of rechtszaken.</w:t>
      </w:r>
      <w:r w:rsidRPr="00D147A7">
        <w:rPr>
          <w:vertAlign w:val="superscript"/>
        </w:rPr>
        <w:footnoteReference w:id="1213"/>
      </w:r>
      <w:r w:rsidRPr="00D147A7">
        <w:t xml:space="preserve"> </w:t>
      </w:r>
    </w:p>
    <w:p w:rsidR="000F560E" w:rsidRPr="00D147A7" w:rsidRDefault="000F560E" w:rsidP="000F560E">
      <w:pPr>
        <w:widowControl/>
        <w:suppressAutoHyphens w:val="0"/>
        <w:jc w:val="both"/>
      </w:pPr>
    </w:p>
    <w:p w:rsidR="000F560E" w:rsidRPr="00D147A7" w:rsidRDefault="000F560E" w:rsidP="000F560E">
      <w:pPr>
        <w:widowControl/>
        <w:suppressAutoHyphens w:val="0"/>
        <w:jc w:val="both"/>
      </w:pPr>
      <w:r w:rsidRPr="00D147A7">
        <w:t>Een bijkomend element voor de verwerking van gezondheidsgegevens is dat dit onder verant</w:t>
      </w:r>
      <w:r w:rsidR="00962948">
        <w:t>-</w:t>
      </w:r>
      <w:r w:rsidRPr="00D147A7">
        <w:t>woordelijkheid van een beroepsbeoefenaar in de gezondheidszorg moet geschieden. Histo</w:t>
      </w:r>
      <w:r w:rsidR="00962948">
        <w:t>-</w:t>
      </w:r>
      <w:r w:rsidRPr="00D147A7">
        <w:t>risch onderzoek op basis van gezondheidsgegevens moet dus onder toezicht van zorgverleners verricht worden. Maar zij zullen dit zelden als prioritair beschouwen, wat niet geheel onbe</w:t>
      </w:r>
      <w:r w:rsidR="00962948">
        <w:t>-</w:t>
      </w:r>
      <w:r w:rsidRPr="00D147A7">
        <w:t xml:space="preserve">grijpelijk is. Het is dus ook aangewezen dat enkele beroepsbeoefenaars in de gezondheidszorg </w:t>
      </w:r>
      <w:r w:rsidRPr="00D147A7">
        <w:lastRenderedPageBreak/>
        <w:t xml:space="preserve">specifiek voor dit toezicht worden aangesteld, zodat </w:t>
      </w:r>
      <w:r w:rsidR="00962948">
        <w:t>hun collega’s</w:t>
      </w:r>
      <w:r w:rsidRPr="00D147A7">
        <w:t xml:space="preserve"> zich ten volle op de zorg</w:t>
      </w:r>
      <w:r w:rsidR="00962948">
        <w:t>-</w:t>
      </w:r>
      <w:r w:rsidRPr="00D147A7">
        <w:t>verlening k</w:t>
      </w:r>
      <w:r w:rsidR="00962948">
        <w:t>unnen</w:t>
      </w:r>
      <w:r w:rsidRPr="00D147A7">
        <w:t xml:space="preserve"> toeleggen. In België zou hiervoor een beroep gedaan kunnen worden op de afdeling Gezondheid van het Sectoraal Comité van de Sociale Zekerheid en van de Gezond</w:t>
      </w:r>
      <w:r w:rsidR="00962948">
        <w:t>-</w:t>
      </w:r>
      <w:r w:rsidRPr="00D147A7">
        <w:t>heid. De aangiften voor historisch-medisch onderzoek zou dan ook door deze afdeling behan</w:t>
      </w:r>
      <w:r w:rsidR="00962948">
        <w:t>-</w:t>
      </w:r>
      <w:r w:rsidRPr="00D147A7">
        <w:t>deld kunnen worden. Het is dan wel aangewezen dat de afdeling Gezondheid uitgebreid wordt en dat de zetelende artsen bijgeschoold worden op historisch vlak. Dit alles is echter een droomscenario, dat in tijden van crisis geen prioriteit zal krijgen.</w:t>
      </w:r>
    </w:p>
    <w:p w:rsidR="000F560E" w:rsidRPr="00D147A7" w:rsidRDefault="000F560E" w:rsidP="000F560E">
      <w:pPr>
        <w:widowControl/>
        <w:suppressAutoHyphens w:val="0"/>
        <w:jc w:val="both"/>
      </w:pPr>
    </w:p>
    <w:p w:rsidR="000F560E" w:rsidRPr="00D147A7" w:rsidRDefault="000F560E" w:rsidP="000F560E">
      <w:pPr>
        <w:widowControl/>
        <w:suppressAutoHyphens w:val="0"/>
        <w:jc w:val="both"/>
      </w:pPr>
    </w:p>
    <w:p w:rsidR="000F560E" w:rsidRPr="00D147A7" w:rsidRDefault="000F560E" w:rsidP="000F560E">
      <w:pPr>
        <w:widowControl/>
        <w:suppressAutoHyphens w:val="0"/>
        <w:jc w:val="both"/>
        <w:rPr>
          <w:smallCaps/>
        </w:rPr>
      </w:pPr>
      <w:r w:rsidRPr="00D147A7">
        <w:t xml:space="preserve">4.6 </w:t>
      </w:r>
      <w:r w:rsidRPr="00D147A7">
        <w:rPr>
          <w:smallCaps/>
        </w:rPr>
        <w:t>Bibliografie</w:t>
      </w:r>
    </w:p>
    <w:p w:rsidR="000F560E" w:rsidRPr="00D147A7" w:rsidRDefault="000F560E" w:rsidP="000F560E">
      <w:pPr>
        <w:widowControl/>
        <w:suppressAutoHyphens w:val="0"/>
        <w:jc w:val="both"/>
        <w:rPr>
          <w:smallCaps/>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smallCaps/>
          <w:kern w:val="0"/>
          <w:lang w:eastAsia="en-US" w:bidi="ar-SA"/>
        </w:rPr>
        <w:t>4.6.1 Internationaal</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4.6.1.1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Universele Verklaring van de Rechten van de Mens, opgemaak</w:t>
      </w:r>
      <w:r w:rsidR="00E41CFB" w:rsidRPr="00D147A7">
        <w:rPr>
          <w:rFonts w:eastAsiaTheme="minorEastAsia"/>
          <w:kern w:val="0"/>
          <w:lang w:eastAsia="en-US" w:bidi="ar-SA"/>
        </w:rPr>
        <w:t xml:space="preserve">t te Parijs op 10 december 1948 </w:t>
      </w:r>
      <w:r w:rsidRPr="00D147A7">
        <w:rPr>
          <w:rFonts w:eastAsiaTheme="minorEastAsia"/>
          <w:kern w:val="0"/>
          <w:lang w:eastAsia="en-US" w:bidi="ar-SA"/>
        </w:rPr>
        <w:t>(</w:t>
      </w:r>
      <w:hyperlink r:id="rId363" w:history="1">
        <w:r w:rsidR="00E41CFB" w:rsidRPr="00D147A7">
          <w:rPr>
            <w:rStyle w:val="Hyperlink"/>
            <w:rFonts w:eastAsiaTheme="minorEastAsia"/>
            <w:kern w:val="0"/>
            <w:lang w:eastAsia="en-US" w:bidi="ar-SA"/>
          </w:rPr>
          <w:t>http://www.europarl.europa.eu/meetdocs/2009_2014/documents/wgme/dv/201/201103/ 20110309_declarationhumanrights_fr.pdf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Verdrag van 4 november 1950 tot bescherming van de mens en de fundamentele vrijheden (</w:t>
      </w:r>
      <w:hyperlink r:id="rId364" w:history="1">
        <w:r w:rsidR="00962948" w:rsidRPr="00ED5FE6">
          <w:rPr>
            <w:rStyle w:val="Hyperlink"/>
            <w:rFonts w:eastAsiaTheme="minorEastAsia"/>
            <w:kern w:val="0"/>
            <w:lang w:eastAsia="en-US" w:bidi="ar-SA"/>
          </w:rPr>
          <w:t>http://www.echr.coe.int/NR/rdonlyres/655FDBCF-1D46-4B36-9DAB-99F4CB59863C/0/ DutchN%C3%A9erlandais.pdf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Geconsolideerde versie van het verdrag van 25 maart 1957 betreffende de werking van de Europese Unie (</w:t>
      </w:r>
      <w:r w:rsidRPr="00D147A7">
        <w:rPr>
          <w:rFonts w:eastAsiaTheme="minorEastAsia"/>
          <w:i/>
          <w:kern w:val="0"/>
          <w:lang w:eastAsia="en-US" w:bidi="ar-SA"/>
        </w:rPr>
        <w:t>Pb.EG C.</w:t>
      </w:r>
      <w:r w:rsidRPr="00D147A7">
        <w:rPr>
          <w:rFonts w:eastAsiaTheme="minorEastAsia"/>
          <w:kern w:val="0"/>
          <w:lang w:eastAsia="en-US" w:bidi="ar-SA"/>
        </w:rPr>
        <w:t xml:space="preserve"> 83, 30 maart 2010; err. </w:t>
      </w:r>
      <w:r w:rsidRPr="00D147A7">
        <w:rPr>
          <w:rFonts w:eastAsiaTheme="minorEastAsia"/>
          <w:i/>
          <w:kern w:val="0"/>
          <w:lang w:eastAsia="en-US" w:bidi="ar-SA"/>
        </w:rPr>
        <w:t>Pb.EG C.</w:t>
      </w:r>
      <w:r w:rsidRPr="00D147A7">
        <w:rPr>
          <w:rFonts w:eastAsiaTheme="minorEastAsia"/>
          <w:kern w:val="0"/>
          <w:lang w:eastAsia="en-US" w:bidi="ar-SA"/>
        </w:rPr>
        <w:t xml:space="preserve"> 181, 6 juli 2010).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Internationaal verdrag van 16 december 1966 inzake burgerrechten en politieke rechten (</w:t>
      </w:r>
      <w:hyperlink r:id="rId365" w:history="1">
        <w:r w:rsidRPr="00D147A7">
          <w:rPr>
            <w:rFonts w:eastAsiaTheme="minorEastAsia"/>
            <w:color w:val="0000FF"/>
            <w:kern w:val="0"/>
            <w:u w:val="single"/>
            <w:lang w:eastAsia="en-US" w:bidi="ar-SA"/>
          </w:rPr>
          <w:t>http://ec.europa.eu/justice/policies/privacy/docs/un-art17_fr.pdf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Verdrag nr. 108 van de Raad van Europa van 28 januari 1981 tot bescherming van personen ten opzichte van de geautomatiseerde verwerking van persoonsgegevens (Verdrag van Straatsburg) en verklarend rapport bij dit Verdrag (</w:t>
      </w:r>
      <w:r w:rsidRPr="00D147A7">
        <w:rPr>
          <w:rFonts w:eastAsiaTheme="minorEastAsia"/>
          <w:i/>
          <w:kern w:val="0"/>
          <w:lang w:eastAsia="en-US" w:bidi="ar-SA"/>
        </w:rPr>
        <w:t>E.T.S.</w:t>
      </w:r>
      <w:r w:rsidRPr="00D147A7">
        <w:rPr>
          <w:rFonts w:eastAsiaTheme="minorEastAsia"/>
          <w:kern w:val="0"/>
          <w:lang w:eastAsia="en-US" w:bidi="ar-SA"/>
        </w:rPr>
        <w:t xml:space="preserve">, nr. 108 en </w:t>
      </w:r>
      <w:hyperlink w:history="1">
        <w:r w:rsidR="00E41CFB" w:rsidRPr="00D147A7">
          <w:rPr>
            <w:rStyle w:val="Hyperlink"/>
            <w:rFonts w:eastAsiaTheme="minorEastAsia"/>
            <w:kern w:val="0"/>
            <w:lang w:eastAsia="en-US" w:bidi="ar-SA"/>
          </w:rPr>
          <w:t>http://conventions.coe. int/treaty/fr/treaties/html/108.htm</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81/679/EEG van de Commissie van 29 juli 1981 betreffende een overeenkomst van de Raad van Europa ter bescherming van de mens bij de automatische verwerking van op de persoon betrekking hebbende gegevens (</w:t>
      </w:r>
      <w:r w:rsidRPr="00D147A7">
        <w:rPr>
          <w:rFonts w:eastAsiaTheme="minorEastAsia"/>
          <w:i/>
          <w:kern w:val="0"/>
          <w:lang w:eastAsia="en-US" w:bidi="ar-SA"/>
        </w:rPr>
        <w:t>Pb.EG L.</w:t>
      </w:r>
      <w:r w:rsidRPr="00D147A7">
        <w:rPr>
          <w:rFonts w:eastAsiaTheme="minorEastAsia"/>
          <w:kern w:val="0"/>
          <w:lang w:eastAsia="en-US" w:bidi="ar-SA"/>
        </w:rPr>
        <w:t xml:space="preserve"> 246, 29 augustus 1981).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nr. R(83)10 van het Comité van Ministers aan de Lidstaten van 23 september 1983 over de bescherming van persoonsgegevens gebruikt voor wetenschappelijk onderzoek en statistieken.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nr. R(85)20 van het Comité van Ministers aan de Lidstaten van 25 oktober 1985 over de bescherming van persoonsgegevens gebruikt voor direct marketing-doeleinden.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nr. R(89)2 van het Comité van Ministers aan de Lidstaten over de bescherming van persoonsgegevens gebruikt voor aanwervingsdoeleinden.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Bescherming van personen in verband met de behandeling van persoonsgegevens in de ge</w:t>
      </w:r>
      <w:r w:rsidR="00962948">
        <w:rPr>
          <w:rFonts w:eastAsiaTheme="minorEastAsia"/>
          <w:kern w:val="0"/>
          <w:lang w:eastAsia="en-US" w:bidi="ar-SA"/>
        </w:rPr>
        <w:t>-</w:t>
      </w:r>
      <w:r w:rsidRPr="00D147A7">
        <w:rPr>
          <w:rFonts w:eastAsiaTheme="minorEastAsia"/>
          <w:kern w:val="0"/>
          <w:lang w:eastAsia="en-US" w:bidi="ar-SA"/>
        </w:rPr>
        <w:t>meenschap en betreffende de beveiliging van informatiesystemen, COM(1990)314 def.</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Gewijzigd voorstel voor een Richtlijn van de Raad betreffende de bescherming van natuur</w:t>
      </w:r>
      <w:r w:rsidR="00962948">
        <w:rPr>
          <w:rFonts w:eastAsiaTheme="minorEastAsia"/>
          <w:kern w:val="0"/>
          <w:lang w:eastAsia="en-US" w:bidi="ar-SA"/>
        </w:rPr>
        <w:t>-</w:t>
      </w:r>
      <w:r w:rsidRPr="00D147A7">
        <w:rPr>
          <w:rFonts w:eastAsiaTheme="minorEastAsia"/>
          <w:kern w:val="0"/>
          <w:lang w:eastAsia="en-US" w:bidi="ar-SA"/>
        </w:rPr>
        <w:t>lijke personen in verband met de behandeling van persoonsgegevens en betreffende het vrije verkeer van die gegevens, COM(92)422 def. (</w:t>
      </w:r>
      <w:hyperlink r:id="rId366" w:history="1">
        <w:r w:rsidR="00962948" w:rsidRPr="00ED5FE6">
          <w:rPr>
            <w:rStyle w:val="Hyperlink"/>
            <w:rFonts w:eastAsiaTheme="minorEastAsia"/>
            <w:kern w:val="0"/>
            <w:lang w:eastAsia="en-US" w:bidi="ar-SA"/>
          </w:rPr>
          <w:t>http://85.91.173.208/nl/static/pdf/ seminarie-privacyrichtlijn/richtlijn-memorie-van-toelichting.pdf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van de Commissie overeenkomstig artikel 189 B, lid 2, onder d) van het EG-verdrag, over de amendementen van het Europees Parlement op het gemeenschappelijk standpunt van de Raad inzake het voorstel voor een richtlijn van het Europees Parlement en de Raad betref</w:t>
      </w:r>
      <w:r w:rsidR="00962948">
        <w:rPr>
          <w:rFonts w:eastAsiaTheme="minorEastAsia"/>
          <w:kern w:val="0"/>
          <w:lang w:eastAsia="en-US" w:bidi="ar-SA"/>
        </w:rPr>
        <w:t>-</w:t>
      </w:r>
      <w:r w:rsidRPr="00D147A7">
        <w:rPr>
          <w:rFonts w:eastAsiaTheme="minorEastAsia"/>
          <w:kern w:val="0"/>
          <w:lang w:eastAsia="en-US" w:bidi="ar-SA"/>
        </w:rPr>
        <w:t>fende de bescherming van natuurlijke personen in verband met de verwerking van persoons</w:t>
      </w:r>
      <w:r w:rsidR="00962948">
        <w:rPr>
          <w:rFonts w:eastAsiaTheme="minorEastAsia"/>
          <w:kern w:val="0"/>
          <w:lang w:eastAsia="en-US" w:bidi="ar-SA"/>
        </w:rPr>
        <w:t>-</w:t>
      </w:r>
      <w:r w:rsidRPr="00D147A7">
        <w:rPr>
          <w:rFonts w:eastAsiaTheme="minorEastAsia"/>
          <w:kern w:val="0"/>
          <w:lang w:eastAsia="en-US" w:bidi="ar-SA"/>
        </w:rPr>
        <w:lastRenderedPageBreak/>
        <w:t>gegevens en betreffende het vrije verkeer van die gegevens, COM(95)375 def. (</w:t>
      </w:r>
      <w:hyperlink r:id="rId367" w:history="1">
        <w:r w:rsidRPr="00D147A7">
          <w:rPr>
            <w:rFonts w:eastAsiaTheme="minorEastAsia"/>
            <w:color w:val="0000FF"/>
            <w:kern w:val="0"/>
            <w:u w:val="single"/>
            <w:lang w:eastAsia="en-US" w:bidi="ar-SA"/>
          </w:rPr>
          <w:t>http://eur-lex.europa.eu/LexUriServ/LexUriServ.do?uri=COM:1995:0375:FIN:NL:PDF</w:t>
        </w:r>
      </w:hyperlink>
      <w:r w:rsidRPr="00D147A7">
        <w:rPr>
          <w:rFonts w:eastAsiaTheme="minorEastAsia"/>
          <w:kern w:val="0"/>
          <w:lang w:eastAsia="en-US" w:bidi="ar-SA"/>
        </w:rPr>
        <w:t>, laatst geraad</w:t>
      </w:r>
      <w:r w:rsidR="00962948">
        <w:rPr>
          <w:rFonts w:eastAsiaTheme="minorEastAsia"/>
          <w:kern w:val="0"/>
          <w:lang w:eastAsia="en-US" w:bidi="ar-SA"/>
        </w:rPr>
        <w:t>-</w:t>
      </w:r>
      <w:r w:rsidRPr="00D147A7">
        <w:rPr>
          <w:rFonts w:eastAsiaTheme="minorEastAsia"/>
          <w:kern w:val="0"/>
          <w:lang w:eastAsia="en-US" w:bidi="ar-SA"/>
        </w:rPr>
        <w:t>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95/46/EG van het Europese Parlement en de Raad van 24 oktober 1995 betreffende de bescherming van natuurlijke personen in verband met de verwerking van persoonsgege</w:t>
      </w:r>
      <w:r w:rsidR="00962948">
        <w:rPr>
          <w:rFonts w:eastAsiaTheme="minorEastAsia"/>
          <w:kern w:val="0"/>
          <w:lang w:eastAsia="en-US" w:bidi="ar-SA"/>
        </w:rPr>
        <w:t>-</w:t>
      </w:r>
      <w:r w:rsidRPr="00D147A7">
        <w:rPr>
          <w:rFonts w:eastAsiaTheme="minorEastAsia"/>
          <w:kern w:val="0"/>
          <w:lang w:eastAsia="en-US" w:bidi="ar-SA"/>
        </w:rPr>
        <w:t>vens en betreffende het vrije verkeer van die gegevens (</w:t>
      </w:r>
      <w:r w:rsidRPr="00D147A7">
        <w:rPr>
          <w:rFonts w:eastAsiaTheme="minorEastAsia"/>
          <w:i/>
          <w:kern w:val="0"/>
          <w:lang w:eastAsia="en-US" w:bidi="ar-SA"/>
        </w:rPr>
        <w:t>Pb.EG L.</w:t>
      </w:r>
      <w:r w:rsidRPr="00D147A7">
        <w:rPr>
          <w:rFonts w:eastAsiaTheme="minorEastAsia"/>
          <w:kern w:val="0"/>
          <w:lang w:eastAsia="en-US" w:bidi="ar-SA"/>
        </w:rPr>
        <w:t xml:space="preserve"> 281, 23 november 1995).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R(97)5 van het Comité van Ministers aan de Lidstaten van 13 februari 1997 be</w:t>
      </w:r>
      <w:r w:rsidR="00962948">
        <w:rPr>
          <w:rFonts w:eastAsiaTheme="minorEastAsia"/>
          <w:kern w:val="0"/>
          <w:lang w:eastAsia="en-US" w:bidi="ar-SA"/>
        </w:rPr>
        <w:t>-</w:t>
      </w:r>
      <w:r w:rsidRPr="00D147A7">
        <w:rPr>
          <w:rFonts w:eastAsiaTheme="minorEastAsia"/>
          <w:kern w:val="0"/>
          <w:lang w:eastAsia="en-US" w:bidi="ar-SA"/>
        </w:rPr>
        <w:t>treffende de bescherming van medische gegevens.</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nr. R(97)18 van het Comité van Ministers aan de Lidstaten van 30 september 1997 betreffende de bescherming van persoonsgegevens verzameld en verwerkt voor statis</w:t>
      </w:r>
      <w:r w:rsidR="00962948">
        <w:rPr>
          <w:rFonts w:eastAsiaTheme="minorEastAsia"/>
          <w:kern w:val="0"/>
          <w:lang w:eastAsia="en-US" w:bidi="ar-SA"/>
        </w:rPr>
        <w:t>-</w:t>
      </w:r>
      <w:r w:rsidRPr="00D147A7">
        <w:rPr>
          <w:rFonts w:eastAsiaTheme="minorEastAsia"/>
          <w:kern w:val="0"/>
          <w:lang w:eastAsia="en-US" w:bidi="ar-SA"/>
        </w:rPr>
        <w:t>tische doeleinden.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97/66/EG van het Europees Parlement en de Raad van 15 december 1997 betreffen</w:t>
      </w:r>
      <w:r w:rsidR="00962948">
        <w:rPr>
          <w:rFonts w:eastAsiaTheme="minorEastAsia"/>
          <w:kern w:val="0"/>
          <w:lang w:eastAsia="en-US" w:bidi="ar-SA"/>
        </w:rPr>
        <w:t>-</w:t>
      </w:r>
      <w:r w:rsidRPr="00D147A7">
        <w:rPr>
          <w:rFonts w:eastAsiaTheme="minorEastAsia"/>
          <w:kern w:val="0"/>
          <w:lang w:eastAsia="en-US" w:bidi="ar-SA"/>
        </w:rPr>
        <w:t>de de verwerking van persoonsgegevens en de bescherming van de persoonlijke levenssfeer in de telecommunicatiesector (</w:t>
      </w:r>
      <w:r w:rsidRPr="00D147A7">
        <w:rPr>
          <w:rFonts w:eastAsiaTheme="minorEastAsia"/>
          <w:i/>
          <w:kern w:val="0"/>
          <w:lang w:eastAsia="en-US" w:bidi="ar-SA"/>
        </w:rPr>
        <w:t>Pb.EG L.</w:t>
      </w:r>
      <w:r w:rsidRPr="00D147A7">
        <w:rPr>
          <w:rFonts w:eastAsiaTheme="minorEastAsia"/>
          <w:kern w:val="0"/>
          <w:lang w:eastAsia="en-US" w:bidi="ar-SA"/>
        </w:rPr>
        <w:t xml:space="preserve"> 24, 30 januari 1998) (</w:t>
      </w:r>
      <w:hyperlink r:id="rId368" w:history="1">
        <w:r w:rsidR="00962948" w:rsidRPr="00ED5FE6">
          <w:rPr>
            <w:rStyle w:val="Hyperlink"/>
            <w:rFonts w:eastAsiaTheme="minorEastAsia"/>
            <w:kern w:val="0"/>
            <w:lang w:eastAsia="en-US" w:bidi="ar-SA"/>
          </w:rPr>
          <w:t>http://eur-lex.europa.eu/ LexUriServ/LexUriServ.do?uri=CELEX:31997L0066:NL:HTML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Verordening (EG) nr. 45/2001 van het Europees Parlement en de Raad van 18 december 2000 betreffende de bescherming van natuurlĳke personen in verband met de verwerking van per</w:t>
      </w:r>
      <w:r w:rsidR="00962948">
        <w:rPr>
          <w:rFonts w:eastAsiaTheme="minorEastAsia"/>
          <w:kern w:val="0"/>
          <w:lang w:eastAsia="en-US" w:bidi="ar-SA"/>
        </w:rPr>
        <w:t>-</w:t>
      </w:r>
      <w:r w:rsidRPr="00D147A7">
        <w:rPr>
          <w:rFonts w:eastAsiaTheme="minorEastAsia"/>
          <w:kern w:val="0"/>
          <w:lang w:eastAsia="en-US" w:bidi="ar-SA"/>
        </w:rPr>
        <w:t>soonsgegevens door de communautaire instellingen en organen en betreffende het vrĳe ver</w:t>
      </w:r>
      <w:r w:rsidR="00962948">
        <w:rPr>
          <w:rFonts w:eastAsiaTheme="minorEastAsia"/>
          <w:kern w:val="0"/>
          <w:lang w:eastAsia="en-US" w:bidi="ar-SA"/>
        </w:rPr>
        <w:t>-</w:t>
      </w:r>
      <w:r w:rsidRPr="00D147A7">
        <w:rPr>
          <w:rFonts w:eastAsiaTheme="minorEastAsia"/>
          <w:kern w:val="0"/>
          <w:lang w:eastAsia="en-US" w:bidi="ar-SA"/>
        </w:rPr>
        <w:t>keer van die gegevens (</w:t>
      </w:r>
      <w:r w:rsidRPr="00D147A7">
        <w:rPr>
          <w:rFonts w:eastAsiaTheme="minorEastAsia"/>
          <w:i/>
          <w:kern w:val="0"/>
          <w:lang w:eastAsia="en-US" w:bidi="ar-SA"/>
        </w:rPr>
        <w:t>Pb.EG L.</w:t>
      </w:r>
      <w:r w:rsidRPr="00D147A7">
        <w:rPr>
          <w:rFonts w:eastAsiaTheme="minorEastAsia"/>
          <w:kern w:val="0"/>
          <w:lang w:eastAsia="en-US" w:bidi="ar-SA"/>
        </w:rPr>
        <w:t xml:space="preserve"> 8, 12 januari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nr. R(2002)9 van het Comité van Ministers aan de Lidstaten van 18 september 2002 over de bescherming van persoonsgegevens die verzameld en verwerkt worden voor verzekeringsdoeleinden.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2002/19/EG van het Europees Parlement en de Raad van 7 maart 2002 inzake de toegang tot en onderlinge verbinding van elektronische-communicatienetwerken en bijbeho</w:t>
      </w:r>
      <w:r w:rsidR="00962948">
        <w:rPr>
          <w:rFonts w:eastAsiaTheme="minorEastAsia"/>
          <w:kern w:val="0"/>
          <w:lang w:eastAsia="en-US" w:bidi="ar-SA"/>
        </w:rPr>
        <w:t>-</w:t>
      </w:r>
      <w:r w:rsidRPr="00D147A7">
        <w:rPr>
          <w:rFonts w:eastAsiaTheme="minorEastAsia"/>
          <w:kern w:val="0"/>
          <w:lang w:eastAsia="en-US" w:bidi="ar-SA"/>
        </w:rPr>
        <w:t>rende faciliteiten (</w:t>
      </w:r>
      <w:r w:rsidRPr="00D147A7">
        <w:rPr>
          <w:rFonts w:eastAsiaTheme="minorEastAsia"/>
          <w:i/>
          <w:kern w:val="0"/>
          <w:lang w:eastAsia="en-US" w:bidi="ar-SA"/>
        </w:rPr>
        <w:t>Pb.EG L.</w:t>
      </w:r>
      <w:r w:rsidRPr="00D147A7">
        <w:rPr>
          <w:rFonts w:eastAsiaTheme="minorEastAsia"/>
          <w:kern w:val="0"/>
          <w:lang w:eastAsia="en-US" w:bidi="ar-SA"/>
        </w:rPr>
        <w:t xml:space="preserve"> 108, 24 april 2002).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2002/20/EG van het Europees Parlement en de Raad van 7 maart 2002 betreffende de machtiging voor elektronische-communicatienetwerken en -diensten (</w:t>
      </w:r>
      <w:r w:rsidRPr="00D147A7">
        <w:rPr>
          <w:rFonts w:eastAsiaTheme="minorEastAsia"/>
          <w:i/>
          <w:kern w:val="0"/>
          <w:lang w:eastAsia="en-US" w:bidi="ar-SA"/>
        </w:rPr>
        <w:t>Pb.EG L.</w:t>
      </w:r>
      <w:r w:rsidRPr="00D147A7">
        <w:rPr>
          <w:rFonts w:eastAsiaTheme="minorEastAsia"/>
          <w:kern w:val="0"/>
          <w:lang w:eastAsia="en-US" w:bidi="ar-SA"/>
        </w:rPr>
        <w:t xml:space="preserve"> 108, 24 ap</w:t>
      </w:r>
      <w:r w:rsidR="00962948">
        <w:rPr>
          <w:rFonts w:eastAsiaTheme="minorEastAsia"/>
          <w:kern w:val="0"/>
          <w:lang w:eastAsia="en-US" w:bidi="ar-SA"/>
        </w:rPr>
        <w:t>-</w:t>
      </w:r>
      <w:r w:rsidRPr="00D147A7">
        <w:rPr>
          <w:rFonts w:eastAsiaTheme="minorEastAsia"/>
          <w:kern w:val="0"/>
          <w:lang w:eastAsia="en-US" w:bidi="ar-SA"/>
        </w:rPr>
        <w:t xml:space="preserve">ril 2002).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Richtlijn 2002/21/EG van het Europees Parlement en de Raad van 7 maart 2002 inzake een gemeenschappelijk regelgevingskader voor elektronische-communicatienetwerken en </w:t>
      </w:r>
      <w:r w:rsidR="00221B97">
        <w:rPr>
          <w:rFonts w:eastAsiaTheme="minorEastAsia"/>
          <w:kern w:val="0"/>
          <w:lang w:eastAsia="en-US" w:bidi="ar-SA"/>
        </w:rPr>
        <w:t>-</w:t>
      </w:r>
      <w:r w:rsidRPr="00D147A7">
        <w:rPr>
          <w:rFonts w:eastAsiaTheme="minorEastAsia"/>
          <w:kern w:val="0"/>
          <w:lang w:eastAsia="en-US" w:bidi="ar-SA"/>
        </w:rPr>
        <w:t>diens</w:t>
      </w:r>
      <w:r w:rsidR="00221B97">
        <w:rPr>
          <w:rFonts w:eastAsiaTheme="minorEastAsia"/>
          <w:kern w:val="0"/>
          <w:lang w:eastAsia="en-US" w:bidi="ar-SA"/>
        </w:rPr>
        <w:t>-</w:t>
      </w:r>
      <w:r w:rsidRPr="00D147A7">
        <w:rPr>
          <w:rFonts w:eastAsiaTheme="minorEastAsia"/>
          <w:kern w:val="0"/>
          <w:lang w:eastAsia="en-US" w:bidi="ar-SA"/>
        </w:rPr>
        <w:t>ten (</w:t>
      </w:r>
      <w:r w:rsidRPr="00D147A7">
        <w:rPr>
          <w:rFonts w:eastAsiaTheme="minorEastAsia"/>
          <w:i/>
          <w:kern w:val="0"/>
          <w:lang w:eastAsia="en-US" w:bidi="ar-SA"/>
        </w:rPr>
        <w:t>Pb.EG L.</w:t>
      </w:r>
      <w:r w:rsidRPr="00D147A7">
        <w:rPr>
          <w:rFonts w:eastAsiaTheme="minorEastAsia"/>
          <w:kern w:val="0"/>
          <w:lang w:eastAsia="en-US" w:bidi="ar-SA"/>
        </w:rPr>
        <w:t xml:space="preserve"> 108, 24 april 2002).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2002/22/EG van het Europees Parlement en de Raad van 7 maart 2002 inzake de universele dienst en gebruikersrechten met betrekking tot elektronische-communicatienetwer</w:t>
      </w:r>
      <w:r w:rsidR="00221B97">
        <w:rPr>
          <w:rFonts w:eastAsiaTheme="minorEastAsia"/>
          <w:kern w:val="0"/>
          <w:lang w:eastAsia="en-US" w:bidi="ar-SA"/>
        </w:rPr>
        <w:t>-</w:t>
      </w:r>
      <w:r w:rsidRPr="00D147A7">
        <w:rPr>
          <w:rFonts w:eastAsiaTheme="minorEastAsia"/>
          <w:kern w:val="0"/>
          <w:lang w:eastAsia="en-US" w:bidi="ar-SA"/>
        </w:rPr>
        <w:t>ken en -diensten (</w:t>
      </w:r>
      <w:r w:rsidRPr="00D147A7">
        <w:rPr>
          <w:rFonts w:eastAsiaTheme="minorEastAsia"/>
          <w:i/>
          <w:kern w:val="0"/>
          <w:lang w:eastAsia="en-US" w:bidi="ar-SA"/>
        </w:rPr>
        <w:t>Pb.EG L.</w:t>
      </w:r>
      <w:r w:rsidRPr="00D147A7">
        <w:rPr>
          <w:rFonts w:eastAsiaTheme="minorEastAsia"/>
          <w:kern w:val="0"/>
          <w:lang w:eastAsia="en-US" w:bidi="ar-SA"/>
        </w:rPr>
        <w:t xml:space="preserve"> 108, 24 april 2002).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Richtlijn 2002/58/EG van het Europees Parlement en de Raad van 12 juli 2002 betreffende de verwerking van persoonsgegevens en de bescherming van de persoonlijke levenssfeer in de sector elektronische communicatie (</w:t>
      </w:r>
      <w:r w:rsidRPr="00D147A7">
        <w:rPr>
          <w:rFonts w:eastAsiaTheme="minorEastAsia"/>
          <w:i/>
          <w:kern w:val="0"/>
          <w:lang w:eastAsia="en-US" w:bidi="ar-SA"/>
        </w:rPr>
        <w:t>Pb.EG L.</w:t>
      </w:r>
      <w:r w:rsidRPr="00D147A7">
        <w:rPr>
          <w:rFonts w:eastAsiaTheme="minorEastAsia"/>
          <w:kern w:val="0"/>
          <w:lang w:eastAsia="en-US" w:bidi="ar-SA"/>
        </w:rPr>
        <w:t xml:space="preserve"> 201, 31 juli 2002), gewijzigd door richtlijn 2006/24/EG (</w:t>
      </w:r>
      <w:r w:rsidRPr="00D147A7">
        <w:rPr>
          <w:rFonts w:eastAsiaTheme="minorEastAsia"/>
          <w:i/>
          <w:kern w:val="0"/>
          <w:lang w:eastAsia="en-US" w:bidi="ar-SA"/>
        </w:rPr>
        <w:t>Pb.EG L.</w:t>
      </w:r>
      <w:r w:rsidRPr="00D147A7">
        <w:rPr>
          <w:rFonts w:eastAsiaTheme="minorEastAsia"/>
          <w:kern w:val="0"/>
          <w:lang w:eastAsia="en-US" w:bidi="ar-SA"/>
        </w:rPr>
        <w:t xml:space="preserve"> 105, 13 april 2006).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Communicatie van de Commissie aan het Europees Parlement en de Raad betreffende de op</w:t>
      </w:r>
      <w:r w:rsidR="00221B97">
        <w:rPr>
          <w:rFonts w:eastAsiaTheme="minorEastAsia"/>
          <w:kern w:val="0"/>
          <w:lang w:eastAsia="en-US" w:bidi="ar-SA"/>
        </w:rPr>
        <w:t>-</w:t>
      </w:r>
      <w:r w:rsidRPr="00D147A7">
        <w:rPr>
          <w:rFonts w:eastAsiaTheme="minorEastAsia"/>
          <w:kern w:val="0"/>
          <w:lang w:eastAsia="en-US" w:bidi="ar-SA"/>
        </w:rPr>
        <w:t>volging van het werkprogramma voor de betere implementatie van de Richtlijn gegevensbe</w:t>
      </w:r>
      <w:r w:rsidR="00221B97">
        <w:rPr>
          <w:rFonts w:eastAsiaTheme="minorEastAsia"/>
          <w:kern w:val="0"/>
          <w:lang w:eastAsia="en-US" w:bidi="ar-SA"/>
        </w:rPr>
        <w:t>-</w:t>
      </w:r>
      <w:r w:rsidRPr="00D147A7">
        <w:rPr>
          <w:rFonts w:eastAsiaTheme="minorEastAsia"/>
          <w:kern w:val="0"/>
          <w:lang w:eastAsia="en-US" w:bidi="ar-SA"/>
        </w:rPr>
        <w:t>scherming, COM(2007)87 (</w:t>
      </w:r>
      <w:hyperlink r:id="rId369" w:history="1">
        <w:r w:rsidR="00221B97" w:rsidRPr="00ED5FE6">
          <w:rPr>
            <w:rStyle w:val="Hyperlink"/>
            <w:rFonts w:eastAsiaTheme="minorEastAsia"/>
            <w:kern w:val="0"/>
            <w:lang w:eastAsia="en-US" w:bidi="ar-SA"/>
          </w:rPr>
          <w:t>http://eur-lex.europa.eu/LexUriServ/site/en/com/2007/com2007_ 0087en01.pdf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Eerste verslag over de toepassing van de Richtlijn gegevensbescherming (95/46/EG), COM(2003)265 (</w:t>
      </w:r>
      <w:hyperlink r:id="rId370" w:history="1">
        <w:r w:rsidR="00221B97" w:rsidRPr="00ED5FE6">
          <w:rPr>
            <w:rStyle w:val="Hyperlink"/>
            <w:rFonts w:eastAsiaTheme="minorEastAsia"/>
            <w:kern w:val="0"/>
            <w:lang w:eastAsia="en-US" w:bidi="ar-SA"/>
          </w:rPr>
          <w:t>http://eur-lex.europa.eu/LexUriServ/LexUriServ.do?uri=COM:2003:0265: FIN:NL:PDF</w:t>
        </w:r>
      </w:hyperlink>
      <w:r w:rsidRPr="00D147A7">
        <w:rPr>
          <w:rFonts w:eastAsiaTheme="minorEastAsia"/>
          <w:kern w:val="0"/>
          <w:lang w:eastAsia="en-US" w:bidi="ar-SA"/>
        </w:rPr>
        <w:t xml:space="preserve">, laatst geraadpleegd op 23 juli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Mededeling van de Commissie aan het Europees Parlement en de Raad inzake de verbetering van de gegevensbescherming door technologieën ter bevordering van de persoonlijke levens</w:t>
      </w:r>
      <w:r w:rsidR="00221B97">
        <w:rPr>
          <w:rFonts w:eastAsiaTheme="minorEastAsia"/>
          <w:kern w:val="0"/>
          <w:lang w:eastAsia="en-US" w:bidi="ar-SA"/>
        </w:rPr>
        <w:t>-</w:t>
      </w:r>
      <w:r w:rsidRPr="00D147A7">
        <w:rPr>
          <w:rFonts w:eastAsiaTheme="minorEastAsia"/>
          <w:kern w:val="0"/>
          <w:lang w:eastAsia="en-US" w:bidi="ar-SA"/>
        </w:rPr>
        <w:t>sfeer, COM(2007)228 def. (</w:t>
      </w:r>
      <w:hyperlink r:id="rId371" w:history="1">
        <w:r w:rsidR="00221B97" w:rsidRPr="00ED5FE6">
          <w:rPr>
            <w:rStyle w:val="Hyperlink"/>
            <w:rFonts w:eastAsiaTheme="minorEastAsia"/>
            <w:kern w:val="0"/>
            <w:lang w:eastAsia="en-US" w:bidi="ar-SA"/>
          </w:rPr>
          <w:t>http://eur-lex.europa.eu/LexUriServ/LexUriServ.do?uri=COM: 2007:0228:FIN:NL:PDF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Handvest van 12 december 2007 van de grondrechten van de Europese Unie (</w:t>
      </w:r>
      <w:r w:rsidRPr="00D147A7">
        <w:rPr>
          <w:rFonts w:eastAsiaTheme="minorEastAsia"/>
          <w:i/>
          <w:kern w:val="0"/>
          <w:lang w:eastAsia="en-US" w:bidi="ar-SA"/>
        </w:rPr>
        <w:t>Pb.EG C.</w:t>
      </w:r>
      <w:r w:rsidRPr="00D147A7">
        <w:rPr>
          <w:rFonts w:eastAsiaTheme="minorEastAsia"/>
          <w:kern w:val="0"/>
          <w:lang w:eastAsia="en-US" w:bidi="ar-SA"/>
        </w:rPr>
        <w:t xml:space="preserve"> 83, 30 maart 2010).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Verdrag van Lissabon van 13 december 2007 tot wijziging van het Verdrag betreffende de Europese Unie en het Verdrag tot oprichting van de Europese Gemeenschap (</w:t>
      </w:r>
      <w:r w:rsidRPr="00D147A7">
        <w:rPr>
          <w:rFonts w:eastAsiaTheme="minorEastAsia"/>
          <w:i/>
          <w:kern w:val="0"/>
          <w:lang w:eastAsia="en-US" w:bidi="ar-SA"/>
        </w:rPr>
        <w:t>Pb.EG C.</w:t>
      </w:r>
      <w:r w:rsidRPr="00D147A7">
        <w:rPr>
          <w:rFonts w:eastAsiaTheme="minorEastAsia"/>
          <w:kern w:val="0"/>
          <w:lang w:eastAsia="en-US" w:bidi="ar-SA"/>
        </w:rPr>
        <w:t xml:space="preserve"> 306, 17 december 2007).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Kaderbesluit 2008/977/JBZ van de Raad van 27 november 2008 over de bescherming van persoonsgegevens die worden verwerkt in het kader van de politiële en justitiële samenwer</w:t>
      </w:r>
      <w:r w:rsidR="00221B97">
        <w:rPr>
          <w:rFonts w:eastAsiaTheme="minorEastAsia"/>
          <w:kern w:val="0"/>
          <w:lang w:eastAsia="en-US" w:bidi="ar-SA"/>
        </w:rPr>
        <w:t>-</w:t>
      </w:r>
      <w:r w:rsidRPr="00D147A7">
        <w:rPr>
          <w:rFonts w:eastAsiaTheme="minorEastAsia"/>
          <w:kern w:val="0"/>
          <w:lang w:eastAsia="en-US" w:bidi="ar-SA"/>
        </w:rPr>
        <w:t>king in strafzaken (</w:t>
      </w:r>
      <w:r w:rsidRPr="00D147A7">
        <w:rPr>
          <w:rFonts w:eastAsiaTheme="minorEastAsia"/>
          <w:i/>
          <w:kern w:val="0"/>
          <w:lang w:eastAsia="en-US" w:bidi="ar-SA"/>
        </w:rPr>
        <w:t>Pb.EG L.</w:t>
      </w:r>
      <w:r w:rsidRPr="00D147A7">
        <w:rPr>
          <w:rFonts w:eastAsiaTheme="minorEastAsia"/>
          <w:kern w:val="0"/>
          <w:lang w:eastAsia="en-US" w:bidi="ar-SA"/>
        </w:rPr>
        <w:t xml:space="preserve"> 350, 30 december 2008).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Europa 2020. Een strategie voor slimme, duurzame en inclusieve groei, COM(2010)2020 def. (</w:t>
      </w:r>
      <w:hyperlink r:id="rId372" w:history="1">
        <w:r w:rsidR="00221B97" w:rsidRPr="00ED5FE6">
          <w:rPr>
            <w:rStyle w:val="Hyperlink"/>
            <w:rFonts w:eastAsiaTheme="minorEastAsia"/>
            <w:kern w:val="0"/>
            <w:lang w:eastAsia="en-US" w:bidi="ar-SA"/>
          </w:rPr>
          <w:t>http://ec.europa.eu/eu2020/pdf/1_NL_ACT_part1_v1.pdf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Een ruimte van vrijheid, veiligheid en recht voor de burgers van Europa. Actieplan ter uit</w:t>
      </w:r>
      <w:r w:rsidR="00221B97">
        <w:rPr>
          <w:rFonts w:eastAsiaTheme="minorEastAsia"/>
          <w:kern w:val="0"/>
          <w:lang w:eastAsia="en-US" w:bidi="ar-SA"/>
        </w:rPr>
        <w:t>-</w:t>
      </w:r>
      <w:r w:rsidRPr="00D147A7">
        <w:rPr>
          <w:rFonts w:eastAsiaTheme="minorEastAsia"/>
          <w:kern w:val="0"/>
          <w:lang w:eastAsia="en-US" w:bidi="ar-SA"/>
        </w:rPr>
        <w:t>voering van programma van Stockholm, COM(2010)171 def. (</w:t>
      </w:r>
      <w:hyperlink r:id="rId373" w:history="1">
        <w:r w:rsidR="00E41CFB" w:rsidRPr="00D147A7">
          <w:rPr>
            <w:rStyle w:val="Hyperlink"/>
            <w:rFonts w:eastAsiaTheme="minorEastAsia"/>
            <w:kern w:val="0"/>
            <w:lang w:eastAsia="en-US" w:bidi="ar-SA"/>
          </w:rPr>
          <w:t>http://eur-lex.europa.eu/ LexUriServ/LexUriServ.do?uri=COM:2010:0171:FIN:NL:PDF</w:t>
        </w:r>
      </w:hyperlink>
      <w:r w:rsidRPr="00D147A7">
        <w:rPr>
          <w:rFonts w:eastAsiaTheme="minorEastAsia"/>
          <w:kern w:val="0"/>
          <w:lang w:eastAsia="en-US" w:bidi="ar-SA"/>
        </w:rPr>
        <w:t>, laatst geraadpleegd op 23 ju</w:t>
      </w:r>
      <w:r w:rsidR="00221B97">
        <w:rPr>
          <w:rFonts w:eastAsiaTheme="minorEastAsia"/>
          <w:kern w:val="0"/>
          <w:lang w:eastAsia="en-US" w:bidi="ar-SA"/>
        </w:rPr>
        <w:t>-</w:t>
      </w:r>
      <w:r w:rsidRPr="00D147A7">
        <w:rPr>
          <w:rFonts w:eastAsiaTheme="minorEastAsia"/>
          <w:kern w:val="0"/>
          <w:lang w:eastAsia="en-US" w:bidi="ar-SA"/>
        </w:rPr>
        <w:t>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Het programma van Stockholm. Een open en veilig Europa ten dienste en ter bescherming van de burger (</w:t>
      </w:r>
      <w:r w:rsidRPr="00D147A7">
        <w:rPr>
          <w:rFonts w:eastAsiaTheme="minorEastAsia"/>
          <w:i/>
          <w:kern w:val="0"/>
          <w:lang w:eastAsia="en-US" w:bidi="ar-SA"/>
        </w:rPr>
        <w:t>Pb.EG C.</w:t>
      </w:r>
      <w:r w:rsidRPr="00D147A7">
        <w:rPr>
          <w:rFonts w:eastAsiaTheme="minorEastAsia"/>
          <w:kern w:val="0"/>
          <w:lang w:eastAsia="en-US" w:bidi="ar-SA"/>
        </w:rPr>
        <w:t xml:space="preserve"> 115, 4 mei 2010).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Een digitale agenda voor Europa, COM(2010)245 def. (</w:t>
      </w:r>
      <w:hyperlink r:id="rId374" w:history="1">
        <w:r w:rsidR="002E6C99" w:rsidRPr="00D147A7">
          <w:rPr>
            <w:rStyle w:val="Hyperlink"/>
            <w:rFonts w:eastAsiaTheme="minorEastAsia"/>
            <w:kern w:val="0"/>
            <w:lang w:eastAsia="en-US" w:bidi="ar-SA"/>
          </w:rPr>
          <w:t>http://eur-lex.europa.eu/LexUriServ/ LexUriServ.do?uri=COM:2010:0245:FIN:NL:PDF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Een integrale aanpak van de bescherming van persoonsgegevens in de Europese Unie, COM(2010)609 (</w:t>
      </w:r>
      <w:r w:rsidRPr="00D147A7">
        <w:rPr>
          <w:rFonts w:eastAsiaTheme="minorEastAsia"/>
          <w:i/>
          <w:kern w:val="0"/>
          <w:lang w:eastAsia="en-US" w:bidi="ar-SA"/>
        </w:rPr>
        <w:t>Pb.EG C.</w:t>
      </w:r>
      <w:r w:rsidRPr="00D147A7">
        <w:rPr>
          <w:rFonts w:eastAsiaTheme="minorEastAsia"/>
          <w:kern w:val="0"/>
          <w:lang w:eastAsia="en-US" w:bidi="ar-SA"/>
        </w:rPr>
        <w:t xml:space="preserve"> 248, 25 augustus 2011).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Privacywaarborging in het online tijdperk. Een Europees gegevensbeschermingskader voor de 21e eeuw, COM(2012)9 def. (</w:t>
      </w:r>
      <w:hyperlink r:id="rId375" w:history="1">
        <w:r w:rsidR="002E6C99" w:rsidRPr="00D147A7">
          <w:rPr>
            <w:rStyle w:val="Hyperlink"/>
            <w:rFonts w:eastAsiaTheme="minorEastAsia"/>
            <w:kern w:val="0"/>
            <w:lang w:eastAsia="en-US" w:bidi="ar-SA"/>
          </w:rPr>
          <w:t>http://eur-lex.europa.eu/LexUriServ/LexUriServ.do?uri=COM: 2012:0009:FIN:NL:PDF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Voorstel voor een richtlijn van het Europees Parlement en de Raad betreffende de bescher</w:t>
      </w:r>
      <w:r w:rsidR="00221B97">
        <w:rPr>
          <w:rFonts w:eastAsiaTheme="minorEastAsia"/>
          <w:kern w:val="0"/>
          <w:lang w:eastAsia="en-US" w:bidi="ar-SA"/>
        </w:rPr>
        <w:t>-</w:t>
      </w:r>
      <w:r w:rsidRPr="00D147A7">
        <w:rPr>
          <w:rFonts w:eastAsiaTheme="minorEastAsia"/>
          <w:kern w:val="0"/>
          <w:lang w:eastAsia="en-US" w:bidi="ar-SA"/>
        </w:rPr>
        <w:t>ming van natuurlijke personen in verband met de verwerking van persoonsgegevens door be</w:t>
      </w:r>
      <w:r w:rsidR="00221B97">
        <w:rPr>
          <w:rFonts w:eastAsiaTheme="minorEastAsia"/>
          <w:kern w:val="0"/>
          <w:lang w:eastAsia="en-US" w:bidi="ar-SA"/>
        </w:rPr>
        <w:t>-</w:t>
      </w:r>
      <w:r w:rsidRPr="00D147A7">
        <w:rPr>
          <w:rFonts w:eastAsiaTheme="minorEastAsia"/>
          <w:kern w:val="0"/>
          <w:lang w:eastAsia="en-US" w:bidi="ar-SA"/>
        </w:rPr>
        <w:t>voegde autoriteiten met het oog op voorkoming, het onderzoek, de opsporing en de vervol</w:t>
      </w:r>
      <w:r w:rsidR="00221B97">
        <w:rPr>
          <w:rFonts w:eastAsiaTheme="minorEastAsia"/>
          <w:kern w:val="0"/>
          <w:lang w:eastAsia="en-US" w:bidi="ar-SA"/>
        </w:rPr>
        <w:t>-</w:t>
      </w:r>
      <w:r w:rsidRPr="00D147A7">
        <w:rPr>
          <w:rFonts w:eastAsiaTheme="minorEastAsia"/>
          <w:kern w:val="0"/>
          <w:lang w:eastAsia="en-US" w:bidi="ar-SA"/>
        </w:rPr>
        <w:t>ging van strafbare feiten of de tenuitvoerlegging van straffen, en betreffende het vrije verkeer van die gegevens, COM(2012)10 def. (</w:t>
      </w:r>
      <w:hyperlink r:id="rId376" w:history="1">
        <w:r w:rsidR="00221B97" w:rsidRPr="00ED5FE6">
          <w:rPr>
            <w:rStyle w:val="Hyperlink"/>
            <w:rFonts w:eastAsiaTheme="minorEastAsia"/>
            <w:kern w:val="0"/>
            <w:lang w:eastAsia="en-US" w:bidi="ar-SA"/>
          </w:rPr>
          <w:t>http://eur-lex.europa.eu/LexUriServ/LexUriServ.do? uri=COM:2012:0010:FIN:NL:PDF</w:t>
        </w:r>
      </w:hyperlink>
      <w:r w:rsidRPr="00D147A7">
        <w:rPr>
          <w:rFonts w:eastAsiaTheme="minorEastAsia"/>
          <w:kern w:val="0"/>
          <w:lang w:eastAsia="en-US" w:bidi="ar-SA"/>
        </w:rPr>
        <w:t>, laatst geraadpleegd op 23 juli 2012).</w:t>
      </w:r>
    </w:p>
    <w:p w:rsidR="00221B97" w:rsidRDefault="000F560E" w:rsidP="00AF492F">
      <w:pPr>
        <w:widowControl/>
        <w:suppressAutoHyphens w:val="0"/>
        <w:jc w:val="both"/>
        <w:rPr>
          <w:rFonts w:eastAsiaTheme="minorEastAsia"/>
          <w:kern w:val="0"/>
          <w:lang w:eastAsia="en-US" w:bidi="ar-SA"/>
        </w:rPr>
      </w:pPr>
      <w:r w:rsidRPr="00D147A7">
        <w:rPr>
          <w:rFonts w:eastAsiaTheme="minorEastAsia"/>
          <w:kern w:val="0"/>
          <w:lang w:eastAsia="en-US" w:bidi="ar-SA"/>
        </w:rPr>
        <w:t>Voorstel voor een verordening van het Europees Parlement en de Raad betreffende de be</w:t>
      </w:r>
      <w:r w:rsidR="00221B97">
        <w:rPr>
          <w:rFonts w:eastAsiaTheme="minorEastAsia"/>
          <w:kern w:val="0"/>
          <w:lang w:eastAsia="en-US" w:bidi="ar-SA"/>
        </w:rPr>
        <w:t>-</w:t>
      </w:r>
      <w:r w:rsidRPr="00D147A7">
        <w:rPr>
          <w:rFonts w:eastAsiaTheme="minorEastAsia"/>
          <w:kern w:val="0"/>
          <w:lang w:eastAsia="en-US" w:bidi="ar-SA"/>
        </w:rPr>
        <w:t>scherming van natuurlijke personen in verband met de verwerking van persoonsgegevens en betreffende het vrije verkeer van die gegevens (Algemene Verordening Gegevensbescher</w:t>
      </w:r>
      <w:r w:rsidR="00221B97">
        <w:rPr>
          <w:rFonts w:eastAsiaTheme="minorEastAsia"/>
          <w:kern w:val="0"/>
          <w:lang w:eastAsia="en-US" w:bidi="ar-SA"/>
        </w:rPr>
        <w:t>-</w:t>
      </w:r>
      <w:r w:rsidRPr="00D147A7">
        <w:rPr>
          <w:rFonts w:eastAsiaTheme="minorEastAsia"/>
          <w:kern w:val="0"/>
          <w:lang w:eastAsia="en-US" w:bidi="ar-SA"/>
        </w:rPr>
        <w:t>ming), COM(2012)11 (</w:t>
      </w:r>
      <w:hyperlink r:id="rId377" w:history="1">
        <w:r w:rsidR="00221B97" w:rsidRPr="00ED5FE6">
          <w:rPr>
            <w:rStyle w:val="Hyperlink"/>
            <w:rFonts w:eastAsiaTheme="minorEastAsia"/>
            <w:kern w:val="0"/>
            <w:lang w:eastAsia="en-US" w:bidi="ar-SA"/>
          </w:rPr>
          <w:t>http://eur-lex.europa.eu/LexUriServ/LexUriServ.do?uri=COM:2012: 0011:FIN:NL:PDF</w:t>
        </w:r>
      </w:hyperlink>
      <w:r w:rsidRPr="00D147A7">
        <w:rPr>
          <w:rFonts w:eastAsiaTheme="minorEastAsia"/>
          <w:kern w:val="0"/>
          <w:lang w:eastAsia="en-US" w:bidi="ar-SA"/>
        </w:rPr>
        <w:t xml:space="preserve">, laatst </w:t>
      </w:r>
      <w:r w:rsidR="00AF492F">
        <w:rPr>
          <w:rFonts w:eastAsiaTheme="minorEastAsia"/>
          <w:kern w:val="0"/>
          <w:lang w:eastAsia="en-US" w:bidi="ar-SA"/>
        </w:rPr>
        <w:t>geraadpleegd op 23 juli 2012).</w:t>
      </w:r>
    </w:p>
    <w:p w:rsidR="00AF492F" w:rsidRPr="00AF492F" w:rsidRDefault="00AF492F" w:rsidP="00AF492F">
      <w:pPr>
        <w:widowControl/>
        <w:suppressAutoHyphens w:val="0"/>
        <w:jc w:val="both"/>
        <w:rPr>
          <w:rFonts w:eastAsiaTheme="minorEastAsia"/>
          <w:kern w:val="0"/>
          <w:lang w:eastAsia="en-US" w:bidi="ar-SA"/>
        </w:rPr>
      </w:pPr>
    </w:p>
    <w:p w:rsidR="000F560E" w:rsidRPr="00D147A7" w:rsidRDefault="000F560E" w:rsidP="00221B97">
      <w:pPr>
        <w:widowControl/>
        <w:suppressAutoHyphens w:val="0"/>
        <w:ind w:left="708" w:firstLine="708"/>
        <w:rPr>
          <w:rFonts w:eastAsiaTheme="minorEastAsia"/>
          <w:b/>
          <w:kern w:val="0"/>
          <w:lang w:eastAsia="en-US" w:bidi="ar-SA"/>
        </w:rPr>
      </w:pPr>
      <w:r w:rsidRPr="00D147A7">
        <w:rPr>
          <w:rFonts w:eastAsiaTheme="minorEastAsia"/>
          <w:b/>
          <w:kern w:val="0"/>
          <w:lang w:eastAsia="en-US" w:bidi="ar-SA"/>
        </w:rPr>
        <w:t>4.6.1.2 Rechtspraak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Europees Hof voor de Rechten van de Mens, Gubler vs. Frankrijk, 27 juli 2006, verzoek</w:t>
      </w:r>
      <w:r w:rsidR="00221B97">
        <w:rPr>
          <w:rFonts w:eastAsiaTheme="minorEastAsia"/>
          <w:kern w:val="0"/>
          <w:lang w:eastAsia="en-US" w:bidi="ar-SA"/>
        </w:rPr>
        <w:t>-</w:t>
      </w:r>
      <w:r w:rsidRPr="00D147A7">
        <w:rPr>
          <w:rFonts w:eastAsiaTheme="minorEastAsia"/>
          <w:kern w:val="0"/>
          <w:lang w:eastAsia="en-US" w:bidi="ar-SA"/>
        </w:rPr>
        <w:t>schrift nr. 69742/01.</w:t>
      </w:r>
    </w:p>
    <w:p w:rsidR="000F560E" w:rsidRPr="00D147A7" w:rsidRDefault="000F560E" w:rsidP="000F560E">
      <w:pPr>
        <w:widowControl/>
        <w:suppressAutoHyphens w:val="0"/>
        <w:rPr>
          <w:rFonts w:eastAsiaTheme="minorEastAsia"/>
          <w:kern w:val="0"/>
          <w:sz w:val="22"/>
          <w:szCs w:val="22"/>
          <w:lang w:eastAsia="en-US" w:bidi="ar-SA"/>
        </w:rPr>
      </w:pPr>
    </w:p>
    <w:p w:rsidR="000F560E" w:rsidRPr="00D147A7" w:rsidRDefault="000F560E" w:rsidP="000F560E">
      <w:pPr>
        <w:widowControl/>
        <w:suppressAutoHyphens w:val="0"/>
        <w:rPr>
          <w:rFonts w:eastAsiaTheme="minorEastAsia"/>
          <w:b/>
          <w:kern w:val="0"/>
          <w:lang w:val="en-US" w:eastAsia="en-US" w:bidi="ar-SA"/>
        </w:rPr>
      </w:pPr>
      <w:r w:rsidRPr="00D147A7">
        <w:rPr>
          <w:rFonts w:eastAsiaTheme="minorEastAsia"/>
          <w:b/>
          <w:kern w:val="0"/>
          <w:lang w:eastAsia="en-US" w:bidi="ar-SA"/>
        </w:rPr>
        <w:tab/>
      </w:r>
      <w:r w:rsidRPr="00D147A7">
        <w:rPr>
          <w:rFonts w:eastAsiaTheme="minorEastAsia"/>
          <w:b/>
          <w:kern w:val="0"/>
          <w:lang w:eastAsia="en-US" w:bidi="ar-SA"/>
        </w:rPr>
        <w:tab/>
      </w:r>
      <w:r w:rsidRPr="00D147A7">
        <w:rPr>
          <w:rFonts w:eastAsiaTheme="minorEastAsia"/>
          <w:b/>
          <w:kern w:val="0"/>
          <w:lang w:val="en-US" w:eastAsia="en-US" w:bidi="ar-SA"/>
        </w:rPr>
        <w:t>4.6.1.3 Rechtsleer en literatuur</w:t>
      </w:r>
    </w:p>
    <w:p w:rsidR="000F560E" w:rsidRPr="00D147A7" w:rsidRDefault="000F560E" w:rsidP="000F560E">
      <w:pPr>
        <w:widowControl/>
        <w:suppressAutoHyphens w:val="0"/>
        <w:jc w:val="both"/>
        <w:rPr>
          <w:rFonts w:eastAsiaTheme="minorEastAsia"/>
          <w:kern w:val="0"/>
          <w:lang w:val="en-US" w:eastAsia="en-US" w:bidi="ar-SA"/>
        </w:rPr>
      </w:pP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AUSLOOS, J., ‘The Right to be Forgotten – Worth remembering?’, </w:t>
      </w:r>
      <w:r w:rsidRPr="00D147A7">
        <w:rPr>
          <w:rFonts w:eastAsiaTheme="minorEastAsia"/>
          <w:i/>
          <w:kern w:val="0"/>
          <w:lang w:val="en-US" w:eastAsia="en-US" w:bidi="ar-SA"/>
        </w:rPr>
        <w:t>C.L.S.R.</w:t>
      </w:r>
      <w:r w:rsidRPr="00D147A7">
        <w:rPr>
          <w:rFonts w:eastAsiaTheme="minorEastAsia"/>
          <w:kern w:val="0"/>
          <w:lang w:val="en-US" w:eastAsia="en-US" w:bidi="ar-SA"/>
        </w:rPr>
        <w:t xml:space="preserve">, 28/2 (2012), p. 143-152.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CAMMILLERI-SUBRENAT, A.; LEVALLOIS-BARTH, C.; </w:t>
      </w:r>
      <w:r w:rsidRPr="00D147A7">
        <w:rPr>
          <w:rFonts w:eastAsiaTheme="minorEastAsia"/>
          <w:i/>
          <w:kern w:val="0"/>
          <w:lang w:val="en-US" w:eastAsia="en-US" w:bidi="ar-SA"/>
        </w:rPr>
        <w:t>Sensitive data protection in the European Union</w:t>
      </w:r>
      <w:r w:rsidRPr="00D147A7">
        <w:rPr>
          <w:rFonts w:eastAsiaTheme="minorEastAsia"/>
          <w:kern w:val="0"/>
          <w:lang w:val="en-US" w:eastAsia="en-US" w:bidi="ar-SA"/>
        </w:rPr>
        <w:t xml:space="preserve">, Travaux du CERIC, 15, Brussel, Bruylant, 2007, 252p.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COOLEY, T.M., </w:t>
      </w:r>
      <w:r w:rsidRPr="00D147A7">
        <w:rPr>
          <w:rFonts w:eastAsiaTheme="minorEastAsia"/>
          <w:i/>
          <w:kern w:val="0"/>
          <w:lang w:val="en-US" w:eastAsia="en-US" w:bidi="ar-SA"/>
        </w:rPr>
        <w:t>A Treatise on the Law of Torts or the Wrongs Which Arise Independently of Contract</w:t>
      </w:r>
      <w:r w:rsidRPr="00D147A7">
        <w:rPr>
          <w:rFonts w:eastAsiaTheme="minorEastAsia"/>
          <w:kern w:val="0"/>
          <w:lang w:val="en-US" w:eastAsia="en-US" w:bidi="ar-SA"/>
        </w:rPr>
        <w:t>, Chicago, Callaghan and Company, 1880, 756p.</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DE BAETS, A., </w:t>
      </w:r>
      <w:r w:rsidRPr="00D147A7">
        <w:rPr>
          <w:rFonts w:eastAsiaTheme="minorEastAsia"/>
          <w:i/>
          <w:kern w:val="0"/>
          <w:lang w:val="en-US" w:eastAsia="en-US" w:bidi="ar-SA"/>
        </w:rPr>
        <w:t>Responsible History</w:t>
      </w:r>
      <w:r w:rsidRPr="00D147A7">
        <w:rPr>
          <w:rFonts w:eastAsiaTheme="minorEastAsia"/>
          <w:kern w:val="0"/>
          <w:lang w:val="en-US" w:eastAsia="en-US" w:bidi="ar-SA"/>
        </w:rPr>
        <w:t xml:space="preserve">, New York, Berghahn Books, 2009, 274p.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lastRenderedPageBreak/>
        <w:t xml:space="preserve">DOURAKI, T., ‘Le secret médical en tant qu’un élément de la vie privée du malade, face aux progrès de l’informatique: l’approche juridique européenne’, </w:t>
      </w:r>
      <w:r w:rsidRPr="00D147A7">
        <w:rPr>
          <w:rFonts w:eastAsiaTheme="minorEastAsia"/>
          <w:i/>
          <w:kern w:val="0"/>
          <w:lang w:val="fr-BE" w:eastAsia="en-US" w:bidi="ar-SA"/>
        </w:rPr>
        <w:t>R.M.C.</w:t>
      </w:r>
      <w:r w:rsidRPr="00D147A7">
        <w:rPr>
          <w:rFonts w:eastAsiaTheme="minorEastAsia"/>
          <w:kern w:val="0"/>
          <w:lang w:val="fr-BE" w:eastAsia="en-US" w:bidi="ar-SA"/>
        </w:rPr>
        <w:t>, 467 (2003), p. 257-265.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DUBAELE, M.M., ‘Secret professionnel et archivage des dossiers hospitaliers’, </w:t>
      </w:r>
      <w:r w:rsidRPr="00D147A7">
        <w:rPr>
          <w:rFonts w:eastAsiaTheme="minorEastAsia"/>
          <w:i/>
          <w:kern w:val="0"/>
          <w:lang w:val="fr-BE" w:eastAsia="en-US" w:bidi="ar-SA"/>
        </w:rPr>
        <w:t>J.M.L.</w:t>
      </w:r>
      <w:r w:rsidRPr="00D147A7">
        <w:rPr>
          <w:rFonts w:eastAsiaTheme="minorEastAsia"/>
          <w:kern w:val="0"/>
          <w:lang w:val="fr-BE" w:eastAsia="en-US" w:bidi="ar-SA"/>
        </w:rPr>
        <w:t>, 32/2 (1989), p. 69-71.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KILKELLY, U., </w:t>
      </w:r>
      <w:r w:rsidRPr="00D147A7">
        <w:rPr>
          <w:rFonts w:eastAsiaTheme="minorEastAsia"/>
          <w:i/>
          <w:kern w:val="0"/>
          <w:lang w:val="fr-BE" w:eastAsia="en-US" w:bidi="ar-SA"/>
        </w:rPr>
        <w:t>Le droit au respect de la vie privée et familiale. Un guide sur la mise en œuvre de l’article 8 de la Convention européenne des Droits de l’Homme</w:t>
      </w:r>
      <w:r w:rsidRPr="00D147A7">
        <w:rPr>
          <w:rFonts w:eastAsiaTheme="minorEastAsia"/>
          <w:kern w:val="0"/>
          <w:lang w:val="fr-BE" w:eastAsia="en-US" w:bidi="ar-SA"/>
        </w:rPr>
        <w:t xml:space="preserve">, Précis sur les droits de l’homme, 1, Straatsburg, Conseil de l’Europe, 2003, 73p. </w:t>
      </w:r>
      <w:r w:rsidRPr="00D147A7">
        <w:rPr>
          <w:rFonts w:eastAsiaTheme="minorEastAsia"/>
          <w:kern w:val="0"/>
          <w:lang w:eastAsia="en-US" w:bidi="ar-SA"/>
        </w:rPr>
        <w:t>(</w:t>
      </w:r>
      <w:hyperlink r:id="rId378" w:history="1">
        <w:r w:rsidR="002E6C99" w:rsidRPr="00D147A7">
          <w:rPr>
            <w:rStyle w:val="Hyperlink"/>
            <w:rFonts w:eastAsiaTheme="minorEastAsia"/>
            <w:kern w:val="0"/>
            <w:lang w:eastAsia="en-US" w:bidi="ar-SA"/>
          </w:rPr>
          <w:t>http://echr.coe.int/NR/rdonlyres/ 697D579F-D3EE-4CC5-91FA-4FF91F9D6A37/0/DG2FRHRHAND012003.pdf</w:t>
        </w:r>
      </w:hyperlink>
      <w:r w:rsidRPr="00D147A7">
        <w:rPr>
          <w:rFonts w:eastAsiaTheme="minorEastAsia"/>
          <w:kern w:val="0"/>
          <w:lang w:eastAsia="en-US" w:bidi="ar-SA"/>
        </w:rPr>
        <w:t>, laatst ge</w:t>
      </w:r>
      <w:r w:rsidR="002E6C99" w:rsidRPr="00D147A7">
        <w:rPr>
          <w:rFonts w:eastAsiaTheme="minorEastAsia"/>
          <w:kern w:val="0"/>
          <w:lang w:eastAsia="en-US" w:bidi="ar-SA"/>
        </w:rPr>
        <w:t>-</w:t>
      </w:r>
      <w:r w:rsidRPr="00D147A7">
        <w:rPr>
          <w:rFonts w:eastAsiaTheme="minorEastAsia"/>
          <w:kern w:val="0"/>
          <w:lang w:eastAsia="en-US" w:bidi="ar-SA"/>
        </w:rPr>
        <w:t>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LE CLAINCHE, J., ‘L’adaptation du ‘droit à l’oubli’ au contexte numérique’, </w:t>
      </w:r>
      <w:r w:rsidRPr="00D147A7">
        <w:rPr>
          <w:rFonts w:eastAsiaTheme="minorEastAsia"/>
          <w:i/>
          <w:kern w:val="0"/>
          <w:lang w:val="fr-BE" w:eastAsia="en-US" w:bidi="ar-SA"/>
        </w:rPr>
        <w:t>R.E.D.C.</w:t>
      </w:r>
      <w:r w:rsidRPr="00D147A7">
        <w:rPr>
          <w:rFonts w:eastAsiaTheme="minorEastAsia"/>
          <w:kern w:val="0"/>
          <w:lang w:val="fr-BE" w:eastAsia="en-US" w:bidi="ar-SA"/>
        </w:rPr>
        <w:t>, 2012, 1, p. 39-60.</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MEANEY, M.E., ‘Data mining, Dataveillance and Medical Information Privacy’, HUMBER, J.M.; ALMEDER, R.F. (reds.); </w:t>
      </w:r>
      <w:r w:rsidRPr="00D147A7">
        <w:rPr>
          <w:rFonts w:eastAsiaTheme="minorEastAsia"/>
          <w:i/>
          <w:kern w:val="0"/>
          <w:lang w:val="en-US" w:eastAsia="en-US" w:bidi="ar-SA"/>
        </w:rPr>
        <w:t>Privacy and Health Care, Biomedical Ethics Reviews</w:t>
      </w:r>
      <w:r w:rsidRPr="00D147A7">
        <w:rPr>
          <w:rFonts w:eastAsiaTheme="minorEastAsia"/>
          <w:kern w:val="0"/>
          <w:lang w:val="en-US" w:eastAsia="en-US" w:bidi="ar-SA"/>
        </w:rPr>
        <w:t>, Toto</w:t>
      </w:r>
      <w:r w:rsidR="00221B97">
        <w:rPr>
          <w:rFonts w:eastAsiaTheme="minorEastAsia"/>
          <w:kern w:val="0"/>
          <w:lang w:val="en-US" w:eastAsia="en-US" w:bidi="ar-SA"/>
        </w:rPr>
        <w:t>-</w:t>
      </w:r>
      <w:r w:rsidRPr="00D147A7">
        <w:rPr>
          <w:rFonts w:eastAsiaTheme="minorEastAsia"/>
          <w:kern w:val="0"/>
          <w:lang w:val="en-US" w:eastAsia="en-US" w:bidi="ar-SA"/>
        </w:rPr>
        <w:t>wa, Humana press, 2001, p. 147-164.</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PARENT, W.A., ‘A New Definition of Privacy for the Law’, </w:t>
      </w:r>
      <w:r w:rsidRPr="00D147A7">
        <w:rPr>
          <w:rFonts w:eastAsiaTheme="minorEastAsia"/>
          <w:i/>
          <w:kern w:val="0"/>
          <w:lang w:val="en-US" w:eastAsia="en-US" w:bidi="ar-SA"/>
        </w:rPr>
        <w:t>Law and Philosophy</w:t>
      </w:r>
      <w:r w:rsidRPr="00D147A7">
        <w:rPr>
          <w:rFonts w:eastAsiaTheme="minorEastAsia"/>
          <w:kern w:val="0"/>
          <w:lang w:val="en-US" w:eastAsia="en-US" w:bidi="ar-SA"/>
        </w:rPr>
        <w:t>, 2/3 (1983), p. 305-338.</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PARKER, R.B., ‘A Definition of Privacy’, </w:t>
      </w:r>
      <w:r w:rsidRPr="00D147A7">
        <w:rPr>
          <w:rFonts w:eastAsiaTheme="minorEastAsia"/>
          <w:i/>
          <w:kern w:val="0"/>
          <w:lang w:val="en-US" w:eastAsia="en-US" w:bidi="ar-SA"/>
        </w:rPr>
        <w:t>Rutgers Law Review</w:t>
      </w:r>
      <w:r w:rsidRPr="00D147A7">
        <w:rPr>
          <w:rFonts w:eastAsiaTheme="minorEastAsia"/>
          <w:kern w:val="0"/>
          <w:lang w:val="en-US" w:eastAsia="en-US" w:bidi="ar-SA"/>
        </w:rPr>
        <w:t>, 27 (1973), p. 275-296.</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PASS, R.; GEHRKE, J.; LUI, E.; ‘Towards Privacy for Social Networks: A Zero-Knowledge Based Definition for Privacy’, </w:t>
      </w:r>
      <w:r w:rsidRPr="00D147A7">
        <w:rPr>
          <w:rFonts w:eastAsiaTheme="minorEastAsia"/>
          <w:i/>
          <w:kern w:val="0"/>
          <w:lang w:val="en-US" w:eastAsia="en-US" w:bidi="ar-SA"/>
        </w:rPr>
        <w:t>Theory of Cryptography</w:t>
      </w:r>
      <w:r w:rsidRPr="00D147A7">
        <w:rPr>
          <w:rFonts w:eastAsiaTheme="minorEastAsia"/>
          <w:kern w:val="0"/>
          <w:lang w:val="en-US" w:eastAsia="en-US" w:bidi="ar-SA"/>
        </w:rPr>
        <w:t>, 54/2 (2011), p. 432-449.</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POST, J.M., </w:t>
      </w:r>
      <w:r w:rsidRPr="00D147A7">
        <w:rPr>
          <w:rFonts w:eastAsiaTheme="minorEastAsia"/>
          <w:i/>
          <w:kern w:val="0"/>
          <w:lang w:val="en-US" w:eastAsia="en-US" w:bidi="ar-SA"/>
        </w:rPr>
        <w:t>Leaders and their followers in a dangerous world: the psychology of political behavior</w:t>
      </w:r>
      <w:r w:rsidRPr="00D147A7">
        <w:rPr>
          <w:rFonts w:eastAsiaTheme="minorEastAsia"/>
          <w:kern w:val="0"/>
          <w:lang w:val="en-US" w:eastAsia="en-US" w:bidi="ar-SA"/>
        </w:rPr>
        <w:t>, Psychoanalysis and Social Theory, New York, Cornell University Press, 2004, 302p.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Raad van Europa, </w:t>
      </w:r>
      <w:r w:rsidRPr="00D147A7">
        <w:rPr>
          <w:rFonts w:eastAsiaTheme="minorEastAsia"/>
          <w:i/>
          <w:kern w:val="0"/>
          <w:lang w:val="fr-BE" w:eastAsia="en-US" w:bidi="ar-SA"/>
        </w:rPr>
        <w:t>La protection des données médicales, Conseil de l’Europe. Références juri</w:t>
      </w:r>
      <w:r w:rsidR="00221B97">
        <w:rPr>
          <w:rFonts w:eastAsiaTheme="minorEastAsia"/>
          <w:i/>
          <w:kern w:val="0"/>
          <w:lang w:val="fr-BE" w:eastAsia="en-US" w:bidi="ar-SA"/>
        </w:rPr>
        <w:t>-</w:t>
      </w:r>
      <w:r w:rsidRPr="00D147A7">
        <w:rPr>
          <w:rFonts w:eastAsiaTheme="minorEastAsia"/>
          <w:i/>
          <w:kern w:val="0"/>
          <w:lang w:val="fr-BE" w:eastAsia="en-US" w:bidi="ar-SA"/>
        </w:rPr>
        <w:t>diques</w:t>
      </w:r>
      <w:r w:rsidRPr="00D147A7">
        <w:rPr>
          <w:rFonts w:eastAsiaTheme="minorEastAsia"/>
          <w:kern w:val="0"/>
          <w:lang w:val="fr-BE" w:eastAsia="en-US" w:bidi="ar-SA"/>
        </w:rPr>
        <w:t xml:space="preserve">, Straatsburg, Editions du Conseil de l’Europe, 1997, 72p.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WARREN, S.D.; BRANDEIS, L.D.; ‘The Right to Privacy’, </w:t>
      </w:r>
      <w:r w:rsidRPr="00D147A7">
        <w:rPr>
          <w:rFonts w:eastAsiaTheme="minorEastAsia"/>
          <w:i/>
          <w:kern w:val="0"/>
          <w:lang w:val="fr-BE" w:eastAsia="en-US" w:bidi="ar-SA"/>
        </w:rPr>
        <w:t>Harvard Law Review</w:t>
      </w:r>
      <w:r w:rsidRPr="00D147A7">
        <w:rPr>
          <w:rFonts w:eastAsiaTheme="minorEastAsia"/>
          <w:kern w:val="0"/>
          <w:lang w:val="fr-BE" w:eastAsia="en-US" w:bidi="ar-SA"/>
        </w:rPr>
        <w:t>, 4/5 (1890), p. 193-220.</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b/>
          <w:kern w:val="0"/>
          <w:lang w:val="fr-BE" w:eastAsia="en-US" w:bidi="ar-SA"/>
        </w:rPr>
      </w:pPr>
      <w:r w:rsidRPr="00D147A7">
        <w:rPr>
          <w:rFonts w:eastAsiaTheme="minorEastAsia"/>
          <w:b/>
          <w:kern w:val="0"/>
          <w:lang w:val="fr-BE" w:eastAsia="en-US" w:bidi="ar-SA"/>
        </w:rPr>
        <w:tab/>
      </w:r>
      <w:r w:rsidRPr="00D147A7">
        <w:rPr>
          <w:rFonts w:eastAsiaTheme="minorEastAsia"/>
          <w:b/>
          <w:kern w:val="0"/>
          <w:lang w:val="fr-BE" w:eastAsia="en-US" w:bidi="ar-SA"/>
        </w:rPr>
        <w:tab/>
        <w:t>4.6.1.4 Websites</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2E7E12" w:rsidP="000F560E">
      <w:pPr>
        <w:widowControl/>
        <w:suppressAutoHyphens w:val="0"/>
        <w:jc w:val="both"/>
        <w:rPr>
          <w:rFonts w:eastAsiaTheme="minorEastAsia"/>
          <w:kern w:val="0"/>
          <w:lang w:val="fr-BE" w:eastAsia="en-US" w:bidi="ar-SA"/>
        </w:rPr>
      </w:pPr>
      <w:hyperlink r:id="rId379" w:history="1">
        <w:r w:rsidR="000F560E" w:rsidRPr="00D147A7">
          <w:rPr>
            <w:rFonts w:eastAsiaTheme="minorEastAsia"/>
            <w:color w:val="0000FF"/>
            <w:kern w:val="0"/>
            <w:u w:val="single"/>
            <w:lang w:val="fr-BE" w:eastAsia="en-US" w:bidi="ar-SA"/>
          </w:rPr>
          <w:t>http://conventions.coe.int/</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380" w:history="1">
        <w:r w:rsidR="000F560E" w:rsidRPr="00D147A7">
          <w:rPr>
            <w:rFonts w:eastAsiaTheme="minorEastAsia"/>
            <w:color w:val="0000FF"/>
            <w:kern w:val="0"/>
            <w:u w:val="single"/>
            <w:lang w:val="fr-BE" w:eastAsia="en-US" w:bidi="ar-SA"/>
          </w:rPr>
          <w:t>http://ec.europa.eu/</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381" w:history="1">
        <w:r w:rsidR="000F560E" w:rsidRPr="00D147A7">
          <w:rPr>
            <w:rFonts w:eastAsiaTheme="minorEastAsia"/>
            <w:color w:val="0000FF"/>
            <w:kern w:val="0"/>
            <w:u w:val="single"/>
            <w:lang w:val="fr-BE" w:eastAsia="en-US" w:bidi="ar-SA"/>
          </w:rPr>
          <w:t>http://echr.coe.int/</w:t>
        </w:r>
      </w:hyperlink>
      <w:r w:rsidR="000F560E" w:rsidRPr="00D147A7">
        <w:rPr>
          <w:rFonts w:eastAsiaTheme="minorEastAsia"/>
          <w:kern w:val="0"/>
          <w:lang w:val="fr-BE" w:eastAsia="en-US" w:bidi="ar-SA"/>
        </w:rPr>
        <w:t xml:space="preserve">. </w:t>
      </w:r>
    </w:p>
    <w:p w:rsidR="000F560E" w:rsidRPr="00D147A7" w:rsidRDefault="002E7E12" w:rsidP="000F560E">
      <w:pPr>
        <w:widowControl/>
        <w:suppressAutoHyphens w:val="0"/>
        <w:jc w:val="both"/>
        <w:rPr>
          <w:rFonts w:eastAsiaTheme="minorEastAsia"/>
          <w:kern w:val="0"/>
          <w:lang w:val="fr-BE" w:eastAsia="en-US" w:bidi="ar-SA"/>
        </w:rPr>
      </w:pPr>
      <w:hyperlink r:id="rId382" w:history="1">
        <w:r w:rsidR="000F560E" w:rsidRPr="00D147A7">
          <w:rPr>
            <w:rFonts w:eastAsiaTheme="minorEastAsia"/>
            <w:color w:val="0000FF"/>
            <w:kern w:val="0"/>
            <w:u w:val="single"/>
            <w:lang w:val="fr-BE" w:eastAsia="en-US" w:bidi="ar-SA"/>
          </w:rPr>
          <w:t>http://eur-lex.europa.eu/</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383" w:history="1">
        <w:r w:rsidR="000F560E" w:rsidRPr="00D147A7">
          <w:rPr>
            <w:rFonts w:eastAsiaTheme="minorEastAsia"/>
            <w:color w:val="0000FF"/>
            <w:kern w:val="0"/>
            <w:u w:val="single"/>
            <w:lang w:val="fr-BE" w:eastAsia="en-US" w:bidi="ar-SA"/>
          </w:rPr>
          <w:t>http://www.edps.europa.eu/</w:t>
        </w:r>
        <w:r w:rsidR="000F560E" w:rsidRPr="00D147A7">
          <w:rPr>
            <w:rFonts w:eastAsiaTheme="minorEastAsia"/>
            <w:kern w:val="0"/>
            <w:lang w:val="fr-BE" w:eastAsia="en-US" w:bidi="ar-SA"/>
          </w:rPr>
          <w:t>.</w:t>
        </w:r>
      </w:hyperlink>
      <w:r w:rsidR="000F560E" w:rsidRPr="00D147A7">
        <w:rPr>
          <w:rFonts w:eastAsiaTheme="minorEastAsia"/>
          <w:kern w:val="0"/>
          <w:lang w:val="fr-BE" w:eastAsia="en-US" w:bidi="ar-SA"/>
        </w:rPr>
        <w:t xml:space="preserve"> </w:t>
      </w:r>
    </w:p>
    <w:p w:rsidR="000F560E" w:rsidRPr="00D147A7" w:rsidRDefault="002E7E12" w:rsidP="000F560E">
      <w:pPr>
        <w:widowControl/>
        <w:suppressAutoHyphens w:val="0"/>
        <w:jc w:val="both"/>
        <w:rPr>
          <w:rFonts w:eastAsiaTheme="minorEastAsia"/>
          <w:kern w:val="0"/>
          <w:lang w:val="fr-BE" w:eastAsia="en-US" w:bidi="ar-SA"/>
        </w:rPr>
      </w:pPr>
      <w:hyperlink r:id="rId384" w:history="1">
        <w:r w:rsidR="000F560E" w:rsidRPr="00D147A7">
          <w:rPr>
            <w:rFonts w:eastAsiaTheme="minorEastAsia"/>
            <w:color w:val="0000FF"/>
            <w:kern w:val="0"/>
            <w:u w:val="single"/>
            <w:lang w:val="fr-BE" w:eastAsia="en-US" w:bidi="ar-SA"/>
          </w:rPr>
          <w:t>http://www.europarl.europa.eu/</w:t>
        </w:r>
      </w:hyperlink>
      <w:r w:rsidR="000F560E" w:rsidRPr="00D147A7">
        <w:rPr>
          <w:rFonts w:eastAsiaTheme="minorEastAsia"/>
          <w:kern w:val="0"/>
          <w:lang w:val="fr-BE" w:eastAsia="en-US" w:bidi="ar-SA"/>
        </w:rPr>
        <w:t xml:space="preserve">. </w:t>
      </w:r>
    </w:p>
    <w:p w:rsidR="000F560E" w:rsidRDefault="000F560E" w:rsidP="000F560E">
      <w:pPr>
        <w:widowControl/>
        <w:suppressAutoHyphens w:val="0"/>
        <w:jc w:val="both"/>
        <w:rPr>
          <w:rFonts w:eastAsiaTheme="minorEastAsia"/>
          <w:b/>
          <w:smallCaps/>
          <w:kern w:val="0"/>
          <w:lang w:val="fr-BE" w:eastAsia="en-US" w:bidi="ar-SA"/>
        </w:rPr>
      </w:pPr>
    </w:p>
    <w:p w:rsidR="00AF492F" w:rsidRPr="00D147A7" w:rsidRDefault="00AF492F" w:rsidP="000F560E">
      <w:pPr>
        <w:widowControl/>
        <w:suppressAutoHyphens w:val="0"/>
        <w:jc w:val="both"/>
        <w:rPr>
          <w:rFonts w:eastAsiaTheme="minorEastAsia"/>
          <w:b/>
          <w:smallCaps/>
          <w:kern w:val="0"/>
          <w:lang w:val="fr-BE"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kern w:val="0"/>
          <w:lang w:eastAsia="en-US" w:bidi="ar-SA"/>
        </w:rPr>
        <w:t>4.6.</w:t>
      </w:r>
      <w:r w:rsidRPr="00D147A7">
        <w:rPr>
          <w:rFonts w:eastAsiaTheme="minorEastAsia"/>
          <w:b/>
          <w:smallCaps/>
          <w:kern w:val="0"/>
          <w:lang w:eastAsia="en-US" w:bidi="ar-SA"/>
        </w:rPr>
        <w:t>2 België</w:t>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4.6.2.1 Parlementaire voorbereidingen</w:t>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Parl.St.</w:t>
      </w:r>
      <w:r w:rsidRPr="00D147A7">
        <w:rPr>
          <w:rFonts w:eastAsiaTheme="minorEastAsia"/>
          <w:kern w:val="0"/>
          <w:lang w:eastAsia="en-US" w:bidi="ar-SA"/>
        </w:rPr>
        <w:t xml:space="preserve"> Kamer, 1997-1998, nr. 1566/1.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Parl.St.</w:t>
      </w:r>
      <w:r w:rsidRPr="00D147A7">
        <w:rPr>
          <w:rFonts w:eastAsiaTheme="minorEastAsia"/>
          <w:kern w:val="0"/>
          <w:lang w:eastAsia="en-US" w:bidi="ar-SA"/>
        </w:rPr>
        <w:t xml:space="preserve"> Kamer, 1997-1998, nr. 1566/10.</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 xml:space="preserve">4.6.2.2 Wetgeving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Universele Verklaring van de Rechten van de Mens van 10 december 1948 (</w:t>
      </w:r>
      <w:r w:rsidRPr="00D147A7">
        <w:rPr>
          <w:rFonts w:eastAsiaTheme="minorEastAsia"/>
          <w:i/>
          <w:kern w:val="0"/>
          <w:lang w:eastAsia="en-US" w:bidi="ar-SA"/>
        </w:rPr>
        <w:t>BS</w:t>
      </w:r>
      <w:r w:rsidRPr="00D147A7">
        <w:rPr>
          <w:rFonts w:eastAsiaTheme="minorEastAsia"/>
          <w:kern w:val="0"/>
          <w:lang w:eastAsia="en-US" w:bidi="ar-SA"/>
        </w:rPr>
        <w:t xml:space="preserve"> 31 maart 1949).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Verdrag van 4 november 1950 tot bescherming van de mens en de fundamentele vrijheden (</w:t>
      </w:r>
      <w:r w:rsidRPr="00D147A7">
        <w:rPr>
          <w:rFonts w:eastAsiaTheme="minorEastAsia"/>
          <w:i/>
          <w:kern w:val="0"/>
          <w:lang w:eastAsia="en-US" w:bidi="ar-SA"/>
        </w:rPr>
        <w:t>BS</w:t>
      </w:r>
      <w:r w:rsidRPr="00D147A7">
        <w:rPr>
          <w:rFonts w:eastAsiaTheme="minorEastAsia"/>
          <w:kern w:val="0"/>
          <w:lang w:eastAsia="en-US" w:bidi="ar-SA"/>
        </w:rPr>
        <w:t xml:space="preserve"> 19 augustus 1955).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Wet van 13 mei 1955 houdende goedkeuring van het Verdrag tot bescherming van de rechten van de Mens en de fundamentele vrijheden, ondertekend op 4 november 1950, te Rome, en van het Additioneel Protocol bij dit Verdrag, ondertekend op 20 maart 1052, te Parijs (</w:t>
      </w:r>
      <w:r w:rsidRPr="00D147A7">
        <w:rPr>
          <w:rFonts w:eastAsiaTheme="minorEastAsia"/>
          <w:i/>
          <w:kern w:val="0"/>
          <w:lang w:eastAsia="en-US" w:bidi="ar-SA"/>
        </w:rPr>
        <w:t>BS</w:t>
      </w:r>
      <w:r w:rsidRPr="00D147A7">
        <w:rPr>
          <w:rFonts w:eastAsiaTheme="minorEastAsia"/>
          <w:kern w:val="0"/>
          <w:lang w:eastAsia="en-US" w:bidi="ar-SA"/>
        </w:rPr>
        <w:t xml:space="preserve"> 19 augustus 1955; err. </w:t>
      </w:r>
      <w:r w:rsidRPr="00D147A7">
        <w:rPr>
          <w:rFonts w:eastAsiaTheme="minorEastAsia"/>
          <w:i/>
          <w:kern w:val="0"/>
          <w:lang w:eastAsia="en-US" w:bidi="ar-SA"/>
        </w:rPr>
        <w:t>BS</w:t>
      </w:r>
      <w:r w:rsidRPr="00D147A7">
        <w:rPr>
          <w:rFonts w:eastAsiaTheme="minorEastAsia"/>
          <w:kern w:val="0"/>
          <w:lang w:eastAsia="en-US" w:bidi="ar-SA"/>
        </w:rPr>
        <w:t xml:space="preserve"> 29 juni 1961).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8 juli 1964 betreffende de dringende geneeskundige hulpverlening (</w:t>
      </w:r>
      <w:r w:rsidRPr="00D147A7">
        <w:rPr>
          <w:rFonts w:eastAsiaTheme="minorEastAsia"/>
          <w:i/>
          <w:kern w:val="0"/>
          <w:lang w:eastAsia="en-US" w:bidi="ar-SA"/>
        </w:rPr>
        <w:t>BS</w:t>
      </w:r>
      <w:r w:rsidRPr="00D147A7">
        <w:rPr>
          <w:rFonts w:eastAsiaTheme="minorEastAsia"/>
          <w:kern w:val="0"/>
          <w:lang w:eastAsia="en-US" w:bidi="ar-SA"/>
        </w:rPr>
        <w:t xml:space="preserve"> 25 juli 1964).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23 oktober 1964 tot bepaling van de normen die door de ziekenhuizen en hun diens</w:t>
      </w:r>
      <w:r w:rsidR="00221B97">
        <w:rPr>
          <w:rFonts w:eastAsiaTheme="minorEastAsia"/>
          <w:kern w:val="0"/>
          <w:lang w:eastAsia="en-US" w:bidi="ar-SA"/>
        </w:rPr>
        <w:t>-</w:t>
      </w:r>
      <w:r w:rsidRPr="00D147A7">
        <w:rPr>
          <w:rFonts w:eastAsiaTheme="minorEastAsia"/>
          <w:kern w:val="0"/>
          <w:lang w:eastAsia="en-US" w:bidi="ar-SA"/>
        </w:rPr>
        <w:t>ten moeten worden nageleefd (</w:t>
      </w:r>
      <w:r w:rsidRPr="00D147A7">
        <w:rPr>
          <w:rFonts w:eastAsiaTheme="minorEastAsia"/>
          <w:i/>
          <w:kern w:val="0"/>
          <w:lang w:eastAsia="en-US" w:bidi="ar-SA"/>
        </w:rPr>
        <w:t>BS</w:t>
      </w:r>
      <w:r w:rsidRPr="00D147A7">
        <w:rPr>
          <w:rFonts w:eastAsiaTheme="minorEastAsia"/>
          <w:kern w:val="0"/>
          <w:lang w:eastAsia="en-US" w:bidi="ar-SA"/>
        </w:rPr>
        <w:t xml:space="preserve"> 7 november 1964).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Internationaal verdrag inzake burgerrechten en politieke rechten (</w:t>
      </w:r>
      <w:r w:rsidRPr="00D147A7">
        <w:rPr>
          <w:rFonts w:eastAsiaTheme="minorEastAsia"/>
          <w:i/>
          <w:kern w:val="0"/>
          <w:lang w:eastAsia="en-US" w:bidi="ar-SA"/>
        </w:rPr>
        <w:t>BS</w:t>
      </w:r>
      <w:r w:rsidRPr="00D147A7">
        <w:rPr>
          <w:rFonts w:eastAsiaTheme="minorEastAsia"/>
          <w:kern w:val="0"/>
          <w:lang w:eastAsia="en-US" w:bidi="ar-SA"/>
        </w:rPr>
        <w:t xml:space="preserve"> 19 december 1966).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15 mei 1981 houdende goedkeuring van volgende Internationale akten: a) Internatio</w:t>
      </w:r>
      <w:r w:rsidR="00221B97">
        <w:rPr>
          <w:rFonts w:eastAsiaTheme="minorEastAsia"/>
          <w:kern w:val="0"/>
          <w:lang w:eastAsia="en-US" w:bidi="ar-SA"/>
        </w:rPr>
        <w:t>-</w:t>
      </w:r>
      <w:r w:rsidRPr="00D147A7">
        <w:rPr>
          <w:rFonts w:eastAsiaTheme="minorEastAsia"/>
          <w:kern w:val="0"/>
          <w:lang w:eastAsia="en-US" w:bidi="ar-SA"/>
        </w:rPr>
        <w:t>naal Verdrag inzake economische, sociale en culturele rechten; b) Internationaal Verdrag in</w:t>
      </w:r>
      <w:r w:rsidR="00221B97">
        <w:rPr>
          <w:rFonts w:eastAsiaTheme="minorEastAsia"/>
          <w:kern w:val="0"/>
          <w:lang w:eastAsia="en-US" w:bidi="ar-SA"/>
        </w:rPr>
        <w:t>-</w:t>
      </w:r>
      <w:r w:rsidRPr="00D147A7">
        <w:rPr>
          <w:rFonts w:eastAsiaTheme="minorEastAsia"/>
          <w:kern w:val="0"/>
          <w:lang w:eastAsia="en-US" w:bidi="ar-SA"/>
        </w:rPr>
        <w:t>zake burgerrechten en politieke rechten, opgemaakt te New-York op 19 december 1966 (</w:t>
      </w:r>
      <w:r w:rsidRPr="00D147A7">
        <w:rPr>
          <w:rFonts w:eastAsiaTheme="minorEastAsia"/>
          <w:i/>
          <w:kern w:val="0"/>
          <w:lang w:eastAsia="en-US" w:bidi="ar-SA"/>
        </w:rPr>
        <w:t>BS</w:t>
      </w:r>
      <w:r w:rsidRPr="00D147A7">
        <w:rPr>
          <w:rFonts w:eastAsiaTheme="minorEastAsia"/>
          <w:kern w:val="0"/>
          <w:lang w:eastAsia="en-US" w:bidi="ar-SA"/>
        </w:rPr>
        <w:t xml:space="preserve"> 6 juli 1983).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17 juni 1991 houdende goedkeuring van het Verdrag tot bescherming van personen ten opzichte van de geautomatiseerde verwerking van persoonsgegevens, opgemaakt te Straatsburg op 28 januari 1981 (</w:t>
      </w:r>
      <w:r w:rsidRPr="00D147A7">
        <w:rPr>
          <w:rFonts w:eastAsiaTheme="minorEastAsia"/>
          <w:i/>
          <w:kern w:val="0"/>
          <w:lang w:eastAsia="en-US" w:bidi="ar-SA"/>
        </w:rPr>
        <w:t>BS</w:t>
      </w:r>
      <w:r w:rsidRPr="00D147A7">
        <w:rPr>
          <w:rFonts w:eastAsiaTheme="minorEastAsia"/>
          <w:kern w:val="0"/>
          <w:lang w:eastAsia="en-US" w:bidi="ar-SA"/>
        </w:rPr>
        <w:t xml:space="preserve"> 30 december 1993).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8 december 1992 betreffende de verwerking van persoonsgegevens ten opzichte van de bescherming van de persoonlijke levenssfeer (</w:t>
      </w:r>
      <w:r w:rsidRPr="00D147A7">
        <w:rPr>
          <w:rFonts w:eastAsiaTheme="minorEastAsia"/>
          <w:i/>
          <w:kern w:val="0"/>
          <w:lang w:eastAsia="en-US" w:bidi="ar-SA"/>
        </w:rPr>
        <w:t>BS</w:t>
      </w:r>
      <w:r w:rsidRPr="00D147A7">
        <w:rPr>
          <w:rFonts w:eastAsiaTheme="minorEastAsia"/>
          <w:kern w:val="0"/>
          <w:lang w:eastAsia="en-US" w:bidi="ar-SA"/>
        </w:rPr>
        <w:t xml:space="preserve"> 18 maart 1993).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nr. 3 van 7 september 1993 tot aanwijzing van de personen bij wie het verzoek om mede</w:t>
      </w:r>
      <w:r w:rsidR="00221B97">
        <w:rPr>
          <w:rFonts w:eastAsiaTheme="minorEastAsia"/>
          <w:kern w:val="0"/>
          <w:lang w:eastAsia="en-US" w:bidi="ar-SA"/>
        </w:rPr>
        <w:t>-</w:t>
      </w:r>
      <w:r w:rsidRPr="00D147A7">
        <w:rPr>
          <w:rFonts w:eastAsiaTheme="minorEastAsia"/>
          <w:kern w:val="0"/>
          <w:lang w:eastAsia="en-US" w:bidi="ar-SA"/>
        </w:rPr>
        <w:t>deling van persoonsgegevens gegrond op artikel 10 van de wet van 8 december 1992 tot be</w:t>
      </w:r>
      <w:r w:rsidR="00221B97">
        <w:rPr>
          <w:rFonts w:eastAsiaTheme="minorEastAsia"/>
          <w:kern w:val="0"/>
          <w:lang w:eastAsia="en-US" w:bidi="ar-SA"/>
        </w:rPr>
        <w:t>-</w:t>
      </w:r>
      <w:r w:rsidRPr="00D147A7">
        <w:rPr>
          <w:rFonts w:eastAsiaTheme="minorEastAsia"/>
          <w:kern w:val="0"/>
          <w:lang w:eastAsia="en-US" w:bidi="ar-SA"/>
        </w:rPr>
        <w:t>scherming van de persoonlijke levenssfeer ten opzichte van de verwerking van persoonsgege</w:t>
      </w:r>
      <w:r w:rsidR="00221B97">
        <w:rPr>
          <w:rFonts w:eastAsiaTheme="minorEastAsia"/>
          <w:kern w:val="0"/>
          <w:lang w:eastAsia="en-US" w:bidi="ar-SA"/>
        </w:rPr>
        <w:t>-</w:t>
      </w:r>
      <w:r w:rsidRPr="00D147A7">
        <w:rPr>
          <w:rFonts w:eastAsiaTheme="minorEastAsia"/>
          <w:kern w:val="0"/>
          <w:lang w:eastAsia="en-US" w:bidi="ar-SA"/>
        </w:rPr>
        <w:t>vens moet worden ingediend (</w:t>
      </w:r>
      <w:r w:rsidRPr="00D147A7">
        <w:rPr>
          <w:rFonts w:eastAsiaTheme="minorEastAsia"/>
          <w:i/>
          <w:kern w:val="0"/>
          <w:lang w:eastAsia="en-US" w:bidi="ar-SA"/>
        </w:rPr>
        <w:t>BS</w:t>
      </w:r>
      <w:r w:rsidRPr="00D147A7">
        <w:rPr>
          <w:rFonts w:eastAsiaTheme="minorEastAsia"/>
          <w:kern w:val="0"/>
          <w:lang w:eastAsia="en-US" w:bidi="ar-SA"/>
        </w:rPr>
        <w:t xml:space="preserve"> 25 september 1993).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nr. 5 van 7 september 1993 tot aanwijzing van de personen bij wie de verzoeken tot ver</w:t>
      </w:r>
      <w:r w:rsidR="00221B97">
        <w:rPr>
          <w:rFonts w:eastAsiaTheme="minorEastAsia"/>
          <w:kern w:val="0"/>
          <w:lang w:eastAsia="en-US" w:bidi="ar-SA"/>
        </w:rPr>
        <w:t>-</w:t>
      </w:r>
      <w:r w:rsidRPr="00D147A7">
        <w:rPr>
          <w:rFonts w:eastAsiaTheme="minorEastAsia"/>
          <w:kern w:val="0"/>
          <w:lang w:eastAsia="en-US" w:bidi="ar-SA"/>
        </w:rPr>
        <w:t>betering, verwijdering of verbod op de aanwending van persoonsgegevens gegrond op artikel 12 van de wet van 8 december 1992 tot bescherming van  de persoonlijke levenssfeer ten  op</w:t>
      </w:r>
      <w:r w:rsidR="00221B97">
        <w:rPr>
          <w:rFonts w:eastAsiaTheme="minorEastAsia"/>
          <w:kern w:val="0"/>
          <w:lang w:eastAsia="en-US" w:bidi="ar-SA"/>
        </w:rPr>
        <w:t>-</w:t>
      </w:r>
      <w:r w:rsidRPr="00D147A7">
        <w:rPr>
          <w:rFonts w:eastAsiaTheme="minorEastAsia"/>
          <w:kern w:val="0"/>
          <w:lang w:eastAsia="en-US" w:bidi="ar-SA"/>
        </w:rPr>
        <w:t>zichte van de verwerking van persoonsgegevens moeten worden ingediend (</w:t>
      </w:r>
      <w:r w:rsidRPr="00D147A7">
        <w:rPr>
          <w:rFonts w:eastAsiaTheme="minorEastAsia"/>
          <w:i/>
          <w:kern w:val="0"/>
          <w:lang w:eastAsia="en-US" w:bidi="ar-SA"/>
        </w:rPr>
        <w:t>BS</w:t>
      </w:r>
      <w:r w:rsidRPr="00D147A7">
        <w:rPr>
          <w:rFonts w:eastAsiaTheme="minorEastAsia"/>
          <w:kern w:val="0"/>
          <w:lang w:eastAsia="en-US" w:bidi="ar-SA"/>
        </w:rPr>
        <w:t xml:space="preserve"> 25 september 1993).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betreffende de verplichte verzekering voor geneeskundige verzorging en uitkeringen ge</w:t>
      </w:r>
      <w:r w:rsidR="00221B97">
        <w:rPr>
          <w:rFonts w:eastAsiaTheme="minorEastAsia"/>
          <w:kern w:val="0"/>
          <w:lang w:eastAsia="en-US" w:bidi="ar-SA"/>
        </w:rPr>
        <w:t>-</w:t>
      </w:r>
      <w:r w:rsidRPr="00D147A7">
        <w:rPr>
          <w:rFonts w:eastAsiaTheme="minorEastAsia"/>
          <w:kern w:val="0"/>
          <w:lang w:eastAsia="en-US" w:bidi="ar-SA"/>
        </w:rPr>
        <w:t>coördineerd op 14 juli 1994 (</w:t>
      </w:r>
      <w:r w:rsidRPr="00D147A7">
        <w:rPr>
          <w:rFonts w:eastAsiaTheme="minorEastAsia"/>
          <w:i/>
          <w:kern w:val="0"/>
          <w:lang w:eastAsia="en-US" w:bidi="ar-SA"/>
        </w:rPr>
        <w:t>BS</w:t>
      </w:r>
      <w:r w:rsidRPr="00D147A7">
        <w:rPr>
          <w:rFonts w:eastAsiaTheme="minorEastAsia"/>
          <w:kern w:val="0"/>
          <w:lang w:eastAsia="en-US" w:bidi="ar-SA"/>
        </w:rPr>
        <w:t xml:space="preserve"> 27 augustus 1994).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16 december 1994 houdende wijziging van het KB van 23 oktober 1964 tot bepaling van de normen die door de ziekenhuizen en hun diensten moeten worden nageleefd (</w:t>
      </w:r>
      <w:r w:rsidRPr="00D147A7">
        <w:rPr>
          <w:rFonts w:eastAsiaTheme="minorEastAsia"/>
          <w:i/>
          <w:kern w:val="0"/>
          <w:lang w:eastAsia="en-US" w:bidi="ar-SA"/>
        </w:rPr>
        <w:t>BS</w:t>
      </w:r>
      <w:r w:rsidRPr="00D147A7">
        <w:rPr>
          <w:rFonts w:eastAsiaTheme="minorEastAsia"/>
          <w:kern w:val="0"/>
          <w:lang w:eastAsia="en-US" w:bidi="ar-SA"/>
        </w:rPr>
        <w:t xml:space="preserve"> 31 ja</w:t>
      </w:r>
      <w:r w:rsidR="00221B97">
        <w:rPr>
          <w:rFonts w:eastAsiaTheme="minorEastAsia"/>
          <w:kern w:val="0"/>
          <w:lang w:eastAsia="en-US" w:bidi="ar-SA"/>
        </w:rPr>
        <w:t>-</w:t>
      </w:r>
      <w:r w:rsidRPr="00D147A7">
        <w:rPr>
          <w:rFonts w:eastAsiaTheme="minorEastAsia"/>
          <w:kern w:val="0"/>
          <w:lang w:eastAsia="en-US" w:bidi="ar-SA"/>
        </w:rPr>
        <w:t>nuari 1995).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11 december 1998 tot omzetting van de richtlijn 95/46/EG van 24 oktober 1995 van het Europees Parlement en de Raad betreffende de bescherming van natuurlijke personen in verband met de verwerking van persoonsgegevens en betreffende het vrij verkeer van die ge</w:t>
      </w:r>
      <w:r w:rsidR="00221B97">
        <w:rPr>
          <w:rFonts w:eastAsiaTheme="minorEastAsia"/>
          <w:kern w:val="0"/>
          <w:lang w:eastAsia="en-US" w:bidi="ar-SA"/>
        </w:rPr>
        <w:t>-</w:t>
      </w:r>
      <w:r w:rsidRPr="00D147A7">
        <w:rPr>
          <w:rFonts w:eastAsiaTheme="minorEastAsia"/>
          <w:kern w:val="0"/>
          <w:lang w:eastAsia="en-US" w:bidi="ar-SA"/>
        </w:rPr>
        <w:t>gevens (</w:t>
      </w:r>
      <w:r w:rsidRPr="00D147A7">
        <w:rPr>
          <w:rFonts w:eastAsiaTheme="minorEastAsia"/>
          <w:i/>
          <w:kern w:val="0"/>
          <w:lang w:eastAsia="en-US" w:bidi="ar-SA"/>
        </w:rPr>
        <w:t>BS</w:t>
      </w:r>
      <w:r w:rsidRPr="00D147A7">
        <w:rPr>
          <w:rFonts w:eastAsiaTheme="minorEastAsia"/>
          <w:kern w:val="0"/>
          <w:lang w:eastAsia="en-US" w:bidi="ar-SA"/>
        </w:rPr>
        <w:t xml:space="preserve"> 3 februari 1999).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22 maart 1999 betreffende de identificatieprocedure via DNA-analyse in strafzaken (</w:t>
      </w:r>
      <w:r w:rsidRPr="00D147A7">
        <w:rPr>
          <w:rFonts w:eastAsiaTheme="minorEastAsia"/>
          <w:i/>
          <w:kern w:val="0"/>
          <w:lang w:eastAsia="en-US" w:bidi="ar-SA"/>
        </w:rPr>
        <w:t>BS</w:t>
      </w:r>
      <w:r w:rsidRPr="00D147A7">
        <w:rPr>
          <w:rFonts w:eastAsiaTheme="minorEastAsia"/>
          <w:kern w:val="0"/>
          <w:lang w:eastAsia="en-US" w:bidi="ar-SA"/>
        </w:rPr>
        <w:t xml:space="preserve"> 20 mei 1999).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13 december 2006 houdende diverse bepalingen betreffende gezondheid (</w:t>
      </w:r>
      <w:r w:rsidRPr="00D147A7">
        <w:rPr>
          <w:rFonts w:eastAsiaTheme="minorEastAsia"/>
          <w:i/>
          <w:kern w:val="0"/>
          <w:lang w:eastAsia="en-US" w:bidi="ar-SA"/>
        </w:rPr>
        <w:t>BS</w:t>
      </w:r>
      <w:r w:rsidRPr="00D147A7">
        <w:rPr>
          <w:rFonts w:eastAsiaTheme="minorEastAsia"/>
          <w:kern w:val="0"/>
          <w:lang w:eastAsia="en-US" w:bidi="ar-SA"/>
        </w:rPr>
        <w:t xml:space="preserve"> 22 de</w:t>
      </w:r>
      <w:r w:rsidR="00221B97">
        <w:rPr>
          <w:rFonts w:eastAsiaTheme="minorEastAsia"/>
          <w:kern w:val="0"/>
          <w:lang w:eastAsia="en-US" w:bidi="ar-SA"/>
        </w:rPr>
        <w:t>-</w:t>
      </w:r>
      <w:r w:rsidRPr="00D147A7">
        <w:rPr>
          <w:rFonts w:eastAsiaTheme="minorEastAsia"/>
          <w:kern w:val="0"/>
          <w:lang w:eastAsia="en-US" w:bidi="ar-SA"/>
        </w:rPr>
        <w:t>cember 2006).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MB van 19 juni 2009 tot bepaling van de lijst van infecties die gemeld moeten worden en tot delegatie van de bevoegdheid om ambtenaren-artsen en ambtenaren aan te wijzen (</w:t>
      </w:r>
      <w:r w:rsidRPr="00D147A7">
        <w:rPr>
          <w:rFonts w:eastAsiaTheme="minorEastAsia"/>
          <w:i/>
          <w:kern w:val="0"/>
          <w:lang w:eastAsia="en-US" w:bidi="ar-SA"/>
        </w:rPr>
        <w:t>BS</w:t>
      </w:r>
      <w:r w:rsidRPr="00D147A7">
        <w:rPr>
          <w:rFonts w:eastAsiaTheme="minorEastAsia"/>
          <w:kern w:val="0"/>
          <w:lang w:eastAsia="en-US" w:bidi="ar-SA"/>
        </w:rPr>
        <w:t xml:space="preserve"> 20 juli 2009).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12 oktober 2011 tot vaststelling van de regelen betreffende de organisatie en de wer</w:t>
      </w:r>
      <w:r w:rsidR="00221B97">
        <w:rPr>
          <w:rFonts w:eastAsiaTheme="minorEastAsia"/>
          <w:kern w:val="0"/>
          <w:lang w:eastAsia="en-US" w:bidi="ar-SA"/>
        </w:rPr>
        <w:t>-</w:t>
      </w:r>
      <w:r w:rsidRPr="00D147A7">
        <w:rPr>
          <w:rFonts w:eastAsiaTheme="minorEastAsia"/>
          <w:kern w:val="0"/>
          <w:lang w:eastAsia="en-US" w:bidi="ar-SA"/>
        </w:rPr>
        <w:t>king van het Fonds voor de medische ongevallen (</w:t>
      </w:r>
      <w:r w:rsidRPr="00D147A7">
        <w:rPr>
          <w:rFonts w:eastAsiaTheme="minorEastAsia"/>
          <w:i/>
          <w:kern w:val="0"/>
          <w:lang w:eastAsia="en-US" w:bidi="ar-SA"/>
        </w:rPr>
        <w:t>BS</w:t>
      </w:r>
      <w:r w:rsidRPr="00D147A7">
        <w:rPr>
          <w:rFonts w:eastAsiaTheme="minorEastAsia"/>
          <w:kern w:val="0"/>
          <w:lang w:eastAsia="en-US" w:bidi="ar-SA"/>
        </w:rPr>
        <w:t xml:space="preserve"> 17 oktober 2010).</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4.6.2.3 Nationale Raad van de Orde der geneesheren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‘Inbeslagneming van medische attesten’, </w:t>
      </w:r>
      <w:r w:rsidRPr="00D147A7">
        <w:rPr>
          <w:rFonts w:eastAsiaTheme="minorEastAsia"/>
          <w:i/>
          <w:kern w:val="0"/>
          <w:lang w:eastAsia="en-US" w:bidi="ar-SA"/>
        </w:rPr>
        <w:t>T.N.R.</w:t>
      </w:r>
      <w:r w:rsidRPr="00D147A7">
        <w:rPr>
          <w:rFonts w:eastAsiaTheme="minorEastAsia"/>
          <w:kern w:val="0"/>
          <w:lang w:eastAsia="en-US" w:bidi="ar-SA"/>
        </w:rPr>
        <w:t>, 31 (1983), p. 37.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‘Huiszoeking en inbeslagneming van medische documenten – Rol van de afgevaardigde van de provinciale raad’, </w:t>
      </w:r>
      <w:r w:rsidRPr="00D147A7">
        <w:rPr>
          <w:rFonts w:eastAsiaTheme="minorEastAsia"/>
          <w:i/>
          <w:kern w:val="0"/>
          <w:lang w:eastAsia="en-US" w:bidi="ar-SA"/>
        </w:rPr>
        <w:t>T.N.R.</w:t>
      </w:r>
      <w:r w:rsidRPr="00D147A7">
        <w:rPr>
          <w:rFonts w:eastAsiaTheme="minorEastAsia"/>
          <w:kern w:val="0"/>
          <w:lang w:eastAsia="en-US" w:bidi="ar-SA"/>
        </w:rPr>
        <w:t>, 87 (1999), p. 29.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‘Ontwerp van koninklijk besluit ter uitvoering van de wet van 8 december 1992 tot bescher</w:t>
      </w:r>
      <w:r w:rsidR="00221B97">
        <w:rPr>
          <w:rFonts w:eastAsiaTheme="minorEastAsia"/>
          <w:kern w:val="0"/>
          <w:lang w:eastAsia="en-US" w:bidi="ar-SA"/>
        </w:rPr>
        <w:t>-</w:t>
      </w:r>
      <w:r w:rsidRPr="00D147A7">
        <w:rPr>
          <w:rFonts w:eastAsiaTheme="minorEastAsia"/>
          <w:kern w:val="0"/>
          <w:lang w:eastAsia="en-US" w:bidi="ar-SA"/>
        </w:rPr>
        <w:t xml:space="preserve">ming van de persoonlijke levenssfeer’, </w:t>
      </w:r>
      <w:r w:rsidRPr="00D147A7">
        <w:rPr>
          <w:rFonts w:eastAsiaTheme="minorEastAsia"/>
          <w:i/>
          <w:kern w:val="0"/>
          <w:lang w:eastAsia="en-US" w:bidi="ar-SA"/>
        </w:rPr>
        <w:t>T.N.R.</w:t>
      </w:r>
      <w:r w:rsidRPr="00D147A7">
        <w:rPr>
          <w:rFonts w:eastAsiaTheme="minorEastAsia"/>
          <w:kern w:val="0"/>
          <w:lang w:eastAsia="en-US" w:bidi="ar-SA"/>
        </w:rPr>
        <w:t>, 88 (2000), p. 18.</w:t>
      </w:r>
    </w:p>
    <w:p w:rsidR="000F560E" w:rsidRPr="00D147A7" w:rsidRDefault="000F560E" w:rsidP="000F560E">
      <w:pPr>
        <w:widowControl/>
        <w:suppressAutoHyphens w:val="0"/>
        <w:ind w:left="708" w:firstLine="708"/>
        <w:jc w:val="both"/>
        <w:rPr>
          <w:rFonts w:eastAsiaTheme="minorEastAsia"/>
          <w:b/>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kern w:val="0"/>
          <w:lang w:eastAsia="en-US" w:bidi="ar-SA"/>
        </w:rPr>
        <w:t>4.6.2.4 Privacycommissie</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26/97 van 11 september 1997 van het CBPL betreffende het ontwerp van archiefwet.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Aanbevelingen nr. 06/2007 van 9 juli 2007 en nr. 05/2008 van 4 maart 2008 betreffende de la</w:t>
      </w:r>
      <w:r w:rsidR="00221B97">
        <w:rPr>
          <w:rFonts w:eastAsiaTheme="minorEastAsia"/>
          <w:kern w:val="0"/>
          <w:lang w:eastAsia="en-US" w:bidi="ar-SA"/>
        </w:rPr>
        <w:t>-</w:t>
      </w:r>
      <w:r w:rsidRPr="00D147A7">
        <w:rPr>
          <w:rFonts w:eastAsiaTheme="minorEastAsia"/>
          <w:kern w:val="0"/>
          <w:lang w:eastAsia="en-US" w:bidi="ar-SA"/>
        </w:rPr>
        <w:t>tere verwerking (LV) van niet-gecodeerde persoonsgegevens in het kader van een onderzoek genaamd «Histoire de la Psychiatrie en Belgique au vingtième siècle» onder leiding van pro</w:t>
      </w:r>
      <w:r w:rsidR="00221B97">
        <w:rPr>
          <w:rFonts w:eastAsiaTheme="minorEastAsia"/>
          <w:kern w:val="0"/>
          <w:lang w:eastAsia="en-US" w:bidi="ar-SA"/>
        </w:rPr>
        <w:t>-</w:t>
      </w:r>
      <w:r w:rsidRPr="00D147A7">
        <w:rPr>
          <w:rFonts w:eastAsiaTheme="minorEastAsia"/>
          <w:kern w:val="0"/>
          <w:lang w:eastAsia="en-US" w:bidi="ar-SA"/>
        </w:rPr>
        <w:t>fessor Pieter Lagrou van de ULB.</w:t>
      </w:r>
    </w:p>
    <w:p w:rsidR="002E6C99" w:rsidRPr="00D147A7" w:rsidRDefault="002E6C99"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4.6.2.5 Krantenartikelen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‘Mitterrand stierf door euthanasie’, </w:t>
      </w:r>
      <w:r w:rsidRPr="00D147A7">
        <w:rPr>
          <w:rFonts w:eastAsiaTheme="minorEastAsia"/>
          <w:i/>
          <w:kern w:val="0"/>
          <w:lang w:eastAsia="en-US" w:bidi="ar-SA"/>
        </w:rPr>
        <w:t>De</w:t>
      </w:r>
      <w:r w:rsidRPr="00D147A7">
        <w:rPr>
          <w:rFonts w:eastAsiaTheme="minorEastAsia"/>
          <w:kern w:val="0"/>
          <w:lang w:eastAsia="en-US" w:bidi="ar-SA"/>
        </w:rPr>
        <w:t xml:space="preserve"> </w:t>
      </w:r>
      <w:r w:rsidRPr="00D147A7">
        <w:rPr>
          <w:rFonts w:eastAsiaTheme="minorEastAsia"/>
          <w:i/>
          <w:kern w:val="0"/>
          <w:lang w:eastAsia="en-US" w:bidi="ar-SA"/>
        </w:rPr>
        <w:t>Standaard</w:t>
      </w:r>
      <w:r w:rsidRPr="00D147A7">
        <w:rPr>
          <w:rFonts w:eastAsiaTheme="minorEastAsia"/>
          <w:kern w:val="0"/>
          <w:lang w:eastAsia="en-US" w:bidi="ar-SA"/>
        </w:rPr>
        <w:t>, 11 april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‘Verbod boek lijfarts Mitterand was fout’, </w:t>
      </w:r>
      <w:r w:rsidRPr="00D147A7">
        <w:rPr>
          <w:rFonts w:eastAsiaTheme="minorEastAsia"/>
          <w:i/>
          <w:kern w:val="0"/>
          <w:lang w:eastAsia="en-US" w:bidi="ar-SA"/>
        </w:rPr>
        <w:t>De</w:t>
      </w:r>
      <w:r w:rsidRPr="00D147A7">
        <w:rPr>
          <w:rFonts w:eastAsiaTheme="minorEastAsia"/>
          <w:kern w:val="0"/>
          <w:lang w:eastAsia="en-US" w:bidi="ar-SA"/>
        </w:rPr>
        <w:t xml:space="preserve"> </w:t>
      </w:r>
      <w:r w:rsidRPr="00D147A7">
        <w:rPr>
          <w:rFonts w:eastAsiaTheme="minorEastAsia"/>
          <w:i/>
          <w:kern w:val="0"/>
          <w:lang w:eastAsia="en-US" w:bidi="ar-SA"/>
        </w:rPr>
        <w:t>Standaard</w:t>
      </w:r>
      <w:r w:rsidRPr="00D147A7">
        <w:rPr>
          <w:rFonts w:eastAsiaTheme="minorEastAsia"/>
          <w:kern w:val="0"/>
          <w:lang w:eastAsia="en-US" w:bidi="ar-SA"/>
        </w:rPr>
        <w:t>, 26 mei 2004.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‘Vlaamse artsen moeten alle gevallen van bof melden, </w:t>
      </w:r>
      <w:r w:rsidRPr="00D147A7">
        <w:rPr>
          <w:rFonts w:eastAsiaTheme="minorEastAsia"/>
          <w:i/>
          <w:kern w:val="0"/>
          <w:lang w:eastAsia="en-US" w:bidi="ar-SA"/>
        </w:rPr>
        <w:t>De</w:t>
      </w:r>
      <w:r w:rsidRPr="00D147A7">
        <w:rPr>
          <w:rFonts w:eastAsiaTheme="minorEastAsia"/>
          <w:kern w:val="0"/>
          <w:lang w:eastAsia="en-US" w:bidi="ar-SA"/>
        </w:rPr>
        <w:t xml:space="preserve"> </w:t>
      </w:r>
      <w:r w:rsidRPr="00D147A7">
        <w:rPr>
          <w:rFonts w:eastAsiaTheme="minorEastAsia"/>
          <w:i/>
          <w:kern w:val="0"/>
          <w:lang w:eastAsia="en-US" w:bidi="ar-SA"/>
        </w:rPr>
        <w:t>Standaard</w:t>
      </w:r>
      <w:r w:rsidRPr="00D147A7">
        <w:rPr>
          <w:rFonts w:eastAsiaTheme="minorEastAsia"/>
          <w:kern w:val="0"/>
          <w:lang w:eastAsia="en-US" w:bidi="ar-SA"/>
        </w:rPr>
        <w:t xml:space="preserve">, dinsdag 14 juni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BAETS, A., ‘Boek van lijfarts Mitterrand moet uit de handel’, </w:t>
      </w:r>
      <w:r w:rsidRPr="00D147A7">
        <w:rPr>
          <w:rFonts w:eastAsiaTheme="minorEastAsia"/>
          <w:i/>
          <w:kern w:val="0"/>
          <w:lang w:eastAsia="en-US" w:bidi="ar-SA"/>
        </w:rPr>
        <w:t>Volkskrant</w:t>
      </w:r>
      <w:r w:rsidRPr="00D147A7">
        <w:rPr>
          <w:rFonts w:eastAsiaTheme="minorEastAsia"/>
          <w:kern w:val="0"/>
          <w:lang w:eastAsia="en-US" w:bidi="ar-SA"/>
        </w:rPr>
        <w:t xml:space="preserve">, 19 januari 1996.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CORDIER, T., ‘Gegevensbescherming: het wordt menens’, </w:t>
      </w:r>
      <w:r w:rsidRPr="00D147A7">
        <w:rPr>
          <w:rFonts w:eastAsiaTheme="minorEastAsia"/>
          <w:i/>
          <w:kern w:val="0"/>
          <w:lang w:eastAsia="en-US" w:bidi="ar-SA"/>
        </w:rPr>
        <w:t>Datanews</w:t>
      </w:r>
      <w:r w:rsidRPr="00D147A7">
        <w:rPr>
          <w:rFonts w:eastAsiaTheme="minorEastAsia"/>
          <w:kern w:val="0"/>
          <w:lang w:eastAsia="en-US" w:bidi="ar-SA"/>
        </w:rPr>
        <w:t xml:space="preserve"> </w:t>
      </w:r>
      <w:r w:rsidRPr="00D147A7">
        <w:rPr>
          <w:rFonts w:eastAsiaTheme="minorEastAsia"/>
          <w:i/>
          <w:kern w:val="0"/>
          <w:lang w:eastAsia="en-US" w:bidi="ar-SA"/>
        </w:rPr>
        <w:t>Knack</w:t>
      </w:r>
      <w:r w:rsidRPr="00D147A7">
        <w:rPr>
          <w:rFonts w:eastAsiaTheme="minorEastAsia"/>
          <w:kern w:val="0"/>
          <w:lang w:eastAsia="en-US" w:bidi="ar-SA"/>
        </w:rPr>
        <w:t xml:space="preserve">, 30 januari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VANDEPUTTE, F., ‘‘Algemeen belang gaat boven beroepsgeheim.’ Gerechtelijke inbeslag</w:t>
      </w:r>
      <w:r w:rsidR="00221B97">
        <w:rPr>
          <w:rFonts w:eastAsiaTheme="minorEastAsia"/>
          <w:kern w:val="0"/>
          <w:lang w:eastAsia="en-US" w:bidi="ar-SA"/>
        </w:rPr>
        <w:t>-</w:t>
      </w:r>
      <w:r w:rsidRPr="00D147A7">
        <w:rPr>
          <w:rFonts w:eastAsiaTheme="minorEastAsia"/>
          <w:kern w:val="0"/>
          <w:lang w:eastAsia="en-US" w:bidi="ar-SA"/>
        </w:rPr>
        <w:t xml:space="preserve">nemingen medische dossiers in de lift’, </w:t>
      </w:r>
      <w:r w:rsidRPr="00D147A7">
        <w:rPr>
          <w:rFonts w:eastAsiaTheme="minorEastAsia"/>
          <w:i/>
          <w:kern w:val="0"/>
          <w:lang w:eastAsia="en-US" w:bidi="ar-SA"/>
        </w:rPr>
        <w:t>De Standaard</w:t>
      </w:r>
      <w:r w:rsidRPr="00D147A7">
        <w:rPr>
          <w:rFonts w:eastAsiaTheme="minorEastAsia"/>
          <w:kern w:val="0"/>
          <w:lang w:eastAsia="en-US" w:bidi="ar-SA"/>
        </w:rPr>
        <w:t>, 8 december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VENEMA, S., ‘Nabestaanden Mitterrand klagen loslippige lijfarts aan’, </w:t>
      </w:r>
      <w:r w:rsidRPr="00D147A7">
        <w:rPr>
          <w:rFonts w:eastAsiaTheme="minorEastAsia"/>
          <w:i/>
          <w:kern w:val="0"/>
          <w:lang w:eastAsia="en-US" w:bidi="ar-SA"/>
        </w:rPr>
        <w:t>Volkskrant</w:t>
      </w:r>
      <w:r w:rsidRPr="00D147A7">
        <w:rPr>
          <w:rFonts w:eastAsiaTheme="minorEastAsia"/>
          <w:kern w:val="0"/>
          <w:lang w:eastAsia="en-US" w:bidi="ar-SA"/>
        </w:rPr>
        <w:t>, 17 janu</w:t>
      </w:r>
      <w:r w:rsidR="00221B97">
        <w:rPr>
          <w:rFonts w:eastAsiaTheme="minorEastAsia"/>
          <w:kern w:val="0"/>
          <w:lang w:eastAsia="en-US" w:bidi="ar-SA"/>
        </w:rPr>
        <w:t>-</w:t>
      </w:r>
      <w:r w:rsidRPr="00D147A7">
        <w:rPr>
          <w:rFonts w:eastAsiaTheme="minorEastAsia"/>
          <w:kern w:val="0"/>
          <w:lang w:eastAsia="en-US" w:bidi="ar-SA"/>
        </w:rPr>
        <w:t>ari 1996.</w:t>
      </w:r>
    </w:p>
    <w:p w:rsidR="000F560E" w:rsidRPr="00D147A7" w:rsidRDefault="000F560E" w:rsidP="00221B97">
      <w:pPr>
        <w:widowControl/>
        <w:suppressAutoHyphens w:val="0"/>
        <w:jc w:val="both"/>
        <w:rPr>
          <w:rFonts w:eastAsiaTheme="minorEastAsia"/>
          <w:kern w:val="0"/>
          <w:lang w:eastAsia="en-US" w:bidi="ar-SA"/>
        </w:rPr>
      </w:pPr>
      <w:r w:rsidRPr="00D147A7">
        <w:rPr>
          <w:rFonts w:eastAsiaTheme="minorEastAsia"/>
          <w:kern w:val="0"/>
          <w:lang w:eastAsia="en-US" w:bidi="ar-SA"/>
        </w:rPr>
        <w:t>VEREECKEN, K., ‘Voor eeuwig en altijd. Privacy op het net: vergetelheid is een mensen</w:t>
      </w:r>
      <w:r w:rsidR="00221B97">
        <w:rPr>
          <w:rFonts w:eastAsiaTheme="minorEastAsia"/>
          <w:kern w:val="0"/>
          <w:lang w:eastAsia="en-US" w:bidi="ar-SA"/>
        </w:rPr>
        <w:t>-</w:t>
      </w:r>
      <w:r w:rsidRPr="00D147A7">
        <w:rPr>
          <w:rFonts w:eastAsiaTheme="minorEastAsia"/>
          <w:kern w:val="0"/>
          <w:lang w:eastAsia="en-US" w:bidi="ar-SA"/>
        </w:rPr>
        <w:t xml:space="preserve">recht’, </w:t>
      </w:r>
      <w:r w:rsidRPr="00D147A7">
        <w:rPr>
          <w:rFonts w:eastAsiaTheme="minorEastAsia"/>
          <w:i/>
          <w:kern w:val="0"/>
          <w:lang w:eastAsia="en-US" w:bidi="ar-SA"/>
        </w:rPr>
        <w:t>De Standaard</w:t>
      </w:r>
      <w:r w:rsidRPr="00D147A7">
        <w:rPr>
          <w:rFonts w:eastAsiaTheme="minorEastAsia"/>
          <w:kern w:val="0"/>
          <w:lang w:eastAsia="en-US" w:bidi="ar-SA"/>
        </w:rPr>
        <w:t>, 14 augustus 2010.</w:t>
      </w:r>
    </w:p>
    <w:p w:rsidR="000F560E" w:rsidRPr="00D147A7" w:rsidRDefault="000F560E" w:rsidP="000F560E">
      <w:pPr>
        <w:widowControl/>
        <w:suppressAutoHyphens w:val="0"/>
        <w:ind w:firstLine="708"/>
        <w:rPr>
          <w:rFonts w:eastAsiaTheme="minorEastAsia"/>
          <w:b/>
          <w:kern w:val="0"/>
          <w:lang w:eastAsia="en-US" w:bidi="ar-SA"/>
        </w:rPr>
      </w:pPr>
    </w:p>
    <w:p w:rsidR="000F560E" w:rsidRPr="00D147A7" w:rsidRDefault="000F560E" w:rsidP="000F560E">
      <w:pPr>
        <w:widowControl/>
        <w:suppressAutoHyphens w:val="0"/>
        <w:ind w:left="708" w:firstLine="708"/>
        <w:rPr>
          <w:rFonts w:eastAsiaTheme="minorEastAsia"/>
          <w:b/>
          <w:kern w:val="0"/>
          <w:lang w:eastAsia="en-US" w:bidi="ar-SA"/>
        </w:rPr>
      </w:pPr>
      <w:r w:rsidRPr="00D147A7">
        <w:rPr>
          <w:rFonts w:eastAsiaTheme="minorEastAsia"/>
          <w:b/>
          <w:kern w:val="0"/>
          <w:lang w:eastAsia="en-US" w:bidi="ar-SA"/>
        </w:rPr>
        <w:t>4.6.2.6 Rechtsleer en literatuur</w:t>
      </w:r>
    </w:p>
    <w:p w:rsidR="000F560E" w:rsidRPr="00D147A7" w:rsidRDefault="000F560E" w:rsidP="000F560E">
      <w:pPr>
        <w:widowControl/>
        <w:suppressAutoHyphens w:val="0"/>
        <w:rPr>
          <w:rFonts w:eastAsiaTheme="minorEastAsia"/>
          <w:b/>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Over zichzelf beschikken? Juridische en ethische bijdragen over het leven, het lichaam en de dood</w:t>
      </w:r>
      <w:r w:rsidRPr="00D147A7">
        <w:rPr>
          <w:rFonts w:eastAsiaTheme="minorEastAsia"/>
          <w:kern w:val="0"/>
          <w:lang w:eastAsia="en-US" w:bidi="ar-SA"/>
        </w:rPr>
        <w:t>, Het recht in de samenleving, Antwerpen, Maklu, 1996, 628p.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ALLAERT, F.A.; DUSSERRE, L.; ‘L’utilisation des données médicales nominatives pour la maîtrise des dépenses de santé ou la fin justifie-t-elle les moyens?’, </w:t>
      </w:r>
      <w:r w:rsidRPr="00D147A7">
        <w:rPr>
          <w:rFonts w:eastAsiaTheme="minorEastAsia"/>
          <w:i/>
          <w:kern w:val="0"/>
          <w:lang w:val="fr-BE" w:eastAsia="en-US" w:bidi="ar-SA"/>
        </w:rPr>
        <w:t>La revue du praticien</w:t>
      </w:r>
      <w:r w:rsidRPr="00D147A7">
        <w:rPr>
          <w:rFonts w:eastAsiaTheme="minorEastAsia"/>
          <w:kern w:val="0"/>
          <w:lang w:val="fr-BE" w:eastAsia="en-US" w:bidi="ar-SA"/>
        </w:rPr>
        <w:t>, 48/17 (1998), p. 1861-1863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ALLEMEERSCH, B., ‘Het begrip ‘geheimen’ bij de toepassing van art. 458 Sw. en art. 36 O.C.M.W.-wet [noot onder Gent 28 oktober 2004]’, </w:t>
      </w:r>
      <w:r w:rsidRPr="00D147A7">
        <w:rPr>
          <w:rFonts w:eastAsiaTheme="minorEastAsia"/>
          <w:i/>
          <w:kern w:val="0"/>
          <w:lang w:eastAsia="en-US" w:bidi="ar-SA"/>
        </w:rPr>
        <w:t>R.W.</w:t>
      </w:r>
      <w:r w:rsidRPr="00D147A7">
        <w:rPr>
          <w:rFonts w:eastAsiaTheme="minorEastAsia"/>
          <w:kern w:val="0"/>
          <w:lang w:eastAsia="en-US" w:bidi="ar-SA"/>
        </w:rPr>
        <w:t xml:space="preserve">, 2005-2006, 7, k. 263-264.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ALLEMEERSCH, B., ‘Het medisch dossier: nog steeds geen volwaardig recht op bewijs voor de nabestaanden’, </w:t>
      </w:r>
      <w:r w:rsidRPr="00D147A7">
        <w:rPr>
          <w:rFonts w:eastAsiaTheme="minorEastAsia"/>
          <w:i/>
          <w:kern w:val="0"/>
          <w:lang w:eastAsia="en-US" w:bidi="ar-SA"/>
        </w:rPr>
        <w:t>R.W.</w:t>
      </w:r>
      <w:r w:rsidRPr="00D147A7">
        <w:rPr>
          <w:rFonts w:eastAsiaTheme="minorEastAsia"/>
          <w:kern w:val="0"/>
          <w:lang w:eastAsia="en-US" w:bidi="ar-SA"/>
        </w:rPr>
        <w:t>, 2003-2004, 7, k. 278-179.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ALLEMEERSCH, B., ‘Het toepassingsgebied van art. 458 Strafwetboek. Over het succes van het beroepsgeheim en het geheim van dat succes’, </w:t>
      </w:r>
      <w:r w:rsidRPr="00D147A7">
        <w:rPr>
          <w:rFonts w:eastAsiaTheme="minorEastAsia"/>
          <w:i/>
          <w:kern w:val="0"/>
          <w:lang w:eastAsia="en-US" w:bidi="ar-SA"/>
        </w:rPr>
        <w:t>R.W.</w:t>
      </w:r>
      <w:r w:rsidRPr="00D147A7">
        <w:rPr>
          <w:rFonts w:eastAsiaTheme="minorEastAsia"/>
          <w:kern w:val="0"/>
          <w:lang w:eastAsia="en-US" w:bidi="ar-SA"/>
        </w:rPr>
        <w:t>, 2003-2004, 1, k. 1-19.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ALLEMEERSCH, B., ‘Medische attesten gebruiken als bewijs in rechte. Hoe relatief is het beroepsgeheim?’, </w:t>
      </w:r>
      <w:r w:rsidRPr="00D147A7">
        <w:rPr>
          <w:rFonts w:eastAsiaTheme="minorEastAsia"/>
          <w:i/>
          <w:kern w:val="0"/>
          <w:lang w:eastAsia="en-US" w:bidi="ar-SA"/>
        </w:rPr>
        <w:t>T.B.B.R.</w:t>
      </w:r>
      <w:r w:rsidRPr="00D147A7">
        <w:rPr>
          <w:rFonts w:eastAsiaTheme="minorEastAsia"/>
          <w:kern w:val="0"/>
          <w:lang w:eastAsia="en-US" w:bidi="ar-SA"/>
        </w:rPr>
        <w:t>, 2003, 1, p. 58-64.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ANDRE-DUMONT, J., ‘L’assurance vie face à la protection de la vie privée et aux droits du patients’, </w:t>
      </w:r>
      <w:r w:rsidRPr="00D147A7">
        <w:rPr>
          <w:rFonts w:eastAsiaTheme="minorEastAsia"/>
          <w:i/>
          <w:kern w:val="0"/>
          <w:lang w:val="fr-BE" w:eastAsia="en-US" w:bidi="ar-SA"/>
        </w:rPr>
        <w:t>T.Verz.</w:t>
      </w:r>
      <w:r w:rsidRPr="00D147A7">
        <w:rPr>
          <w:rFonts w:eastAsiaTheme="minorEastAsia"/>
          <w:kern w:val="0"/>
          <w:lang w:val="fr-BE" w:eastAsia="en-US" w:bidi="ar-SA"/>
        </w:rPr>
        <w:t>, 2009, 4, p. 355-377.</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ANDRE-DUMONT, J.; VAN GYSEGHEM, J.; ‘Droit médical et assurance-vie’, </w:t>
      </w:r>
      <w:r w:rsidRPr="00D147A7">
        <w:rPr>
          <w:rFonts w:eastAsiaTheme="minorEastAsia"/>
          <w:i/>
          <w:kern w:val="0"/>
          <w:lang w:val="fr-BE" w:eastAsia="en-US" w:bidi="ar-SA"/>
        </w:rPr>
        <w:t>T.Verz.</w:t>
      </w:r>
      <w:r w:rsidRPr="00D147A7">
        <w:rPr>
          <w:rFonts w:eastAsiaTheme="minorEastAsia"/>
          <w:kern w:val="0"/>
          <w:lang w:val="fr-BE" w:eastAsia="en-US" w:bidi="ar-SA"/>
        </w:rPr>
        <w:t>, 2001, p. 409-441.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ANNE, I., ‘De verwerking van persoonsgegevens voor wetenschappelijk onderzoek’, </w:t>
      </w:r>
      <w:r w:rsidRPr="00D147A7">
        <w:rPr>
          <w:rFonts w:eastAsiaTheme="minorEastAsia"/>
          <w:i/>
          <w:kern w:val="0"/>
          <w:lang w:eastAsia="en-US" w:bidi="ar-SA"/>
        </w:rPr>
        <w:t>Com</w:t>
      </w:r>
      <w:r w:rsidR="00221B97">
        <w:rPr>
          <w:rFonts w:eastAsiaTheme="minorEastAsia"/>
          <w:i/>
          <w:kern w:val="0"/>
          <w:lang w:eastAsia="en-US" w:bidi="ar-SA"/>
        </w:rPr>
        <w:t>-</w:t>
      </w:r>
      <w:r w:rsidRPr="00D147A7">
        <w:rPr>
          <w:rFonts w:eastAsiaTheme="minorEastAsia"/>
          <w:i/>
          <w:kern w:val="0"/>
          <w:lang w:eastAsia="en-US" w:bidi="ar-SA"/>
        </w:rPr>
        <w:t>puterr.</w:t>
      </w:r>
      <w:r w:rsidRPr="00D147A7">
        <w:rPr>
          <w:rFonts w:eastAsiaTheme="minorEastAsia"/>
          <w:kern w:val="0"/>
          <w:lang w:eastAsia="en-US" w:bidi="ar-SA"/>
        </w:rPr>
        <w:t>, 2000, 6, p. 288-296.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ARAMAZANI, A., ‘Le droit à l’oubli’, </w:t>
      </w:r>
      <w:r w:rsidRPr="00D147A7">
        <w:rPr>
          <w:rFonts w:eastAsiaTheme="minorEastAsia"/>
          <w:i/>
          <w:kern w:val="0"/>
          <w:lang w:val="fr-BE" w:eastAsia="en-US" w:bidi="ar-SA"/>
        </w:rPr>
        <w:t>R.D.T.I.</w:t>
      </w:r>
      <w:r w:rsidRPr="00D147A7">
        <w:rPr>
          <w:rFonts w:eastAsiaTheme="minorEastAsia"/>
          <w:kern w:val="0"/>
          <w:lang w:val="fr-BE" w:eastAsia="en-US" w:bidi="ar-SA"/>
        </w:rPr>
        <w:t>, 43 (2011), p. 34-49.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BAETEMAN, G.; VAN VLASSELAER, M.J.; </w:t>
      </w:r>
      <w:r w:rsidRPr="00D147A7">
        <w:rPr>
          <w:rFonts w:eastAsiaTheme="minorEastAsia"/>
          <w:i/>
          <w:kern w:val="0"/>
          <w:lang w:eastAsia="en-US" w:bidi="ar-SA"/>
        </w:rPr>
        <w:t>De bescherming van het privé-leven ten aan</w:t>
      </w:r>
      <w:r w:rsidR="00221B97">
        <w:rPr>
          <w:rFonts w:eastAsiaTheme="minorEastAsia"/>
          <w:i/>
          <w:kern w:val="0"/>
          <w:lang w:eastAsia="en-US" w:bidi="ar-SA"/>
        </w:rPr>
        <w:t>-</w:t>
      </w:r>
      <w:r w:rsidRPr="00D147A7">
        <w:rPr>
          <w:rFonts w:eastAsiaTheme="minorEastAsia"/>
          <w:i/>
          <w:kern w:val="0"/>
          <w:lang w:eastAsia="en-US" w:bidi="ar-SA"/>
        </w:rPr>
        <w:t>zien van de gegevensverwerking. Eerste praktische commentaar op de Wet van 8 december 1992 tot bescherming van de persoonlijke levenssfeer ten opzichte van de verwerking van per</w:t>
      </w:r>
      <w:r w:rsidR="00221B97">
        <w:rPr>
          <w:rFonts w:eastAsiaTheme="minorEastAsia"/>
          <w:i/>
          <w:kern w:val="0"/>
          <w:lang w:eastAsia="en-US" w:bidi="ar-SA"/>
        </w:rPr>
        <w:t>-</w:t>
      </w:r>
      <w:r w:rsidRPr="00D147A7">
        <w:rPr>
          <w:rFonts w:eastAsiaTheme="minorEastAsia"/>
          <w:i/>
          <w:kern w:val="0"/>
          <w:lang w:eastAsia="en-US" w:bidi="ar-SA"/>
        </w:rPr>
        <w:t>soonsgegevens</w:t>
      </w:r>
      <w:r w:rsidRPr="00D147A7">
        <w:rPr>
          <w:rFonts w:eastAsiaTheme="minorEastAsia"/>
          <w:kern w:val="0"/>
          <w:lang w:eastAsia="en-US" w:bidi="ar-SA"/>
        </w:rPr>
        <w:t xml:space="preserve">, T.B.B.R. Dossier, Antwerpen, Kluwer rechtswetenschappen, 1993, 169p.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BALTHAZAR, T., ‘Het gedeeld beroepsgeheim is geen uitgesmeerd beroepsgeheim’, </w:t>
      </w:r>
      <w:r w:rsidRPr="00D147A7">
        <w:rPr>
          <w:rFonts w:eastAsiaTheme="minorEastAsia"/>
          <w:i/>
          <w:kern w:val="0"/>
          <w:lang w:eastAsia="en-US" w:bidi="ar-SA"/>
        </w:rPr>
        <w:t>T.Gez.</w:t>
      </w:r>
      <w:r w:rsidRPr="00D147A7">
        <w:rPr>
          <w:rFonts w:eastAsiaTheme="minorEastAsia"/>
          <w:kern w:val="0"/>
          <w:lang w:eastAsia="en-US" w:bidi="ar-SA"/>
        </w:rPr>
        <w:t>, 2004-2005, 2, p. 139-146.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BLANPAIN, R., ‘Het medisch beroepsgeheim’, OVERSTEYNS, B. (red.), </w:t>
      </w:r>
      <w:r w:rsidRPr="00D147A7">
        <w:rPr>
          <w:rFonts w:eastAsiaTheme="minorEastAsia"/>
          <w:i/>
          <w:kern w:val="0"/>
          <w:lang w:eastAsia="en-US" w:bidi="ar-SA"/>
        </w:rPr>
        <w:t>Aids, Alcohol, drugs, roken</w:t>
      </w:r>
      <w:r w:rsidRPr="00D147A7">
        <w:rPr>
          <w:rFonts w:eastAsiaTheme="minorEastAsia"/>
          <w:kern w:val="0"/>
          <w:lang w:eastAsia="en-US" w:bidi="ar-SA"/>
        </w:rPr>
        <w:t>, Brugge, die Keure, 1989, p. 69-80.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BLOCKX, F., ‘Arts, Orde en onderzoeksrechter: huiszoekingen en inbeslagnames van medi</w:t>
      </w:r>
      <w:r w:rsidR="00221B97">
        <w:rPr>
          <w:rFonts w:eastAsiaTheme="minorEastAsia"/>
          <w:kern w:val="0"/>
          <w:lang w:eastAsia="en-US" w:bidi="ar-SA"/>
        </w:rPr>
        <w:t>-</w:t>
      </w:r>
      <w:r w:rsidRPr="00D147A7">
        <w:rPr>
          <w:rFonts w:eastAsiaTheme="minorEastAsia"/>
          <w:kern w:val="0"/>
          <w:lang w:eastAsia="en-US" w:bidi="ar-SA"/>
        </w:rPr>
        <w:t xml:space="preserve">sche stukken’, </w:t>
      </w:r>
      <w:r w:rsidRPr="00D147A7">
        <w:rPr>
          <w:rFonts w:eastAsiaTheme="minorEastAsia"/>
          <w:i/>
          <w:kern w:val="0"/>
          <w:lang w:eastAsia="en-US" w:bidi="ar-SA"/>
        </w:rPr>
        <w:t>T.Gez.</w:t>
      </w:r>
      <w:r w:rsidRPr="00D147A7">
        <w:rPr>
          <w:rFonts w:eastAsiaTheme="minorEastAsia"/>
          <w:kern w:val="0"/>
          <w:lang w:eastAsia="en-US" w:bidi="ar-SA"/>
        </w:rPr>
        <w:t>, 2006-2007, p. 176-179.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BLOCKX, F., ‘De rechtbank kan uw gezondheid ernstige schade toebrengen; over de invloed van het beroepsgeheim op de overlegging van medische dossierstukken in rechte na het over</w:t>
      </w:r>
      <w:r w:rsidR="00221B97">
        <w:rPr>
          <w:rFonts w:eastAsiaTheme="minorEastAsia"/>
          <w:kern w:val="0"/>
          <w:lang w:eastAsia="en-US" w:bidi="ar-SA"/>
        </w:rPr>
        <w:t>-</w:t>
      </w:r>
      <w:r w:rsidRPr="00D147A7">
        <w:rPr>
          <w:rFonts w:eastAsiaTheme="minorEastAsia"/>
          <w:kern w:val="0"/>
          <w:lang w:eastAsia="en-US" w:bidi="ar-SA"/>
        </w:rPr>
        <w:t xml:space="preserve">lijden van de patiënt’, </w:t>
      </w:r>
      <w:r w:rsidRPr="00D147A7">
        <w:rPr>
          <w:rFonts w:eastAsiaTheme="minorEastAsia"/>
          <w:i/>
          <w:kern w:val="0"/>
          <w:lang w:eastAsia="en-US" w:bidi="ar-SA"/>
        </w:rPr>
        <w:t>T.Gez.</w:t>
      </w:r>
      <w:r w:rsidRPr="00D147A7">
        <w:rPr>
          <w:rFonts w:eastAsiaTheme="minorEastAsia"/>
          <w:kern w:val="0"/>
          <w:lang w:eastAsia="en-US" w:bidi="ar-SA"/>
        </w:rPr>
        <w:t>, 2008-2009, 4, p. 307-311.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BLOCKX, F., ‘Het beroepsgeheim in de deontologie en in het strafrecht: een begrippen</w:t>
      </w:r>
      <w:r w:rsidR="00221B97">
        <w:rPr>
          <w:rFonts w:eastAsiaTheme="minorEastAsia"/>
          <w:kern w:val="0"/>
          <w:lang w:eastAsia="en-US" w:bidi="ar-SA"/>
        </w:rPr>
        <w:t>-</w:t>
      </w:r>
      <w:r w:rsidRPr="00D147A7">
        <w:rPr>
          <w:rFonts w:eastAsiaTheme="minorEastAsia"/>
          <w:kern w:val="0"/>
          <w:lang w:eastAsia="en-US" w:bidi="ar-SA"/>
        </w:rPr>
        <w:t xml:space="preserve">analyse’, </w:t>
      </w:r>
      <w:r w:rsidRPr="00D147A7">
        <w:rPr>
          <w:rFonts w:eastAsiaTheme="minorEastAsia"/>
          <w:i/>
          <w:kern w:val="0"/>
          <w:lang w:eastAsia="en-US" w:bidi="ar-SA"/>
        </w:rPr>
        <w:t>D&amp;T</w:t>
      </w:r>
      <w:r w:rsidRPr="00D147A7">
        <w:rPr>
          <w:rFonts w:eastAsiaTheme="minorEastAsia"/>
          <w:kern w:val="0"/>
          <w:lang w:eastAsia="en-US" w:bidi="ar-SA"/>
        </w:rPr>
        <w:t>, 2011, 2, p. 321-337.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BLOCKX, F., ‘Het medisch beroepsgeheim. Overzicht van rechtspraak (1985-2002)’, </w:t>
      </w:r>
      <w:r w:rsidRPr="00D147A7">
        <w:rPr>
          <w:rFonts w:eastAsiaTheme="minorEastAsia"/>
          <w:i/>
          <w:kern w:val="0"/>
          <w:lang w:eastAsia="en-US" w:bidi="ar-SA"/>
        </w:rPr>
        <w:t>T.Gez.</w:t>
      </w:r>
      <w:r w:rsidRPr="00D147A7">
        <w:rPr>
          <w:rFonts w:eastAsiaTheme="minorEastAsia"/>
          <w:kern w:val="0"/>
          <w:lang w:eastAsia="en-US" w:bidi="ar-SA"/>
        </w:rPr>
        <w:t>, 2004-2005, 1, p. 2-19.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BOUDREZ, F.; DEKEYSER, H.; </w:t>
      </w:r>
      <w:r w:rsidRPr="00D147A7">
        <w:rPr>
          <w:rFonts w:eastAsiaTheme="minorEastAsia"/>
          <w:i/>
          <w:kern w:val="0"/>
          <w:lang w:eastAsia="en-US" w:bidi="ar-SA"/>
        </w:rPr>
        <w:t>Digitaal archiveren in de praktijk. Handboek</w:t>
      </w:r>
      <w:r w:rsidRPr="00D147A7">
        <w:rPr>
          <w:rFonts w:eastAsiaTheme="minorEastAsia"/>
          <w:kern w:val="0"/>
          <w:lang w:eastAsia="en-US" w:bidi="ar-SA"/>
        </w:rPr>
        <w:t>, Antwerpen-Leuven, 2005, 100p. (</w:t>
      </w:r>
      <w:hyperlink r:id="rId385" w:history="1">
        <w:r w:rsidRPr="00D147A7">
          <w:rPr>
            <w:rFonts w:eastAsiaTheme="minorEastAsia"/>
            <w:color w:val="0000FF"/>
            <w:kern w:val="0"/>
            <w:u w:val="single"/>
            <w:lang w:eastAsia="en-US" w:bidi="ar-SA"/>
          </w:rPr>
          <w:t>http://www.edavid.be/davidproject/teksten/DAVID_vademecum.pdf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BOULANGER, M., ‘[Le droit de communication du dossier médical face au secret médical]’, </w:t>
      </w:r>
      <w:r w:rsidRPr="00D147A7">
        <w:rPr>
          <w:rFonts w:eastAsiaTheme="minorEastAsia"/>
          <w:i/>
          <w:kern w:val="0"/>
          <w:lang w:val="fr-BE" w:eastAsia="en-US" w:bidi="ar-SA"/>
        </w:rPr>
        <w:t>T.Gez.</w:t>
      </w:r>
      <w:r w:rsidRPr="00D147A7">
        <w:rPr>
          <w:rFonts w:eastAsiaTheme="minorEastAsia"/>
          <w:kern w:val="0"/>
          <w:lang w:val="fr-BE" w:eastAsia="en-US" w:bidi="ar-SA"/>
        </w:rPr>
        <w:t>, 1999-2000, p. 355-359.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BOULANGER, M.H.; DE TERWAGNE, C.; LEONARD, T.; LOUVEAUX, S.; MOREAU, D.; POULLET, Y.; ‘La protection des données à caractère personnel en droit communautai</w:t>
      </w:r>
      <w:r w:rsidR="00221B97">
        <w:rPr>
          <w:rFonts w:eastAsiaTheme="minorEastAsia"/>
          <w:kern w:val="0"/>
          <w:lang w:val="fr-BE" w:eastAsia="en-US" w:bidi="ar-SA"/>
        </w:rPr>
        <w:t>-</w:t>
      </w:r>
      <w:r w:rsidRPr="00D147A7">
        <w:rPr>
          <w:rFonts w:eastAsiaTheme="minorEastAsia"/>
          <w:kern w:val="0"/>
          <w:lang w:val="fr-BE" w:eastAsia="en-US" w:bidi="ar-SA"/>
        </w:rPr>
        <w:t xml:space="preserve">re’, </w:t>
      </w:r>
      <w:r w:rsidRPr="00D147A7">
        <w:rPr>
          <w:rFonts w:eastAsiaTheme="minorEastAsia"/>
          <w:i/>
          <w:kern w:val="0"/>
          <w:lang w:val="fr-BE" w:eastAsia="en-US" w:bidi="ar-SA"/>
        </w:rPr>
        <w:t>J.T.D.E.</w:t>
      </w:r>
      <w:r w:rsidRPr="00D147A7">
        <w:rPr>
          <w:rFonts w:eastAsiaTheme="minorEastAsia"/>
          <w:kern w:val="0"/>
          <w:lang w:val="fr-BE" w:eastAsia="en-US" w:bidi="ar-SA"/>
        </w:rPr>
        <w:t>, 1997, p. 121-127, p. 145-155 en p. 173-179.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BOULANGER, M.; CALLENS, S.; BRILLON, S.; ‘La protection des données à caractère personnel relatives à la santé et la loi du 8 décembre 1992 telle que modifiée par la loi du 11 décembre 1998 et complétée par l'arrêté royal du 13 février 2001’, </w:t>
      </w:r>
      <w:r w:rsidRPr="00D147A7">
        <w:rPr>
          <w:rFonts w:eastAsiaTheme="minorEastAsia"/>
          <w:i/>
          <w:kern w:val="0"/>
          <w:lang w:val="fr-BE" w:eastAsia="en-US" w:bidi="ar-SA"/>
        </w:rPr>
        <w:t>T.Gez.</w:t>
      </w:r>
      <w:r w:rsidRPr="00D147A7">
        <w:rPr>
          <w:rFonts w:eastAsiaTheme="minorEastAsia"/>
          <w:kern w:val="0"/>
          <w:lang w:val="fr-BE" w:eastAsia="en-US" w:bidi="ar-SA"/>
        </w:rPr>
        <w:t>, 2000-2001, p. 326-345.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BREMS, E. (red.), ‘60 jaar universele verklaring van de rechten van de mens’, </w:t>
      </w:r>
      <w:r w:rsidRPr="00D147A7">
        <w:rPr>
          <w:rFonts w:eastAsiaTheme="minorEastAsia"/>
          <w:i/>
          <w:kern w:val="0"/>
          <w:lang w:eastAsia="en-US" w:bidi="ar-SA"/>
        </w:rPr>
        <w:t>Tijdschrift voor mensenrechten</w:t>
      </w:r>
      <w:r w:rsidRPr="00D147A7">
        <w:rPr>
          <w:rFonts w:eastAsiaTheme="minorEastAsia"/>
          <w:kern w:val="0"/>
          <w:lang w:eastAsia="en-US" w:bidi="ar-SA"/>
        </w:rPr>
        <w:t>, Themanummer, 2008, 4, 133p.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BREMS, E., ‘Europees Hof voor de Rechten van de Mens [Arresten mei-december 2004]’, </w:t>
      </w:r>
      <w:r w:rsidRPr="00D147A7">
        <w:rPr>
          <w:rFonts w:eastAsiaTheme="minorEastAsia"/>
          <w:i/>
          <w:kern w:val="0"/>
          <w:lang w:eastAsia="en-US" w:bidi="ar-SA"/>
        </w:rPr>
        <w:t>T.B.P.</w:t>
      </w:r>
      <w:r w:rsidRPr="00D147A7">
        <w:rPr>
          <w:rFonts w:eastAsiaTheme="minorEastAsia"/>
          <w:kern w:val="0"/>
          <w:lang w:eastAsia="en-US" w:bidi="ar-SA"/>
        </w:rPr>
        <w:t>, 2006, 1, p. 30-47.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BREWAEYS, E., ‘Recht op afbeelding’, </w:t>
      </w:r>
      <w:r w:rsidRPr="00D147A7">
        <w:rPr>
          <w:rFonts w:eastAsiaTheme="minorEastAsia"/>
          <w:i/>
          <w:kern w:val="0"/>
          <w:lang w:eastAsia="en-US" w:bidi="ar-SA"/>
        </w:rPr>
        <w:t>N.J.W.</w:t>
      </w:r>
      <w:r w:rsidRPr="00D147A7">
        <w:rPr>
          <w:rFonts w:eastAsiaTheme="minorEastAsia"/>
          <w:kern w:val="0"/>
          <w:lang w:eastAsia="en-US" w:bidi="ar-SA"/>
        </w:rPr>
        <w:t>, 218 (2010), p. 206.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BRIAT, M.; PITRAT, C.M.; ‘Urgent, concepts à clarifier: protection de la vie privée et don</w:t>
      </w:r>
      <w:r w:rsidR="00221B97">
        <w:rPr>
          <w:rFonts w:eastAsiaTheme="minorEastAsia"/>
          <w:kern w:val="0"/>
          <w:lang w:val="fr-BE" w:eastAsia="en-US" w:bidi="ar-SA"/>
        </w:rPr>
        <w:t>-</w:t>
      </w:r>
      <w:r w:rsidRPr="00D147A7">
        <w:rPr>
          <w:rFonts w:eastAsiaTheme="minorEastAsia"/>
          <w:kern w:val="0"/>
          <w:lang w:val="fr-BE" w:eastAsia="en-US" w:bidi="ar-SA"/>
        </w:rPr>
        <w:t xml:space="preserve">nées personnelles’, </w:t>
      </w:r>
      <w:r w:rsidRPr="00D147A7">
        <w:rPr>
          <w:rFonts w:eastAsiaTheme="minorEastAsia"/>
          <w:i/>
          <w:kern w:val="0"/>
          <w:lang w:val="fr-BE" w:eastAsia="en-US" w:bidi="ar-SA"/>
        </w:rPr>
        <w:t>D.I.T.</w:t>
      </w:r>
      <w:r w:rsidRPr="00D147A7">
        <w:rPr>
          <w:rFonts w:eastAsiaTheme="minorEastAsia"/>
          <w:kern w:val="0"/>
          <w:lang w:val="fr-BE" w:eastAsia="en-US" w:bidi="ar-SA"/>
        </w:rPr>
        <w:t>, 1998, 3, p. 11-18.</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BRILLON, S., ‘Le dossier patient et la législation européenne relative à la protection de la vie privée’, </w:t>
      </w:r>
      <w:r w:rsidRPr="00D147A7">
        <w:rPr>
          <w:rFonts w:eastAsiaTheme="minorEastAsia"/>
          <w:i/>
          <w:kern w:val="0"/>
          <w:lang w:val="fr-BE" w:eastAsia="en-US" w:bidi="ar-SA"/>
        </w:rPr>
        <w:t>J.T.D.E.</w:t>
      </w:r>
      <w:r w:rsidRPr="00D147A7">
        <w:rPr>
          <w:rFonts w:eastAsiaTheme="minorEastAsia"/>
          <w:kern w:val="0"/>
          <w:lang w:val="fr-BE" w:eastAsia="en-US" w:bidi="ar-SA"/>
        </w:rPr>
        <w:t xml:space="preserve">, 97 (2003), p. 75-78.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BRILLON, S., ‘The European Data Protection Legislation and the Medical Records’, CAL</w:t>
      </w:r>
      <w:r w:rsidR="00221B97">
        <w:rPr>
          <w:rFonts w:eastAsiaTheme="minorEastAsia"/>
          <w:kern w:val="0"/>
          <w:lang w:val="en-US" w:eastAsia="en-US" w:bidi="ar-SA"/>
        </w:rPr>
        <w:t>-</w:t>
      </w:r>
      <w:r w:rsidRPr="00D147A7">
        <w:rPr>
          <w:rFonts w:eastAsiaTheme="minorEastAsia"/>
          <w:kern w:val="0"/>
          <w:lang w:val="en-US" w:eastAsia="en-US" w:bidi="ar-SA"/>
        </w:rPr>
        <w:t xml:space="preserve">LENS, S. (red.), </w:t>
      </w:r>
      <w:r w:rsidRPr="00D147A7">
        <w:rPr>
          <w:rFonts w:eastAsiaTheme="minorEastAsia"/>
          <w:i/>
          <w:kern w:val="0"/>
          <w:lang w:val="en-US" w:eastAsia="en-US" w:bidi="ar-SA"/>
        </w:rPr>
        <w:t>E-Health and the Law</w:t>
      </w:r>
      <w:r w:rsidRPr="00D147A7">
        <w:rPr>
          <w:rFonts w:eastAsiaTheme="minorEastAsia"/>
          <w:kern w:val="0"/>
          <w:lang w:val="en-US" w:eastAsia="en-US" w:bidi="ar-SA"/>
        </w:rPr>
        <w:t xml:space="preserve">, The International Bar Association Series, Den Haag, Kluwer Law International, 2003, p. 87-97.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BROCHIER, J., ‘Het medisch beroepsgeheim en de wetgeving betreffende gevoelige per</w:t>
      </w:r>
      <w:r w:rsidR="00221B97">
        <w:rPr>
          <w:rFonts w:eastAsiaTheme="minorEastAsia"/>
          <w:kern w:val="0"/>
          <w:lang w:eastAsia="en-US" w:bidi="ar-SA"/>
        </w:rPr>
        <w:t>-</w:t>
      </w:r>
      <w:r w:rsidRPr="00D147A7">
        <w:rPr>
          <w:rFonts w:eastAsiaTheme="minorEastAsia"/>
          <w:kern w:val="0"/>
          <w:lang w:eastAsia="en-US" w:bidi="ar-SA"/>
        </w:rPr>
        <w:t xml:space="preserve">soonsgegevens’, </w:t>
      </w:r>
      <w:r w:rsidRPr="00D147A7">
        <w:rPr>
          <w:rFonts w:eastAsiaTheme="minorEastAsia"/>
          <w:i/>
          <w:kern w:val="0"/>
          <w:lang w:eastAsia="en-US" w:bidi="ar-SA"/>
        </w:rPr>
        <w:t>Con.M.</w:t>
      </w:r>
      <w:r w:rsidRPr="00D147A7">
        <w:rPr>
          <w:rFonts w:eastAsiaTheme="minorEastAsia"/>
          <w:kern w:val="0"/>
          <w:lang w:eastAsia="en-US" w:bidi="ar-SA"/>
        </w:rPr>
        <w:t>, 1995, 3, p. 53-62.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BURGERS, J., ‘De ontstaansgeschiedenis van de Universele Verklaring voor de rechten van de Mens’, PARMENTIER, S., </w:t>
      </w:r>
      <w:r w:rsidRPr="00D147A7">
        <w:rPr>
          <w:rFonts w:eastAsiaTheme="minorEastAsia"/>
          <w:i/>
          <w:kern w:val="0"/>
          <w:lang w:eastAsia="en-US" w:bidi="ar-SA"/>
        </w:rPr>
        <w:t>Mensenrechten tussen retoriek en realiteit</w:t>
      </w:r>
      <w:r w:rsidRPr="00D147A7">
        <w:rPr>
          <w:rFonts w:eastAsiaTheme="minorEastAsia"/>
          <w:kern w:val="0"/>
          <w:lang w:eastAsia="en-US" w:bidi="ar-SA"/>
        </w:rPr>
        <w:t>, Tegenspraak, 14, Gent, Mys &amp; Breesch, 1994, p. 13-34.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BURUMA, Y., ‘Het recht op vergetelheid. Politiële en justitiële gegevens in een digitale we</w:t>
      </w:r>
      <w:r w:rsidR="00221B97">
        <w:rPr>
          <w:rFonts w:eastAsiaTheme="minorEastAsia"/>
          <w:kern w:val="0"/>
          <w:lang w:eastAsia="en-US" w:bidi="ar-SA"/>
        </w:rPr>
        <w:t>-</w:t>
      </w:r>
      <w:r w:rsidRPr="00D147A7">
        <w:rPr>
          <w:rFonts w:eastAsiaTheme="minorEastAsia"/>
          <w:kern w:val="0"/>
          <w:lang w:eastAsia="en-US" w:bidi="ar-SA"/>
        </w:rPr>
        <w:t xml:space="preserve">reld’, BROEDERS, D.; CUIJPERS, M.K.C.; PRINS, J.E.J. (reds.); </w:t>
      </w:r>
      <w:r w:rsidRPr="00D147A7">
        <w:rPr>
          <w:rFonts w:eastAsiaTheme="minorEastAsia"/>
          <w:i/>
          <w:kern w:val="0"/>
          <w:lang w:eastAsia="en-US" w:bidi="ar-SA"/>
        </w:rPr>
        <w:t>De staat van informatie</w:t>
      </w:r>
      <w:r w:rsidRPr="00D147A7">
        <w:rPr>
          <w:rFonts w:eastAsiaTheme="minorEastAsia"/>
          <w:kern w:val="0"/>
          <w:lang w:eastAsia="en-US" w:bidi="ar-SA"/>
        </w:rPr>
        <w:t xml:space="preserve">, Verkenningen van de Wetenschappelijke Raad voor het Regeringsbeleid, 25, Amsterdam, </w:t>
      </w:r>
      <w:r w:rsidRPr="00D147A7">
        <w:rPr>
          <w:rFonts w:eastAsiaTheme="minorEastAsia"/>
          <w:kern w:val="0"/>
          <w:lang w:eastAsia="en-US" w:bidi="ar-SA"/>
        </w:rPr>
        <w:lastRenderedPageBreak/>
        <w:t>Amsterdam University Press, 2011, p. 165-218 (</w:t>
      </w:r>
      <w:hyperlink r:id="rId386" w:history="1">
        <w:r w:rsidR="00221B97" w:rsidRPr="00ED5FE6">
          <w:rPr>
            <w:rStyle w:val="Hyperlink"/>
            <w:rFonts w:eastAsiaTheme="minorEastAsia"/>
            <w:kern w:val="0"/>
            <w:lang w:eastAsia="en-US" w:bidi="ar-SA"/>
          </w:rPr>
          <w:t>www.oapen.org/download?type=document&amp; docid=375125</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CALLENS, S., </w:t>
      </w:r>
      <w:r w:rsidRPr="00D147A7">
        <w:rPr>
          <w:rFonts w:eastAsiaTheme="minorEastAsia"/>
          <w:i/>
          <w:kern w:val="0"/>
          <w:lang w:eastAsia="en-US" w:bidi="ar-SA"/>
        </w:rPr>
        <w:t>Goed geregeld? Het gebruik van medische gegevens voor onderzoek</w:t>
      </w:r>
      <w:r w:rsidRPr="00D147A7">
        <w:rPr>
          <w:rFonts w:eastAsiaTheme="minorEastAsia"/>
          <w:kern w:val="0"/>
          <w:lang w:eastAsia="en-US" w:bidi="ar-SA"/>
        </w:rPr>
        <w:t>, Antwer</w:t>
      </w:r>
      <w:r w:rsidR="00221B97">
        <w:rPr>
          <w:rFonts w:eastAsiaTheme="minorEastAsia"/>
          <w:kern w:val="0"/>
          <w:lang w:eastAsia="en-US" w:bidi="ar-SA"/>
        </w:rPr>
        <w:t>-</w:t>
      </w:r>
      <w:r w:rsidRPr="00D147A7">
        <w:rPr>
          <w:rFonts w:eastAsiaTheme="minorEastAsia"/>
          <w:kern w:val="0"/>
          <w:lang w:eastAsia="en-US" w:bidi="ar-SA"/>
        </w:rPr>
        <w:t>pen-Apeldoorn, Maklu, 1995, 538p.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CALLENS, S., ‘Naar een bescherming van de informationele privacy in de gezondheids</w:t>
      </w:r>
      <w:r w:rsidR="00221B97">
        <w:rPr>
          <w:rFonts w:eastAsiaTheme="minorEastAsia"/>
          <w:kern w:val="0"/>
          <w:lang w:eastAsia="en-US" w:bidi="ar-SA"/>
        </w:rPr>
        <w:t>-</w:t>
      </w:r>
      <w:r w:rsidRPr="00D147A7">
        <w:rPr>
          <w:rFonts w:eastAsiaTheme="minorEastAsia"/>
          <w:kern w:val="0"/>
          <w:lang w:eastAsia="en-US" w:bidi="ar-SA"/>
        </w:rPr>
        <w:t xml:space="preserve">zorg?’, </w:t>
      </w:r>
      <w:r w:rsidRPr="00D147A7">
        <w:rPr>
          <w:rFonts w:eastAsiaTheme="minorEastAsia"/>
          <w:i/>
          <w:kern w:val="0"/>
          <w:lang w:eastAsia="en-US" w:bidi="ar-SA"/>
        </w:rPr>
        <w:t>A.Hosp.</w:t>
      </w:r>
      <w:r w:rsidRPr="00D147A7">
        <w:rPr>
          <w:rFonts w:eastAsiaTheme="minorEastAsia"/>
          <w:kern w:val="0"/>
          <w:lang w:eastAsia="en-US" w:bidi="ar-SA"/>
        </w:rPr>
        <w:t>, 1992, 2, p. 19-37.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CALLENS, S., ‘Het omgaan met gezondheidsgegevens, enkele bedenkingen bij de Privacy</w:t>
      </w:r>
      <w:r w:rsidR="00221B97">
        <w:rPr>
          <w:rFonts w:eastAsiaTheme="minorEastAsia"/>
          <w:kern w:val="0"/>
          <w:lang w:eastAsia="en-US" w:bidi="ar-SA"/>
        </w:rPr>
        <w:t>-</w:t>
      </w:r>
      <w:r w:rsidRPr="00D147A7">
        <w:rPr>
          <w:rFonts w:eastAsiaTheme="minorEastAsia"/>
          <w:kern w:val="0"/>
          <w:lang w:eastAsia="en-US" w:bidi="ar-SA"/>
        </w:rPr>
        <w:t xml:space="preserve">richtlijn’, </w:t>
      </w:r>
      <w:r w:rsidRPr="00D147A7">
        <w:rPr>
          <w:rFonts w:eastAsiaTheme="minorEastAsia"/>
          <w:i/>
          <w:kern w:val="0"/>
          <w:lang w:eastAsia="en-US" w:bidi="ar-SA"/>
        </w:rPr>
        <w:t>T.G.</w:t>
      </w:r>
      <w:r w:rsidRPr="00D147A7">
        <w:rPr>
          <w:rFonts w:eastAsiaTheme="minorEastAsia"/>
          <w:kern w:val="0"/>
          <w:lang w:eastAsia="en-US" w:bidi="ar-SA"/>
        </w:rPr>
        <w:t>, 21/8 (1997), p. 149-157.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CALLENS, S., ‘Omtrent het e-Health-platform en het recht op privacy van de patiënt’, </w:t>
      </w:r>
      <w:r w:rsidRPr="00D147A7">
        <w:rPr>
          <w:rFonts w:eastAsiaTheme="minorEastAsia"/>
          <w:i/>
          <w:kern w:val="0"/>
          <w:lang w:eastAsia="en-US" w:bidi="ar-SA"/>
        </w:rPr>
        <w:t>T.Gez.</w:t>
      </w:r>
      <w:r w:rsidRPr="00D147A7">
        <w:rPr>
          <w:rFonts w:eastAsiaTheme="minorEastAsia"/>
          <w:kern w:val="0"/>
          <w:lang w:eastAsia="en-US" w:bidi="ar-SA"/>
        </w:rPr>
        <w:t>, 2008-2009, p. 185-186.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CALLENS, S., ‘Privacyreglement van het ziekenhuis’, </w:t>
      </w:r>
      <w:r w:rsidRPr="00D147A7">
        <w:rPr>
          <w:rFonts w:eastAsiaTheme="minorEastAsia"/>
          <w:i/>
          <w:kern w:val="0"/>
          <w:lang w:eastAsia="en-US" w:bidi="ar-SA"/>
        </w:rPr>
        <w:t>A.Hosp.</w:t>
      </w:r>
      <w:r w:rsidRPr="00D147A7">
        <w:rPr>
          <w:rFonts w:eastAsiaTheme="minorEastAsia"/>
          <w:kern w:val="0"/>
          <w:lang w:eastAsia="en-US" w:bidi="ar-SA"/>
        </w:rPr>
        <w:t>, 1995, 1, p. 72-74.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CLAERHOUT, B., ‘Moderne privacybescherming. Het nut van privacy enhancing techni</w:t>
      </w:r>
      <w:r w:rsidR="00221B97">
        <w:rPr>
          <w:rFonts w:eastAsiaTheme="minorEastAsia"/>
          <w:kern w:val="0"/>
          <w:lang w:eastAsia="en-US" w:bidi="ar-SA"/>
        </w:rPr>
        <w:t>-</w:t>
      </w:r>
      <w:r w:rsidRPr="00D147A7">
        <w:rPr>
          <w:rFonts w:eastAsiaTheme="minorEastAsia"/>
          <w:kern w:val="0"/>
          <w:lang w:eastAsia="en-US" w:bidi="ar-SA"/>
        </w:rPr>
        <w:t xml:space="preserve">ques’, </w:t>
      </w:r>
      <w:r w:rsidRPr="00D147A7">
        <w:rPr>
          <w:rFonts w:eastAsiaTheme="minorEastAsia"/>
          <w:i/>
          <w:kern w:val="0"/>
          <w:lang w:eastAsia="en-US" w:bidi="ar-SA"/>
        </w:rPr>
        <w:t>Hospitals</w:t>
      </w:r>
      <w:r w:rsidRPr="00D147A7">
        <w:rPr>
          <w:rFonts w:eastAsiaTheme="minorEastAsia"/>
          <w:kern w:val="0"/>
          <w:lang w:eastAsia="en-US" w:bidi="ar-SA"/>
        </w:rPr>
        <w:t>, 1/3 (2005), p. 15-22 (</w:t>
      </w:r>
      <w:hyperlink r:id="rId387" w:history="1">
        <w:r w:rsidRPr="00D147A7">
          <w:rPr>
            <w:rFonts w:eastAsiaTheme="minorEastAsia"/>
            <w:color w:val="0000FF"/>
            <w:kern w:val="0"/>
            <w:u w:val="single"/>
            <w:lang w:eastAsia="en-US" w:bidi="ar-SA"/>
          </w:rPr>
          <w:t>www.hospitals.be/pdf/n1vol3p15.pdf</w:t>
        </w:r>
      </w:hyperlink>
      <w:r w:rsidRPr="00D147A7">
        <w:rPr>
          <w:rFonts w:eastAsiaTheme="minorEastAsia"/>
          <w:kern w:val="0"/>
          <w:lang w:eastAsia="en-US" w:bidi="ar-SA"/>
        </w:rPr>
        <w:t>, laatst geraad</w:t>
      </w:r>
      <w:r w:rsidR="00221B97">
        <w:rPr>
          <w:rFonts w:eastAsiaTheme="minorEastAsia"/>
          <w:kern w:val="0"/>
          <w:lang w:eastAsia="en-US" w:bidi="ar-SA"/>
        </w:rPr>
        <w:t>-</w:t>
      </w:r>
      <w:r w:rsidRPr="00D147A7">
        <w:rPr>
          <w:rFonts w:eastAsiaTheme="minorEastAsia"/>
          <w:kern w:val="0"/>
          <w:lang w:eastAsia="en-US" w:bidi="ar-SA"/>
        </w:rPr>
        <w:t xml:space="preserve">pleegd op 23 juli 2012).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COLETTE-BASECQZ, N., ‘Le secret professionnel face à l’enfance maltraitée’, </w:t>
      </w:r>
      <w:r w:rsidRPr="00D147A7">
        <w:rPr>
          <w:rFonts w:eastAsiaTheme="minorEastAsia"/>
          <w:i/>
          <w:kern w:val="0"/>
          <w:lang w:val="fr-BE" w:eastAsia="en-US" w:bidi="ar-SA"/>
        </w:rPr>
        <w:t>Annales de Droit de Louvain</w:t>
      </w:r>
      <w:r w:rsidRPr="00D147A7">
        <w:rPr>
          <w:rFonts w:eastAsiaTheme="minorEastAsia"/>
          <w:kern w:val="0"/>
          <w:lang w:val="fr-BE" w:eastAsia="en-US" w:bidi="ar-SA"/>
        </w:rPr>
        <w:t>, 2002, p. 3-30.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DALCQ, R., ‘Réflexions sur le sécret professionnel’, </w:t>
      </w:r>
      <w:r w:rsidRPr="00D147A7">
        <w:rPr>
          <w:rFonts w:eastAsiaTheme="minorEastAsia"/>
          <w:i/>
          <w:kern w:val="0"/>
          <w:lang w:val="fr-BE" w:eastAsia="en-US" w:bidi="ar-SA"/>
        </w:rPr>
        <w:t>R.G.A.R.</w:t>
      </w:r>
      <w:r w:rsidRPr="00D147A7">
        <w:rPr>
          <w:rFonts w:eastAsiaTheme="minorEastAsia"/>
          <w:kern w:val="0"/>
          <w:lang w:val="fr-BE" w:eastAsia="en-US" w:bidi="ar-SA"/>
        </w:rPr>
        <w:t>, 1986, nr. 11056.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BECKER, P., ‘Internationale en nationale initiatieven ter bescherming van de privacy van de patiënt: enkele beschouwingen’, </w:t>
      </w:r>
      <w:r w:rsidRPr="00D147A7">
        <w:rPr>
          <w:rFonts w:eastAsiaTheme="minorEastAsia"/>
          <w:i/>
          <w:kern w:val="0"/>
          <w:lang w:eastAsia="en-US" w:bidi="ar-SA"/>
        </w:rPr>
        <w:t>Vl.T.Gez.</w:t>
      </w:r>
      <w:r w:rsidRPr="00D147A7">
        <w:rPr>
          <w:rFonts w:eastAsiaTheme="minorEastAsia"/>
          <w:kern w:val="0"/>
          <w:lang w:eastAsia="en-US" w:bidi="ar-SA"/>
        </w:rPr>
        <w:t>, 1985-1986, p. 103-116.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DEBEUCKELAERE, W. (V.U.), </w:t>
      </w:r>
      <w:r w:rsidRPr="00D147A7">
        <w:rPr>
          <w:rFonts w:eastAsiaTheme="minorEastAsia"/>
          <w:i/>
          <w:kern w:val="0"/>
          <w:lang w:eastAsia="en-US" w:bidi="ar-SA"/>
        </w:rPr>
        <w:t>Privacy: een vademecum voor de onderzoeker</w:t>
      </w:r>
      <w:r w:rsidRPr="00D147A7">
        <w:rPr>
          <w:rFonts w:eastAsiaTheme="minorEastAsia"/>
          <w:kern w:val="0"/>
          <w:lang w:eastAsia="en-US" w:bidi="ar-SA"/>
        </w:rPr>
        <w:t>, Brussel, Commissie voor de bescherming van de persoonlijke levenssfeer, 2008, 16p. (</w:t>
      </w:r>
      <w:hyperlink w:history="1">
        <w:r w:rsidR="00221B97" w:rsidRPr="00ED5FE6">
          <w:rPr>
            <w:rStyle w:val="Hyperlink"/>
            <w:rFonts w:eastAsiaTheme="minorEastAsia"/>
            <w:kern w:val="0"/>
            <w:lang w:eastAsia="en-US" w:bidi="ar-SA"/>
          </w:rPr>
          <w:t>http://www. privacycommission.be/sites/privacycommission/files/documents/01.02.01.01-vademecum-voor-de-onderzoeker.pdf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DEBEUCKELAERE, W. (V.U.), </w:t>
      </w:r>
      <w:r w:rsidRPr="00D147A7">
        <w:rPr>
          <w:rFonts w:eastAsiaTheme="minorEastAsia"/>
          <w:i/>
          <w:kern w:val="0"/>
          <w:lang w:eastAsia="en-US" w:bidi="ar-SA"/>
        </w:rPr>
        <w:t>Hoe de Privacywet toepassen in het historisch onderzoek</w:t>
      </w:r>
      <w:r w:rsidRPr="00D147A7">
        <w:rPr>
          <w:rFonts w:eastAsiaTheme="minorEastAsia"/>
          <w:kern w:val="0"/>
          <w:lang w:eastAsia="en-US" w:bidi="ar-SA"/>
        </w:rPr>
        <w:t>, Brussel, Commissie voor de bescherming van de persoonlijke levenssfeer, 2011, 15p. (</w:t>
      </w:r>
      <w:hyperlink w:history="1">
        <w:r w:rsidR="002E6C99" w:rsidRPr="00D147A7">
          <w:rPr>
            <w:rStyle w:val="Hyperlink"/>
            <w:rFonts w:eastAsiaTheme="minorEastAsia"/>
            <w:kern w:val="0"/>
            <w:lang w:eastAsia="en-US" w:bidi="ar-SA"/>
          </w:rPr>
          <w:t>http:// www.privacycommission.be/sites/privacycommission/files/documents/01.02.01.05-vademecum-historisch-onderzoek.pdf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BOT, D., </w:t>
      </w:r>
      <w:r w:rsidRPr="00D147A7">
        <w:rPr>
          <w:rFonts w:eastAsiaTheme="minorEastAsia"/>
          <w:i/>
          <w:kern w:val="0"/>
          <w:lang w:eastAsia="en-US" w:bidi="ar-SA"/>
        </w:rPr>
        <w:t>Verwerking van persoonsgegevens</w:t>
      </w:r>
      <w:r w:rsidRPr="00D147A7">
        <w:rPr>
          <w:rFonts w:eastAsiaTheme="minorEastAsia"/>
          <w:kern w:val="0"/>
          <w:lang w:eastAsia="en-US" w:bidi="ar-SA"/>
        </w:rPr>
        <w:t>, Recht en Praktijk, 30, Antwerpen, Kluwer, 2001, 403p.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BOT, D., </w:t>
      </w:r>
      <w:r w:rsidRPr="00D147A7">
        <w:rPr>
          <w:rFonts w:eastAsiaTheme="minorEastAsia"/>
          <w:i/>
          <w:kern w:val="0"/>
          <w:lang w:eastAsia="en-US" w:bidi="ar-SA"/>
        </w:rPr>
        <w:t>Privacybescherming bij e-government in België. Een kritische analyse van het Rijksregister, de Kruispuntbank van Ondernemingen en de elektronische identiteitskaart als belangrijkste juridische bouwstenen</w:t>
      </w:r>
      <w:r w:rsidRPr="00D147A7">
        <w:rPr>
          <w:rFonts w:eastAsiaTheme="minorEastAsia"/>
          <w:kern w:val="0"/>
          <w:lang w:eastAsia="en-US" w:bidi="ar-SA"/>
        </w:rPr>
        <w:t xml:space="preserve">, Collectie Publiekrecht, Vanden Broele, Brugge, 2005, 469p.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BOT, D., ‘De aangestelde voor de gegevensbescherming inzake de verwerking van per</w:t>
      </w:r>
      <w:r w:rsidR="00221B97">
        <w:rPr>
          <w:rFonts w:eastAsiaTheme="minorEastAsia"/>
          <w:kern w:val="0"/>
          <w:lang w:eastAsia="en-US" w:bidi="ar-SA"/>
        </w:rPr>
        <w:t>-</w:t>
      </w:r>
      <w:r w:rsidRPr="00D147A7">
        <w:rPr>
          <w:rFonts w:eastAsiaTheme="minorEastAsia"/>
          <w:kern w:val="0"/>
          <w:lang w:eastAsia="en-US" w:bidi="ar-SA"/>
        </w:rPr>
        <w:t xml:space="preserve">soonsgegevens’, </w:t>
      </w:r>
      <w:r w:rsidRPr="00D147A7">
        <w:rPr>
          <w:rFonts w:eastAsiaTheme="minorEastAsia"/>
          <w:i/>
          <w:kern w:val="0"/>
          <w:lang w:eastAsia="en-US" w:bidi="ar-SA"/>
        </w:rPr>
        <w:t>Computerr.</w:t>
      </w:r>
      <w:r w:rsidRPr="00D147A7">
        <w:rPr>
          <w:rFonts w:eastAsiaTheme="minorEastAsia"/>
          <w:kern w:val="0"/>
          <w:lang w:eastAsia="en-US" w:bidi="ar-SA"/>
        </w:rPr>
        <w:t>, 1999, 6, p. 279-288.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DEBUSSERE, F., ‘Het Handvest van de grondrechten van de Europese Unie’, </w:t>
      </w:r>
      <w:r w:rsidRPr="00D147A7">
        <w:rPr>
          <w:rFonts w:eastAsiaTheme="minorEastAsia"/>
          <w:i/>
          <w:kern w:val="0"/>
          <w:lang w:eastAsia="en-US" w:bidi="ar-SA"/>
        </w:rPr>
        <w:t>Jura Falc.</w:t>
      </w:r>
      <w:r w:rsidRPr="00D147A7">
        <w:rPr>
          <w:rFonts w:eastAsiaTheme="minorEastAsia"/>
          <w:kern w:val="0"/>
          <w:lang w:eastAsia="en-US" w:bidi="ar-SA"/>
        </w:rPr>
        <w:t xml:space="preserve">, 38/1 (2001-2002), p. 39-88.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DECLOEDT, W.; ‘Overhandiging van medische gegevens op verzoek van een burgerlijke rechtbank’, WOSTYN, L.; SCHOCKAERT, F.; BOUCQUEY, K. (reds.); </w:t>
      </w:r>
      <w:r w:rsidRPr="00D147A7">
        <w:rPr>
          <w:rFonts w:eastAsiaTheme="minorEastAsia"/>
          <w:i/>
          <w:kern w:val="0"/>
          <w:lang w:eastAsia="en-US" w:bidi="ar-SA"/>
        </w:rPr>
        <w:t>Overhandigen me</w:t>
      </w:r>
      <w:r w:rsidR="00221B97">
        <w:rPr>
          <w:rFonts w:eastAsiaTheme="minorEastAsia"/>
          <w:i/>
          <w:kern w:val="0"/>
          <w:lang w:eastAsia="en-US" w:bidi="ar-SA"/>
        </w:rPr>
        <w:t>-</w:t>
      </w:r>
      <w:r w:rsidRPr="00D147A7">
        <w:rPr>
          <w:rFonts w:eastAsiaTheme="minorEastAsia"/>
          <w:i/>
          <w:kern w:val="0"/>
          <w:lang w:eastAsia="en-US" w:bidi="ar-SA"/>
        </w:rPr>
        <w:t>dische gegevens</w:t>
      </w:r>
      <w:r w:rsidRPr="00D147A7">
        <w:rPr>
          <w:rFonts w:eastAsiaTheme="minorEastAsia"/>
          <w:kern w:val="0"/>
          <w:lang w:eastAsia="en-US" w:bidi="ar-SA"/>
        </w:rPr>
        <w:t>, Gent, Academia Press, 2009², p. 47-55.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CORTE, R., ‘Verwerking persoonsgegevens nog strikter geregeld’, </w:t>
      </w:r>
      <w:r w:rsidRPr="00D147A7">
        <w:rPr>
          <w:rFonts w:eastAsiaTheme="minorEastAsia"/>
          <w:i/>
          <w:kern w:val="0"/>
          <w:lang w:eastAsia="en-US" w:bidi="ar-SA"/>
        </w:rPr>
        <w:t>Juristenkrant</w:t>
      </w:r>
      <w:r w:rsidRPr="00D147A7">
        <w:rPr>
          <w:rFonts w:eastAsiaTheme="minorEastAsia"/>
          <w:kern w:val="0"/>
          <w:lang w:eastAsia="en-US" w:bidi="ar-SA"/>
        </w:rPr>
        <w:t xml:space="preserve">, 33 (2001), p. 15.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CORTE, R., ‘Zeg niet anoniem tegen naamloos’, </w:t>
      </w:r>
      <w:r w:rsidRPr="00D147A7">
        <w:rPr>
          <w:rFonts w:eastAsiaTheme="minorEastAsia"/>
          <w:i/>
          <w:kern w:val="0"/>
          <w:lang w:eastAsia="en-US" w:bidi="ar-SA"/>
        </w:rPr>
        <w:t>Juristenkrant</w:t>
      </w:r>
      <w:r w:rsidRPr="00D147A7">
        <w:rPr>
          <w:rFonts w:eastAsiaTheme="minorEastAsia"/>
          <w:kern w:val="0"/>
          <w:lang w:eastAsia="en-US" w:bidi="ar-SA"/>
        </w:rPr>
        <w:t>, 74 (2003), p. 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CORTE, R., </w:t>
      </w:r>
      <w:r w:rsidRPr="00D147A7">
        <w:rPr>
          <w:rFonts w:eastAsiaTheme="minorEastAsia"/>
          <w:i/>
          <w:kern w:val="0"/>
          <w:lang w:eastAsia="en-US" w:bidi="ar-SA"/>
        </w:rPr>
        <w:t>Wet Verwerking Persoonsgegevens (WVP)</w:t>
      </w:r>
      <w:r w:rsidRPr="00D147A7">
        <w:rPr>
          <w:rFonts w:eastAsiaTheme="minorEastAsia"/>
          <w:kern w:val="0"/>
          <w:lang w:eastAsia="en-US" w:bidi="ar-SA"/>
        </w:rPr>
        <w:t>, 2003 (</w:t>
      </w:r>
      <w:hyperlink r:id="rId388" w:history="1">
        <w:r w:rsidR="00221B97" w:rsidRPr="00ED5FE6">
          <w:rPr>
            <w:rStyle w:val="Hyperlink"/>
            <w:rFonts w:eastAsiaTheme="minorEastAsia"/>
            <w:kern w:val="0"/>
            <w:lang w:eastAsia="en-US" w:bidi="ar-SA"/>
          </w:rPr>
          <w:t>http://users.ugent.be/ ~rdecorte/documenten/wetgeving/1992_12_08_wvp.pdf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GHELLINCK-DE MEESTER, M., ‘Het medisch beroepsgeheim en het hinderen van het toezicht’, </w:t>
      </w:r>
      <w:r w:rsidRPr="00D147A7">
        <w:rPr>
          <w:rFonts w:eastAsiaTheme="minorEastAsia"/>
          <w:i/>
          <w:kern w:val="0"/>
          <w:lang w:eastAsia="en-US" w:bidi="ar-SA"/>
        </w:rPr>
        <w:t>Inf.RIZIV</w:t>
      </w:r>
      <w:r w:rsidRPr="00D147A7">
        <w:rPr>
          <w:rFonts w:eastAsiaTheme="minorEastAsia"/>
          <w:kern w:val="0"/>
          <w:lang w:eastAsia="en-US" w:bidi="ar-SA"/>
        </w:rPr>
        <w:t xml:space="preserve">, 1997, p. 447-460.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DEGRAVE, L., ‘La Commission de la protection de la vie privée: un organisme invincible’, </w:t>
      </w:r>
      <w:r w:rsidRPr="00D147A7">
        <w:rPr>
          <w:rFonts w:eastAsiaTheme="minorEastAsia"/>
          <w:i/>
          <w:kern w:val="0"/>
          <w:lang w:val="fr-BE" w:eastAsia="en-US" w:bidi="ar-SA"/>
        </w:rPr>
        <w:t>R.D.T.I.</w:t>
      </w:r>
      <w:r w:rsidRPr="00D147A7">
        <w:rPr>
          <w:rFonts w:eastAsiaTheme="minorEastAsia"/>
          <w:kern w:val="0"/>
          <w:lang w:val="fr-BE" w:eastAsia="en-US" w:bidi="ar-SA"/>
        </w:rPr>
        <w:t>, 25 (2006), p. 225-241.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DE HERT, P., </w:t>
      </w:r>
      <w:r w:rsidRPr="00D147A7">
        <w:rPr>
          <w:rFonts w:eastAsiaTheme="minorEastAsia"/>
          <w:i/>
          <w:kern w:val="0"/>
          <w:lang w:eastAsia="en-US" w:bidi="ar-SA"/>
        </w:rPr>
        <w:t>Artikel 8 EVRM en het Belgisch recht: de bescherming van privacy, gezin, woonst en communicatie</w:t>
      </w:r>
      <w:r w:rsidRPr="00D147A7">
        <w:rPr>
          <w:rFonts w:eastAsiaTheme="minorEastAsia"/>
          <w:kern w:val="0"/>
          <w:lang w:eastAsia="en-US" w:bidi="ar-SA"/>
        </w:rPr>
        <w:t>, CDPK libri, 4, Gent, Mys &amp; Breesch, 1998, 367p.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HERT, P., ‘Doden hebben (nog) geen privacy’, </w:t>
      </w:r>
      <w:r w:rsidRPr="00D147A7">
        <w:rPr>
          <w:rFonts w:eastAsiaTheme="minorEastAsia"/>
          <w:i/>
          <w:kern w:val="0"/>
          <w:lang w:eastAsia="en-US" w:bidi="ar-SA"/>
        </w:rPr>
        <w:t>Juristenkrant</w:t>
      </w:r>
      <w:r w:rsidRPr="00D147A7">
        <w:rPr>
          <w:rFonts w:eastAsiaTheme="minorEastAsia"/>
          <w:kern w:val="0"/>
          <w:lang w:eastAsia="en-US" w:bidi="ar-SA"/>
        </w:rPr>
        <w:t>, 18 (2000), p. 12-13.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HERT, P., ‘Overzicht en geschiedenis Belgische wetgeving gegevensbescherming’, DE HERT, P. (red.), </w:t>
      </w:r>
      <w:r w:rsidRPr="00D147A7">
        <w:rPr>
          <w:rFonts w:eastAsiaTheme="minorEastAsia"/>
          <w:i/>
          <w:kern w:val="0"/>
          <w:lang w:eastAsia="en-US" w:bidi="ar-SA"/>
        </w:rPr>
        <w:t>Handboek Privacy. Persoonsgegevens in België</w:t>
      </w:r>
      <w:r w:rsidRPr="00D147A7">
        <w:rPr>
          <w:rFonts w:eastAsiaTheme="minorEastAsia"/>
          <w:kern w:val="0"/>
          <w:lang w:eastAsia="en-US" w:bidi="ar-SA"/>
        </w:rPr>
        <w:t>, Brussel, Politeia, 2003 (losbl.) (</w:t>
      </w:r>
      <w:hyperlink r:id="rId389" w:history="1">
        <w:r w:rsidRPr="00D147A7">
          <w:rPr>
            <w:rFonts w:eastAsiaTheme="minorEastAsia"/>
            <w:color w:val="0000FF"/>
            <w:kern w:val="0"/>
            <w:u w:val="single"/>
            <w:lang w:eastAsia="en-US" w:bidi="ar-SA"/>
          </w:rPr>
          <w:t>http://www.vub.ac.be/LSTS/pub/Dehert/221.pdf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HERT, P. (red.), </w:t>
      </w:r>
      <w:r w:rsidRPr="00D147A7">
        <w:rPr>
          <w:rFonts w:eastAsiaTheme="minorEastAsia"/>
          <w:i/>
          <w:kern w:val="0"/>
          <w:lang w:eastAsia="en-US" w:bidi="ar-SA"/>
        </w:rPr>
        <w:t>Privacy en persoonsgegevens</w:t>
      </w:r>
      <w:r w:rsidRPr="00D147A7">
        <w:rPr>
          <w:rFonts w:eastAsiaTheme="minorEastAsia"/>
          <w:kern w:val="0"/>
          <w:lang w:eastAsia="en-US" w:bidi="ar-SA"/>
        </w:rPr>
        <w:t>, Brussel, Politeia, 2005 (losbl.).</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DE HERT, P.; PAPAKONSTANTINOU, V.; ‘The proposed data protection Regulation repla</w:t>
      </w:r>
      <w:r w:rsidR="00221B97">
        <w:rPr>
          <w:rFonts w:eastAsiaTheme="minorEastAsia"/>
          <w:kern w:val="0"/>
          <w:lang w:val="en-US" w:eastAsia="en-US" w:bidi="ar-SA"/>
        </w:rPr>
        <w:t>-</w:t>
      </w:r>
      <w:r w:rsidRPr="00D147A7">
        <w:rPr>
          <w:rFonts w:eastAsiaTheme="minorEastAsia"/>
          <w:kern w:val="0"/>
          <w:lang w:val="en-US" w:eastAsia="en-US" w:bidi="ar-SA"/>
        </w:rPr>
        <w:t xml:space="preserve">cing Directive 95/46/EC: A sound system for the protection of individuals’, </w:t>
      </w:r>
      <w:r w:rsidRPr="00D147A7">
        <w:rPr>
          <w:rFonts w:eastAsiaTheme="minorEastAsia"/>
          <w:i/>
          <w:kern w:val="0"/>
          <w:lang w:val="en-US" w:eastAsia="en-US" w:bidi="ar-SA"/>
        </w:rPr>
        <w:t>C.L.S.R.</w:t>
      </w:r>
      <w:r w:rsidRPr="00D147A7">
        <w:rPr>
          <w:rFonts w:eastAsiaTheme="minorEastAsia"/>
          <w:kern w:val="0"/>
          <w:lang w:val="en-US" w:eastAsia="en-US" w:bidi="ar-SA"/>
        </w:rPr>
        <w:t>, 28/2 (2012), p. 130-142.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HERT, P.; SAELENS, R.; ‘Ontwikkelingen in de bescherming van persoonsgegevens. Wat is de weerslag op de bibliotheek- en archiefsector?’, </w:t>
      </w:r>
      <w:r w:rsidRPr="00D147A7">
        <w:rPr>
          <w:rFonts w:eastAsiaTheme="minorEastAsia"/>
          <w:i/>
          <w:kern w:val="0"/>
          <w:lang w:eastAsia="en-US" w:bidi="ar-SA"/>
        </w:rPr>
        <w:t>Meta</w:t>
      </w:r>
      <w:r w:rsidRPr="00D147A7">
        <w:rPr>
          <w:rFonts w:eastAsiaTheme="minorEastAsia"/>
          <w:kern w:val="0"/>
          <w:lang w:eastAsia="en-US" w:bidi="ar-SA"/>
        </w:rPr>
        <w:t>, 2011, 7, p. 32-34 (</w:t>
      </w:r>
      <w:hyperlink w:history="1">
        <w:r w:rsidR="00221B97" w:rsidRPr="00ED5FE6">
          <w:rPr>
            <w:rStyle w:val="Hyperlink"/>
            <w:rFonts w:eastAsiaTheme="minorEastAsia"/>
            <w:kern w:val="0"/>
            <w:lang w:eastAsia="en-US" w:bidi="ar-SA"/>
          </w:rPr>
          <w:t>http:// www.vub.ac.be/LSTS/pub/Dehert/402.pdf</w:t>
        </w:r>
      </w:hyperlink>
      <w:r w:rsidRPr="00D147A7">
        <w:rPr>
          <w:rFonts w:eastAsiaTheme="minorEastAsia"/>
          <w:kern w:val="0"/>
          <w:lang w:eastAsia="en-US" w:bidi="ar-SA"/>
        </w:rPr>
        <w:t>, laatst geraadpleegd op 23 juli 2012</w:t>
      </w:r>
      <w:r w:rsidRPr="00D147A7">
        <w:rPr>
          <w:rFonts w:eastAsiaTheme="minorEastAsia"/>
          <w:kern w:val="0"/>
          <w:sz w:val="22"/>
          <w:szCs w:val="22"/>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HERT, P., ‘Naamsvermelding op internet valt onder richtlijn dataprotectie’, </w:t>
      </w:r>
      <w:r w:rsidRPr="00D147A7">
        <w:rPr>
          <w:rFonts w:eastAsiaTheme="minorEastAsia"/>
          <w:i/>
          <w:kern w:val="0"/>
          <w:lang w:eastAsia="en-US" w:bidi="ar-SA"/>
        </w:rPr>
        <w:t>Juristenkrant</w:t>
      </w:r>
      <w:r w:rsidRPr="00D147A7">
        <w:rPr>
          <w:rFonts w:eastAsiaTheme="minorEastAsia"/>
          <w:kern w:val="0"/>
          <w:lang w:eastAsia="en-US" w:bidi="ar-SA"/>
        </w:rPr>
        <w:t>, 87 (2004), p. 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DELAEY, S., ‘Appartementsrecht en het recht op privacy’, </w:t>
      </w:r>
      <w:r w:rsidRPr="00D147A7">
        <w:rPr>
          <w:rFonts w:eastAsiaTheme="minorEastAsia"/>
          <w:i/>
          <w:kern w:val="0"/>
          <w:lang w:eastAsia="en-US" w:bidi="ar-SA"/>
        </w:rPr>
        <w:t>Jura Falc.</w:t>
      </w:r>
      <w:r w:rsidRPr="00D147A7">
        <w:rPr>
          <w:rFonts w:eastAsiaTheme="minorEastAsia"/>
          <w:kern w:val="0"/>
          <w:lang w:eastAsia="en-US" w:bidi="ar-SA"/>
        </w:rPr>
        <w:t>, 2001-2002, 4, p. 577-622.</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DE MOOR, G.; CLAERHOUT, B., ‘Privacy Enhancing Techniques in E-Health: An Over</w:t>
      </w:r>
      <w:r w:rsidR="00221B97">
        <w:rPr>
          <w:rFonts w:eastAsiaTheme="minorEastAsia"/>
          <w:kern w:val="0"/>
          <w:lang w:val="en-US" w:eastAsia="en-US" w:bidi="ar-SA"/>
        </w:rPr>
        <w:t>-</w:t>
      </w:r>
      <w:r w:rsidRPr="00D147A7">
        <w:rPr>
          <w:rFonts w:eastAsiaTheme="minorEastAsia"/>
          <w:kern w:val="0"/>
          <w:lang w:val="en-US" w:eastAsia="en-US" w:bidi="ar-SA"/>
        </w:rPr>
        <w:t xml:space="preserve">view’, DEMERIS, G. (red.), </w:t>
      </w:r>
      <w:r w:rsidRPr="00D147A7">
        <w:rPr>
          <w:rFonts w:eastAsiaTheme="minorEastAsia"/>
          <w:i/>
          <w:kern w:val="0"/>
          <w:lang w:val="en-US" w:eastAsia="en-US" w:bidi="ar-SA"/>
        </w:rPr>
        <w:t>E-Health: current status en future trends</w:t>
      </w:r>
      <w:r w:rsidRPr="00D147A7">
        <w:rPr>
          <w:rFonts w:eastAsiaTheme="minorEastAsia"/>
          <w:kern w:val="0"/>
          <w:lang w:val="en-US" w:eastAsia="en-US" w:bidi="ar-SA"/>
        </w:rPr>
        <w:t>, Amsterdam, IOS PRESS, 2004, p. 75-82.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MOOR, G., ‘Veiligheid en gegevensbescherming in informatiesystemen binnen de ge</w:t>
      </w:r>
      <w:r w:rsidR="00221B97">
        <w:rPr>
          <w:rFonts w:eastAsiaTheme="minorEastAsia"/>
          <w:kern w:val="0"/>
          <w:lang w:eastAsia="en-US" w:bidi="ar-SA"/>
        </w:rPr>
        <w:t>-</w:t>
      </w:r>
      <w:r w:rsidRPr="00D147A7">
        <w:rPr>
          <w:rFonts w:eastAsiaTheme="minorEastAsia"/>
          <w:kern w:val="0"/>
          <w:lang w:eastAsia="en-US" w:bidi="ar-SA"/>
        </w:rPr>
        <w:t xml:space="preserve">zondheidszorg’, </w:t>
      </w:r>
      <w:r w:rsidRPr="00D147A7">
        <w:rPr>
          <w:rFonts w:eastAsiaTheme="minorEastAsia"/>
          <w:i/>
          <w:kern w:val="0"/>
          <w:lang w:eastAsia="en-US" w:bidi="ar-SA"/>
        </w:rPr>
        <w:t>A.Hosp.</w:t>
      </w:r>
      <w:r w:rsidRPr="00D147A7">
        <w:rPr>
          <w:rFonts w:eastAsiaTheme="minorEastAsia"/>
          <w:kern w:val="0"/>
          <w:lang w:eastAsia="en-US" w:bidi="ar-SA"/>
        </w:rPr>
        <w:t>, 1994, 1, p. 37-43.</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DE NAUW, A., </w:t>
      </w:r>
      <w:r w:rsidRPr="00D147A7">
        <w:rPr>
          <w:rFonts w:eastAsiaTheme="minorEastAsia"/>
          <w:i/>
          <w:kern w:val="0"/>
          <w:lang w:val="fr-BE" w:eastAsia="en-US" w:bidi="ar-SA"/>
        </w:rPr>
        <w:t>Initiation au droit pénal spécial</w:t>
      </w:r>
      <w:r w:rsidRPr="00D147A7">
        <w:rPr>
          <w:rFonts w:eastAsiaTheme="minorEastAsia"/>
          <w:kern w:val="0"/>
          <w:lang w:val="fr-BE" w:eastAsia="en-US" w:bidi="ar-SA"/>
        </w:rPr>
        <w:t>, Waterloo, Kluwer, 2008, 619p.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DESOMER, M., ‘Het Handvest van de grondrechten van de Europese Unie’, </w:t>
      </w:r>
      <w:r w:rsidRPr="00D147A7">
        <w:rPr>
          <w:rFonts w:eastAsiaTheme="minorEastAsia"/>
          <w:i/>
          <w:kern w:val="0"/>
          <w:lang w:eastAsia="en-US" w:bidi="ar-SA"/>
        </w:rPr>
        <w:t>T.B.P.</w:t>
      </w:r>
      <w:r w:rsidRPr="00D147A7">
        <w:rPr>
          <w:rFonts w:eastAsiaTheme="minorEastAsia"/>
          <w:kern w:val="0"/>
          <w:lang w:eastAsia="en-US" w:bidi="ar-SA"/>
        </w:rPr>
        <w:t>, 2001, p. 671-687.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DEWULF, S.; PACQUEE, D. (reds.); </w:t>
      </w:r>
      <w:r w:rsidRPr="00D147A7">
        <w:rPr>
          <w:rFonts w:eastAsiaTheme="minorEastAsia"/>
          <w:i/>
          <w:kern w:val="0"/>
          <w:lang w:eastAsia="en-US" w:bidi="ar-SA"/>
        </w:rPr>
        <w:t>60 jaar Universele Verklaring van de Rechten van de Mens. 1948-2008</w:t>
      </w:r>
      <w:r w:rsidRPr="00D147A7">
        <w:rPr>
          <w:rFonts w:eastAsiaTheme="minorEastAsia"/>
          <w:kern w:val="0"/>
          <w:lang w:eastAsia="en-US" w:bidi="ar-SA"/>
        </w:rPr>
        <w:t>, Antwerpen, Intersentia, 270p.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DIERKENS, R., ‘Beroepsgeheim en recht’, </w:t>
      </w:r>
      <w:r w:rsidRPr="00D147A7">
        <w:rPr>
          <w:rFonts w:eastAsiaTheme="minorEastAsia"/>
          <w:i/>
          <w:kern w:val="0"/>
          <w:lang w:eastAsia="en-US" w:bidi="ar-SA"/>
        </w:rPr>
        <w:t>Vl.T.Gez.</w:t>
      </w:r>
      <w:r w:rsidRPr="00D147A7">
        <w:rPr>
          <w:rFonts w:eastAsiaTheme="minorEastAsia"/>
          <w:kern w:val="0"/>
          <w:lang w:eastAsia="en-US" w:bidi="ar-SA"/>
        </w:rPr>
        <w:t>, 1986-1987, p. 261-268.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DUMORTIER, J., ‘De verplichtingen van de houder van het bestand’, DUMORTIER, J.; ROBBEN, F. (reds.); </w:t>
      </w:r>
      <w:r w:rsidRPr="00D147A7">
        <w:rPr>
          <w:rFonts w:eastAsiaTheme="minorEastAsia"/>
          <w:i/>
          <w:kern w:val="0"/>
          <w:lang w:eastAsia="en-US" w:bidi="ar-SA"/>
        </w:rPr>
        <w:t>Persoonsgegevens en privacybescherming. Commentaar op de wet tot bescherming van de persoonlijke levenssfeer</w:t>
      </w:r>
      <w:r w:rsidRPr="00D147A7">
        <w:rPr>
          <w:rFonts w:eastAsiaTheme="minorEastAsia"/>
          <w:kern w:val="0"/>
          <w:lang w:eastAsia="en-US" w:bidi="ar-SA"/>
        </w:rPr>
        <w:t xml:space="preserve">, ICRI, 4, Brugge, die Keure, 1995, p. 65-120.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DUMORTIER, J., </w:t>
      </w:r>
      <w:r w:rsidRPr="00D147A7">
        <w:rPr>
          <w:rFonts w:eastAsiaTheme="minorEastAsia"/>
          <w:i/>
          <w:kern w:val="0"/>
          <w:lang w:val="fr-BE" w:eastAsia="en-US" w:bidi="ar-SA"/>
        </w:rPr>
        <w:t>ICT-Recht</w:t>
      </w:r>
      <w:r w:rsidRPr="00D147A7">
        <w:rPr>
          <w:rFonts w:eastAsiaTheme="minorEastAsia"/>
          <w:kern w:val="0"/>
          <w:lang w:val="fr-BE" w:eastAsia="en-US" w:bidi="ar-SA"/>
        </w:rPr>
        <w:t>, Leuven, Acco, 2012</w:t>
      </w:r>
      <w:r w:rsidRPr="00D147A7">
        <w:rPr>
          <w:rFonts w:eastAsiaTheme="minorEastAsia"/>
          <w:kern w:val="0"/>
          <w:vertAlign w:val="superscript"/>
          <w:lang w:val="fr-BE" w:eastAsia="en-US" w:bidi="ar-SA"/>
        </w:rPr>
        <w:t>14</w:t>
      </w:r>
      <w:r w:rsidRPr="00D147A7">
        <w:rPr>
          <w:rFonts w:eastAsiaTheme="minorEastAsia"/>
          <w:kern w:val="0"/>
          <w:lang w:val="fr-BE" w:eastAsia="en-US" w:bidi="ar-SA"/>
        </w:rPr>
        <w:t>, 276p.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DUMORTIER, J., ‘Noot onder advies inzake de toepasbaarheid van de Wet van 8 december 1992 tot bescherming van de persoonlijke levenssfeer ten opzichte van de verwerking van persoonsgegevens, op het netwerk van een Nationaal Kankerregister’, </w:t>
      </w:r>
      <w:r w:rsidRPr="00D147A7">
        <w:rPr>
          <w:rFonts w:eastAsiaTheme="minorEastAsia"/>
          <w:i/>
          <w:kern w:val="0"/>
          <w:lang w:eastAsia="en-US" w:bidi="ar-SA"/>
        </w:rPr>
        <w:t>Computerr.</w:t>
      </w:r>
      <w:r w:rsidRPr="00D147A7">
        <w:rPr>
          <w:rFonts w:eastAsiaTheme="minorEastAsia"/>
          <w:kern w:val="0"/>
          <w:lang w:eastAsia="en-US" w:bidi="ar-SA"/>
        </w:rPr>
        <w:t>, 1997, 3, p. 105-107.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DUMORTIER, J.; ROBBEN, F.; ‘Inleiding’, DUMORTIER, J.; ROBBEN, F. (reds.); </w:t>
      </w:r>
      <w:r w:rsidRPr="00D147A7">
        <w:rPr>
          <w:rFonts w:eastAsiaTheme="minorEastAsia"/>
          <w:i/>
          <w:kern w:val="0"/>
          <w:lang w:eastAsia="en-US" w:bidi="ar-SA"/>
        </w:rPr>
        <w:t>Per</w:t>
      </w:r>
      <w:r w:rsidR="00221B97">
        <w:rPr>
          <w:rFonts w:eastAsiaTheme="minorEastAsia"/>
          <w:i/>
          <w:kern w:val="0"/>
          <w:lang w:eastAsia="en-US" w:bidi="ar-SA"/>
        </w:rPr>
        <w:t>-</w:t>
      </w:r>
      <w:r w:rsidRPr="00D147A7">
        <w:rPr>
          <w:rFonts w:eastAsiaTheme="minorEastAsia"/>
          <w:i/>
          <w:kern w:val="0"/>
          <w:lang w:eastAsia="en-US" w:bidi="ar-SA"/>
        </w:rPr>
        <w:t>soonsgegevens en privacybescherming. Commentaar op de wet tot bescherming van de per</w:t>
      </w:r>
      <w:r w:rsidR="00221B97">
        <w:rPr>
          <w:rFonts w:eastAsiaTheme="minorEastAsia"/>
          <w:i/>
          <w:kern w:val="0"/>
          <w:lang w:eastAsia="en-US" w:bidi="ar-SA"/>
        </w:rPr>
        <w:t>-</w:t>
      </w:r>
      <w:r w:rsidRPr="00D147A7">
        <w:rPr>
          <w:rFonts w:eastAsiaTheme="minorEastAsia"/>
          <w:i/>
          <w:kern w:val="0"/>
          <w:lang w:eastAsia="en-US" w:bidi="ar-SA"/>
        </w:rPr>
        <w:t>soonlijke levenssfeer</w:t>
      </w:r>
      <w:r w:rsidRPr="00D147A7">
        <w:rPr>
          <w:rFonts w:eastAsiaTheme="minorEastAsia"/>
          <w:kern w:val="0"/>
          <w:lang w:eastAsia="en-US" w:bidi="ar-SA"/>
        </w:rPr>
        <w:t>, Brugge, die Keure, 1995, p. 1-14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FLAMEE, M.; LEONARD, T.; ‘La liberté de la presse à l’aune de la loi sur la protection des données: liberté responsable ou liberté surveillée?’, </w:t>
      </w:r>
      <w:r w:rsidRPr="00D147A7">
        <w:rPr>
          <w:rFonts w:eastAsiaTheme="minorEastAsia"/>
          <w:i/>
          <w:kern w:val="0"/>
          <w:lang w:val="fr-BE" w:eastAsia="en-US" w:bidi="ar-SA"/>
        </w:rPr>
        <w:t>T.B.B.R.</w:t>
      </w:r>
      <w:r w:rsidRPr="00D147A7">
        <w:rPr>
          <w:rFonts w:eastAsiaTheme="minorEastAsia"/>
          <w:kern w:val="0"/>
          <w:lang w:val="fr-BE" w:eastAsia="en-US" w:bidi="ar-SA"/>
        </w:rPr>
        <w:t>, 1997, p. 5-9.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GEVAERT, P.; WOSTYN, L.; ‘Inbeslagname medische dossiers en verhoor door de onder</w:t>
      </w:r>
      <w:r w:rsidR="009744EE">
        <w:rPr>
          <w:rFonts w:eastAsiaTheme="minorEastAsia"/>
          <w:kern w:val="0"/>
          <w:lang w:eastAsia="en-US" w:bidi="ar-SA"/>
        </w:rPr>
        <w:t>-</w:t>
      </w:r>
      <w:r w:rsidRPr="00D147A7">
        <w:rPr>
          <w:rFonts w:eastAsiaTheme="minorEastAsia"/>
          <w:kern w:val="0"/>
          <w:lang w:eastAsia="en-US" w:bidi="ar-SA"/>
        </w:rPr>
        <w:t xml:space="preserve">zoeksrechter’, WOSTYN, L.; SCHOCKAERT, F.; BOUCQUEY, K. (reds.); </w:t>
      </w:r>
      <w:r w:rsidRPr="00D147A7">
        <w:rPr>
          <w:rFonts w:eastAsiaTheme="minorEastAsia"/>
          <w:i/>
          <w:kern w:val="0"/>
          <w:lang w:eastAsia="en-US" w:bidi="ar-SA"/>
        </w:rPr>
        <w:t>Overhandigen medische gegevens</w:t>
      </w:r>
      <w:r w:rsidRPr="00D147A7">
        <w:rPr>
          <w:rFonts w:eastAsiaTheme="minorEastAsia"/>
          <w:kern w:val="0"/>
          <w:lang w:eastAsia="en-US" w:bidi="ar-SA"/>
        </w:rPr>
        <w:t>, Gent, Academia Press, 2009², p. 19-34.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GOFFIN, T., </w:t>
      </w:r>
      <w:r w:rsidRPr="00D147A7">
        <w:rPr>
          <w:rFonts w:eastAsiaTheme="minorEastAsia"/>
          <w:i/>
          <w:kern w:val="0"/>
          <w:lang w:eastAsia="en-US" w:bidi="ar-SA"/>
        </w:rPr>
        <w:t>De professionele autonomie van de arts: de rechtspositie van de arts in de arts-patiëntrelatie</w:t>
      </w:r>
      <w:r w:rsidRPr="00D147A7">
        <w:rPr>
          <w:rFonts w:eastAsiaTheme="minorEastAsia"/>
          <w:kern w:val="0"/>
          <w:lang w:eastAsia="en-US" w:bidi="ar-SA"/>
        </w:rPr>
        <w:t>, Medisch recht, Brugge, die Keure, 2011, 494p.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GUTWIRTH, S., ‘De toepassing van het finaliteitsbeginsel van de Privacywet van 8 decem</w:t>
      </w:r>
      <w:r w:rsidR="009744EE">
        <w:rPr>
          <w:rFonts w:eastAsiaTheme="minorEastAsia"/>
          <w:kern w:val="0"/>
          <w:lang w:eastAsia="en-US" w:bidi="ar-SA"/>
        </w:rPr>
        <w:t>-</w:t>
      </w:r>
      <w:r w:rsidRPr="00D147A7">
        <w:rPr>
          <w:rFonts w:eastAsiaTheme="minorEastAsia"/>
          <w:kern w:val="0"/>
          <w:lang w:eastAsia="en-US" w:bidi="ar-SA"/>
        </w:rPr>
        <w:t xml:space="preserve">ber 1992 tot bescherming van de persoonlijke levenssfeer ten opzichte van de verwerking van persoonsgegevens’, </w:t>
      </w:r>
      <w:r w:rsidRPr="00D147A7">
        <w:rPr>
          <w:rFonts w:eastAsiaTheme="minorEastAsia"/>
          <w:i/>
          <w:kern w:val="0"/>
          <w:lang w:eastAsia="en-US" w:bidi="ar-SA"/>
        </w:rPr>
        <w:t>T.P.R.</w:t>
      </w:r>
      <w:r w:rsidRPr="00D147A7">
        <w:rPr>
          <w:rFonts w:eastAsiaTheme="minorEastAsia"/>
          <w:kern w:val="0"/>
          <w:lang w:eastAsia="en-US" w:bidi="ar-SA"/>
        </w:rPr>
        <w:t>, 1993, 4, p. 1409-1477.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HACHE, R., ‘Beroepsgeheim vanuit medisch-ethisch perspectief: tussen privacy en vertrou</w:t>
      </w:r>
      <w:r w:rsidR="009744EE">
        <w:rPr>
          <w:rFonts w:eastAsiaTheme="minorEastAsia"/>
          <w:kern w:val="0"/>
          <w:lang w:eastAsia="en-US" w:bidi="ar-SA"/>
        </w:rPr>
        <w:t>-</w:t>
      </w:r>
      <w:r w:rsidRPr="00D147A7">
        <w:rPr>
          <w:rFonts w:eastAsiaTheme="minorEastAsia"/>
          <w:kern w:val="0"/>
          <w:lang w:eastAsia="en-US" w:bidi="ar-SA"/>
        </w:rPr>
        <w:t xml:space="preserve">welijkheid’, NYS, H. (red.), </w:t>
      </w:r>
      <w:r w:rsidRPr="00D147A7">
        <w:rPr>
          <w:rFonts w:eastAsiaTheme="minorEastAsia"/>
          <w:i/>
          <w:kern w:val="0"/>
          <w:lang w:eastAsia="en-US" w:bidi="ar-SA"/>
        </w:rPr>
        <w:t>Het beroepsgeheim in de zorgverleningssector. Een confrontatie tussen recht en praktijk</w:t>
      </w:r>
      <w:r w:rsidRPr="00D147A7">
        <w:rPr>
          <w:rFonts w:eastAsiaTheme="minorEastAsia"/>
          <w:kern w:val="0"/>
          <w:lang w:eastAsia="en-US" w:bidi="ar-SA"/>
        </w:rPr>
        <w:t>, Recht en Geneeskunde, Antwerpen, Intersentia, 1998, p. 51-60.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HENNAU-HUBLET, C., ‘Le secret médical et ses limites. La dynamique du secret tend-elle vers son occultation?’, </w:t>
      </w:r>
      <w:r w:rsidRPr="00D147A7">
        <w:rPr>
          <w:rFonts w:eastAsiaTheme="minorEastAsia"/>
          <w:i/>
          <w:kern w:val="0"/>
          <w:lang w:val="fr-BE" w:eastAsia="en-US" w:bidi="ar-SA"/>
        </w:rPr>
        <w:t>Louvain Médical</w:t>
      </w:r>
      <w:r w:rsidRPr="00D147A7">
        <w:rPr>
          <w:rFonts w:eastAsiaTheme="minorEastAsia"/>
          <w:kern w:val="0"/>
          <w:lang w:val="fr-BE" w:eastAsia="en-US" w:bidi="ar-SA"/>
        </w:rPr>
        <w:t>, 117/5 (1998), p. 169-195 (</w:t>
      </w:r>
      <w:hyperlink r:id="rId390" w:history="1">
        <w:r w:rsidR="009744EE" w:rsidRPr="00ED5FE6">
          <w:rPr>
            <w:rStyle w:val="Hyperlink"/>
            <w:rFonts w:eastAsiaTheme="minorEastAsia"/>
            <w:kern w:val="0"/>
            <w:lang w:val="fr-BE" w:eastAsia="en-US" w:bidi="ar-SA"/>
          </w:rPr>
          <w:t>http://sites.uclouvain.be/ loumed/CD/DATA/117/S169-195.PDF</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HERVEG, J., ‘La protection des données du patient après son décès: une persistance du droit au respect de la vie privée?’, PEREZ ASINARI, M.; PALAZZI, P.; </w:t>
      </w:r>
      <w:r w:rsidRPr="00D147A7">
        <w:rPr>
          <w:rFonts w:eastAsiaTheme="minorEastAsia"/>
          <w:i/>
          <w:kern w:val="0"/>
          <w:lang w:val="fr-BE" w:eastAsia="en-US" w:bidi="ar-SA"/>
        </w:rPr>
        <w:t>Défis du droit à la protec</w:t>
      </w:r>
      <w:r w:rsidR="009744EE">
        <w:rPr>
          <w:rFonts w:eastAsiaTheme="minorEastAsia"/>
          <w:i/>
          <w:kern w:val="0"/>
          <w:lang w:val="fr-BE" w:eastAsia="en-US" w:bidi="ar-SA"/>
        </w:rPr>
        <w:t>-</w:t>
      </w:r>
      <w:r w:rsidRPr="00D147A7">
        <w:rPr>
          <w:rFonts w:eastAsiaTheme="minorEastAsia"/>
          <w:i/>
          <w:kern w:val="0"/>
          <w:lang w:val="fr-BE" w:eastAsia="en-US" w:bidi="ar-SA"/>
        </w:rPr>
        <w:t>tion de la vie privée: perspectives du droit européen et nord-américain</w:t>
      </w:r>
      <w:r w:rsidRPr="00D147A7">
        <w:rPr>
          <w:rFonts w:eastAsiaTheme="minorEastAsia"/>
          <w:kern w:val="0"/>
          <w:lang w:val="fr-BE" w:eastAsia="en-US" w:bidi="ar-SA"/>
        </w:rPr>
        <w:t xml:space="preserve">, Cahiers du Centre de recherches informatique et droit, 31, Brussel, Bruylant, 2008, p. 209-242.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HERVEG, J., ‘Une vie privée après la mort? Le cas des données relatives au patient’, </w:t>
      </w:r>
      <w:r w:rsidRPr="00D147A7">
        <w:rPr>
          <w:rFonts w:eastAsiaTheme="minorEastAsia"/>
          <w:i/>
          <w:kern w:val="0"/>
          <w:lang w:val="fr-BE" w:eastAsia="en-US" w:bidi="ar-SA"/>
        </w:rPr>
        <w:t>J.T.</w:t>
      </w:r>
      <w:r w:rsidRPr="00D147A7">
        <w:rPr>
          <w:rFonts w:eastAsiaTheme="minorEastAsia"/>
          <w:kern w:val="0"/>
          <w:lang w:val="fr-BE" w:eastAsia="en-US" w:bidi="ar-SA"/>
        </w:rPr>
        <w:t>, 6189 (2005), p.  489-499.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HERVEG, J., </w:t>
      </w:r>
      <w:r w:rsidRPr="00D147A7">
        <w:rPr>
          <w:rFonts w:eastAsiaTheme="minorEastAsia"/>
          <w:i/>
          <w:kern w:val="0"/>
          <w:lang w:val="fr-BE" w:eastAsia="en-US" w:bidi="ar-SA"/>
        </w:rPr>
        <w:t>La protection des données du patient dans l’hôpital</w:t>
      </w:r>
      <w:r w:rsidRPr="00D147A7">
        <w:rPr>
          <w:rFonts w:eastAsiaTheme="minorEastAsia"/>
          <w:kern w:val="0"/>
          <w:lang w:val="fr-BE" w:eastAsia="en-US" w:bidi="ar-SA"/>
        </w:rPr>
        <w:t>, Waterloo, Kluwer, 2009, 101p.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HERVEG, J.; VERHAEGEN, M.N.; POULLET, Y.; ‘Les droits du patient face au traitement informatisé de ses données dans une finalité thérapeutique: Les conditions d’une alliance en</w:t>
      </w:r>
      <w:r w:rsidR="009744EE">
        <w:rPr>
          <w:rFonts w:eastAsiaTheme="minorEastAsia"/>
          <w:kern w:val="0"/>
          <w:lang w:val="fr-BE" w:eastAsia="en-US" w:bidi="ar-SA"/>
        </w:rPr>
        <w:t>-</w:t>
      </w:r>
      <w:r w:rsidRPr="00D147A7">
        <w:rPr>
          <w:rFonts w:eastAsiaTheme="minorEastAsia"/>
          <w:kern w:val="0"/>
          <w:lang w:val="fr-BE" w:eastAsia="en-US" w:bidi="ar-SA"/>
        </w:rPr>
        <w:t xml:space="preserve">tre informatique, vie privée et santé’, </w:t>
      </w:r>
      <w:r w:rsidRPr="00D147A7">
        <w:rPr>
          <w:rFonts w:eastAsiaTheme="minorEastAsia"/>
          <w:i/>
          <w:kern w:val="0"/>
          <w:lang w:val="fr-BE" w:eastAsia="en-US" w:bidi="ar-SA"/>
        </w:rPr>
        <w:t>T.Gez.</w:t>
      </w:r>
      <w:r w:rsidRPr="00D147A7">
        <w:rPr>
          <w:rFonts w:eastAsiaTheme="minorEastAsia"/>
          <w:kern w:val="0"/>
          <w:lang w:val="fr-BE" w:eastAsia="en-US" w:bidi="ar-SA"/>
        </w:rPr>
        <w:t>, 2002-2003, 2, p. 56-84.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HEYLEN, R., ‘Het medisch dossier en de Wet Patiëntenrechten: vele verduidelijkingen, maar toch enkele nieuwe problemen’, </w:t>
      </w:r>
      <w:r w:rsidRPr="00D147A7">
        <w:rPr>
          <w:rFonts w:eastAsiaTheme="minorEastAsia"/>
          <w:i/>
          <w:kern w:val="0"/>
          <w:lang w:eastAsia="en-US" w:bidi="ar-SA"/>
        </w:rPr>
        <w:t>T.Gez.</w:t>
      </w:r>
      <w:r w:rsidRPr="00D147A7">
        <w:rPr>
          <w:rFonts w:eastAsiaTheme="minorEastAsia"/>
          <w:kern w:val="0"/>
          <w:lang w:eastAsia="en-US" w:bidi="ar-SA"/>
        </w:rPr>
        <w:t>, 2003-2004, p. 94-103.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HOET, H., ‘Elektronische overdracht van medische gegevens’, </w:t>
      </w:r>
      <w:r w:rsidRPr="00D147A7">
        <w:rPr>
          <w:rFonts w:eastAsiaTheme="minorEastAsia"/>
          <w:i/>
          <w:kern w:val="0"/>
          <w:lang w:eastAsia="en-US" w:bidi="ar-SA"/>
        </w:rPr>
        <w:t>Het medisch dossier. Verslag symposium 4 mei 2002</w:t>
      </w:r>
      <w:r w:rsidRPr="00D147A7">
        <w:rPr>
          <w:rFonts w:eastAsiaTheme="minorEastAsia"/>
          <w:kern w:val="0"/>
          <w:lang w:eastAsia="en-US" w:bidi="ar-SA"/>
        </w:rPr>
        <w:t>, Hippocrates, 42, Gent, Orde der geneesheren – Provinciale Raad van Oost-Vlaanderen, 2002, p. 22-24.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KIGANAHE, D.; POULLET, Y. (reds.); </w:t>
      </w:r>
      <w:r w:rsidRPr="00D147A7">
        <w:rPr>
          <w:rFonts w:eastAsiaTheme="minorEastAsia"/>
          <w:i/>
          <w:kern w:val="0"/>
          <w:lang w:val="fr-BE" w:eastAsia="en-US" w:bidi="ar-SA"/>
        </w:rPr>
        <w:t>Le secret professionel</w:t>
      </w:r>
      <w:r w:rsidRPr="00D147A7">
        <w:rPr>
          <w:rFonts w:eastAsiaTheme="minorEastAsia"/>
          <w:kern w:val="0"/>
          <w:lang w:val="fr-BE" w:eastAsia="en-US" w:bidi="ar-SA"/>
        </w:rPr>
        <w:t>, Brussel, La Charte, 2002, 285p.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LAMBERT, P., </w:t>
      </w:r>
      <w:r w:rsidRPr="00D147A7">
        <w:rPr>
          <w:rFonts w:eastAsiaTheme="minorEastAsia"/>
          <w:i/>
          <w:kern w:val="0"/>
          <w:lang w:val="fr-BE" w:eastAsia="en-US" w:bidi="ar-SA"/>
        </w:rPr>
        <w:t>Le secret professionnel</w:t>
      </w:r>
      <w:r w:rsidRPr="00D147A7">
        <w:rPr>
          <w:rFonts w:eastAsiaTheme="minorEastAsia"/>
          <w:kern w:val="0"/>
          <w:lang w:val="fr-BE" w:eastAsia="en-US" w:bidi="ar-SA"/>
        </w:rPr>
        <w:t>, Brussel, Nemesis, 1985, 321p.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LAMON, H., ‘De Privacywet: aangifteplicht eerder uitzondering dan regel’, </w:t>
      </w:r>
      <w:r w:rsidRPr="00D147A7">
        <w:rPr>
          <w:rFonts w:eastAsiaTheme="minorEastAsia"/>
          <w:i/>
          <w:kern w:val="0"/>
          <w:lang w:eastAsia="en-US" w:bidi="ar-SA"/>
        </w:rPr>
        <w:t>Balans</w:t>
      </w:r>
      <w:r w:rsidRPr="00D147A7">
        <w:rPr>
          <w:rFonts w:eastAsiaTheme="minorEastAsia"/>
          <w:kern w:val="0"/>
          <w:lang w:eastAsia="en-US" w:bidi="ar-SA"/>
        </w:rPr>
        <w:t>, 319 (1996), p. 1-4.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LANDUYT, R., ‘Beroepsgeheim is geen alibi om misdrijven te verzwijgen’, </w:t>
      </w:r>
      <w:r w:rsidRPr="00D147A7">
        <w:rPr>
          <w:rFonts w:eastAsiaTheme="minorEastAsia"/>
          <w:i/>
          <w:kern w:val="0"/>
          <w:lang w:eastAsia="en-US" w:bidi="ar-SA"/>
        </w:rPr>
        <w:t>Antenne</w:t>
      </w:r>
      <w:r w:rsidRPr="00D147A7">
        <w:rPr>
          <w:rFonts w:eastAsiaTheme="minorEastAsia"/>
          <w:kern w:val="0"/>
          <w:lang w:eastAsia="en-US" w:bidi="ar-SA"/>
        </w:rPr>
        <w:t>, 29/4 (2011), p. 51-54 (</w:t>
      </w:r>
      <w:hyperlink r:id="rId391" w:history="1">
        <w:r w:rsidR="009744EE" w:rsidRPr="00ED5FE6">
          <w:rPr>
            <w:rStyle w:val="Hyperlink"/>
            <w:rFonts w:eastAsiaTheme="minorEastAsia"/>
            <w:kern w:val="0"/>
            <w:lang w:eastAsia="en-US" w:bidi="ar-SA"/>
          </w:rPr>
          <w:t>http://www.demens.nu/export/sites/default/nl/Publicaties/antenne/Antenne Beroepsgeheim.pdf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LATTANZI, R., ‘Protecting health care data: from medical secrecy to personal data </w:t>
      </w:r>
      <w:r w:rsidR="009744EE">
        <w:rPr>
          <w:rFonts w:eastAsiaTheme="minorEastAsia"/>
          <w:kern w:val="0"/>
          <w:lang w:val="en-US" w:eastAsia="en-US" w:bidi="ar-SA"/>
        </w:rPr>
        <w:t>protect-</w:t>
      </w:r>
      <w:r w:rsidRPr="00D147A7">
        <w:rPr>
          <w:rFonts w:eastAsiaTheme="minorEastAsia"/>
          <w:kern w:val="0"/>
          <w:lang w:val="en-US" w:eastAsia="en-US" w:bidi="ar-SA"/>
        </w:rPr>
        <w:t xml:space="preserve">tion. Solution found?’, HERVEG, J. (red.), </w:t>
      </w:r>
      <w:r w:rsidRPr="00D147A7">
        <w:rPr>
          <w:rFonts w:eastAsiaTheme="minorEastAsia"/>
          <w:i/>
          <w:kern w:val="0"/>
          <w:lang w:val="en-US" w:eastAsia="en-US" w:bidi="ar-SA"/>
        </w:rPr>
        <w:t>The protection of medical data. Challenges of the 21st century</w:t>
      </w:r>
      <w:r w:rsidRPr="00D147A7">
        <w:rPr>
          <w:rFonts w:eastAsiaTheme="minorEastAsia"/>
          <w:kern w:val="0"/>
          <w:lang w:val="en-US" w:eastAsia="en-US" w:bidi="ar-SA"/>
        </w:rPr>
        <w:t>, Louvain-la-Neuve, Anthemis, 2008, p. 21-36.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LEENAERTS, E.; PUT, J.; VAN DER STRAETE, I.; ‘Het beschikkingsrecht over het be</w:t>
      </w:r>
      <w:r w:rsidR="009744EE">
        <w:rPr>
          <w:rFonts w:eastAsiaTheme="minorEastAsia"/>
          <w:kern w:val="0"/>
          <w:lang w:eastAsia="en-US" w:bidi="ar-SA"/>
        </w:rPr>
        <w:t>-</w:t>
      </w:r>
      <w:r w:rsidRPr="00D147A7">
        <w:rPr>
          <w:rFonts w:eastAsiaTheme="minorEastAsia"/>
          <w:kern w:val="0"/>
          <w:lang w:eastAsia="en-US" w:bidi="ar-SA"/>
        </w:rPr>
        <w:t xml:space="preserve">roepsgeheim. De hulpverlener wikt, de cliënt beschikt’, </w:t>
      </w:r>
      <w:r w:rsidRPr="00D147A7">
        <w:rPr>
          <w:rFonts w:eastAsiaTheme="minorEastAsia"/>
          <w:i/>
          <w:kern w:val="0"/>
          <w:lang w:eastAsia="en-US" w:bidi="ar-SA"/>
        </w:rPr>
        <w:t>T.P.R.</w:t>
      </w:r>
      <w:r w:rsidRPr="00D147A7">
        <w:rPr>
          <w:rFonts w:eastAsiaTheme="minorEastAsia"/>
          <w:kern w:val="0"/>
          <w:lang w:eastAsia="en-US" w:bidi="ar-SA"/>
        </w:rPr>
        <w:t>, 2003, 3, p. 1093-1131.</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LELEU, Y.H.; GENICOT, G.; </w:t>
      </w:r>
      <w:r w:rsidRPr="00D147A7">
        <w:rPr>
          <w:rFonts w:eastAsiaTheme="minorEastAsia"/>
          <w:i/>
          <w:kern w:val="0"/>
          <w:lang w:val="fr-BE" w:eastAsia="en-US" w:bidi="ar-SA"/>
        </w:rPr>
        <w:t>Le droit médical. Aspects juridiques de la relation médecin-patient</w:t>
      </w:r>
      <w:r w:rsidRPr="00D147A7">
        <w:rPr>
          <w:rFonts w:eastAsiaTheme="minorEastAsia"/>
          <w:kern w:val="0"/>
          <w:lang w:val="fr-BE" w:eastAsia="en-US" w:bidi="ar-SA"/>
        </w:rPr>
        <w:t xml:space="preserve">, Droit actuel, Brussel, De Boeck &amp; Larcier, 2001, 243p.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LEMMENS, P., ‘Het recht op eerbiediging van de persoonlijke levenssfeer in het algemeen en ten opzichte van de verwerking van persoonsgegevens in het bijzonder’, </w:t>
      </w:r>
      <w:r w:rsidRPr="00D147A7">
        <w:rPr>
          <w:rFonts w:eastAsiaTheme="minorEastAsia"/>
          <w:i/>
          <w:kern w:val="0"/>
          <w:lang w:eastAsia="en-US" w:bidi="ar-SA"/>
        </w:rPr>
        <w:t>Liber Amicorum Armand Vandeplas</w:t>
      </w:r>
      <w:r w:rsidRPr="00D147A7">
        <w:rPr>
          <w:rFonts w:eastAsiaTheme="minorEastAsia"/>
          <w:kern w:val="0"/>
          <w:lang w:eastAsia="en-US" w:bidi="ar-SA"/>
        </w:rPr>
        <w:t>, Gent, Mys &amp; Breesch, 1994, p. 313-326.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LEMMENS, P., ‘Het verbod van onderwerping aan een lichamelijk of geestesonderzoek’, </w:t>
      </w:r>
      <w:r w:rsidRPr="00D147A7">
        <w:rPr>
          <w:rFonts w:eastAsiaTheme="minorEastAsia"/>
          <w:i/>
          <w:kern w:val="0"/>
          <w:lang w:eastAsia="en-US" w:bidi="ar-SA"/>
        </w:rPr>
        <w:t>Li</w:t>
      </w:r>
      <w:r w:rsidR="009744EE">
        <w:rPr>
          <w:rFonts w:eastAsiaTheme="minorEastAsia"/>
          <w:i/>
          <w:kern w:val="0"/>
          <w:lang w:eastAsia="en-US" w:bidi="ar-SA"/>
        </w:rPr>
        <w:t>-</w:t>
      </w:r>
      <w:r w:rsidRPr="00D147A7">
        <w:rPr>
          <w:rFonts w:eastAsiaTheme="minorEastAsia"/>
          <w:i/>
          <w:kern w:val="0"/>
          <w:lang w:eastAsia="en-US" w:bidi="ar-SA"/>
        </w:rPr>
        <w:t>ber Amicorum E. Krings</w:t>
      </w:r>
      <w:r w:rsidRPr="00D147A7">
        <w:rPr>
          <w:rFonts w:eastAsiaTheme="minorEastAsia"/>
          <w:kern w:val="0"/>
          <w:lang w:eastAsia="en-US" w:bidi="ar-SA"/>
        </w:rPr>
        <w:t>, Brussel, Story-Scientia, 1991, p. 659-669.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LEONARD, T.; POULLET, Y.; ‘La protection des données à caractère personnel en pleine (r)évolution. La loi du 11 décembre 1998 transposant la directive 95/46/C.E. du 24 octobre 1995’, </w:t>
      </w:r>
      <w:r w:rsidRPr="00D147A7">
        <w:rPr>
          <w:rFonts w:eastAsiaTheme="minorEastAsia"/>
          <w:i/>
          <w:kern w:val="0"/>
          <w:lang w:val="fr-BE" w:eastAsia="en-US" w:bidi="ar-SA"/>
        </w:rPr>
        <w:t>J.T.</w:t>
      </w:r>
      <w:r w:rsidRPr="00D147A7">
        <w:rPr>
          <w:rFonts w:eastAsiaTheme="minorEastAsia"/>
          <w:kern w:val="0"/>
          <w:lang w:val="fr-BE" w:eastAsia="en-US" w:bidi="ar-SA"/>
        </w:rPr>
        <w:t>, 1999, p. 377-396.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LIEGOIS, Y., ‘De bescherming van de persoonlijke levenssfeer ten opzichte van de verwer</w:t>
      </w:r>
      <w:r w:rsidR="009744EE">
        <w:rPr>
          <w:rFonts w:eastAsiaTheme="minorEastAsia"/>
          <w:kern w:val="0"/>
          <w:lang w:eastAsia="en-US" w:bidi="ar-SA"/>
        </w:rPr>
        <w:t>-</w:t>
      </w:r>
      <w:r w:rsidRPr="00D147A7">
        <w:rPr>
          <w:rFonts w:eastAsiaTheme="minorEastAsia"/>
          <w:kern w:val="0"/>
          <w:lang w:eastAsia="en-US" w:bidi="ar-SA"/>
        </w:rPr>
        <w:t>king van persoonsgegevens en het strafprocesrecht, van een schijnhuwelijk naar een schijn</w:t>
      </w:r>
      <w:r w:rsidR="009744EE">
        <w:rPr>
          <w:rFonts w:eastAsiaTheme="minorEastAsia"/>
          <w:kern w:val="0"/>
          <w:lang w:eastAsia="en-US" w:bidi="ar-SA"/>
        </w:rPr>
        <w:t>-</w:t>
      </w:r>
      <w:r w:rsidRPr="00D147A7">
        <w:rPr>
          <w:rFonts w:eastAsiaTheme="minorEastAsia"/>
          <w:kern w:val="0"/>
          <w:lang w:eastAsia="en-US" w:bidi="ar-SA"/>
        </w:rPr>
        <w:t xml:space="preserve">scheiding?’, </w:t>
      </w:r>
      <w:r w:rsidRPr="00D147A7">
        <w:rPr>
          <w:rFonts w:eastAsiaTheme="minorEastAsia"/>
          <w:i/>
          <w:kern w:val="0"/>
          <w:lang w:eastAsia="en-US" w:bidi="ar-SA"/>
        </w:rPr>
        <w:t>N.C.</w:t>
      </w:r>
      <w:r w:rsidRPr="00D147A7">
        <w:rPr>
          <w:rFonts w:eastAsiaTheme="minorEastAsia"/>
          <w:kern w:val="0"/>
          <w:lang w:eastAsia="en-US" w:bidi="ar-SA"/>
        </w:rPr>
        <w:t>, 2007, 5, p. 303-329.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LOUVEAUX, S.; DE TERWANGNE, C.; ‘Protection des données à caractère personnel: ap</w:t>
      </w:r>
      <w:r w:rsidR="009744EE">
        <w:rPr>
          <w:rFonts w:eastAsiaTheme="minorEastAsia"/>
          <w:kern w:val="0"/>
          <w:lang w:val="fr-BE" w:eastAsia="en-US" w:bidi="ar-SA"/>
        </w:rPr>
        <w:t>-</w:t>
      </w:r>
      <w:r w:rsidRPr="00D147A7">
        <w:rPr>
          <w:rFonts w:eastAsiaTheme="minorEastAsia"/>
          <w:kern w:val="0"/>
          <w:lang w:val="fr-BE" w:eastAsia="en-US" w:bidi="ar-SA"/>
        </w:rPr>
        <w:t xml:space="preserve">plication en Belgique de la directive européenne’, </w:t>
      </w:r>
      <w:r w:rsidRPr="00D147A7">
        <w:rPr>
          <w:rFonts w:eastAsiaTheme="minorEastAsia"/>
          <w:i/>
          <w:kern w:val="0"/>
          <w:lang w:val="fr-BE" w:eastAsia="en-US" w:bidi="ar-SA"/>
        </w:rPr>
        <w:t xml:space="preserve">Actualités du droit des technologies des </w:t>
      </w:r>
      <w:r w:rsidRPr="00D147A7">
        <w:rPr>
          <w:rFonts w:eastAsiaTheme="minorEastAsia"/>
          <w:i/>
          <w:kern w:val="0"/>
          <w:lang w:val="fr-BE" w:eastAsia="en-US" w:bidi="ar-SA"/>
        </w:rPr>
        <w:lastRenderedPageBreak/>
        <w:t>technologies de l’information et de la communication</w:t>
      </w:r>
      <w:r w:rsidRPr="00D147A7">
        <w:rPr>
          <w:rFonts w:eastAsiaTheme="minorEastAsia"/>
          <w:kern w:val="0"/>
          <w:lang w:val="fr-BE" w:eastAsia="en-US" w:bidi="ar-SA"/>
        </w:rPr>
        <w:t>, Commission Université-Palais (CUP), 45, Luik, 2001, p. 5-34.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MAISL, H., ‘Communications mobiles secret des correspondences et protection des données personnelles’, </w:t>
      </w:r>
      <w:r w:rsidRPr="00D147A7">
        <w:rPr>
          <w:rFonts w:eastAsiaTheme="minorEastAsia"/>
          <w:i/>
          <w:kern w:val="0"/>
          <w:lang w:val="fr-BE" w:eastAsia="en-US" w:bidi="ar-SA"/>
        </w:rPr>
        <w:t>D.I.T.</w:t>
      </w:r>
      <w:r w:rsidRPr="00D147A7">
        <w:rPr>
          <w:rFonts w:eastAsiaTheme="minorEastAsia"/>
          <w:kern w:val="0"/>
          <w:lang w:val="fr-BE" w:eastAsia="en-US" w:bidi="ar-SA"/>
        </w:rPr>
        <w:t>, 1995, 2, p. 13-20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MALENGREAU, V., ‘De inbreng van de nieuwe informatie- en communicatietechnologieën in het domein van de gezondheid. Inzet en perspectieven’, </w:t>
      </w:r>
      <w:r w:rsidRPr="00D147A7">
        <w:rPr>
          <w:rFonts w:eastAsiaTheme="minorEastAsia"/>
          <w:i/>
          <w:kern w:val="0"/>
          <w:lang w:eastAsia="en-US" w:bidi="ar-SA"/>
        </w:rPr>
        <w:t>Inf.RIZIV</w:t>
      </w:r>
      <w:r w:rsidRPr="00D147A7">
        <w:rPr>
          <w:rFonts w:eastAsiaTheme="minorEastAsia"/>
          <w:kern w:val="0"/>
          <w:lang w:eastAsia="en-US" w:bidi="ar-SA"/>
        </w:rPr>
        <w:t>, 2006, 4, p. 429-465 (</w:t>
      </w:r>
      <w:hyperlink r:id="rId392" w:history="1">
        <w:r w:rsidR="009744EE" w:rsidRPr="00ED5FE6">
          <w:rPr>
            <w:rStyle w:val="Hyperlink"/>
            <w:rFonts w:eastAsiaTheme="minorEastAsia"/>
            <w:kern w:val="0"/>
            <w:lang w:eastAsia="en-US" w:bidi="ar-SA"/>
          </w:rPr>
          <w:t>http://www.riziv.fgov.be/presentation/nl/publications/news-bulletin/</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MALLET-POUJOL, N., ‘La loi du 1er juillet 1994 relative au traitement de données nomina</w:t>
      </w:r>
      <w:r w:rsidR="009744EE">
        <w:rPr>
          <w:rFonts w:eastAsiaTheme="minorEastAsia"/>
          <w:kern w:val="0"/>
          <w:lang w:val="fr-BE" w:eastAsia="en-US" w:bidi="ar-SA"/>
        </w:rPr>
        <w:t>-</w:t>
      </w:r>
      <w:r w:rsidRPr="00D147A7">
        <w:rPr>
          <w:rFonts w:eastAsiaTheme="minorEastAsia"/>
          <w:kern w:val="0"/>
          <w:lang w:val="fr-BE" w:eastAsia="en-US" w:bidi="ar-SA"/>
        </w:rPr>
        <w:t xml:space="preserve">tives ayant pour fin la recherche dans le domaine de la santé: contraindre ou convaincre?’, </w:t>
      </w:r>
      <w:r w:rsidRPr="00D147A7">
        <w:rPr>
          <w:rFonts w:eastAsiaTheme="minorEastAsia"/>
          <w:i/>
          <w:kern w:val="0"/>
          <w:lang w:val="fr-BE" w:eastAsia="en-US" w:bidi="ar-SA"/>
        </w:rPr>
        <w:t>D.I.T.</w:t>
      </w:r>
      <w:r w:rsidRPr="00D147A7">
        <w:rPr>
          <w:rFonts w:eastAsiaTheme="minorEastAsia"/>
          <w:kern w:val="0"/>
          <w:lang w:val="fr-BE" w:eastAsia="en-US" w:bidi="ar-SA"/>
        </w:rPr>
        <w:t>, 1995, 1, p. 17-26.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MATTHYS, J., ‘Overzicht van de wetgeving betreffende de bescherming van de medische gegevens in het kader van de verzekeringen’, </w:t>
      </w:r>
      <w:r w:rsidRPr="00D147A7">
        <w:rPr>
          <w:rFonts w:eastAsiaTheme="minorEastAsia"/>
          <w:i/>
          <w:kern w:val="0"/>
          <w:lang w:eastAsia="en-US" w:bidi="ar-SA"/>
        </w:rPr>
        <w:t>Cons.M.</w:t>
      </w:r>
      <w:r w:rsidRPr="00D147A7">
        <w:rPr>
          <w:rFonts w:eastAsiaTheme="minorEastAsia"/>
          <w:kern w:val="0"/>
          <w:lang w:eastAsia="en-US" w:bidi="ar-SA"/>
        </w:rPr>
        <w:t>, 2008, 4, p. 10-26.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MEYSMANS, E., ‘De informatieplicht bij het verzamelen van gegevens in de Belgische Pri</w:t>
      </w:r>
      <w:r w:rsidR="009744EE">
        <w:rPr>
          <w:rFonts w:eastAsiaTheme="minorEastAsia"/>
          <w:kern w:val="0"/>
          <w:lang w:eastAsia="en-US" w:bidi="ar-SA"/>
        </w:rPr>
        <w:t>-</w:t>
      </w:r>
      <w:r w:rsidRPr="00D147A7">
        <w:rPr>
          <w:rFonts w:eastAsiaTheme="minorEastAsia"/>
          <w:kern w:val="0"/>
          <w:lang w:eastAsia="en-US" w:bidi="ar-SA"/>
        </w:rPr>
        <w:t xml:space="preserve">vacywet’, </w:t>
      </w:r>
      <w:r w:rsidRPr="00D147A7">
        <w:rPr>
          <w:rFonts w:eastAsiaTheme="minorEastAsia"/>
          <w:i/>
          <w:kern w:val="0"/>
          <w:lang w:eastAsia="en-US" w:bidi="ar-SA"/>
        </w:rPr>
        <w:t>Computerr.</w:t>
      </w:r>
      <w:r w:rsidRPr="00D147A7">
        <w:rPr>
          <w:rFonts w:eastAsiaTheme="minorEastAsia"/>
          <w:kern w:val="0"/>
          <w:lang w:eastAsia="en-US" w:bidi="ar-SA"/>
        </w:rPr>
        <w:t>, 1994, 1, p. 2-5.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MEYSMANS, E., ‘Het recht van toegang en verbetering in de Belgische Privacywet’, </w:t>
      </w:r>
      <w:r w:rsidRPr="00D147A7">
        <w:rPr>
          <w:rFonts w:eastAsiaTheme="minorEastAsia"/>
          <w:i/>
          <w:kern w:val="0"/>
          <w:lang w:eastAsia="en-US" w:bidi="ar-SA"/>
        </w:rPr>
        <w:t>Com</w:t>
      </w:r>
      <w:r w:rsidR="009744EE">
        <w:rPr>
          <w:rFonts w:eastAsiaTheme="minorEastAsia"/>
          <w:i/>
          <w:kern w:val="0"/>
          <w:lang w:eastAsia="en-US" w:bidi="ar-SA"/>
        </w:rPr>
        <w:t>-</w:t>
      </w:r>
      <w:r w:rsidRPr="00D147A7">
        <w:rPr>
          <w:rFonts w:eastAsiaTheme="minorEastAsia"/>
          <w:i/>
          <w:kern w:val="0"/>
          <w:lang w:eastAsia="en-US" w:bidi="ar-SA"/>
        </w:rPr>
        <w:t>puterr.</w:t>
      </w:r>
      <w:r w:rsidRPr="00D147A7">
        <w:rPr>
          <w:rFonts w:eastAsiaTheme="minorEastAsia"/>
          <w:kern w:val="0"/>
          <w:lang w:eastAsia="en-US" w:bidi="ar-SA"/>
        </w:rPr>
        <w:t>, 1993, 6, p. 226-230.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MINTJENS, D., ‘Verplichtingen van verwerkers en derden’, </w:t>
      </w:r>
      <w:r w:rsidRPr="00D147A7">
        <w:rPr>
          <w:rFonts w:eastAsiaTheme="minorEastAsia"/>
          <w:i/>
          <w:kern w:val="0"/>
          <w:lang w:eastAsia="en-US" w:bidi="ar-SA"/>
        </w:rPr>
        <w:t>Bijvoorbeeld. Modellen voor het bedrijfsleven</w:t>
      </w:r>
      <w:r w:rsidRPr="00D147A7">
        <w:rPr>
          <w:rFonts w:eastAsiaTheme="minorEastAsia"/>
          <w:kern w:val="0"/>
          <w:lang w:eastAsia="en-US" w:bidi="ar-SA"/>
        </w:rPr>
        <w:t>, Mechelen, Kluwer, 2008, I.120-1 – I.120-69.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MORBE, E., </w:t>
      </w:r>
      <w:r w:rsidRPr="00D147A7">
        <w:rPr>
          <w:rFonts w:eastAsiaTheme="minorEastAsia"/>
          <w:i/>
          <w:kern w:val="0"/>
          <w:lang w:eastAsia="en-US" w:bidi="ar-SA"/>
        </w:rPr>
        <w:t>De wet betreffende de rechten van de patiënt</w:t>
      </w:r>
      <w:r w:rsidRPr="00D147A7">
        <w:rPr>
          <w:rFonts w:eastAsiaTheme="minorEastAsia"/>
          <w:kern w:val="0"/>
          <w:lang w:eastAsia="en-US" w:bidi="ar-SA"/>
        </w:rPr>
        <w:t>, Heule, UGA, 2003, 236p.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NYS, H., ‘Kindermishandeling en medisch beroepsgeheim’, EGGERMONT, E.; ADRI</w:t>
      </w:r>
      <w:r w:rsidR="009744EE">
        <w:rPr>
          <w:rFonts w:eastAsiaTheme="minorEastAsia"/>
          <w:kern w:val="0"/>
          <w:lang w:eastAsia="en-US" w:bidi="ar-SA"/>
        </w:rPr>
        <w:t>-</w:t>
      </w:r>
      <w:r w:rsidRPr="00D147A7">
        <w:rPr>
          <w:rFonts w:eastAsiaTheme="minorEastAsia"/>
          <w:kern w:val="0"/>
          <w:lang w:eastAsia="en-US" w:bidi="ar-SA"/>
        </w:rPr>
        <w:t xml:space="preserve">AENSSENS, P. (reds.); </w:t>
      </w:r>
      <w:r w:rsidRPr="00D147A7">
        <w:rPr>
          <w:rFonts w:eastAsiaTheme="minorEastAsia"/>
          <w:i/>
          <w:kern w:val="0"/>
          <w:lang w:eastAsia="en-US" w:bidi="ar-SA"/>
        </w:rPr>
        <w:t>Kindermishandeling. Perspectief in interacties</w:t>
      </w:r>
      <w:r w:rsidRPr="00D147A7">
        <w:rPr>
          <w:rFonts w:eastAsiaTheme="minorEastAsia"/>
          <w:kern w:val="0"/>
          <w:lang w:eastAsia="en-US" w:bidi="ar-SA"/>
        </w:rPr>
        <w:t xml:space="preserve">, Leuven, Garant, 1992, p. 167-173.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NYS, H., ‘De ontwikkeling van het gezondheidsrecht in 2005 en 2006’, </w:t>
      </w:r>
      <w:r w:rsidRPr="00D147A7">
        <w:rPr>
          <w:rFonts w:eastAsiaTheme="minorEastAsia"/>
          <w:i/>
          <w:kern w:val="0"/>
          <w:lang w:eastAsia="en-US" w:bidi="ar-SA"/>
        </w:rPr>
        <w:t>T.Gez.</w:t>
      </w:r>
      <w:r w:rsidRPr="00D147A7">
        <w:rPr>
          <w:rFonts w:eastAsiaTheme="minorEastAsia"/>
          <w:kern w:val="0"/>
          <w:lang w:eastAsia="en-US" w:bidi="ar-SA"/>
        </w:rPr>
        <w:t>, 2007-2008, 2, p. 104-129.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NYS, H., </w:t>
      </w:r>
      <w:r w:rsidRPr="00D147A7">
        <w:rPr>
          <w:rFonts w:eastAsiaTheme="minorEastAsia"/>
          <w:i/>
          <w:kern w:val="0"/>
          <w:lang w:eastAsia="en-US" w:bidi="ar-SA"/>
        </w:rPr>
        <w:t>Geneeskunde – Recht en medisch handelen</w:t>
      </w:r>
      <w:r w:rsidRPr="00D147A7">
        <w:rPr>
          <w:rFonts w:eastAsiaTheme="minorEastAsia"/>
          <w:kern w:val="0"/>
          <w:lang w:eastAsia="en-US" w:bidi="ar-SA"/>
        </w:rPr>
        <w:t>, Algemene praktische rechts</w:t>
      </w:r>
      <w:r w:rsidR="002720ED" w:rsidRPr="00D147A7">
        <w:rPr>
          <w:rFonts w:eastAsiaTheme="minorEastAsia"/>
          <w:kern w:val="0"/>
          <w:lang w:eastAsia="en-US" w:bidi="ar-SA"/>
        </w:rPr>
        <w:t>-</w:t>
      </w:r>
      <w:r w:rsidRPr="00D147A7">
        <w:rPr>
          <w:rFonts w:eastAsiaTheme="minorEastAsia"/>
          <w:kern w:val="0"/>
          <w:lang w:eastAsia="en-US" w:bidi="ar-SA"/>
        </w:rPr>
        <w:t>verzame</w:t>
      </w:r>
      <w:r w:rsidR="009744EE">
        <w:rPr>
          <w:rFonts w:eastAsiaTheme="minorEastAsia"/>
          <w:kern w:val="0"/>
          <w:lang w:eastAsia="en-US" w:bidi="ar-SA"/>
        </w:rPr>
        <w:t>-</w:t>
      </w:r>
      <w:r w:rsidRPr="00D147A7">
        <w:rPr>
          <w:rFonts w:eastAsiaTheme="minorEastAsia"/>
          <w:kern w:val="0"/>
          <w:lang w:eastAsia="en-US" w:bidi="ar-SA"/>
        </w:rPr>
        <w:t>ling, Brussel, Story-Scientia, 2005, 714p.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NYS, H. (red.), </w:t>
      </w:r>
      <w:r w:rsidRPr="00D147A7">
        <w:rPr>
          <w:rFonts w:eastAsiaTheme="minorEastAsia"/>
          <w:i/>
          <w:kern w:val="0"/>
          <w:lang w:eastAsia="en-US" w:bidi="ar-SA"/>
        </w:rPr>
        <w:t>Het beroepsgeheim in de zorgverleningssector. Een confrontatie tussen recht en praktijk</w:t>
      </w:r>
      <w:r w:rsidRPr="00D147A7">
        <w:rPr>
          <w:rFonts w:eastAsiaTheme="minorEastAsia"/>
          <w:kern w:val="0"/>
          <w:lang w:eastAsia="en-US" w:bidi="ar-SA"/>
        </w:rPr>
        <w:t xml:space="preserve">, Recht en geneeskunde, Antwerpen, Intersentia, 1998, 135p.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OOSTERLINCK, K., ‘Het belang van de wet van 8 december 1992 tot bescherming van de persoonlijke levenssfeer ten opzichte van de verwerking van persoonsgegevens’, NYS, H. (red.), </w:t>
      </w:r>
      <w:r w:rsidRPr="00D147A7">
        <w:rPr>
          <w:rFonts w:eastAsiaTheme="minorEastAsia"/>
          <w:i/>
          <w:kern w:val="0"/>
          <w:lang w:eastAsia="en-US" w:bidi="ar-SA"/>
        </w:rPr>
        <w:t>Het beroepsgeheim in de zorgverleningssector. Een confrontatie tussen recht en prak</w:t>
      </w:r>
      <w:r w:rsidR="009744EE">
        <w:rPr>
          <w:rFonts w:eastAsiaTheme="minorEastAsia"/>
          <w:i/>
          <w:kern w:val="0"/>
          <w:lang w:eastAsia="en-US" w:bidi="ar-SA"/>
        </w:rPr>
        <w:t>-</w:t>
      </w:r>
      <w:r w:rsidRPr="00D147A7">
        <w:rPr>
          <w:rFonts w:eastAsiaTheme="minorEastAsia"/>
          <w:i/>
          <w:kern w:val="0"/>
          <w:lang w:eastAsia="en-US" w:bidi="ar-SA"/>
        </w:rPr>
        <w:t>tijk</w:t>
      </w:r>
      <w:r w:rsidRPr="00D147A7">
        <w:rPr>
          <w:rFonts w:eastAsiaTheme="minorEastAsia"/>
          <w:kern w:val="0"/>
          <w:lang w:eastAsia="en-US" w:bidi="ar-SA"/>
        </w:rPr>
        <w:t>, Recht en geneeskunde, Antwerpen, Intersentia, 1998, p. 85-102.</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OZSUNAY, E., ‘Rights of Embryo and Foetus in Private Law’, </w:t>
      </w:r>
      <w:r w:rsidRPr="00D147A7">
        <w:rPr>
          <w:rFonts w:eastAsiaTheme="minorEastAsia"/>
          <w:i/>
          <w:kern w:val="0"/>
          <w:lang w:val="en-US" w:eastAsia="en-US" w:bidi="ar-SA"/>
        </w:rPr>
        <w:t>Convergence of Legal Sys</w:t>
      </w:r>
      <w:r w:rsidR="009744EE">
        <w:rPr>
          <w:rFonts w:eastAsiaTheme="minorEastAsia"/>
          <w:i/>
          <w:kern w:val="0"/>
          <w:lang w:val="en-US" w:eastAsia="en-US" w:bidi="ar-SA"/>
        </w:rPr>
        <w:t>-</w:t>
      </w:r>
      <w:r w:rsidRPr="00D147A7">
        <w:rPr>
          <w:rFonts w:eastAsiaTheme="minorEastAsia"/>
          <w:i/>
          <w:kern w:val="0"/>
          <w:lang w:val="en-US" w:eastAsia="en-US" w:bidi="ar-SA"/>
        </w:rPr>
        <w:t>tems in the 21st Century</w:t>
      </w:r>
      <w:r w:rsidRPr="00D147A7">
        <w:rPr>
          <w:rFonts w:eastAsiaTheme="minorEastAsia"/>
          <w:kern w:val="0"/>
          <w:lang w:val="en-US" w:eastAsia="en-US" w:bidi="ar-SA"/>
        </w:rPr>
        <w:t>, International Academy of Comparative Law, 9, Brussel, Bruylant, 2006, p. 1275-1413.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STOCKMAN, R. (red.), </w:t>
      </w:r>
      <w:r w:rsidRPr="00D147A7">
        <w:rPr>
          <w:rFonts w:eastAsiaTheme="minorEastAsia"/>
          <w:i/>
          <w:kern w:val="0"/>
          <w:lang w:eastAsia="en-US" w:bidi="ar-SA"/>
        </w:rPr>
        <w:t>Het beroepsgeheim in de zorgverleningssector. Een confrontatie tus</w:t>
      </w:r>
      <w:r w:rsidR="009744EE">
        <w:rPr>
          <w:rFonts w:eastAsiaTheme="minorEastAsia"/>
          <w:i/>
          <w:kern w:val="0"/>
          <w:lang w:eastAsia="en-US" w:bidi="ar-SA"/>
        </w:rPr>
        <w:t>-</w:t>
      </w:r>
      <w:r w:rsidRPr="00D147A7">
        <w:rPr>
          <w:rFonts w:eastAsiaTheme="minorEastAsia"/>
          <w:i/>
          <w:kern w:val="0"/>
          <w:lang w:eastAsia="en-US" w:bidi="ar-SA"/>
        </w:rPr>
        <w:t>sen recht en praktijk</w:t>
      </w:r>
      <w:r w:rsidRPr="00D147A7">
        <w:rPr>
          <w:rFonts w:eastAsiaTheme="minorEastAsia"/>
          <w:kern w:val="0"/>
          <w:lang w:eastAsia="en-US" w:bidi="ar-SA"/>
        </w:rPr>
        <w:t>, Recht en Geneeskunde, Antwerpen, Intersentia, p. 85-102.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PARISSE, M.; VERBRUGGEN, V.; ‘Secret professionnel et vie privée: les traitements de données à caractère personnel (relatives à la santé) couvertes par le secret professionnel’, </w:t>
      </w:r>
      <w:r w:rsidRPr="00D147A7">
        <w:rPr>
          <w:rFonts w:eastAsiaTheme="minorEastAsia"/>
          <w:i/>
          <w:kern w:val="0"/>
          <w:lang w:val="fr-BE" w:eastAsia="en-US" w:bidi="ar-SA"/>
        </w:rPr>
        <w:t>R.D.T.I.</w:t>
      </w:r>
      <w:r w:rsidRPr="00D147A7">
        <w:rPr>
          <w:rFonts w:eastAsiaTheme="minorEastAsia"/>
          <w:kern w:val="0"/>
          <w:lang w:val="fr-BE" w:eastAsia="en-US" w:bidi="ar-SA"/>
        </w:rPr>
        <w:t>, 24 (2006), p. 15-68.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PIPERS, A., </w:t>
      </w:r>
      <w:r w:rsidRPr="00D147A7">
        <w:rPr>
          <w:rFonts w:eastAsiaTheme="minorEastAsia"/>
          <w:i/>
          <w:kern w:val="0"/>
          <w:lang w:eastAsia="en-US" w:bidi="ar-SA"/>
        </w:rPr>
        <w:t>Het respect voor privacy: uw rechten en plichten</w:t>
      </w:r>
      <w:r w:rsidRPr="00D147A7">
        <w:rPr>
          <w:rFonts w:eastAsiaTheme="minorEastAsia"/>
          <w:kern w:val="0"/>
          <w:lang w:eastAsia="en-US" w:bidi="ar-SA"/>
        </w:rPr>
        <w:t>, Brussel, Politeia, 1995 (losbl.).</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POPELIER, P., ‘Behoorlijke wetgeving in de rechtspraak van het Europees Hof voor de Rechten van de Mens (2004)’, </w:t>
      </w:r>
      <w:r w:rsidRPr="00D147A7">
        <w:rPr>
          <w:rFonts w:eastAsiaTheme="minorEastAsia"/>
          <w:i/>
          <w:kern w:val="0"/>
          <w:lang w:eastAsia="en-US" w:bidi="ar-SA"/>
        </w:rPr>
        <w:t>T.V.W.</w:t>
      </w:r>
      <w:r w:rsidRPr="00D147A7">
        <w:rPr>
          <w:rFonts w:eastAsiaTheme="minorEastAsia"/>
          <w:kern w:val="0"/>
          <w:lang w:eastAsia="en-US" w:bidi="ar-SA"/>
        </w:rPr>
        <w:t>, 2005, 6, p. 142-153.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QUINTIN, E., ‘Het finaliteitsprincipe en de verplichtingen van de houder van het bestand’, </w:t>
      </w:r>
      <w:r w:rsidRPr="00D147A7">
        <w:rPr>
          <w:rFonts w:eastAsiaTheme="minorEastAsia"/>
          <w:i/>
          <w:kern w:val="0"/>
          <w:lang w:eastAsia="en-US" w:bidi="ar-SA"/>
        </w:rPr>
        <w:t>B.T.S.Z.</w:t>
      </w:r>
      <w:r w:rsidRPr="00D147A7">
        <w:rPr>
          <w:rFonts w:eastAsiaTheme="minorEastAsia"/>
          <w:kern w:val="0"/>
          <w:lang w:eastAsia="en-US" w:bidi="ar-SA"/>
        </w:rPr>
        <w:t>, 1993, p. 237-261.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RATHE, J.; GORIS, G.; VANDECRUYS, G.; </w:t>
      </w:r>
      <w:r w:rsidRPr="00D147A7">
        <w:rPr>
          <w:rFonts w:eastAsiaTheme="minorEastAsia"/>
          <w:i/>
          <w:kern w:val="0"/>
          <w:lang w:eastAsia="en-US" w:bidi="ar-SA"/>
        </w:rPr>
        <w:t>De Duitsers kwamen niet. De lotgevallen van de joodse patiënten in de Geelse Kolonie (1940-1945)</w:t>
      </w:r>
      <w:r w:rsidRPr="00D147A7">
        <w:rPr>
          <w:rFonts w:eastAsiaTheme="minorEastAsia"/>
          <w:kern w:val="0"/>
          <w:lang w:eastAsia="en-US" w:bidi="ar-SA"/>
        </w:rPr>
        <w:t xml:space="preserve">, Geel, MGraphics, 2011, 189p.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ROBBEN, F., ‘De bescherming van de persoonlijke levenssfeer bij de verwerking van me</w:t>
      </w:r>
      <w:r w:rsidR="009744EE">
        <w:rPr>
          <w:rFonts w:eastAsiaTheme="minorEastAsia"/>
          <w:kern w:val="0"/>
          <w:lang w:eastAsia="en-US" w:bidi="ar-SA"/>
        </w:rPr>
        <w:t>-</w:t>
      </w:r>
      <w:r w:rsidRPr="00D147A7">
        <w:rPr>
          <w:rFonts w:eastAsiaTheme="minorEastAsia"/>
          <w:kern w:val="0"/>
          <w:lang w:eastAsia="en-US" w:bidi="ar-SA"/>
        </w:rPr>
        <w:t xml:space="preserve">dische persoonsgegevens’, </w:t>
      </w:r>
      <w:r w:rsidRPr="00D147A7">
        <w:rPr>
          <w:rFonts w:eastAsiaTheme="minorEastAsia"/>
          <w:i/>
          <w:kern w:val="0"/>
          <w:lang w:eastAsia="en-US" w:bidi="ar-SA"/>
        </w:rPr>
        <w:t>MEDI-IUS,</w:t>
      </w:r>
      <w:r w:rsidRPr="00D147A7">
        <w:rPr>
          <w:rFonts w:eastAsiaTheme="minorEastAsia"/>
          <w:kern w:val="0"/>
          <w:lang w:eastAsia="en-US" w:bidi="ar-SA"/>
        </w:rPr>
        <w:t xml:space="preserve"> </w:t>
      </w:r>
      <w:r w:rsidRPr="00D147A7">
        <w:rPr>
          <w:rFonts w:eastAsiaTheme="minorEastAsia"/>
          <w:i/>
          <w:kern w:val="0"/>
          <w:lang w:eastAsia="en-US" w:bidi="ar-SA"/>
        </w:rPr>
        <w:t>Medisch beroepsgeheim en verzekeringen</w:t>
      </w:r>
      <w:r w:rsidRPr="00D147A7">
        <w:rPr>
          <w:rFonts w:eastAsiaTheme="minorEastAsia"/>
          <w:kern w:val="0"/>
          <w:lang w:eastAsia="en-US" w:bidi="ar-SA"/>
        </w:rPr>
        <w:t xml:space="preserve">, Antwerpen, </w:t>
      </w:r>
      <w:r w:rsidRPr="00D147A7">
        <w:rPr>
          <w:rFonts w:eastAsiaTheme="minorEastAsia"/>
          <w:kern w:val="0"/>
          <w:lang w:eastAsia="en-US" w:bidi="ar-SA"/>
        </w:rPr>
        <w:lastRenderedPageBreak/>
        <w:t>1993, 12p. (</w:t>
      </w:r>
      <w:hyperlink r:id="rId393" w:history="1">
        <w:r w:rsidR="009744EE" w:rsidRPr="00ED5FE6">
          <w:rPr>
            <w:rStyle w:val="Hyperlink"/>
            <w:rFonts w:eastAsiaTheme="minorEastAsia"/>
            <w:kern w:val="0"/>
            <w:lang w:eastAsia="en-US" w:bidi="ar-SA"/>
          </w:rPr>
          <w:t>https://www.law.kuleuven.be/icri/frobben/publications/1993%20-%20De%20 bescherming%20van%20de%20persoonlijke%20levenssfeer%20bij%20de%20verwerking%20van%20medische%20persoonsgegevens</w:t>
        </w:r>
      </w:hyperlink>
      <w:r w:rsidRPr="00D147A7">
        <w:rPr>
          <w:rFonts w:eastAsiaTheme="minorEastAsia"/>
          <w:kern w:val="0"/>
          <w:lang w:eastAsia="en-US" w:bidi="ar-SA"/>
        </w:rPr>
        <w:t xml:space="preserve">, laatst geraadpleegd op 23 juli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ROBBEN, F., </w:t>
      </w:r>
      <w:r w:rsidRPr="00D147A7">
        <w:rPr>
          <w:rFonts w:eastAsiaTheme="minorEastAsia"/>
          <w:i/>
          <w:kern w:val="0"/>
          <w:lang w:eastAsia="en-US" w:bidi="ar-SA"/>
        </w:rPr>
        <w:t>De bescherming van de persoonlijke levenssfeer bij de grensoverschrijdende uitwisseling van persoonsgegevens in het kader van de sociale zekerheid</w:t>
      </w:r>
      <w:r w:rsidRPr="00D147A7">
        <w:rPr>
          <w:rFonts w:eastAsiaTheme="minorEastAsia"/>
          <w:kern w:val="0"/>
          <w:lang w:eastAsia="en-US" w:bidi="ar-SA"/>
        </w:rPr>
        <w:t>, Leuven, 1988, 245p. (</w:t>
      </w:r>
      <w:hyperlink r:id="rId394" w:history="1">
        <w:r w:rsidR="009744EE" w:rsidRPr="00ED5FE6">
          <w:rPr>
            <w:rStyle w:val="Hyperlink"/>
            <w:rFonts w:eastAsiaTheme="minorEastAsia"/>
            <w:kern w:val="0"/>
            <w:lang w:eastAsia="en-US" w:bidi="ar-SA"/>
          </w:rPr>
          <w:t>https://www.law.kuleuven.be/icri/frobben/publications/1988%20-%20De%20 bescherming%20van%20de%20persoonlijke%20levenssfeer%20bij%20de%20grensoverschrijdende%20uitwisseling%20van%20persoonsgegevens.pdf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ROBBEN, F., ‘De gevolgen van de Wet Verwerking Persoonsgegevens voor de sector van de gezondheidszorg’, </w:t>
      </w:r>
      <w:r w:rsidRPr="00D147A7">
        <w:rPr>
          <w:rFonts w:eastAsiaTheme="minorEastAsia"/>
          <w:i/>
          <w:kern w:val="0"/>
          <w:lang w:eastAsia="en-US" w:bidi="ar-SA"/>
        </w:rPr>
        <w:t>V.T.Gez.</w:t>
      </w:r>
      <w:r w:rsidRPr="00D147A7">
        <w:rPr>
          <w:rFonts w:eastAsiaTheme="minorEastAsia"/>
          <w:kern w:val="0"/>
          <w:lang w:eastAsia="en-US" w:bidi="ar-SA"/>
        </w:rPr>
        <w:t>, 1994, p. 251-277 (</w:t>
      </w:r>
      <w:hyperlink r:id="rId395" w:history="1">
        <w:r w:rsidR="002720ED" w:rsidRPr="00D147A7">
          <w:rPr>
            <w:rStyle w:val="Hyperlink"/>
            <w:rFonts w:eastAsiaTheme="minorEastAsia"/>
            <w:kern w:val="0"/>
            <w:lang w:eastAsia="en-US" w:bidi="ar-SA"/>
          </w:rPr>
          <w:t>https://www.law.kuleuven.be/icri/frobben/ publications/1994%20-%20Toepassingsgebied%20en%20begripsdefinities.pdf</w:t>
        </w:r>
      </w:hyperlink>
      <w:r w:rsidRPr="00D147A7">
        <w:rPr>
          <w:rFonts w:eastAsiaTheme="minorEastAsia"/>
          <w:kern w:val="0"/>
          <w:lang w:eastAsia="en-US" w:bidi="ar-SA"/>
        </w:rPr>
        <w:t>, laatst geraad</w:t>
      </w:r>
      <w:r w:rsidR="002720ED" w:rsidRPr="00D147A7">
        <w:rPr>
          <w:rFonts w:eastAsiaTheme="minorEastAsia"/>
          <w:kern w:val="0"/>
          <w:lang w:eastAsia="en-US" w:bidi="ar-SA"/>
        </w:rPr>
        <w:t>-</w:t>
      </w:r>
      <w:r w:rsidRPr="00D147A7">
        <w:rPr>
          <w:rFonts w:eastAsiaTheme="minorEastAsia"/>
          <w:kern w:val="0"/>
          <w:lang w:eastAsia="en-US" w:bidi="ar-SA"/>
        </w:rPr>
        <w:t>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ROBBEN, F., ‘Toepassingsgebied en begripsdefinities’, </w:t>
      </w:r>
      <w:r w:rsidRPr="00D147A7">
        <w:rPr>
          <w:rFonts w:eastAsiaTheme="minorEastAsia"/>
          <w:i/>
          <w:kern w:val="0"/>
          <w:lang w:eastAsia="en-US" w:bidi="ar-SA"/>
        </w:rPr>
        <w:t>Welke commissie voor welke per</w:t>
      </w:r>
      <w:r w:rsidR="009744EE">
        <w:rPr>
          <w:rFonts w:eastAsiaTheme="minorEastAsia"/>
          <w:i/>
          <w:kern w:val="0"/>
          <w:lang w:eastAsia="en-US" w:bidi="ar-SA"/>
        </w:rPr>
        <w:t>-</w:t>
      </w:r>
      <w:r w:rsidRPr="00D147A7">
        <w:rPr>
          <w:rFonts w:eastAsiaTheme="minorEastAsia"/>
          <w:i/>
          <w:kern w:val="0"/>
          <w:lang w:eastAsia="en-US" w:bidi="ar-SA"/>
        </w:rPr>
        <w:t>soonlijke levenssfeer? Juridische akten van de informatiedag van 3 mei 1993</w:t>
      </w:r>
      <w:r w:rsidRPr="00D147A7">
        <w:rPr>
          <w:rFonts w:eastAsiaTheme="minorEastAsia"/>
          <w:kern w:val="0"/>
          <w:lang w:eastAsia="en-US" w:bidi="ar-SA"/>
        </w:rPr>
        <w:t>, Brussel, Com</w:t>
      </w:r>
      <w:r w:rsidR="009744EE">
        <w:rPr>
          <w:rFonts w:eastAsiaTheme="minorEastAsia"/>
          <w:kern w:val="0"/>
          <w:lang w:eastAsia="en-US" w:bidi="ar-SA"/>
        </w:rPr>
        <w:t>-</w:t>
      </w:r>
      <w:r w:rsidRPr="00D147A7">
        <w:rPr>
          <w:rFonts w:eastAsiaTheme="minorEastAsia"/>
          <w:kern w:val="0"/>
          <w:lang w:eastAsia="en-US" w:bidi="ar-SA"/>
        </w:rPr>
        <w:t>missie voor de bescherming van de persoonlijke levenssfeer, 1994, p. 9-37.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ROBBEN, F., ‘Wanneer is een dossier een bestand in de zin van de privacywet?’, </w:t>
      </w:r>
      <w:r w:rsidRPr="00D147A7">
        <w:rPr>
          <w:rFonts w:eastAsiaTheme="minorEastAsia"/>
          <w:i/>
          <w:kern w:val="0"/>
          <w:lang w:eastAsia="en-US" w:bidi="ar-SA"/>
        </w:rPr>
        <w:t>Com</w:t>
      </w:r>
      <w:r w:rsidR="009744EE">
        <w:rPr>
          <w:rFonts w:eastAsiaTheme="minorEastAsia"/>
          <w:i/>
          <w:kern w:val="0"/>
          <w:lang w:eastAsia="en-US" w:bidi="ar-SA"/>
        </w:rPr>
        <w:t>-</w:t>
      </w:r>
      <w:r w:rsidRPr="00D147A7">
        <w:rPr>
          <w:rFonts w:eastAsiaTheme="minorEastAsia"/>
          <w:i/>
          <w:kern w:val="0"/>
          <w:lang w:eastAsia="en-US" w:bidi="ar-SA"/>
        </w:rPr>
        <w:t>puterr.</w:t>
      </w:r>
      <w:r w:rsidRPr="00D147A7">
        <w:rPr>
          <w:rFonts w:eastAsiaTheme="minorEastAsia"/>
          <w:kern w:val="0"/>
          <w:lang w:eastAsia="en-US" w:bidi="ar-SA"/>
        </w:rPr>
        <w:t xml:space="preserve">, 1997, 4, p. 163-164.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SAELENS, R.; DE HERT, P.; </w:t>
      </w:r>
      <w:r w:rsidRPr="00D147A7">
        <w:rPr>
          <w:rFonts w:eastAsiaTheme="minorEastAsia"/>
          <w:i/>
          <w:kern w:val="0"/>
          <w:lang w:eastAsia="en-US" w:bidi="ar-SA"/>
        </w:rPr>
        <w:t>De</w:t>
      </w:r>
      <w:r w:rsidRPr="00D147A7">
        <w:rPr>
          <w:rFonts w:eastAsiaTheme="minorEastAsia"/>
          <w:kern w:val="0"/>
          <w:lang w:eastAsia="en-US" w:bidi="ar-SA"/>
        </w:rPr>
        <w:t xml:space="preserve"> </w:t>
      </w:r>
      <w:r w:rsidRPr="00D147A7">
        <w:rPr>
          <w:rFonts w:eastAsiaTheme="minorEastAsia"/>
          <w:i/>
          <w:kern w:val="0"/>
          <w:lang w:eastAsia="en-US" w:bidi="ar-SA"/>
        </w:rPr>
        <w:t>Wet Patiëntenrechten en de verwerking van gezondheids</w:t>
      </w:r>
      <w:r w:rsidR="009744EE">
        <w:rPr>
          <w:rFonts w:eastAsiaTheme="minorEastAsia"/>
          <w:i/>
          <w:kern w:val="0"/>
          <w:lang w:eastAsia="en-US" w:bidi="ar-SA"/>
        </w:rPr>
        <w:t>-</w:t>
      </w:r>
      <w:r w:rsidRPr="00D147A7">
        <w:rPr>
          <w:rFonts w:eastAsiaTheme="minorEastAsia"/>
          <w:i/>
          <w:kern w:val="0"/>
          <w:lang w:eastAsia="en-US" w:bidi="ar-SA"/>
        </w:rPr>
        <w:t>gegevens</w:t>
      </w:r>
      <w:r w:rsidRPr="00D147A7">
        <w:rPr>
          <w:rFonts w:eastAsiaTheme="minorEastAsia"/>
          <w:kern w:val="0"/>
          <w:lang w:eastAsia="en-US" w:bidi="ar-SA"/>
        </w:rPr>
        <w:t>, Brussel, Politeia, 2010, 257p.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SAELENS, R.; DE HERT, P.; ‘Openbaarmaking van gezondheidsgegevens en het recht op privacy. De toepassing van de bescherming van persoonsgegevens blijft een moeilijke drem</w:t>
      </w:r>
      <w:r w:rsidR="009744EE">
        <w:rPr>
          <w:rFonts w:eastAsiaTheme="minorEastAsia"/>
          <w:kern w:val="0"/>
          <w:lang w:eastAsia="en-US" w:bidi="ar-SA"/>
        </w:rPr>
        <w:t>-</w:t>
      </w:r>
      <w:r w:rsidRPr="00D147A7">
        <w:rPr>
          <w:rFonts w:eastAsiaTheme="minorEastAsia"/>
          <w:kern w:val="0"/>
          <w:lang w:eastAsia="en-US" w:bidi="ar-SA"/>
        </w:rPr>
        <w:t xml:space="preserve">pel’, </w:t>
      </w:r>
      <w:r w:rsidRPr="00D147A7">
        <w:rPr>
          <w:rFonts w:eastAsiaTheme="minorEastAsia"/>
          <w:i/>
          <w:kern w:val="0"/>
          <w:lang w:eastAsia="en-US" w:bidi="ar-SA"/>
        </w:rPr>
        <w:t>T.Gez.</w:t>
      </w:r>
      <w:r w:rsidRPr="00D147A7">
        <w:rPr>
          <w:rFonts w:eastAsiaTheme="minorEastAsia"/>
          <w:kern w:val="0"/>
          <w:lang w:eastAsia="en-US" w:bidi="ar-SA"/>
        </w:rPr>
        <w:t>, 2010-2011, 3, p. 280-284.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SCHUIND, G.; VANDEPLAS, A. (red.); </w:t>
      </w:r>
      <w:r w:rsidRPr="00D147A7">
        <w:rPr>
          <w:rFonts w:eastAsiaTheme="minorEastAsia"/>
          <w:i/>
          <w:kern w:val="0"/>
          <w:lang w:val="fr-BE" w:eastAsia="en-US" w:bidi="ar-SA"/>
        </w:rPr>
        <w:t>Traité pratique de droit criminel</w:t>
      </w:r>
      <w:r w:rsidRPr="00D147A7">
        <w:rPr>
          <w:rFonts w:eastAsiaTheme="minorEastAsia"/>
          <w:kern w:val="0"/>
          <w:lang w:val="fr-BE" w:eastAsia="en-US" w:bidi="ar-SA"/>
        </w:rPr>
        <w:t>, I, Brussel, Swin</w:t>
      </w:r>
      <w:r w:rsidR="009744EE">
        <w:rPr>
          <w:rFonts w:eastAsiaTheme="minorEastAsia"/>
          <w:kern w:val="0"/>
          <w:lang w:val="fr-BE" w:eastAsia="en-US" w:bidi="ar-SA"/>
        </w:rPr>
        <w:t>-</w:t>
      </w:r>
      <w:r w:rsidRPr="00D147A7">
        <w:rPr>
          <w:rFonts w:eastAsiaTheme="minorEastAsia"/>
          <w:kern w:val="0"/>
          <w:lang w:val="fr-BE" w:eastAsia="en-US" w:bidi="ar-SA"/>
        </w:rPr>
        <w:t>nen, 1980</w:t>
      </w:r>
      <w:r w:rsidRPr="00D147A7">
        <w:rPr>
          <w:rFonts w:eastAsiaTheme="minorEastAsia"/>
          <w:kern w:val="0"/>
          <w:vertAlign w:val="superscript"/>
          <w:lang w:val="fr-BE" w:eastAsia="en-US" w:bidi="ar-SA"/>
        </w:rPr>
        <w:t>4</w:t>
      </w:r>
      <w:r w:rsidRPr="00D147A7">
        <w:rPr>
          <w:rFonts w:eastAsiaTheme="minorEastAsia"/>
          <w:kern w:val="0"/>
          <w:lang w:val="fr-BE" w:eastAsia="en-US" w:bidi="ar-SA"/>
        </w:rPr>
        <w:t>, 683p.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SENAEVE, P., </w:t>
      </w:r>
      <w:r w:rsidRPr="00D147A7">
        <w:rPr>
          <w:rFonts w:eastAsiaTheme="minorEastAsia"/>
          <w:i/>
          <w:kern w:val="0"/>
          <w:lang w:eastAsia="en-US" w:bidi="ar-SA"/>
        </w:rPr>
        <w:t>Compendium van het Personen- en Familierecht</w:t>
      </w:r>
      <w:r w:rsidRPr="00D147A7">
        <w:rPr>
          <w:rFonts w:eastAsiaTheme="minorEastAsia"/>
          <w:kern w:val="0"/>
          <w:lang w:eastAsia="en-US" w:bidi="ar-SA"/>
        </w:rPr>
        <w:t>, I, Instituut voor Familie</w:t>
      </w:r>
      <w:r w:rsidR="009744EE">
        <w:rPr>
          <w:rFonts w:eastAsiaTheme="minorEastAsia"/>
          <w:kern w:val="0"/>
          <w:lang w:eastAsia="en-US" w:bidi="ar-SA"/>
        </w:rPr>
        <w:t>-</w:t>
      </w:r>
      <w:r w:rsidRPr="00D147A7">
        <w:rPr>
          <w:rFonts w:eastAsiaTheme="minorEastAsia"/>
          <w:kern w:val="0"/>
          <w:lang w:eastAsia="en-US" w:bidi="ar-SA"/>
        </w:rPr>
        <w:t>recht en Jeugdrecht KU Leuven, 73, Leuven-Den Haag, Acco, 2009</w:t>
      </w:r>
      <w:r w:rsidRPr="00D147A7">
        <w:rPr>
          <w:rFonts w:eastAsiaTheme="minorEastAsia"/>
          <w:kern w:val="0"/>
          <w:vertAlign w:val="superscript"/>
          <w:lang w:eastAsia="en-US" w:bidi="ar-SA"/>
        </w:rPr>
        <w:t>12</w:t>
      </w:r>
      <w:r w:rsidRPr="00D147A7">
        <w:rPr>
          <w:rFonts w:eastAsiaTheme="minorEastAsia"/>
          <w:kern w:val="0"/>
          <w:lang w:eastAsia="en-US" w:bidi="ar-SA"/>
        </w:rPr>
        <w:t xml:space="preserve">, 316p.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SOTTIAUX, S. ‘Het conflict tussen de vrijheid van meningsuiting en het recht op privacy’, </w:t>
      </w:r>
      <w:r w:rsidRPr="00D147A7">
        <w:rPr>
          <w:rFonts w:eastAsiaTheme="minorEastAsia"/>
          <w:i/>
          <w:kern w:val="0"/>
          <w:lang w:eastAsia="en-US" w:bidi="ar-SA"/>
        </w:rPr>
        <w:t>T.B.B.R.</w:t>
      </w:r>
      <w:r w:rsidRPr="00D147A7">
        <w:rPr>
          <w:rFonts w:eastAsiaTheme="minorEastAsia"/>
          <w:kern w:val="0"/>
          <w:lang w:eastAsia="en-US" w:bidi="ar-SA"/>
        </w:rPr>
        <w:t>, 2003, 5, p. 308-311.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SPEECKAERT, M.; VERHULST, S.; ‘Medische gegevens en privacy’, VERMEULEN, G. (red.), </w:t>
      </w:r>
      <w:r w:rsidRPr="00D147A7">
        <w:rPr>
          <w:rFonts w:eastAsiaTheme="minorEastAsia"/>
          <w:i/>
          <w:kern w:val="0"/>
          <w:lang w:eastAsia="en-US" w:bidi="ar-SA"/>
        </w:rPr>
        <w:t>Privacy en strafrecht: nieuwe en grensoverschrijdende verkenningen</w:t>
      </w:r>
      <w:r w:rsidRPr="00D147A7">
        <w:rPr>
          <w:rFonts w:eastAsiaTheme="minorEastAsia"/>
          <w:kern w:val="0"/>
          <w:lang w:eastAsia="en-US" w:bidi="ar-SA"/>
        </w:rPr>
        <w:t xml:space="preserve">, Nieuwe en grensoverschrijdende verkenningen, Antwerpen-Apeldoorn, Maklu,  2007, p. 157-197.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STEVENS, J., ‘Deontologie en beroepsgeheim van advocaat en arts’, Centrum voor Beroeps</w:t>
      </w:r>
      <w:r w:rsidR="009744EE">
        <w:rPr>
          <w:rFonts w:eastAsiaTheme="minorEastAsia"/>
          <w:kern w:val="0"/>
          <w:lang w:eastAsia="en-US" w:bidi="ar-SA"/>
        </w:rPr>
        <w:t>-</w:t>
      </w:r>
      <w:r w:rsidRPr="00D147A7">
        <w:rPr>
          <w:rFonts w:eastAsiaTheme="minorEastAsia"/>
          <w:kern w:val="0"/>
          <w:lang w:eastAsia="en-US" w:bidi="ar-SA"/>
        </w:rPr>
        <w:t xml:space="preserve">volmaking in de Rechten, </w:t>
      </w:r>
      <w:r w:rsidRPr="00D147A7">
        <w:rPr>
          <w:rFonts w:eastAsiaTheme="minorEastAsia"/>
          <w:i/>
          <w:kern w:val="0"/>
          <w:lang w:eastAsia="en-US" w:bidi="ar-SA"/>
        </w:rPr>
        <w:t>Jongeren &amp; Drugs</w:t>
      </w:r>
      <w:r w:rsidRPr="00D147A7">
        <w:rPr>
          <w:rFonts w:eastAsiaTheme="minorEastAsia"/>
          <w:kern w:val="0"/>
          <w:lang w:eastAsia="en-US" w:bidi="ar-SA"/>
        </w:rPr>
        <w:t>, Antwerpen, Intersentia, 2005, p. 59-92.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STEVENS, J., ‘Het beroepsgeheim van de advocaat en dat van de geneesheer’, </w:t>
      </w:r>
      <w:r w:rsidRPr="00D147A7">
        <w:rPr>
          <w:rFonts w:eastAsiaTheme="minorEastAsia"/>
          <w:i/>
          <w:kern w:val="0"/>
          <w:lang w:eastAsia="en-US" w:bidi="ar-SA"/>
        </w:rPr>
        <w:t>T.Gez.</w:t>
      </w:r>
      <w:r w:rsidRPr="00D147A7">
        <w:rPr>
          <w:rFonts w:eastAsiaTheme="minorEastAsia"/>
          <w:kern w:val="0"/>
          <w:lang w:eastAsia="en-US" w:bidi="ar-SA"/>
        </w:rPr>
        <w:t>, 2002-2003, 1, p. 2-11.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STEVENS, L., ‘Ongeborene heeft geen grondwettelijk recht op eerbiediging integriteit’, </w:t>
      </w:r>
      <w:r w:rsidRPr="00D147A7">
        <w:rPr>
          <w:rFonts w:eastAsiaTheme="minorEastAsia"/>
          <w:i/>
          <w:kern w:val="0"/>
          <w:lang w:eastAsia="en-US" w:bidi="ar-SA"/>
        </w:rPr>
        <w:t>Ju</w:t>
      </w:r>
      <w:r w:rsidR="009744EE">
        <w:rPr>
          <w:rFonts w:eastAsiaTheme="minorEastAsia"/>
          <w:i/>
          <w:kern w:val="0"/>
          <w:lang w:eastAsia="en-US" w:bidi="ar-SA"/>
        </w:rPr>
        <w:t>-</w:t>
      </w:r>
      <w:r w:rsidRPr="00D147A7">
        <w:rPr>
          <w:rFonts w:eastAsiaTheme="minorEastAsia"/>
          <w:i/>
          <w:kern w:val="0"/>
          <w:lang w:eastAsia="en-US" w:bidi="ar-SA"/>
        </w:rPr>
        <w:t>ristenkrant</w:t>
      </w:r>
      <w:r w:rsidRPr="00D147A7">
        <w:rPr>
          <w:rFonts w:eastAsiaTheme="minorEastAsia"/>
          <w:kern w:val="0"/>
          <w:lang w:eastAsia="en-US" w:bidi="ar-SA"/>
        </w:rPr>
        <w:t xml:space="preserve">, 237 (2011), p. 3.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SURMONT, J., ‘De geautomatiseerde verwerking van persoonsgegevens en privacy’, KEU</w:t>
      </w:r>
      <w:r w:rsidR="009744EE">
        <w:rPr>
          <w:rFonts w:eastAsiaTheme="minorEastAsia"/>
          <w:kern w:val="0"/>
          <w:lang w:eastAsia="en-US" w:bidi="ar-SA"/>
        </w:rPr>
        <w:t>-</w:t>
      </w:r>
      <w:r w:rsidRPr="00D147A7">
        <w:rPr>
          <w:rFonts w:eastAsiaTheme="minorEastAsia"/>
          <w:kern w:val="0"/>
          <w:lang w:eastAsia="en-US" w:bidi="ar-SA"/>
        </w:rPr>
        <w:t xml:space="preserve">STERMANS, J.; ARCKENS, I.; </w:t>
      </w:r>
      <w:r w:rsidRPr="00D147A7">
        <w:rPr>
          <w:rFonts w:eastAsiaTheme="minorEastAsia"/>
          <w:i/>
          <w:kern w:val="0"/>
          <w:lang w:eastAsia="en-US" w:bidi="ar-SA"/>
        </w:rPr>
        <w:t>Informatica &amp; recht</w:t>
      </w:r>
      <w:r w:rsidRPr="00D147A7">
        <w:rPr>
          <w:rFonts w:eastAsiaTheme="minorEastAsia"/>
          <w:kern w:val="0"/>
          <w:lang w:eastAsia="en-US" w:bidi="ar-SA"/>
        </w:rPr>
        <w:t>, De Bedrijfsbibliotheek, 16, Antwerpen, Kluwer, 1997, p. 135-155.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THIEL, P., </w:t>
      </w:r>
      <w:r w:rsidRPr="00D147A7">
        <w:rPr>
          <w:rFonts w:eastAsiaTheme="minorEastAsia"/>
          <w:i/>
          <w:kern w:val="0"/>
          <w:lang w:val="fr-BE" w:eastAsia="en-US" w:bidi="ar-SA"/>
        </w:rPr>
        <w:t>Les hôpitaux en Belgique: fonctionnement et financement</w:t>
      </w:r>
      <w:r w:rsidRPr="00D147A7">
        <w:rPr>
          <w:rFonts w:eastAsiaTheme="minorEastAsia"/>
          <w:kern w:val="0"/>
          <w:lang w:val="fr-BE" w:eastAsia="en-US" w:bidi="ar-SA"/>
        </w:rPr>
        <w:t>, Brussel, Kluwer, 2000, 332p.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THIELEN, S., ‘Le droit de disposition du patient sur les données médicales le concernant et l’administration de la preuve en justice’, </w:t>
      </w:r>
      <w:r w:rsidRPr="00D147A7">
        <w:rPr>
          <w:rFonts w:eastAsiaTheme="minorEastAsia"/>
          <w:i/>
          <w:kern w:val="0"/>
          <w:lang w:val="fr-BE" w:eastAsia="en-US" w:bidi="ar-SA"/>
        </w:rPr>
        <w:t>J.L.M.B.</w:t>
      </w:r>
      <w:r w:rsidRPr="00D147A7">
        <w:rPr>
          <w:rFonts w:eastAsiaTheme="minorEastAsia"/>
          <w:kern w:val="0"/>
          <w:lang w:val="fr-BE" w:eastAsia="en-US" w:bidi="ar-SA"/>
        </w:rPr>
        <w:t>, 2002, 15, p. 630-636.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TIMMERMANS, R., ‘Het grondrecht op privacy in flatgebouwen’, </w:t>
      </w:r>
      <w:r w:rsidRPr="00D147A7">
        <w:rPr>
          <w:rFonts w:eastAsiaTheme="minorEastAsia"/>
          <w:i/>
          <w:kern w:val="0"/>
          <w:lang w:eastAsia="en-US" w:bidi="ar-SA"/>
        </w:rPr>
        <w:t>T.App.</w:t>
      </w:r>
      <w:r w:rsidRPr="00D147A7">
        <w:rPr>
          <w:rFonts w:eastAsiaTheme="minorEastAsia"/>
          <w:kern w:val="0"/>
          <w:lang w:eastAsia="en-US" w:bidi="ar-SA"/>
        </w:rPr>
        <w:t>, 2000, 3, p. 1-5.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BEERS, B., ‘De mysterieuze status van het embryo’, </w:t>
      </w:r>
      <w:r w:rsidRPr="00D147A7">
        <w:rPr>
          <w:rFonts w:eastAsiaTheme="minorEastAsia"/>
          <w:i/>
          <w:kern w:val="0"/>
          <w:lang w:eastAsia="en-US" w:bidi="ar-SA"/>
        </w:rPr>
        <w:t>N.J.B.</w:t>
      </w:r>
      <w:r w:rsidRPr="00D147A7">
        <w:rPr>
          <w:rFonts w:eastAsiaTheme="minorEastAsia"/>
          <w:kern w:val="0"/>
          <w:lang w:eastAsia="en-US" w:bidi="ar-SA"/>
        </w:rPr>
        <w:t xml:space="preserve">, 2005, 13, p. 678-685.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DAMME, J.; NYS, H.; VAN DAMME, T; </w:t>
      </w:r>
      <w:r w:rsidRPr="00D147A7">
        <w:rPr>
          <w:rFonts w:eastAsiaTheme="minorEastAsia"/>
          <w:i/>
          <w:kern w:val="0"/>
          <w:lang w:eastAsia="en-US" w:bidi="ar-SA"/>
        </w:rPr>
        <w:t>De arts, de huisarts en zijn dossier</w:t>
      </w:r>
      <w:r w:rsidRPr="00D147A7">
        <w:rPr>
          <w:rFonts w:eastAsiaTheme="minorEastAsia"/>
          <w:kern w:val="0"/>
          <w:lang w:eastAsia="en-US" w:bidi="ar-SA"/>
        </w:rPr>
        <w:t>, Antwer</w:t>
      </w:r>
      <w:r w:rsidR="009744EE">
        <w:rPr>
          <w:rFonts w:eastAsiaTheme="minorEastAsia"/>
          <w:kern w:val="0"/>
          <w:lang w:eastAsia="en-US" w:bidi="ar-SA"/>
        </w:rPr>
        <w:t>-</w:t>
      </w:r>
      <w:r w:rsidRPr="00D147A7">
        <w:rPr>
          <w:rFonts w:eastAsiaTheme="minorEastAsia"/>
          <w:kern w:val="0"/>
          <w:lang w:eastAsia="en-US" w:bidi="ar-SA"/>
        </w:rPr>
        <w:t>pen, Intersentia, 2003, 235p.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VAN DEN BERGE, M., </w:t>
      </w:r>
      <w:r w:rsidRPr="00D147A7">
        <w:rPr>
          <w:rFonts w:eastAsiaTheme="minorEastAsia"/>
          <w:i/>
          <w:kern w:val="0"/>
          <w:lang w:eastAsia="en-US" w:bidi="ar-SA"/>
        </w:rPr>
        <w:t>Commissie voor de bescherming van de persoonlijke levenssfeer</w:t>
      </w:r>
      <w:r w:rsidRPr="00D147A7">
        <w:rPr>
          <w:rFonts w:eastAsiaTheme="minorEastAsia"/>
          <w:kern w:val="0"/>
          <w:lang w:eastAsia="en-US" w:bidi="ar-SA"/>
        </w:rPr>
        <w:t xml:space="preserve">, onuitgeg. meesterproef, Faculteit Rechtsgeleerdheid, KULeuven, promotor prof. dr. D. D’Hooghe, 72p.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VANDENBERGHE, J.; JORIS, T.; ‘De bescherming van de grondrechten in Europa, het Ver</w:t>
      </w:r>
      <w:r w:rsidR="009744EE">
        <w:rPr>
          <w:rFonts w:eastAsiaTheme="minorEastAsia"/>
          <w:kern w:val="0"/>
          <w:lang w:eastAsia="en-US" w:bidi="ar-SA"/>
        </w:rPr>
        <w:t>-</w:t>
      </w:r>
      <w:r w:rsidRPr="00D147A7">
        <w:rPr>
          <w:rFonts w:eastAsiaTheme="minorEastAsia"/>
          <w:kern w:val="0"/>
          <w:lang w:eastAsia="en-US" w:bidi="ar-SA"/>
        </w:rPr>
        <w:t xml:space="preserve">drag van Lissabon en het Ierse referendum: een stand van zaken’, </w:t>
      </w:r>
      <w:r w:rsidRPr="00D147A7">
        <w:rPr>
          <w:rFonts w:eastAsiaTheme="minorEastAsia"/>
          <w:i/>
          <w:kern w:val="0"/>
          <w:lang w:eastAsia="en-US" w:bidi="ar-SA"/>
        </w:rPr>
        <w:t>T.B.P.</w:t>
      </w:r>
      <w:r w:rsidRPr="00D147A7">
        <w:rPr>
          <w:rFonts w:eastAsiaTheme="minorEastAsia"/>
          <w:kern w:val="0"/>
          <w:lang w:eastAsia="en-US" w:bidi="ar-SA"/>
        </w:rPr>
        <w:t>, 2008, 8, p. 459-477.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VANDENDRIESSCHE, J., ‘De verwerking van persoonsgegevens voor historische, statisti</w:t>
      </w:r>
      <w:r w:rsidR="009744EE">
        <w:rPr>
          <w:rFonts w:eastAsiaTheme="minorEastAsia"/>
          <w:kern w:val="0"/>
          <w:lang w:eastAsia="en-US" w:bidi="ar-SA"/>
        </w:rPr>
        <w:t>-</w:t>
      </w:r>
      <w:r w:rsidRPr="00D147A7">
        <w:rPr>
          <w:rFonts w:eastAsiaTheme="minorEastAsia"/>
          <w:kern w:val="0"/>
          <w:lang w:eastAsia="en-US" w:bidi="ar-SA"/>
        </w:rPr>
        <w:t xml:space="preserve">sche en wetenschappelijke doeleinden’, </w:t>
      </w:r>
      <w:r w:rsidRPr="00D147A7">
        <w:rPr>
          <w:rFonts w:eastAsiaTheme="minorEastAsia"/>
          <w:i/>
          <w:kern w:val="0"/>
          <w:lang w:eastAsia="en-US" w:bidi="ar-SA"/>
        </w:rPr>
        <w:t>T.B.B.R.</w:t>
      </w:r>
      <w:r w:rsidRPr="00D147A7">
        <w:rPr>
          <w:rFonts w:eastAsiaTheme="minorEastAsia"/>
          <w:kern w:val="0"/>
          <w:lang w:eastAsia="en-US" w:bidi="ar-SA"/>
        </w:rPr>
        <w:t>, 2006, 9, p. 534-543.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DER STRAETE, I.; PUT, J.;</w:t>
      </w:r>
      <w:r w:rsidRPr="00D147A7">
        <w:rPr>
          <w:rFonts w:eastAsiaTheme="minorEastAsia"/>
          <w:i/>
          <w:kern w:val="0"/>
          <w:lang w:eastAsia="en-US" w:bidi="ar-SA"/>
        </w:rPr>
        <w:t xml:space="preserve"> Beroepsgeheim en hulpverlening</w:t>
      </w:r>
      <w:r w:rsidRPr="00D147A7">
        <w:rPr>
          <w:rFonts w:eastAsiaTheme="minorEastAsia"/>
          <w:kern w:val="0"/>
          <w:lang w:eastAsia="en-US" w:bidi="ar-SA"/>
        </w:rPr>
        <w:t>, Brugge, die Keure, 2005, 267p.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VANDROMME, T., ‘Het doorgeven van persoonsgegevens aan een verwerker of aan een der</w:t>
      </w:r>
      <w:r w:rsidR="009744EE">
        <w:rPr>
          <w:rFonts w:eastAsiaTheme="minorEastAsia"/>
          <w:kern w:val="0"/>
          <w:lang w:eastAsia="en-US" w:bidi="ar-SA"/>
        </w:rPr>
        <w:t>-</w:t>
      </w:r>
      <w:r w:rsidRPr="00D147A7">
        <w:rPr>
          <w:rFonts w:eastAsiaTheme="minorEastAsia"/>
          <w:kern w:val="0"/>
          <w:lang w:eastAsia="en-US" w:bidi="ar-SA"/>
        </w:rPr>
        <w:t xml:space="preserve">de’, </w:t>
      </w:r>
      <w:r w:rsidRPr="00D147A7">
        <w:rPr>
          <w:rFonts w:eastAsiaTheme="minorEastAsia"/>
          <w:i/>
          <w:kern w:val="0"/>
          <w:lang w:eastAsia="en-US" w:bidi="ar-SA"/>
        </w:rPr>
        <w:t>R.W.</w:t>
      </w:r>
      <w:r w:rsidRPr="00D147A7">
        <w:rPr>
          <w:rFonts w:eastAsiaTheme="minorEastAsia"/>
          <w:kern w:val="0"/>
          <w:lang w:eastAsia="en-US" w:bidi="ar-SA"/>
        </w:rPr>
        <w:t>, 2007-2008, 11, k. 449-451.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GOSSUM, K.; VAN ROY, B.; ‘Het begrip ‘toestemming’ in de Wet Verwerking Per</w:t>
      </w:r>
      <w:r w:rsidR="009744EE">
        <w:rPr>
          <w:rFonts w:eastAsiaTheme="minorEastAsia"/>
          <w:kern w:val="0"/>
          <w:lang w:eastAsia="en-US" w:bidi="ar-SA"/>
        </w:rPr>
        <w:t>-</w:t>
      </w:r>
      <w:r w:rsidRPr="00D147A7">
        <w:rPr>
          <w:rFonts w:eastAsiaTheme="minorEastAsia"/>
          <w:kern w:val="0"/>
          <w:lang w:eastAsia="en-US" w:bidi="ar-SA"/>
        </w:rPr>
        <w:t xml:space="preserve">soonsgegevens t.a.v. de ‘wilsonbekwame’ patiënt in het kader van een elektronisch gedeeld patiëntendossier’, </w:t>
      </w:r>
      <w:r w:rsidRPr="00D147A7">
        <w:rPr>
          <w:rFonts w:eastAsiaTheme="minorEastAsia"/>
          <w:i/>
          <w:kern w:val="0"/>
          <w:lang w:eastAsia="en-US" w:bidi="ar-SA"/>
        </w:rPr>
        <w:t>T.B.B.R.</w:t>
      </w:r>
      <w:r w:rsidRPr="00D147A7">
        <w:rPr>
          <w:rFonts w:eastAsiaTheme="minorEastAsia"/>
          <w:kern w:val="0"/>
          <w:lang w:eastAsia="en-US" w:bidi="ar-SA"/>
        </w:rPr>
        <w:t>, 2007, 7, p. 419-431.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NESTE, F., ‘Het medisch beroepsgeheim’, HEYVAERT, A.; KRUITHOF, R.; VAN</w:t>
      </w:r>
      <w:r w:rsidR="009744EE">
        <w:rPr>
          <w:rFonts w:eastAsiaTheme="minorEastAsia"/>
          <w:kern w:val="0"/>
          <w:lang w:eastAsia="en-US" w:bidi="ar-SA"/>
        </w:rPr>
        <w:t>-</w:t>
      </w:r>
      <w:r w:rsidRPr="00D147A7">
        <w:rPr>
          <w:rFonts w:eastAsiaTheme="minorEastAsia"/>
          <w:kern w:val="0"/>
          <w:lang w:eastAsia="en-US" w:bidi="ar-SA"/>
        </w:rPr>
        <w:t xml:space="preserve">SWEEVELT, T. (eds.); </w:t>
      </w:r>
      <w:r w:rsidRPr="00D147A7">
        <w:rPr>
          <w:rFonts w:eastAsiaTheme="minorEastAsia"/>
          <w:i/>
          <w:kern w:val="0"/>
          <w:lang w:eastAsia="en-US" w:bidi="ar-SA"/>
        </w:rPr>
        <w:t>Juridische aspecten van de geneeskunde</w:t>
      </w:r>
      <w:r w:rsidRPr="00D147A7">
        <w:rPr>
          <w:rFonts w:eastAsiaTheme="minorEastAsia"/>
          <w:kern w:val="0"/>
          <w:lang w:eastAsia="en-US" w:bidi="ar-SA"/>
        </w:rPr>
        <w:t>, Antwerpen, Kluwer, 1989, p. 191-206.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NESTE, F., ‘Kan het beroepsgeheim absoluut genoemd worden?’, </w:t>
      </w:r>
      <w:r w:rsidRPr="00D147A7">
        <w:rPr>
          <w:rFonts w:eastAsiaTheme="minorEastAsia"/>
          <w:i/>
          <w:kern w:val="0"/>
          <w:lang w:eastAsia="en-US" w:bidi="ar-SA"/>
        </w:rPr>
        <w:t>R.W.</w:t>
      </w:r>
      <w:r w:rsidRPr="00D147A7">
        <w:rPr>
          <w:rFonts w:eastAsiaTheme="minorEastAsia"/>
          <w:kern w:val="0"/>
          <w:lang w:eastAsia="en-US" w:bidi="ar-SA"/>
        </w:rPr>
        <w:t xml:space="preserve">, 1977-1978, k. 1281-1304.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VANSWEEVELT, T.; DEWALLENS, F.; </w:t>
      </w:r>
      <w:r w:rsidRPr="00D147A7">
        <w:rPr>
          <w:rFonts w:eastAsiaTheme="minorEastAsia"/>
          <w:i/>
          <w:kern w:val="0"/>
          <w:lang w:eastAsia="en-US" w:bidi="ar-SA"/>
        </w:rPr>
        <w:t>Het patiëntendossier</w:t>
      </w:r>
      <w:r w:rsidRPr="00D147A7">
        <w:rPr>
          <w:rFonts w:eastAsiaTheme="minorEastAsia"/>
          <w:kern w:val="0"/>
          <w:lang w:eastAsia="en-US" w:bidi="ar-SA"/>
        </w:rPr>
        <w:t>, Gezondheidsrecht, 2, Ant</w:t>
      </w:r>
      <w:r w:rsidR="009744EE">
        <w:rPr>
          <w:rFonts w:eastAsiaTheme="minorEastAsia"/>
          <w:kern w:val="0"/>
          <w:lang w:eastAsia="en-US" w:bidi="ar-SA"/>
        </w:rPr>
        <w:t>-</w:t>
      </w:r>
      <w:r w:rsidRPr="00D147A7">
        <w:rPr>
          <w:rFonts w:eastAsiaTheme="minorEastAsia"/>
          <w:kern w:val="0"/>
          <w:lang w:eastAsia="en-US" w:bidi="ar-SA"/>
        </w:rPr>
        <w:t>werpen-Cambridge, Intersentia, 2011, 182p.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VELAERS, J., ‘«De censuur kan nooit worden ingevoerd». Over de motieven van het cen</w:t>
      </w:r>
      <w:r w:rsidR="009744EE">
        <w:rPr>
          <w:rFonts w:eastAsiaTheme="minorEastAsia"/>
          <w:kern w:val="0"/>
          <w:lang w:eastAsia="en-US" w:bidi="ar-SA"/>
        </w:rPr>
        <w:t>-</w:t>
      </w:r>
      <w:r w:rsidRPr="00D147A7">
        <w:rPr>
          <w:rFonts w:eastAsiaTheme="minorEastAsia"/>
          <w:kern w:val="0"/>
          <w:lang w:eastAsia="en-US" w:bidi="ar-SA"/>
        </w:rPr>
        <w:t xml:space="preserve">suurverbod’, CORBET, J. (red.), </w:t>
      </w:r>
      <w:r w:rsidRPr="00D147A7">
        <w:rPr>
          <w:rFonts w:eastAsiaTheme="minorEastAsia"/>
          <w:i/>
          <w:kern w:val="0"/>
          <w:lang w:eastAsia="en-US" w:bidi="ar-SA"/>
        </w:rPr>
        <w:t>Censuur: Referaten van het colloquium van 16 mei 2003</w:t>
      </w:r>
      <w:r w:rsidRPr="00D147A7">
        <w:rPr>
          <w:rFonts w:eastAsiaTheme="minorEastAsia"/>
          <w:kern w:val="0"/>
          <w:lang w:eastAsia="en-US" w:bidi="ar-SA"/>
        </w:rPr>
        <w:t>, Auteurs &amp; Media, Brussel, De Boeck &amp; Larcier, 2003, p. 13-50.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VELLE, K.; VANDERMAESEN, M.; </w:t>
      </w:r>
      <w:r w:rsidRPr="00D147A7">
        <w:rPr>
          <w:rFonts w:eastAsiaTheme="minorEastAsia"/>
          <w:i/>
          <w:kern w:val="0"/>
          <w:lang w:eastAsia="en-US" w:bidi="ar-SA"/>
        </w:rPr>
        <w:t>Inleiding tot het Belgische archiefrecht</w:t>
      </w:r>
      <w:r w:rsidRPr="00D147A7">
        <w:rPr>
          <w:rFonts w:eastAsiaTheme="minorEastAsia"/>
          <w:kern w:val="0"/>
          <w:lang w:eastAsia="en-US" w:bidi="ar-SA"/>
        </w:rPr>
        <w:t>, Brussel, 2012³, 179p.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VERBRUGGEN, V., </w:t>
      </w:r>
      <w:r w:rsidRPr="00D147A7">
        <w:rPr>
          <w:rFonts w:eastAsiaTheme="minorEastAsia"/>
          <w:i/>
          <w:kern w:val="0"/>
          <w:lang w:eastAsia="en-US" w:bidi="ar-SA"/>
        </w:rPr>
        <w:t>Wet verwerking persoonsgegevens: wet van 8 december 1992 tot be</w:t>
      </w:r>
      <w:r w:rsidR="009744EE">
        <w:rPr>
          <w:rFonts w:eastAsiaTheme="minorEastAsia"/>
          <w:i/>
          <w:kern w:val="0"/>
          <w:lang w:eastAsia="en-US" w:bidi="ar-SA"/>
        </w:rPr>
        <w:t>-</w:t>
      </w:r>
      <w:r w:rsidRPr="00D147A7">
        <w:rPr>
          <w:rFonts w:eastAsiaTheme="minorEastAsia"/>
          <w:i/>
          <w:kern w:val="0"/>
          <w:lang w:eastAsia="en-US" w:bidi="ar-SA"/>
        </w:rPr>
        <w:t>scherming van de persoonlijke levenssfeer ten opzichte van de verwerking van persoonsge</w:t>
      </w:r>
      <w:r w:rsidR="009744EE">
        <w:rPr>
          <w:rFonts w:eastAsiaTheme="minorEastAsia"/>
          <w:i/>
          <w:kern w:val="0"/>
          <w:lang w:eastAsia="en-US" w:bidi="ar-SA"/>
        </w:rPr>
        <w:t>-</w:t>
      </w:r>
      <w:r w:rsidRPr="00D147A7">
        <w:rPr>
          <w:rFonts w:eastAsiaTheme="minorEastAsia"/>
          <w:i/>
          <w:kern w:val="0"/>
          <w:lang w:eastAsia="en-US" w:bidi="ar-SA"/>
        </w:rPr>
        <w:t>gevens WVP</w:t>
      </w:r>
      <w:r w:rsidRPr="00D147A7">
        <w:rPr>
          <w:rFonts w:eastAsiaTheme="minorEastAsia"/>
          <w:kern w:val="0"/>
          <w:lang w:eastAsia="en-US" w:bidi="ar-SA"/>
        </w:rPr>
        <w:t>, Larcier wet en duiding, Brussel, Larcier, 2011, 289p. (</w:t>
      </w:r>
      <w:hyperlink w:history="1">
        <w:r w:rsidR="009744EE" w:rsidRPr="00ED5FE6">
          <w:rPr>
            <w:rStyle w:val="Hyperlink"/>
            <w:rFonts w:eastAsiaTheme="minorEastAsia"/>
            <w:kern w:val="0"/>
            <w:lang w:eastAsia="en-US" w:bidi="ar-SA"/>
          </w:rPr>
          <w:t>http://www. privacycommission.be/sites/privacycommission/files/documents/04.01-wet-en-duiding-privacywet-larcier.pdf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VERCRUYSSEN, W., ‘De Privacy-wet’ en de gevolgen voor de patiëntenbestanden in de zie</w:t>
      </w:r>
      <w:r w:rsidR="009744EE">
        <w:rPr>
          <w:rFonts w:eastAsiaTheme="minorEastAsia"/>
          <w:kern w:val="0"/>
          <w:lang w:eastAsia="en-US" w:bidi="ar-SA"/>
        </w:rPr>
        <w:t>-</w:t>
      </w:r>
      <w:r w:rsidRPr="00D147A7">
        <w:rPr>
          <w:rFonts w:eastAsiaTheme="minorEastAsia"/>
          <w:kern w:val="0"/>
          <w:lang w:eastAsia="en-US" w:bidi="ar-SA"/>
        </w:rPr>
        <w:t xml:space="preserve">kenhuizen’, </w:t>
      </w:r>
      <w:r w:rsidRPr="00D147A7">
        <w:rPr>
          <w:rFonts w:eastAsiaTheme="minorEastAsia"/>
          <w:i/>
          <w:kern w:val="0"/>
          <w:lang w:eastAsia="en-US" w:bidi="ar-SA"/>
        </w:rPr>
        <w:t>Hosp.</w:t>
      </w:r>
      <w:r w:rsidRPr="00D147A7">
        <w:rPr>
          <w:rFonts w:eastAsiaTheme="minorEastAsia"/>
          <w:kern w:val="0"/>
          <w:lang w:eastAsia="en-US" w:bidi="ar-SA"/>
        </w:rPr>
        <w:t>, 1995, p. 43-47.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VERCRUYSSEN, W., ‘Draagwijdte van de noties ‘dossiers’ en ‘bestanden’ in het kader van de wet verwerking persoonsgegevens (W.V.P.) en de wet op de ziekenhuizen (W.Z.)’, </w:t>
      </w:r>
      <w:r w:rsidRPr="00D147A7">
        <w:rPr>
          <w:rFonts w:eastAsiaTheme="minorEastAsia"/>
          <w:i/>
          <w:kern w:val="0"/>
          <w:lang w:eastAsia="en-US" w:bidi="ar-SA"/>
        </w:rPr>
        <w:t>T.Gez.</w:t>
      </w:r>
      <w:r w:rsidRPr="00D147A7">
        <w:rPr>
          <w:rFonts w:eastAsiaTheme="minorEastAsia"/>
          <w:kern w:val="0"/>
          <w:lang w:eastAsia="en-US" w:bidi="ar-SA"/>
        </w:rPr>
        <w:t>, 1997-1998, p. 335-337.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VERERTBRUGGEN, M.; WAUTERS, E.; WATHIONG, G.; ‘Bescherming van de persoon</w:t>
      </w:r>
      <w:r w:rsidR="009744EE">
        <w:rPr>
          <w:rFonts w:eastAsiaTheme="minorEastAsia"/>
          <w:kern w:val="0"/>
          <w:lang w:eastAsia="en-US" w:bidi="ar-SA"/>
        </w:rPr>
        <w:t>-</w:t>
      </w:r>
      <w:r w:rsidRPr="00D147A7">
        <w:rPr>
          <w:rFonts w:eastAsiaTheme="minorEastAsia"/>
          <w:kern w:val="0"/>
          <w:lang w:eastAsia="en-US" w:bidi="ar-SA"/>
        </w:rPr>
        <w:t xml:space="preserve">lijke levenssfeer bij de verwerking van medische persoonsgegevens in ziekenfondsen’, </w:t>
      </w:r>
      <w:r w:rsidRPr="00D147A7">
        <w:rPr>
          <w:rFonts w:eastAsiaTheme="minorEastAsia"/>
          <w:i/>
          <w:kern w:val="0"/>
          <w:lang w:eastAsia="en-US" w:bidi="ar-SA"/>
        </w:rPr>
        <w:t>A.Hosp.</w:t>
      </w:r>
      <w:r w:rsidRPr="00D147A7">
        <w:rPr>
          <w:rFonts w:eastAsiaTheme="minorEastAsia"/>
          <w:kern w:val="0"/>
          <w:lang w:eastAsia="en-US" w:bidi="ar-SA"/>
        </w:rPr>
        <w:t>, 1994, 1, p. 55-73.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VERGOTE, R.; WOSTYN, L.; ‘Mededeling van medische gegevens in situaties van (ver</w:t>
      </w:r>
      <w:r w:rsidR="009744EE">
        <w:rPr>
          <w:rFonts w:eastAsiaTheme="minorEastAsia"/>
          <w:kern w:val="0"/>
          <w:lang w:eastAsia="en-US" w:bidi="ar-SA"/>
        </w:rPr>
        <w:t>-</w:t>
      </w:r>
      <w:r w:rsidRPr="00D147A7">
        <w:rPr>
          <w:rFonts w:eastAsiaTheme="minorEastAsia"/>
          <w:kern w:val="0"/>
          <w:lang w:eastAsia="en-US" w:bidi="ar-SA"/>
        </w:rPr>
        <w:t xml:space="preserve">moeden van) kindermishandeling’, WOSTYN, L.; SCHOCKAERT, F.; BOUCQUEY, K. (reds.); </w:t>
      </w:r>
      <w:r w:rsidRPr="00D147A7">
        <w:rPr>
          <w:rFonts w:eastAsiaTheme="minorEastAsia"/>
          <w:i/>
          <w:kern w:val="0"/>
          <w:lang w:eastAsia="en-US" w:bidi="ar-SA"/>
        </w:rPr>
        <w:t>Overhandigen medische gegevens</w:t>
      </w:r>
      <w:r w:rsidRPr="00D147A7">
        <w:rPr>
          <w:rFonts w:eastAsiaTheme="minorEastAsia"/>
          <w:kern w:val="0"/>
          <w:lang w:eastAsia="en-US" w:bidi="ar-SA"/>
        </w:rPr>
        <w:t>, Gent, Academia Press, 2009², p. 139-144.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VERMEIREN, R., ‘Het moeilijk onderscheid tussen hulp weigeren en de soevereine beslis</w:t>
      </w:r>
      <w:r w:rsidR="009744EE">
        <w:rPr>
          <w:rFonts w:eastAsiaTheme="minorEastAsia"/>
          <w:kern w:val="0"/>
          <w:lang w:eastAsia="en-US" w:bidi="ar-SA"/>
        </w:rPr>
        <w:t>-</w:t>
      </w:r>
      <w:r w:rsidRPr="00D147A7">
        <w:rPr>
          <w:rFonts w:eastAsiaTheme="minorEastAsia"/>
          <w:kern w:val="0"/>
          <w:lang w:eastAsia="en-US" w:bidi="ar-SA"/>
        </w:rPr>
        <w:t xml:space="preserve">sing van de arts om al dan niet te handelen’, </w:t>
      </w:r>
      <w:r w:rsidRPr="00D147A7">
        <w:rPr>
          <w:rFonts w:eastAsiaTheme="minorEastAsia"/>
          <w:i/>
          <w:kern w:val="0"/>
          <w:lang w:eastAsia="en-US" w:bidi="ar-SA"/>
        </w:rPr>
        <w:t>T.Gez.</w:t>
      </w:r>
      <w:r w:rsidRPr="00D147A7">
        <w:rPr>
          <w:rFonts w:eastAsiaTheme="minorEastAsia"/>
          <w:kern w:val="0"/>
          <w:lang w:eastAsia="en-US" w:bidi="ar-SA"/>
        </w:rPr>
        <w:t>, 1999-2000, p. 214-220.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VOORHOOF, D., ‘Franse rechter mocht boek over Mitterrand niet blijven verbieden’, </w:t>
      </w:r>
      <w:r w:rsidRPr="00D147A7">
        <w:rPr>
          <w:rFonts w:eastAsiaTheme="minorEastAsia"/>
          <w:i/>
          <w:kern w:val="0"/>
          <w:lang w:eastAsia="en-US" w:bidi="ar-SA"/>
        </w:rPr>
        <w:t>Juris</w:t>
      </w:r>
      <w:r w:rsidR="009744EE">
        <w:rPr>
          <w:rFonts w:eastAsiaTheme="minorEastAsia"/>
          <w:i/>
          <w:kern w:val="0"/>
          <w:lang w:eastAsia="en-US" w:bidi="ar-SA"/>
        </w:rPr>
        <w:t>-</w:t>
      </w:r>
      <w:r w:rsidRPr="00D147A7">
        <w:rPr>
          <w:rFonts w:eastAsiaTheme="minorEastAsia"/>
          <w:i/>
          <w:kern w:val="0"/>
          <w:lang w:eastAsia="en-US" w:bidi="ar-SA"/>
        </w:rPr>
        <w:t>tenkrant</w:t>
      </w:r>
      <w:r w:rsidRPr="00D147A7">
        <w:rPr>
          <w:rFonts w:eastAsiaTheme="minorEastAsia"/>
          <w:kern w:val="0"/>
          <w:lang w:eastAsia="en-US" w:bidi="ar-SA"/>
        </w:rPr>
        <w:t>, 92 (2004), p. 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WALRAVE, M., </w:t>
      </w:r>
      <w:r w:rsidRPr="00D147A7">
        <w:rPr>
          <w:rFonts w:eastAsiaTheme="minorEastAsia"/>
          <w:i/>
          <w:kern w:val="0"/>
          <w:lang w:eastAsia="en-US" w:bidi="ar-SA"/>
        </w:rPr>
        <w:t>Direct marketing en privacy: de verhouding tussen direct marketingcom</w:t>
      </w:r>
      <w:r w:rsidR="009744EE">
        <w:rPr>
          <w:rFonts w:eastAsiaTheme="minorEastAsia"/>
          <w:i/>
          <w:kern w:val="0"/>
          <w:lang w:eastAsia="en-US" w:bidi="ar-SA"/>
        </w:rPr>
        <w:t>-</w:t>
      </w:r>
      <w:r w:rsidRPr="00D147A7">
        <w:rPr>
          <w:rFonts w:eastAsiaTheme="minorEastAsia"/>
          <w:i/>
          <w:kern w:val="0"/>
          <w:lang w:eastAsia="en-US" w:bidi="ar-SA"/>
        </w:rPr>
        <w:t>municatie en de bescherming van de informationele en de relationele privacy van consumen</w:t>
      </w:r>
      <w:r w:rsidR="009744EE">
        <w:rPr>
          <w:rFonts w:eastAsiaTheme="minorEastAsia"/>
          <w:i/>
          <w:kern w:val="0"/>
          <w:lang w:eastAsia="en-US" w:bidi="ar-SA"/>
        </w:rPr>
        <w:t>-</w:t>
      </w:r>
      <w:r w:rsidRPr="00D147A7">
        <w:rPr>
          <w:rFonts w:eastAsiaTheme="minorEastAsia"/>
          <w:i/>
          <w:kern w:val="0"/>
          <w:lang w:eastAsia="en-US" w:bidi="ar-SA"/>
        </w:rPr>
        <w:t>ten</w:t>
      </w:r>
      <w:r w:rsidRPr="00D147A7">
        <w:rPr>
          <w:rFonts w:eastAsiaTheme="minorEastAsia"/>
          <w:kern w:val="0"/>
          <w:lang w:eastAsia="en-US" w:bidi="ar-SA"/>
        </w:rPr>
        <w:t>, KULeuven. Nieuwe reeks van doctoraten in de sociale wetenschappen, 38, Leuven, 1999, 512p.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WOSTYN, L., </w:t>
      </w:r>
      <w:r w:rsidRPr="00D147A7">
        <w:rPr>
          <w:rFonts w:eastAsiaTheme="minorEastAsia"/>
          <w:i/>
          <w:kern w:val="0"/>
          <w:lang w:eastAsia="en-US" w:bidi="ar-SA"/>
        </w:rPr>
        <w:t>Het overmaken van medische gegevens na het overlijden van de patiënt</w:t>
      </w:r>
      <w:r w:rsidRPr="00D147A7">
        <w:rPr>
          <w:rFonts w:eastAsiaTheme="minorEastAsia"/>
          <w:kern w:val="0"/>
          <w:lang w:eastAsia="en-US" w:bidi="ar-SA"/>
        </w:rPr>
        <w:t>, Story dossiers, Gent, Story Publishers, 2011, 126p.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ZWAAK, L., ‘De genese van het Europees Verdrag voor de Rechten van de Mens’, PAR</w:t>
      </w:r>
      <w:r w:rsidR="009744EE">
        <w:rPr>
          <w:rFonts w:eastAsiaTheme="minorEastAsia"/>
          <w:kern w:val="0"/>
          <w:lang w:eastAsia="en-US" w:bidi="ar-SA"/>
        </w:rPr>
        <w:t>-</w:t>
      </w:r>
      <w:r w:rsidRPr="00D147A7">
        <w:rPr>
          <w:rFonts w:eastAsiaTheme="minorEastAsia"/>
          <w:kern w:val="0"/>
          <w:lang w:eastAsia="en-US" w:bidi="ar-SA"/>
        </w:rPr>
        <w:t xml:space="preserve">MENTIER, S. (red.), </w:t>
      </w:r>
      <w:r w:rsidRPr="00D147A7">
        <w:rPr>
          <w:rFonts w:eastAsiaTheme="minorEastAsia"/>
          <w:i/>
          <w:kern w:val="0"/>
          <w:lang w:eastAsia="en-US" w:bidi="ar-SA"/>
        </w:rPr>
        <w:t>Mensenrechten tussen retoriek en realiteit</w:t>
      </w:r>
      <w:r w:rsidRPr="00D147A7">
        <w:rPr>
          <w:rFonts w:eastAsiaTheme="minorEastAsia"/>
          <w:kern w:val="0"/>
          <w:lang w:eastAsia="en-US" w:bidi="ar-SA"/>
        </w:rPr>
        <w:t>, Gent, Mys &amp; Breesch, 1994, p. 35-54.</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4.6.2.7 Websites</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2E7E12" w:rsidP="000F560E">
      <w:pPr>
        <w:widowControl/>
        <w:suppressAutoHyphens w:val="0"/>
        <w:rPr>
          <w:rFonts w:eastAsiaTheme="minorEastAsia"/>
          <w:kern w:val="0"/>
          <w:lang w:eastAsia="en-US" w:bidi="ar-SA"/>
        </w:rPr>
      </w:pPr>
      <w:hyperlink r:id="rId396" w:history="1">
        <w:r w:rsidR="000F560E" w:rsidRPr="00D147A7">
          <w:rPr>
            <w:rFonts w:eastAsiaTheme="minorEastAsia"/>
            <w:color w:val="0000FF"/>
            <w:kern w:val="0"/>
            <w:u w:val="single"/>
            <w:lang w:eastAsia="en-US" w:bidi="ar-SA"/>
          </w:rPr>
          <w:t>http://sites.uclouvain.be/loumed/</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397" w:history="1">
        <w:r w:rsidR="000F560E" w:rsidRPr="00D147A7">
          <w:rPr>
            <w:rFonts w:eastAsiaTheme="minorEastAsia"/>
            <w:color w:val="0000FF"/>
            <w:kern w:val="0"/>
            <w:u w:val="single"/>
            <w:lang w:eastAsia="en-US" w:bidi="ar-SA"/>
          </w:rPr>
          <w:t>http://users.ugent.be/~rdecorte/</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398" w:history="1">
        <w:r w:rsidR="000F560E" w:rsidRPr="00D147A7">
          <w:rPr>
            <w:rFonts w:eastAsiaTheme="minorEastAsia"/>
            <w:color w:val="0000FF"/>
            <w:kern w:val="0"/>
            <w:u w:val="single"/>
            <w:lang w:eastAsia="en-US" w:bidi="ar-SA"/>
          </w:rPr>
          <w:t>http://www.demens.nu/</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399" w:history="1">
        <w:r w:rsidR="000F560E" w:rsidRPr="00D147A7">
          <w:rPr>
            <w:rFonts w:eastAsiaTheme="minorEastAsia"/>
            <w:color w:val="0000FF"/>
            <w:kern w:val="0"/>
            <w:u w:val="single"/>
            <w:lang w:eastAsia="en-US" w:bidi="ar-SA"/>
          </w:rPr>
          <w:t>http://www.edavid.be/</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0" w:history="1">
        <w:r w:rsidR="000F560E" w:rsidRPr="00D147A7">
          <w:rPr>
            <w:rFonts w:eastAsiaTheme="minorEastAsia"/>
            <w:color w:val="0000FF"/>
            <w:kern w:val="0"/>
            <w:u w:val="single"/>
            <w:lang w:eastAsia="en-US" w:bidi="ar-SA"/>
          </w:rPr>
          <w:t>http://www.hospitals.be/</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1" w:history="1">
        <w:r w:rsidR="000F560E" w:rsidRPr="00D147A7">
          <w:rPr>
            <w:rFonts w:eastAsiaTheme="minorEastAsia"/>
            <w:color w:val="0000FF"/>
            <w:kern w:val="0"/>
            <w:u w:val="single"/>
            <w:lang w:eastAsia="en-US" w:bidi="ar-SA"/>
          </w:rPr>
          <w:t>https://www.law.kuleuven.be/icri/frobben/</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2" w:history="1">
        <w:r w:rsidR="000F560E" w:rsidRPr="00D147A7">
          <w:rPr>
            <w:rFonts w:eastAsiaTheme="minorEastAsia"/>
            <w:color w:val="0000FF"/>
            <w:kern w:val="0"/>
            <w:u w:val="single"/>
            <w:lang w:eastAsia="en-US" w:bidi="ar-SA"/>
          </w:rPr>
          <w:t>http://www.oapen.org/</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3" w:history="1">
        <w:r w:rsidR="000F560E" w:rsidRPr="00D147A7">
          <w:rPr>
            <w:rFonts w:eastAsiaTheme="minorEastAsia"/>
            <w:color w:val="0000FF"/>
            <w:kern w:val="0"/>
            <w:u w:val="single"/>
            <w:lang w:eastAsia="en-US" w:bidi="ar-SA"/>
          </w:rPr>
          <w:t>http://www.privacycommission.be/</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4" w:history="1">
        <w:r w:rsidR="000F560E" w:rsidRPr="00D147A7">
          <w:rPr>
            <w:rFonts w:eastAsiaTheme="minorEastAsia"/>
            <w:color w:val="0000FF"/>
            <w:kern w:val="0"/>
            <w:u w:val="single"/>
            <w:lang w:eastAsia="en-US" w:bidi="ar-SA"/>
          </w:rPr>
          <w:t>http://www.riziv.fgov.be/</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05" w:history="1">
        <w:r w:rsidR="000F560E" w:rsidRPr="00D147A7">
          <w:rPr>
            <w:rFonts w:eastAsiaTheme="minorEastAsia"/>
            <w:color w:val="0000FF"/>
            <w:kern w:val="0"/>
            <w:u w:val="single"/>
            <w:lang w:eastAsia="en-US" w:bidi="ar-SA"/>
          </w:rPr>
          <w:t>http://www.vub.ac.be/LSTS/pub/Dehert/</w:t>
        </w:r>
      </w:hyperlink>
      <w:r w:rsidR="000F560E"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smallCaps/>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kern w:val="0"/>
          <w:lang w:eastAsia="en-US" w:bidi="ar-SA"/>
        </w:rPr>
        <w:t>4.6.</w:t>
      </w:r>
      <w:r w:rsidRPr="00D147A7">
        <w:rPr>
          <w:rFonts w:eastAsiaTheme="minorEastAsia"/>
          <w:b/>
          <w:smallCaps/>
          <w:kern w:val="0"/>
          <w:lang w:eastAsia="en-US" w:bidi="ar-SA"/>
        </w:rPr>
        <w:t>3. Nederland</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4.6.3.1 Parlementaire voorbereidingen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1997-1998, 25 892, nr. 3.</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4.6.3.2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Universele Verklaring van de Rechten van de Mens van 10 december 1948 (</w:t>
      </w:r>
      <w:r w:rsidRPr="00D147A7">
        <w:rPr>
          <w:rFonts w:eastAsiaTheme="minorEastAsia"/>
          <w:i/>
          <w:kern w:val="0"/>
          <w:lang w:eastAsia="en-US" w:bidi="ar-SA"/>
        </w:rPr>
        <w:t>Trb.</w:t>
      </w:r>
      <w:r w:rsidRPr="00D147A7">
        <w:rPr>
          <w:rFonts w:eastAsiaTheme="minorEastAsia"/>
          <w:kern w:val="0"/>
          <w:lang w:eastAsia="en-US" w:bidi="ar-SA"/>
        </w:rPr>
        <w:t xml:space="preserve"> 154, 1951).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Verdrag tot bescherming van de rechten van de mens en de fundamentele vrijheden; Rome, 4 november 1950 (</w:t>
      </w:r>
      <w:r w:rsidRPr="00D147A7">
        <w:rPr>
          <w:rFonts w:eastAsiaTheme="minorEastAsia"/>
          <w:i/>
          <w:kern w:val="0"/>
          <w:lang w:eastAsia="en-US" w:bidi="ar-SA"/>
        </w:rPr>
        <w:t>Trb.</w:t>
      </w:r>
      <w:r w:rsidRPr="00D147A7">
        <w:rPr>
          <w:rFonts w:eastAsiaTheme="minorEastAsia"/>
          <w:kern w:val="0"/>
          <w:lang w:eastAsia="en-US" w:bidi="ar-SA"/>
        </w:rPr>
        <w:t xml:space="preserve"> 154, 1951) en goedgekeurd door de wet van 28 juli 1954 (</w:t>
      </w:r>
      <w:r w:rsidRPr="00D147A7">
        <w:rPr>
          <w:rFonts w:eastAsiaTheme="minorEastAsia"/>
          <w:i/>
          <w:kern w:val="0"/>
          <w:lang w:eastAsia="en-US" w:bidi="ar-SA"/>
        </w:rPr>
        <w:t>Stb.</w:t>
      </w:r>
      <w:r w:rsidRPr="00D147A7">
        <w:rPr>
          <w:rFonts w:eastAsiaTheme="minorEastAsia"/>
          <w:kern w:val="0"/>
          <w:lang w:eastAsia="en-US" w:bidi="ar-SA"/>
        </w:rPr>
        <w:t xml:space="preserve"> 335 en </w:t>
      </w:r>
      <w:r w:rsidRPr="00D147A7">
        <w:rPr>
          <w:rFonts w:eastAsiaTheme="minorEastAsia"/>
          <w:i/>
          <w:kern w:val="0"/>
          <w:lang w:eastAsia="en-US" w:bidi="ar-SA"/>
        </w:rPr>
        <w:t>Trb.</w:t>
      </w:r>
      <w:r w:rsidRPr="00D147A7">
        <w:rPr>
          <w:rFonts w:eastAsiaTheme="minorEastAsia"/>
          <w:kern w:val="0"/>
          <w:lang w:eastAsia="en-US" w:bidi="ar-SA"/>
        </w:rPr>
        <w:t xml:space="preserve"> 151, 1954).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Internationaal Verdrag inzake burgerrechten en politieke rechten, New York, 16-12-1966 (</w:t>
      </w:r>
      <w:r w:rsidRPr="00D147A7">
        <w:rPr>
          <w:rFonts w:eastAsiaTheme="minorEastAsia"/>
          <w:i/>
          <w:kern w:val="0"/>
          <w:lang w:eastAsia="en-US" w:bidi="ar-SA"/>
        </w:rPr>
        <w:t>Trb.</w:t>
      </w:r>
      <w:r w:rsidRPr="00D147A7">
        <w:rPr>
          <w:rFonts w:eastAsiaTheme="minorEastAsia"/>
          <w:kern w:val="0"/>
          <w:lang w:eastAsia="en-US" w:bidi="ar-SA"/>
        </w:rPr>
        <w:t xml:space="preserve"> 99, 1969 en </w:t>
      </w:r>
      <w:r w:rsidRPr="00D147A7">
        <w:rPr>
          <w:rFonts w:eastAsiaTheme="minorEastAsia"/>
          <w:i/>
          <w:kern w:val="0"/>
          <w:lang w:eastAsia="en-US" w:bidi="ar-SA"/>
        </w:rPr>
        <w:t>Trb.</w:t>
      </w:r>
      <w:r w:rsidRPr="00D147A7">
        <w:rPr>
          <w:rFonts w:eastAsiaTheme="minorEastAsia"/>
          <w:kern w:val="0"/>
          <w:lang w:eastAsia="en-US" w:bidi="ar-SA"/>
        </w:rPr>
        <w:t xml:space="preserve"> 177, 1978).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28 december 1988 houdende regels ter bescherming van de persoonlijke levenssfeer in verband met persoonsregistratie (</w:t>
      </w:r>
      <w:r w:rsidRPr="00D147A7">
        <w:rPr>
          <w:rFonts w:eastAsiaTheme="minorEastAsia"/>
          <w:i/>
          <w:kern w:val="0"/>
          <w:lang w:eastAsia="en-US" w:bidi="ar-SA"/>
        </w:rPr>
        <w:t>Stb.</w:t>
      </w:r>
      <w:r w:rsidRPr="00D147A7">
        <w:rPr>
          <w:rFonts w:eastAsiaTheme="minorEastAsia"/>
          <w:kern w:val="0"/>
          <w:lang w:eastAsia="en-US" w:bidi="ar-SA"/>
        </w:rPr>
        <w:t xml:space="preserve"> 665, 1988).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20 juni 1990 tot goedkeuring van het op 28 januari 1981 te Straatsburg tot stand ge</w:t>
      </w:r>
      <w:r w:rsidR="009744EE">
        <w:rPr>
          <w:rFonts w:eastAsiaTheme="minorEastAsia"/>
          <w:kern w:val="0"/>
          <w:lang w:eastAsia="en-US" w:bidi="ar-SA"/>
        </w:rPr>
        <w:t>-</w:t>
      </w:r>
      <w:r w:rsidRPr="00D147A7">
        <w:rPr>
          <w:rFonts w:eastAsiaTheme="minorEastAsia"/>
          <w:kern w:val="0"/>
          <w:lang w:eastAsia="en-US" w:bidi="ar-SA"/>
        </w:rPr>
        <w:t>komen Verdrag tot bescherming van personen met betrekking tot de geautomatiseerde ver</w:t>
      </w:r>
      <w:r w:rsidR="009744EE">
        <w:rPr>
          <w:rFonts w:eastAsiaTheme="minorEastAsia"/>
          <w:kern w:val="0"/>
          <w:lang w:eastAsia="en-US" w:bidi="ar-SA"/>
        </w:rPr>
        <w:t>-</w:t>
      </w:r>
      <w:r w:rsidRPr="00D147A7">
        <w:rPr>
          <w:rFonts w:eastAsiaTheme="minorEastAsia"/>
          <w:kern w:val="0"/>
          <w:lang w:eastAsia="en-US" w:bidi="ar-SA"/>
        </w:rPr>
        <w:t>werking van persoonsgegevens (</w:t>
      </w:r>
      <w:r w:rsidRPr="00D147A7">
        <w:rPr>
          <w:rFonts w:eastAsiaTheme="minorEastAsia"/>
          <w:i/>
          <w:kern w:val="0"/>
          <w:lang w:eastAsia="en-US" w:bidi="ar-SA"/>
        </w:rPr>
        <w:t>Trb.</w:t>
      </w:r>
      <w:r w:rsidRPr="00D147A7">
        <w:rPr>
          <w:rFonts w:eastAsiaTheme="minorEastAsia"/>
          <w:kern w:val="0"/>
          <w:lang w:eastAsia="en-US" w:bidi="ar-SA"/>
        </w:rPr>
        <w:t xml:space="preserve"> 7, 1988 en Stb. 351, 10 juli 1990).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Aanbeveling no. R (97) 5 van het Comité van Ministers aan de Lidstaten betreffende de be</w:t>
      </w:r>
      <w:r w:rsidR="009744EE">
        <w:rPr>
          <w:rFonts w:eastAsiaTheme="minorEastAsia"/>
          <w:kern w:val="0"/>
          <w:lang w:eastAsia="en-US" w:bidi="ar-SA"/>
        </w:rPr>
        <w:t>-</w:t>
      </w:r>
      <w:r w:rsidRPr="00D147A7">
        <w:rPr>
          <w:rFonts w:eastAsiaTheme="minorEastAsia"/>
          <w:kern w:val="0"/>
          <w:lang w:eastAsia="en-US" w:bidi="ar-SA"/>
        </w:rPr>
        <w:t>scherming van medische gegevens (</w:t>
      </w:r>
      <w:r w:rsidRPr="00D147A7">
        <w:rPr>
          <w:rFonts w:eastAsiaTheme="minorEastAsia"/>
          <w:i/>
          <w:kern w:val="0"/>
          <w:lang w:eastAsia="en-US" w:bidi="ar-SA"/>
        </w:rPr>
        <w:t>Stcrt.</w:t>
      </w:r>
      <w:r w:rsidRPr="00D147A7">
        <w:rPr>
          <w:rFonts w:eastAsiaTheme="minorEastAsia"/>
          <w:kern w:val="0"/>
          <w:lang w:eastAsia="en-US" w:bidi="ar-SA"/>
        </w:rPr>
        <w:t xml:space="preserve"> 38, 1998).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6 juli 2000 houdende regels inzake de bescherming van persoonsgegevens (</w:t>
      </w:r>
      <w:r w:rsidRPr="00D147A7">
        <w:rPr>
          <w:rFonts w:eastAsiaTheme="minorEastAsia"/>
          <w:i/>
          <w:kern w:val="0"/>
          <w:lang w:eastAsia="en-US" w:bidi="ar-SA"/>
        </w:rPr>
        <w:t xml:space="preserve">Stb. </w:t>
      </w:r>
      <w:r w:rsidRPr="00D147A7">
        <w:rPr>
          <w:rFonts w:eastAsiaTheme="minorEastAsia"/>
          <w:kern w:val="0"/>
          <w:lang w:eastAsia="en-US" w:bidi="ar-SA"/>
        </w:rPr>
        <w:t xml:space="preserve">302, 20 juli 2000).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7 mei 2001 houdende nadere regels over de wijze waarop de melding, bedoeld in artikel 27 en 28 van de Wet bescherming persoonsgegevens, dient te geschieden (</w:t>
      </w:r>
      <w:r w:rsidRPr="00D147A7">
        <w:rPr>
          <w:rFonts w:eastAsiaTheme="minorEastAsia"/>
          <w:i/>
          <w:kern w:val="0"/>
          <w:lang w:eastAsia="en-US" w:bidi="ar-SA"/>
        </w:rPr>
        <w:t>Stb.</w:t>
      </w:r>
      <w:r w:rsidRPr="00D147A7">
        <w:rPr>
          <w:rFonts w:eastAsiaTheme="minorEastAsia"/>
          <w:kern w:val="0"/>
          <w:lang w:eastAsia="en-US" w:bidi="ar-SA"/>
        </w:rPr>
        <w:t xml:space="preserve"> 244, 31 mei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7 mei 2001, houdende aanwijzing van verwerkingen van persoonsgegevens die zijn vrijgesteld van de melding bedoeld in artikel 27 van de Wet bescherming persoonsge</w:t>
      </w:r>
      <w:r w:rsidR="009744EE">
        <w:rPr>
          <w:rFonts w:eastAsiaTheme="minorEastAsia"/>
          <w:kern w:val="0"/>
          <w:lang w:eastAsia="en-US" w:bidi="ar-SA"/>
        </w:rPr>
        <w:t>-</w:t>
      </w:r>
      <w:r w:rsidRPr="00D147A7">
        <w:rPr>
          <w:rFonts w:eastAsiaTheme="minorEastAsia"/>
          <w:kern w:val="0"/>
          <w:lang w:eastAsia="en-US" w:bidi="ar-SA"/>
        </w:rPr>
        <w:t>gevens (</w:t>
      </w:r>
      <w:r w:rsidRPr="00D147A7">
        <w:rPr>
          <w:rFonts w:eastAsiaTheme="minorEastAsia"/>
          <w:i/>
          <w:kern w:val="0"/>
          <w:lang w:eastAsia="en-US" w:bidi="ar-SA"/>
        </w:rPr>
        <w:t>Stb.</w:t>
      </w:r>
      <w:r w:rsidRPr="00D147A7">
        <w:rPr>
          <w:rFonts w:eastAsiaTheme="minorEastAsia"/>
          <w:kern w:val="0"/>
          <w:lang w:eastAsia="en-US" w:bidi="ar-SA"/>
        </w:rPr>
        <w:t xml:space="preserve"> 250, 12 juni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Wet van 7 november 2002 tot wijziging van de regels betreffende de verwerking van justitiële gegevens en het stellen van regels met betrekking tot de verwerking van persoonsgegevens in persoonsdossiers (</w:t>
      </w:r>
      <w:r w:rsidRPr="00D147A7">
        <w:rPr>
          <w:rFonts w:eastAsiaTheme="minorEastAsia"/>
          <w:i/>
          <w:kern w:val="0"/>
          <w:lang w:eastAsia="en-US" w:bidi="ar-SA"/>
        </w:rPr>
        <w:t>Stb.</w:t>
      </w:r>
      <w:r w:rsidRPr="00D147A7">
        <w:rPr>
          <w:rFonts w:eastAsiaTheme="minorEastAsia"/>
          <w:kern w:val="0"/>
          <w:lang w:eastAsia="en-US" w:bidi="ar-SA"/>
        </w:rPr>
        <w:t xml:space="preserve"> 552, 19 november 2002).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16 september 2004 houdende regeling van DNA-onderzoeken bij veroordeelden (</w:t>
      </w:r>
      <w:r w:rsidRPr="00D147A7">
        <w:rPr>
          <w:rFonts w:eastAsiaTheme="minorEastAsia"/>
          <w:i/>
          <w:kern w:val="0"/>
          <w:lang w:eastAsia="en-US" w:bidi="ar-SA"/>
        </w:rPr>
        <w:t>Stb.</w:t>
      </w:r>
      <w:r w:rsidRPr="00D147A7">
        <w:rPr>
          <w:rFonts w:eastAsiaTheme="minorEastAsia"/>
          <w:kern w:val="0"/>
          <w:lang w:eastAsia="en-US" w:bidi="ar-SA"/>
        </w:rPr>
        <w:t xml:space="preserve"> 465, 28 september 2004)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Regeling inrichting en gebruik van een infrastructuur voor elektronische informatie-uitwisse</w:t>
      </w:r>
      <w:r w:rsidR="009744EE">
        <w:rPr>
          <w:rFonts w:eastAsiaTheme="minorEastAsia"/>
          <w:kern w:val="0"/>
          <w:lang w:eastAsia="en-US" w:bidi="ar-SA"/>
        </w:rPr>
        <w:t>-</w:t>
      </w:r>
      <w:r w:rsidRPr="00D147A7">
        <w:rPr>
          <w:rFonts w:eastAsiaTheme="minorEastAsia"/>
          <w:kern w:val="0"/>
          <w:lang w:eastAsia="en-US" w:bidi="ar-SA"/>
        </w:rPr>
        <w:t>ling ter uitvoering van de Zorgverzekeringswet (</w:t>
      </w:r>
      <w:r w:rsidRPr="00D147A7">
        <w:rPr>
          <w:rFonts w:eastAsiaTheme="minorEastAsia"/>
          <w:i/>
          <w:kern w:val="0"/>
          <w:lang w:eastAsia="en-US" w:bidi="ar-SA"/>
        </w:rPr>
        <w:t>Stcrt.</w:t>
      </w:r>
      <w:r w:rsidRPr="00D147A7">
        <w:rPr>
          <w:rFonts w:eastAsiaTheme="minorEastAsia"/>
          <w:kern w:val="0"/>
          <w:lang w:eastAsia="en-US" w:bidi="ar-SA"/>
        </w:rPr>
        <w:t xml:space="preserve"> 2, 3 januari 2008).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9 oktober 2008 houdende bepaling over de zorg voor de publieke gezondheid (</w:t>
      </w:r>
      <w:r w:rsidRPr="00D147A7">
        <w:rPr>
          <w:rFonts w:eastAsiaTheme="minorEastAsia"/>
          <w:i/>
          <w:kern w:val="0"/>
          <w:lang w:eastAsia="en-US" w:bidi="ar-SA"/>
        </w:rPr>
        <w:t>Stb.</w:t>
      </w:r>
      <w:r w:rsidRPr="00D147A7">
        <w:rPr>
          <w:rFonts w:eastAsiaTheme="minorEastAsia"/>
          <w:kern w:val="0"/>
          <w:lang w:eastAsia="en-US" w:bidi="ar-SA"/>
        </w:rPr>
        <w:t xml:space="preserve"> 460, 18 november 2008)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Regeling van de Staatssecretaris van Volksgezondheid, Welzijn en Sport van 6 juni 2011, kenmerk MC U 3052251, houdende regels in verband met de verwerking van persoonsgege</w:t>
      </w:r>
      <w:r w:rsidR="009744EE">
        <w:rPr>
          <w:rFonts w:eastAsiaTheme="minorEastAsia"/>
          <w:kern w:val="0"/>
          <w:lang w:eastAsia="en-US" w:bidi="ar-SA"/>
        </w:rPr>
        <w:t>-</w:t>
      </w:r>
      <w:r w:rsidRPr="00D147A7">
        <w:rPr>
          <w:rFonts w:eastAsiaTheme="minorEastAsia"/>
          <w:kern w:val="0"/>
          <w:lang w:eastAsia="en-US" w:bidi="ar-SA"/>
        </w:rPr>
        <w:t>vens door zorgverzekeraars bij de uitvoering van de AWBZ (</w:t>
      </w:r>
      <w:r w:rsidRPr="00D147A7">
        <w:rPr>
          <w:rFonts w:eastAsiaTheme="minorEastAsia"/>
          <w:i/>
          <w:kern w:val="0"/>
          <w:lang w:eastAsia="en-US" w:bidi="ar-SA"/>
        </w:rPr>
        <w:t>Stcrt.</w:t>
      </w:r>
      <w:r w:rsidRPr="00D147A7">
        <w:rPr>
          <w:rFonts w:eastAsiaTheme="minorEastAsia"/>
          <w:kern w:val="0"/>
          <w:lang w:eastAsia="en-US" w:bidi="ar-SA"/>
        </w:rPr>
        <w:t xml:space="preserve"> 10301, 15 juni 2011).</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4.6.3.3 KNMG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ERKELENS, D.W.; BREETVELT, E.J.; BRIET, J.W.; HOUWAART, E.S. (reds.); </w:t>
      </w:r>
      <w:r w:rsidRPr="00D147A7">
        <w:rPr>
          <w:rFonts w:eastAsiaTheme="minorEastAsia"/>
          <w:i/>
          <w:kern w:val="0"/>
          <w:lang w:eastAsia="en-US" w:bidi="ar-SA"/>
        </w:rPr>
        <w:t>Neder</w:t>
      </w:r>
      <w:r w:rsidR="009744EE">
        <w:rPr>
          <w:rFonts w:eastAsiaTheme="minorEastAsia"/>
          <w:i/>
          <w:kern w:val="0"/>
          <w:lang w:eastAsia="en-US" w:bidi="ar-SA"/>
        </w:rPr>
        <w:t>-</w:t>
      </w:r>
      <w:r w:rsidRPr="00D147A7">
        <w:rPr>
          <w:rFonts w:eastAsiaTheme="minorEastAsia"/>
          <w:i/>
          <w:kern w:val="0"/>
          <w:lang w:eastAsia="en-US" w:bidi="ar-SA"/>
        </w:rPr>
        <w:t>landse artseneed</w:t>
      </w:r>
      <w:r w:rsidRPr="00D147A7">
        <w:rPr>
          <w:rFonts w:eastAsiaTheme="minorEastAsia"/>
          <w:kern w:val="0"/>
          <w:lang w:eastAsia="en-US" w:bidi="ar-SA"/>
        </w:rPr>
        <w:t>, Houten, Badoux, 2010</w:t>
      </w:r>
      <w:r w:rsidRPr="00D147A7">
        <w:rPr>
          <w:rFonts w:eastAsiaTheme="minorEastAsia"/>
          <w:kern w:val="0"/>
          <w:vertAlign w:val="superscript"/>
          <w:lang w:eastAsia="en-US" w:bidi="ar-SA"/>
        </w:rPr>
        <w:t>5</w:t>
      </w:r>
      <w:r w:rsidRPr="00D147A7">
        <w:rPr>
          <w:rFonts w:eastAsiaTheme="minorEastAsia"/>
          <w:kern w:val="0"/>
          <w:lang w:eastAsia="en-US" w:bidi="ar-SA"/>
        </w:rPr>
        <w:t>, 32p. 14 (</w:t>
      </w:r>
      <w:hyperlink r:id="rId406" w:history="1">
        <w:r w:rsidR="009744EE" w:rsidRPr="00ED5FE6">
          <w:rPr>
            <w:rStyle w:val="Hyperlink"/>
            <w:rFonts w:eastAsiaTheme="minorEastAsia"/>
            <w:kern w:val="0"/>
            <w:lang w:eastAsia="en-US" w:bidi="ar-SA"/>
          </w:rPr>
          <w:t>http://knmg.artsennet.nl/Publicaties/ KNMGpublicatie/Nederlandse-artseneed-inclusief-Eed-van-Hippocrates-Verklaring-van-Geneve-2004.htm</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KNMG, ‘Beroepsgeheim niet absoluut’, </w:t>
      </w:r>
      <w:r w:rsidRPr="00D147A7">
        <w:rPr>
          <w:rFonts w:eastAsiaTheme="minorEastAsia"/>
          <w:i/>
          <w:kern w:val="0"/>
          <w:lang w:eastAsia="en-US" w:bidi="ar-SA"/>
        </w:rPr>
        <w:t>N.J.B.</w:t>
      </w:r>
      <w:r w:rsidRPr="00D147A7">
        <w:rPr>
          <w:rFonts w:eastAsiaTheme="minorEastAsia"/>
          <w:kern w:val="0"/>
          <w:lang w:eastAsia="en-US" w:bidi="ar-SA"/>
        </w:rPr>
        <w:t xml:space="preserve">, 2012, 8, p. 571-572.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4.6.3.4 Rechtsleer en literatuur</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BANNIER, F.A.W.; DUIJST, W.L.J.M.; FANOY, N.A.M.E.C.; FANOY, A.P.H.; TEMPE</w:t>
      </w:r>
      <w:r w:rsidR="009744EE">
        <w:rPr>
          <w:rFonts w:eastAsiaTheme="minorEastAsia"/>
          <w:kern w:val="0"/>
          <w:lang w:eastAsia="en-US" w:bidi="ar-SA"/>
        </w:rPr>
        <w:t>-</w:t>
      </w:r>
      <w:r w:rsidRPr="00D147A7">
        <w:rPr>
          <w:rFonts w:eastAsiaTheme="minorEastAsia"/>
          <w:kern w:val="0"/>
          <w:lang w:eastAsia="en-US" w:bidi="ar-SA"/>
        </w:rPr>
        <w:t xml:space="preserve">LAAR, J.M.; </w:t>
      </w:r>
      <w:r w:rsidRPr="00D147A7">
        <w:rPr>
          <w:rFonts w:eastAsiaTheme="minorEastAsia"/>
          <w:i/>
          <w:kern w:val="0"/>
          <w:lang w:eastAsia="en-US" w:bidi="ar-SA"/>
        </w:rPr>
        <w:t>Beroepsgeheim en verschoningsrecht. Hanboek voor de advocaat, medisch hulpverlener, notaris en geestelijke</w:t>
      </w:r>
      <w:r w:rsidRPr="00D147A7">
        <w:rPr>
          <w:rFonts w:eastAsiaTheme="minorEastAsia"/>
          <w:kern w:val="0"/>
          <w:lang w:eastAsia="en-US" w:bidi="ar-SA"/>
        </w:rPr>
        <w:t>, Den Haag, Sdu uitgevers, 2008, 225p.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BERKVENS, J.M.A.; PRINS, J.E.J.; ‘De bescherming van persoonsgegevens: van WPR naar Wbp’, FRANKEN, H.; KASPERSEN, H.W.K.; DE WILD, A.H. (reds.); </w:t>
      </w:r>
      <w:r w:rsidRPr="00D147A7">
        <w:rPr>
          <w:rFonts w:eastAsiaTheme="minorEastAsia"/>
          <w:i/>
          <w:kern w:val="0"/>
          <w:lang w:eastAsia="en-US" w:bidi="ar-SA"/>
        </w:rPr>
        <w:t>Recht en computer</w:t>
      </w:r>
      <w:r w:rsidRPr="00D147A7">
        <w:rPr>
          <w:rFonts w:eastAsiaTheme="minorEastAsia"/>
          <w:kern w:val="0"/>
          <w:lang w:eastAsia="en-US" w:bidi="ar-SA"/>
        </w:rPr>
        <w:t>, Recht en Praktijk, 36, Deventer, Kluwer, 2004</w:t>
      </w:r>
      <w:r w:rsidRPr="00D147A7">
        <w:rPr>
          <w:rFonts w:eastAsiaTheme="minorEastAsia"/>
          <w:kern w:val="0"/>
          <w:vertAlign w:val="superscript"/>
          <w:lang w:eastAsia="en-US" w:bidi="ar-SA"/>
        </w:rPr>
        <w:t>5</w:t>
      </w:r>
      <w:r w:rsidRPr="00D147A7">
        <w:rPr>
          <w:rFonts w:eastAsiaTheme="minorEastAsia"/>
          <w:kern w:val="0"/>
          <w:lang w:eastAsia="en-US" w:bidi="ar-SA"/>
        </w:rPr>
        <w:t>, p. 339-384.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BLOK, P.H., </w:t>
      </w:r>
      <w:r w:rsidRPr="00D147A7">
        <w:rPr>
          <w:rFonts w:eastAsiaTheme="minorEastAsia"/>
          <w:i/>
          <w:kern w:val="0"/>
          <w:lang w:eastAsia="en-US" w:bidi="ar-SA"/>
        </w:rPr>
        <w:t>Het recht op privacy: een onderzoek naar de betekenis van het begrip ‘privacy’ in het Nederlandse en Amerikaanse recht</w:t>
      </w:r>
      <w:r w:rsidRPr="00D147A7">
        <w:rPr>
          <w:rFonts w:eastAsiaTheme="minorEastAsia"/>
          <w:kern w:val="0"/>
          <w:lang w:eastAsia="en-US" w:bidi="ar-SA"/>
        </w:rPr>
        <w:t>, Den Haag, Boom Juridische Uitgevers, 2002,  372p.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BLOK, P.H., ‘Is er privé-leven na de dood?’, </w:t>
      </w:r>
      <w:r w:rsidRPr="00D147A7">
        <w:rPr>
          <w:rFonts w:eastAsiaTheme="minorEastAsia"/>
          <w:i/>
          <w:kern w:val="0"/>
          <w:lang w:eastAsia="en-US" w:bidi="ar-SA"/>
        </w:rPr>
        <w:t>N.J.B.</w:t>
      </w:r>
      <w:r w:rsidRPr="00D147A7">
        <w:rPr>
          <w:rFonts w:eastAsiaTheme="minorEastAsia"/>
          <w:kern w:val="0"/>
          <w:lang w:eastAsia="en-US" w:bidi="ar-SA"/>
        </w:rPr>
        <w:t>, 2003, 6, p. 273-278.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BORKING, J.J.F.M., </w:t>
      </w:r>
      <w:r w:rsidRPr="00D147A7">
        <w:rPr>
          <w:rFonts w:eastAsiaTheme="minorEastAsia"/>
          <w:i/>
          <w:kern w:val="0"/>
          <w:lang w:eastAsia="en-US" w:bidi="ar-SA"/>
        </w:rPr>
        <w:t>Privacyrecht is code. Over het gebruik van privacy enhancing technolo</w:t>
      </w:r>
      <w:r w:rsidR="009744EE">
        <w:rPr>
          <w:rFonts w:eastAsiaTheme="minorEastAsia"/>
          <w:i/>
          <w:kern w:val="0"/>
          <w:lang w:eastAsia="en-US" w:bidi="ar-SA"/>
        </w:rPr>
        <w:t>-</w:t>
      </w:r>
      <w:r w:rsidRPr="00D147A7">
        <w:rPr>
          <w:rFonts w:eastAsiaTheme="minorEastAsia"/>
          <w:i/>
          <w:kern w:val="0"/>
          <w:lang w:eastAsia="en-US" w:bidi="ar-SA"/>
        </w:rPr>
        <w:t>gies</w:t>
      </w:r>
      <w:r w:rsidRPr="00D147A7">
        <w:rPr>
          <w:rFonts w:eastAsiaTheme="minorEastAsia"/>
          <w:kern w:val="0"/>
          <w:lang w:eastAsia="en-US" w:bidi="ar-SA"/>
        </w:rPr>
        <w:t>, onuitgeg. doctoraatsverhandeling, Universiteit Leiden, faculteit Rechtsgeleerdheid, prof. dr. H. Franken, 2010, 474p.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CLEIREN, C.P.M.; NIJBOER, J.F. (reds.); </w:t>
      </w:r>
      <w:r w:rsidRPr="00D147A7">
        <w:rPr>
          <w:rFonts w:eastAsiaTheme="minorEastAsia"/>
          <w:i/>
          <w:kern w:val="0"/>
          <w:lang w:eastAsia="en-US" w:bidi="ar-SA"/>
        </w:rPr>
        <w:t>Strafrecht: Tekst en commentaar</w:t>
      </w:r>
      <w:r w:rsidRPr="00D147A7">
        <w:rPr>
          <w:rFonts w:eastAsiaTheme="minorEastAsia"/>
          <w:kern w:val="0"/>
          <w:lang w:eastAsia="en-US" w:bidi="ar-SA"/>
        </w:rPr>
        <w:t>, Deventer, Klu</w:t>
      </w:r>
      <w:r w:rsidR="009744EE">
        <w:rPr>
          <w:rFonts w:eastAsiaTheme="minorEastAsia"/>
          <w:kern w:val="0"/>
          <w:lang w:eastAsia="en-US" w:bidi="ar-SA"/>
        </w:rPr>
        <w:t>-</w:t>
      </w:r>
      <w:r w:rsidRPr="00D147A7">
        <w:rPr>
          <w:rFonts w:eastAsiaTheme="minorEastAsia"/>
          <w:kern w:val="0"/>
          <w:lang w:eastAsia="en-US" w:bidi="ar-SA"/>
        </w:rPr>
        <w:t>wer, 2008</w:t>
      </w:r>
      <w:r w:rsidRPr="00D147A7">
        <w:rPr>
          <w:rFonts w:eastAsiaTheme="minorEastAsia"/>
          <w:kern w:val="0"/>
          <w:vertAlign w:val="superscript"/>
          <w:lang w:eastAsia="en-US" w:bidi="ar-SA"/>
        </w:rPr>
        <w:t>7</w:t>
      </w:r>
      <w:r w:rsidRPr="00D147A7">
        <w:rPr>
          <w:rFonts w:eastAsiaTheme="minorEastAsia"/>
          <w:kern w:val="0"/>
          <w:lang w:eastAsia="en-US" w:bidi="ar-SA"/>
        </w:rPr>
        <w:t xml:space="preserve">, 2366p.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COOPMAN, B.; DAUGINET, V., ‘Beroepsgeheim en onrechtmatige bewijsverkrijging’, </w:t>
      </w:r>
      <w:r w:rsidRPr="00D147A7">
        <w:rPr>
          <w:rFonts w:eastAsiaTheme="minorEastAsia"/>
          <w:i/>
          <w:kern w:val="0"/>
          <w:lang w:eastAsia="en-US" w:bidi="ar-SA"/>
        </w:rPr>
        <w:t>P&amp;B</w:t>
      </w:r>
      <w:r w:rsidRPr="00D147A7">
        <w:rPr>
          <w:rFonts w:eastAsiaTheme="minorEastAsia"/>
          <w:kern w:val="0"/>
          <w:lang w:eastAsia="en-US" w:bidi="ar-SA"/>
        </w:rPr>
        <w:t>, 1997, p. 127-136.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CROONEN, H., ‘Privacy EPD in handen van arts. Techniek kan patiënt niet beschermen te</w:t>
      </w:r>
      <w:r w:rsidR="009744EE">
        <w:rPr>
          <w:rFonts w:eastAsiaTheme="minorEastAsia"/>
          <w:kern w:val="0"/>
          <w:lang w:eastAsia="en-US" w:bidi="ar-SA"/>
        </w:rPr>
        <w:t>-</w:t>
      </w:r>
      <w:r w:rsidRPr="00D147A7">
        <w:rPr>
          <w:rFonts w:eastAsiaTheme="minorEastAsia"/>
          <w:kern w:val="0"/>
          <w:lang w:eastAsia="en-US" w:bidi="ar-SA"/>
        </w:rPr>
        <w:t xml:space="preserve">gen onterechte inzage’, </w:t>
      </w:r>
      <w:r w:rsidRPr="00D147A7">
        <w:rPr>
          <w:rFonts w:eastAsiaTheme="minorEastAsia"/>
          <w:i/>
          <w:kern w:val="0"/>
          <w:lang w:eastAsia="en-US" w:bidi="ar-SA"/>
        </w:rPr>
        <w:t>M.C.</w:t>
      </w:r>
      <w:r w:rsidRPr="00D147A7">
        <w:rPr>
          <w:rFonts w:eastAsiaTheme="minorEastAsia"/>
          <w:kern w:val="0"/>
          <w:lang w:eastAsia="en-US" w:bidi="ar-SA"/>
        </w:rPr>
        <w:t>, 65/5 (2010), p. 200-203.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CUIJPERS, C., ‘Privacy in context’, BERKVENS, J.M.A.; PRINS, J.E.J. (reds.); </w:t>
      </w:r>
      <w:r w:rsidRPr="00D147A7">
        <w:rPr>
          <w:rFonts w:eastAsiaTheme="minorEastAsia"/>
          <w:i/>
          <w:kern w:val="0"/>
          <w:lang w:eastAsia="en-US" w:bidi="ar-SA"/>
        </w:rPr>
        <w:t>Privacyre</w:t>
      </w:r>
      <w:r w:rsidR="009744EE">
        <w:rPr>
          <w:rFonts w:eastAsiaTheme="minorEastAsia"/>
          <w:i/>
          <w:kern w:val="0"/>
          <w:lang w:eastAsia="en-US" w:bidi="ar-SA"/>
        </w:rPr>
        <w:t>-</w:t>
      </w:r>
      <w:r w:rsidRPr="00D147A7">
        <w:rPr>
          <w:rFonts w:eastAsiaTheme="minorEastAsia"/>
          <w:i/>
          <w:kern w:val="0"/>
          <w:lang w:eastAsia="en-US" w:bidi="ar-SA"/>
        </w:rPr>
        <w:t>gulering in theorie en praktijk</w:t>
      </w:r>
      <w:r w:rsidRPr="00D147A7">
        <w:rPr>
          <w:rFonts w:eastAsiaTheme="minorEastAsia"/>
          <w:kern w:val="0"/>
          <w:lang w:eastAsia="en-US" w:bidi="ar-SA"/>
        </w:rPr>
        <w:t>, Recht en Praktijk, 75, Deventer, Kluwer, 2007</w:t>
      </w:r>
      <w:r w:rsidRPr="00D147A7">
        <w:rPr>
          <w:rFonts w:eastAsiaTheme="minorEastAsia"/>
          <w:kern w:val="0"/>
          <w:vertAlign w:val="superscript"/>
          <w:lang w:eastAsia="en-US" w:bidi="ar-SA"/>
        </w:rPr>
        <w:t>4</w:t>
      </w:r>
      <w:r w:rsidRPr="00D147A7">
        <w:rPr>
          <w:rFonts w:eastAsiaTheme="minorEastAsia"/>
          <w:kern w:val="0"/>
          <w:lang w:eastAsia="en-US" w:bidi="ar-SA"/>
        </w:rPr>
        <w:t>, p. 7-24.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CUIJPERS, C., ‘De evaluatie van Richtlijn 95/46/EG: position papers’, </w:t>
      </w:r>
      <w:r w:rsidRPr="00D147A7">
        <w:rPr>
          <w:rFonts w:eastAsiaTheme="minorEastAsia"/>
          <w:i/>
          <w:kern w:val="0"/>
          <w:lang w:eastAsia="en-US" w:bidi="ar-SA"/>
        </w:rPr>
        <w:t>P&amp;I</w:t>
      </w:r>
      <w:r w:rsidRPr="00D147A7">
        <w:rPr>
          <w:rFonts w:eastAsiaTheme="minorEastAsia"/>
          <w:kern w:val="0"/>
          <w:lang w:eastAsia="en-US" w:bidi="ar-SA"/>
        </w:rPr>
        <w:t xml:space="preserve">, 2003, 6, p. 113-116.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CUIJPERS, C., ‘Opinie over het concept persoonsgegevens [zoals gedefinieerd in art. 2 (a) van richtlijn nr. 95/46/EG]’, </w:t>
      </w:r>
      <w:r w:rsidRPr="00D147A7">
        <w:rPr>
          <w:rFonts w:eastAsiaTheme="minorEastAsia"/>
          <w:i/>
          <w:kern w:val="0"/>
          <w:lang w:eastAsia="en-US" w:bidi="ar-SA"/>
        </w:rPr>
        <w:t>Computerr.</w:t>
      </w:r>
      <w:r w:rsidRPr="00D147A7">
        <w:rPr>
          <w:rFonts w:eastAsiaTheme="minorEastAsia"/>
          <w:kern w:val="0"/>
          <w:lang w:eastAsia="en-US" w:bidi="ar-SA"/>
        </w:rPr>
        <w:t xml:space="preserve">, 2007, 5, p. 257-258.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CUIJPERS, C.M.K.C., ‘Het College Bescherming Persoonsgegevens’, CUIJPERS, C.M.K.C.; VAN DER PUTT, P. (reds.); </w:t>
      </w:r>
      <w:r w:rsidRPr="00D147A7">
        <w:rPr>
          <w:rFonts w:eastAsiaTheme="minorEastAsia"/>
          <w:i/>
          <w:kern w:val="0"/>
          <w:lang w:eastAsia="en-US" w:bidi="ar-SA"/>
        </w:rPr>
        <w:t xml:space="preserve">Privacy Concerns. Het delen van persoonsgegevens bij fusies, </w:t>
      </w:r>
      <w:r w:rsidRPr="00D147A7">
        <w:rPr>
          <w:rFonts w:eastAsiaTheme="minorEastAsia"/>
          <w:i/>
          <w:kern w:val="0"/>
          <w:lang w:eastAsia="en-US" w:bidi="ar-SA"/>
        </w:rPr>
        <w:lastRenderedPageBreak/>
        <w:t>overnames en binnen concerns</w:t>
      </w:r>
      <w:r w:rsidRPr="00D147A7">
        <w:rPr>
          <w:rFonts w:eastAsiaTheme="minorEastAsia"/>
          <w:kern w:val="0"/>
          <w:lang w:eastAsia="en-US" w:bidi="ar-SA"/>
        </w:rPr>
        <w:t>, Nederlandse Vereniging voor Informatietechnologie en Recht, Den Haag, Elsevier juridisch, 2003, p. 87-106/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DIE, A.C.; DEN OUDEN, W.; ‘Getob met de WOB? De werking van de WOB op het ter</w:t>
      </w:r>
      <w:r w:rsidR="009744EE">
        <w:rPr>
          <w:rFonts w:eastAsiaTheme="minorEastAsia"/>
          <w:kern w:val="0"/>
          <w:lang w:eastAsia="en-US" w:bidi="ar-SA"/>
        </w:rPr>
        <w:t>-</w:t>
      </w:r>
      <w:r w:rsidRPr="00D147A7">
        <w:rPr>
          <w:rFonts w:eastAsiaTheme="minorEastAsia"/>
          <w:kern w:val="0"/>
          <w:lang w:eastAsia="en-US" w:bidi="ar-SA"/>
        </w:rPr>
        <w:t xml:space="preserve">rein van de gezondheidszorg’, </w:t>
      </w:r>
      <w:r w:rsidRPr="00D147A7">
        <w:rPr>
          <w:rFonts w:eastAsiaTheme="minorEastAsia"/>
          <w:i/>
          <w:kern w:val="0"/>
          <w:lang w:eastAsia="en-US" w:bidi="ar-SA"/>
        </w:rPr>
        <w:t>T.G.</w:t>
      </w:r>
      <w:r w:rsidRPr="00D147A7">
        <w:rPr>
          <w:rFonts w:eastAsiaTheme="minorEastAsia"/>
          <w:kern w:val="0"/>
          <w:lang w:eastAsia="en-US" w:bidi="ar-SA"/>
        </w:rPr>
        <w:t>, 25/3 (2001), p. 69-80.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HOOG, P., ‘De reikwijdte van het medisch beroepsgeheim’, </w:t>
      </w:r>
      <w:r w:rsidRPr="00D147A7">
        <w:rPr>
          <w:rFonts w:eastAsiaTheme="minorEastAsia"/>
          <w:i/>
          <w:kern w:val="0"/>
          <w:lang w:eastAsia="en-US" w:bidi="ar-SA"/>
        </w:rPr>
        <w:t>Advocatenblad</w:t>
      </w:r>
      <w:r w:rsidRPr="00D147A7">
        <w:rPr>
          <w:rFonts w:eastAsiaTheme="minorEastAsia"/>
          <w:kern w:val="0"/>
          <w:lang w:eastAsia="en-US" w:bidi="ar-SA"/>
        </w:rPr>
        <w:t>, 1989, p. 97-100.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ROODE, R.; MEULMEESTER, J.; ‘Spreek voor het kind’, </w:t>
      </w:r>
      <w:r w:rsidRPr="00D147A7">
        <w:rPr>
          <w:rFonts w:eastAsiaTheme="minorEastAsia"/>
          <w:i/>
          <w:kern w:val="0"/>
          <w:lang w:eastAsia="en-US" w:bidi="ar-SA"/>
        </w:rPr>
        <w:t>M.C.</w:t>
      </w:r>
      <w:r w:rsidRPr="00D147A7">
        <w:rPr>
          <w:rFonts w:eastAsiaTheme="minorEastAsia"/>
          <w:kern w:val="0"/>
          <w:lang w:eastAsia="en-US" w:bidi="ar-SA"/>
        </w:rPr>
        <w:t xml:space="preserve">, 64/36 (2008),  p. 1444-1446.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DESERNO, I., ‘Een delicaat evenwicht. Toegang tot documenten en het recht op bescherming van persoonsgegevens’, </w:t>
      </w:r>
      <w:r w:rsidRPr="00D147A7">
        <w:rPr>
          <w:rFonts w:eastAsiaTheme="minorEastAsia"/>
          <w:i/>
          <w:kern w:val="0"/>
          <w:lang w:eastAsia="en-US" w:bidi="ar-SA"/>
        </w:rPr>
        <w:t>Archievenblad</w:t>
      </w:r>
      <w:r w:rsidRPr="00D147A7">
        <w:rPr>
          <w:rFonts w:eastAsiaTheme="minorEastAsia"/>
          <w:kern w:val="0"/>
          <w:lang w:eastAsia="en-US" w:bidi="ar-SA"/>
        </w:rPr>
        <w:t>, 113/4 (2009), p. 18-21.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DOPPEGIETER, R.M.S., ‘Regelgeving aangaande informationele en ruimtelijke privacy’, </w:t>
      </w:r>
      <w:r w:rsidRPr="00D147A7">
        <w:rPr>
          <w:rFonts w:eastAsiaTheme="minorEastAsia"/>
          <w:i/>
          <w:kern w:val="0"/>
          <w:lang w:eastAsia="en-US" w:bidi="ar-SA"/>
        </w:rPr>
        <w:t>N.T.G.</w:t>
      </w:r>
      <w:r w:rsidRPr="00D147A7">
        <w:rPr>
          <w:rFonts w:eastAsiaTheme="minorEastAsia"/>
          <w:kern w:val="0"/>
          <w:lang w:eastAsia="en-US" w:bidi="ar-SA"/>
        </w:rPr>
        <w:t>, 137/10 (1993), p. 509-514.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DUIJST-HEESTER, W.L.J.M., </w:t>
      </w:r>
      <w:r w:rsidRPr="00D147A7">
        <w:rPr>
          <w:rFonts w:eastAsiaTheme="minorEastAsia"/>
          <w:i/>
          <w:kern w:val="0"/>
          <w:lang w:eastAsia="en-US" w:bidi="ar-SA"/>
        </w:rPr>
        <w:t>Gezondheidsrecht en strafrecht</w:t>
      </w:r>
      <w:r w:rsidRPr="00D147A7">
        <w:rPr>
          <w:rFonts w:eastAsiaTheme="minorEastAsia"/>
          <w:kern w:val="0"/>
          <w:lang w:eastAsia="en-US" w:bidi="ar-SA"/>
        </w:rPr>
        <w:t>, Studiepockets Strafrecht, 40, Deventer, Kluwer, 2009, 227p.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DUIJST, W.L.J.M., </w:t>
      </w:r>
      <w:r w:rsidRPr="00D147A7">
        <w:rPr>
          <w:rFonts w:eastAsiaTheme="minorEastAsia"/>
          <w:i/>
          <w:kern w:val="0"/>
          <w:lang w:eastAsia="en-US" w:bidi="ar-SA"/>
        </w:rPr>
        <w:t>Praktijkboek beroepsgeheim en informatieverstrekking in de zorg</w:t>
      </w:r>
      <w:r w:rsidRPr="00D147A7">
        <w:rPr>
          <w:rFonts w:eastAsiaTheme="minorEastAsia"/>
          <w:kern w:val="0"/>
          <w:lang w:eastAsia="en-US" w:bidi="ar-SA"/>
        </w:rPr>
        <w:t>, Apel</w:t>
      </w:r>
      <w:r w:rsidR="009744EE">
        <w:rPr>
          <w:rFonts w:eastAsiaTheme="minorEastAsia"/>
          <w:kern w:val="0"/>
          <w:lang w:eastAsia="en-US" w:bidi="ar-SA"/>
        </w:rPr>
        <w:t>-</w:t>
      </w:r>
      <w:r w:rsidRPr="00D147A7">
        <w:rPr>
          <w:rFonts w:eastAsiaTheme="minorEastAsia"/>
          <w:kern w:val="0"/>
          <w:lang w:eastAsia="en-US" w:bidi="ar-SA"/>
        </w:rPr>
        <w:t>doorn-Antwerpen, Maklu, 2009, 168p.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ENGBERTS, D.P.; KALKMAN-BOGERD, L.E. (reds.); </w:t>
      </w:r>
      <w:r w:rsidRPr="00D147A7">
        <w:rPr>
          <w:rFonts w:eastAsiaTheme="minorEastAsia"/>
          <w:i/>
          <w:kern w:val="0"/>
          <w:lang w:eastAsia="en-US" w:bidi="ar-SA"/>
        </w:rPr>
        <w:t>Gezondheidsrecht</w:t>
      </w:r>
      <w:r w:rsidRPr="00D147A7">
        <w:rPr>
          <w:rFonts w:eastAsiaTheme="minorEastAsia"/>
          <w:kern w:val="0"/>
          <w:lang w:eastAsia="en-US" w:bidi="ar-SA"/>
        </w:rPr>
        <w:t>, Houten, Bohn Stafleu van Loghum, 2009², 290p.</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eastAsia="en-US" w:bidi="ar-SA"/>
        </w:rPr>
        <w:t>HENDRIKS, A., ‘De wisselwerking tussen de Europese mensenrechten en het gezondheids</w:t>
      </w:r>
      <w:r w:rsidR="009744EE">
        <w:rPr>
          <w:rFonts w:eastAsiaTheme="minorEastAsia"/>
          <w:kern w:val="0"/>
          <w:lang w:eastAsia="en-US" w:bidi="ar-SA"/>
        </w:rPr>
        <w:t>-</w:t>
      </w:r>
      <w:r w:rsidRPr="00D147A7">
        <w:rPr>
          <w:rFonts w:eastAsiaTheme="minorEastAsia"/>
          <w:kern w:val="0"/>
          <w:lang w:eastAsia="en-US" w:bidi="ar-SA"/>
        </w:rPr>
        <w:t xml:space="preserve">recht’, BARJHUYSEN, T.; VAN EMMERIK, M.; LOOF, J. (reds.); </w:t>
      </w:r>
      <w:r w:rsidRPr="00D147A7">
        <w:rPr>
          <w:rFonts w:eastAsiaTheme="minorEastAsia"/>
          <w:i/>
          <w:kern w:val="0"/>
          <w:lang w:eastAsia="en-US" w:bidi="ar-SA"/>
        </w:rPr>
        <w:t>Geschakeld recht. Ver</w:t>
      </w:r>
      <w:r w:rsidR="009744EE">
        <w:rPr>
          <w:rFonts w:eastAsiaTheme="minorEastAsia"/>
          <w:i/>
          <w:kern w:val="0"/>
          <w:lang w:eastAsia="en-US" w:bidi="ar-SA"/>
        </w:rPr>
        <w:t>-</w:t>
      </w:r>
      <w:r w:rsidRPr="00D147A7">
        <w:rPr>
          <w:rFonts w:eastAsiaTheme="minorEastAsia"/>
          <w:i/>
          <w:kern w:val="0"/>
          <w:lang w:eastAsia="en-US" w:bidi="ar-SA"/>
        </w:rPr>
        <w:t xml:space="preserve">dere studies over Europese grondrechten ter gelegenheid van de 70ste verjaardag van prof. mr. </w:t>
      </w:r>
      <w:r w:rsidRPr="00D147A7">
        <w:rPr>
          <w:rFonts w:eastAsiaTheme="minorEastAsia"/>
          <w:i/>
          <w:kern w:val="0"/>
          <w:lang w:val="en-US" w:eastAsia="en-US" w:bidi="ar-SA"/>
        </w:rPr>
        <w:t>E.A. Alkema</w:t>
      </w:r>
      <w:r w:rsidRPr="00D147A7">
        <w:rPr>
          <w:rFonts w:eastAsiaTheme="minorEastAsia"/>
          <w:kern w:val="0"/>
          <w:lang w:val="en-US" w:eastAsia="en-US" w:bidi="ar-SA"/>
        </w:rPr>
        <w:t>, Deventer, Kluwer, 2009, p. 209-227.</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HOOGHIEMSTRA, T., ‘The implementation of directive 95/46/EC in the Netherlands, with special regard to medical data’, </w:t>
      </w:r>
      <w:r w:rsidRPr="00D147A7">
        <w:rPr>
          <w:rFonts w:eastAsiaTheme="minorEastAsia"/>
          <w:i/>
          <w:kern w:val="0"/>
          <w:lang w:val="en-US" w:eastAsia="en-US" w:bidi="ar-SA"/>
        </w:rPr>
        <w:t>E.J.H.L.</w:t>
      </w:r>
      <w:r w:rsidRPr="00D147A7">
        <w:rPr>
          <w:rFonts w:eastAsiaTheme="minorEastAsia"/>
          <w:kern w:val="0"/>
          <w:lang w:val="en-US" w:eastAsia="en-US" w:bidi="ar-SA"/>
        </w:rPr>
        <w:t xml:space="preserve">, 9/3 (2002), p. 219-227.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HOOGHIEMSTRA, T..F.M.; NOUWT, S.; </w:t>
      </w:r>
      <w:r w:rsidRPr="00D147A7">
        <w:rPr>
          <w:rFonts w:eastAsiaTheme="minorEastAsia"/>
          <w:i/>
          <w:kern w:val="0"/>
          <w:lang w:eastAsia="en-US" w:bidi="ar-SA"/>
        </w:rPr>
        <w:t>Wet bescherming persoonsgegevens</w:t>
      </w:r>
      <w:r w:rsidRPr="00D147A7">
        <w:rPr>
          <w:rFonts w:eastAsiaTheme="minorEastAsia"/>
          <w:kern w:val="0"/>
          <w:lang w:eastAsia="en-US" w:bidi="ar-SA"/>
        </w:rPr>
        <w:t>, Tekst en</w:t>
      </w:r>
      <w:r w:rsidRPr="00D147A7">
        <w:rPr>
          <w:rFonts w:eastAsiaTheme="minorEastAsia"/>
          <w:i/>
          <w:kern w:val="0"/>
          <w:lang w:eastAsia="en-US" w:bidi="ar-SA"/>
        </w:rPr>
        <w:t xml:space="preserve"> </w:t>
      </w:r>
      <w:r w:rsidRPr="00D147A7">
        <w:rPr>
          <w:rFonts w:eastAsiaTheme="minorEastAsia"/>
          <w:kern w:val="0"/>
          <w:lang w:eastAsia="en-US" w:bidi="ar-SA"/>
        </w:rPr>
        <w:t>toe</w:t>
      </w:r>
      <w:r w:rsidR="009744EE">
        <w:rPr>
          <w:rFonts w:eastAsiaTheme="minorEastAsia"/>
          <w:kern w:val="0"/>
          <w:lang w:eastAsia="en-US" w:bidi="ar-SA"/>
        </w:rPr>
        <w:t>-</w:t>
      </w:r>
      <w:r w:rsidRPr="00D147A7">
        <w:rPr>
          <w:rFonts w:eastAsiaTheme="minorEastAsia"/>
          <w:kern w:val="0"/>
          <w:lang w:eastAsia="en-US" w:bidi="ar-SA"/>
        </w:rPr>
        <w:t>lichting, Den Haag, Sdu Uitgevers, 2007³, 508p.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HOVY, L., ‘Sporen nalaten of uitwissen? Het bewaren van persoonsgegevens’, </w:t>
      </w:r>
      <w:r w:rsidRPr="00D147A7">
        <w:rPr>
          <w:rFonts w:eastAsiaTheme="minorEastAsia"/>
          <w:i/>
          <w:kern w:val="0"/>
          <w:lang w:eastAsia="en-US" w:bidi="ar-SA"/>
        </w:rPr>
        <w:t>Archieven</w:t>
      </w:r>
      <w:r w:rsidR="009744EE">
        <w:rPr>
          <w:rFonts w:eastAsiaTheme="minorEastAsia"/>
          <w:i/>
          <w:kern w:val="0"/>
          <w:lang w:eastAsia="en-US" w:bidi="ar-SA"/>
        </w:rPr>
        <w:t>-</w:t>
      </w:r>
      <w:r w:rsidRPr="00D147A7">
        <w:rPr>
          <w:rFonts w:eastAsiaTheme="minorEastAsia"/>
          <w:i/>
          <w:kern w:val="0"/>
          <w:lang w:eastAsia="en-US" w:bidi="ar-SA"/>
        </w:rPr>
        <w:t>blad</w:t>
      </w:r>
      <w:r w:rsidRPr="00D147A7">
        <w:rPr>
          <w:rFonts w:eastAsiaTheme="minorEastAsia"/>
          <w:kern w:val="0"/>
          <w:lang w:eastAsia="en-US" w:bidi="ar-SA"/>
        </w:rPr>
        <w:t>, 105/10 (2001), p. 32-35 (</w:t>
      </w:r>
      <w:hyperlink r:id="rId407" w:history="1">
        <w:r w:rsidR="009744EE" w:rsidRPr="00ED5FE6">
          <w:rPr>
            <w:rStyle w:val="Hyperlink"/>
            <w:rFonts w:eastAsiaTheme="minorEastAsia"/>
            <w:kern w:val="0"/>
            <w:lang w:eastAsia="en-US" w:bidi="ar-SA"/>
          </w:rPr>
          <w:t>http://www.erfgoedinspectie.nl/uploads/documents/ artikelhovy.pdf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HUSTINX, P.J., ‘De Wet persoonsregistraties’, </w:t>
      </w:r>
      <w:r w:rsidRPr="00D147A7">
        <w:rPr>
          <w:rFonts w:eastAsiaTheme="minorEastAsia"/>
          <w:i/>
          <w:kern w:val="0"/>
          <w:lang w:eastAsia="en-US" w:bidi="ar-SA"/>
        </w:rPr>
        <w:t>Ars Aequi</w:t>
      </w:r>
      <w:r w:rsidRPr="00D147A7">
        <w:rPr>
          <w:rFonts w:eastAsiaTheme="minorEastAsia"/>
          <w:kern w:val="0"/>
          <w:lang w:eastAsia="en-US" w:bidi="ar-SA"/>
        </w:rPr>
        <w:t xml:space="preserve">, 1989, p. 669-674.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KASTELEIN, W.R., ‘Toenemende druk op artsen om te spreken of te zwijgen; recente juridi</w:t>
      </w:r>
      <w:r w:rsidR="00865F01">
        <w:rPr>
          <w:rFonts w:eastAsiaTheme="minorEastAsia"/>
          <w:kern w:val="0"/>
          <w:lang w:eastAsia="en-US" w:bidi="ar-SA"/>
        </w:rPr>
        <w:t>-</w:t>
      </w:r>
      <w:r w:rsidRPr="00D147A7">
        <w:rPr>
          <w:rFonts w:eastAsiaTheme="minorEastAsia"/>
          <w:kern w:val="0"/>
          <w:lang w:eastAsia="en-US" w:bidi="ar-SA"/>
        </w:rPr>
        <w:t xml:space="preserve">sche ontwikkelingen rond beroepsgeheim en verschoningsrecht’, </w:t>
      </w:r>
      <w:r w:rsidRPr="00D147A7">
        <w:rPr>
          <w:rFonts w:eastAsiaTheme="minorEastAsia"/>
          <w:i/>
          <w:kern w:val="0"/>
          <w:lang w:eastAsia="en-US" w:bidi="ar-SA"/>
        </w:rPr>
        <w:t>N.T.G.</w:t>
      </w:r>
      <w:r w:rsidRPr="00D147A7">
        <w:rPr>
          <w:rFonts w:eastAsiaTheme="minorEastAsia"/>
          <w:kern w:val="0"/>
          <w:lang w:eastAsia="en-US" w:bidi="ar-SA"/>
        </w:rPr>
        <w:t>, 152/9 (2008), p. 478-482.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KETELAAR, E., ‘Elke handeling telt. Archiefdiensten en de Wet bescherming persoonsge</w:t>
      </w:r>
      <w:r w:rsidR="00865F01">
        <w:rPr>
          <w:rFonts w:eastAsiaTheme="minorEastAsia"/>
          <w:kern w:val="0"/>
          <w:lang w:eastAsia="en-US" w:bidi="ar-SA"/>
        </w:rPr>
        <w:t>-</w:t>
      </w:r>
      <w:r w:rsidRPr="00D147A7">
        <w:rPr>
          <w:rFonts w:eastAsiaTheme="minorEastAsia"/>
          <w:kern w:val="0"/>
          <w:lang w:eastAsia="en-US" w:bidi="ar-SA"/>
        </w:rPr>
        <w:t xml:space="preserve">gevens’, </w:t>
      </w:r>
      <w:r w:rsidRPr="00D147A7">
        <w:rPr>
          <w:rFonts w:eastAsiaTheme="minorEastAsia"/>
          <w:i/>
          <w:kern w:val="0"/>
          <w:lang w:eastAsia="en-US" w:bidi="ar-SA"/>
        </w:rPr>
        <w:t>Archievenblad</w:t>
      </w:r>
      <w:r w:rsidRPr="00D147A7">
        <w:rPr>
          <w:rFonts w:eastAsiaTheme="minorEastAsia"/>
          <w:kern w:val="0"/>
          <w:lang w:eastAsia="en-US" w:bidi="ar-SA"/>
        </w:rPr>
        <w:t>, 104/3 (2000), p. 18-23; 104/4 (2000), p. 26-29 (</w:t>
      </w:r>
      <w:hyperlink r:id="rId408" w:history="1">
        <w:r w:rsidR="00865F01" w:rsidRPr="00ED5FE6">
          <w:rPr>
            <w:rStyle w:val="Hyperlink"/>
            <w:rFonts w:eastAsiaTheme="minorEastAsia"/>
            <w:kern w:val="0"/>
            <w:lang w:eastAsia="en-US" w:bidi="ar-SA"/>
          </w:rPr>
          <w:t>http://cf.hum.uva.nl/ bai/home/eketelaar/WBP.doc</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KETELAAR, E., ‘Wet bescherming persoonsgegevens’, Archievenblad, 105/7 (2001), p. 16-17.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KLUITENBROUWER, F., </w:t>
      </w:r>
      <w:r w:rsidRPr="00D147A7">
        <w:rPr>
          <w:rFonts w:eastAsiaTheme="minorEastAsia"/>
          <w:i/>
          <w:kern w:val="0"/>
          <w:lang w:eastAsia="en-US" w:bidi="ar-SA"/>
        </w:rPr>
        <w:t>Het recht om met rust gelaten te worden: over privacy</w:t>
      </w:r>
      <w:r w:rsidRPr="00D147A7">
        <w:rPr>
          <w:rFonts w:eastAsiaTheme="minorEastAsia"/>
          <w:kern w:val="0"/>
          <w:lang w:eastAsia="en-US" w:bidi="ar-SA"/>
        </w:rPr>
        <w:t>, Amster</w:t>
      </w:r>
      <w:r w:rsidR="00865F01">
        <w:rPr>
          <w:rFonts w:eastAsiaTheme="minorEastAsia"/>
          <w:kern w:val="0"/>
          <w:lang w:eastAsia="en-US" w:bidi="ar-SA"/>
        </w:rPr>
        <w:t>-</w:t>
      </w:r>
      <w:r w:rsidRPr="00D147A7">
        <w:rPr>
          <w:rFonts w:eastAsiaTheme="minorEastAsia"/>
          <w:kern w:val="0"/>
          <w:lang w:eastAsia="en-US" w:bidi="ar-SA"/>
        </w:rPr>
        <w:t>dam, Balans, 1991, 197p.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KOORN, R.; VAN GILS, H.; TER HATR, J.; OVERBEEK, P.; TELLEGEN, R.; </w:t>
      </w:r>
      <w:r w:rsidRPr="00D147A7">
        <w:rPr>
          <w:rFonts w:eastAsiaTheme="minorEastAsia"/>
          <w:i/>
          <w:kern w:val="0"/>
          <w:lang w:eastAsia="en-US" w:bidi="ar-SA"/>
        </w:rPr>
        <w:t>Privacy En</w:t>
      </w:r>
      <w:r w:rsidR="00865F01">
        <w:rPr>
          <w:rFonts w:eastAsiaTheme="minorEastAsia"/>
          <w:i/>
          <w:kern w:val="0"/>
          <w:lang w:eastAsia="en-US" w:bidi="ar-SA"/>
        </w:rPr>
        <w:t>-</w:t>
      </w:r>
      <w:r w:rsidRPr="00D147A7">
        <w:rPr>
          <w:rFonts w:eastAsiaTheme="minorEastAsia"/>
          <w:i/>
          <w:kern w:val="0"/>
          <w:lang w:eastAsia="en-US" w:bidi="ar-SA"/>
        </w:rPr>
        <w:t>hancing Technologies. Witboek voor beslissers</w:t>
      </w:r>
      <w:r w:rsidRPr="00D147A7">
        <w:rPr>
          <w:rFonts w:eastAsiaTheme="minorEastAsia"/>
          <w:kern w:val="0"/>
          <w:lang w:eastAsia="en-US" w:bidi="ar-SA"/>
        </w:rPr>
        <w:t>, s.l., Ministerie van Binnenlandse Zaken en Koninkrijksrelaties, 2004, 92p. (</w:t>
      </w:r>
      <w:hyperlink r:id="rId409" w:history="1">
        <w:r w:rsidR="002720ED" w:rsidRPr="00D147A7">
          <w:rPr>
            <w:rStyle w:val="Hyperlink"/>
            <w:rFonts w:eastAsiaTheme="minorEastAsia"/>
            <w:kern w:val="0"/>
            <w:lang w:eastAsia="en-US" w:bidi="ar-SA"/>
          </w:rPr>
          <w:t>http://www.cbpweb.nl/downloads_technologie/witboek_pet. 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KRANENBORG, H.R., </w:t>
      </w:r>
      <w:r w:rsidRPr="00D147A7">
        <w:rPr>
          <w:rFonts w:eastAsiaTheme="minorEastAsia"/>
          <w:i/>
          <w:kern w:val="0"/>
          <w:lang w:eastAsia="en-US" w:bidi="ar-SA"/>
        </w:rPr>
        <w:t>Toegang tot documenten en bescherming van persoonsgegevens in de Europese Unie. Over de openbaarheid van persoonsgegevens</w:t>
      </w:r>
      <w:r w:rsidRPr="00D147A7">
        <w:rPr>
          <w:rFonts w:eastAsiaTheme="minorEastAsia"/>
          <w:kern w:val="0"/>
          <w:lang w:eastAsia="en-US" w:bidi="ar-SA"/>
        </w:rPr>
        <w:t>, doctoraatsverhandeling, facul</w:t>
      </w:r>
      <w:r w:rsidR="00865F01">
        <w:rPr>
          <w:rFonts w:eastAsiaTheme="minorEastAsia"/>
          <w:kern w:val="0"/>
          <w:lang w:eastAsia="en-US" w:bidi="ar-SA"/>
        </w:rPr>
        <w:t>-</w:t>
      </w:r>
      <w:r w:rsidRPr="00D147A7">
        <w:rPr>
          <w:rFonts w:eastAsiaTheme="minorEastAsia"/>
          <w:kern w:val="0"/>
          <w:lang w:eastAsia="en-US" w:bidi="ar-SA"/>
        </w:rPr>
        <w:t xml:space="preserve">teit rechtsgeleerdheid, Universiteit van Leiden, promotores prof. dr. </w:t>
      </w:r>
      <w:r w:rsidRPr="00D147A7">
        <w:rPr>
          <w:rFonts w:eastAsiaTheme="minorEastAsia"/>
          <w:kern w:val="0"/>
          <w:lang w:val="en-US" w:eastAsia="en-US" w:bidi="ar-SA"/>
        </w:rPr>
        <w:t xml:space="preserve">R.A. Lawson en prof. mr. P.J. Slot, 2007, 353p. </w:t>
      </w:r>
      <w:r w:rsidRPr="00D147A7">
        <w:rPr>
          <w:rFonts w:eastAsiaTheme="minorEastAsia"/>
          <w:kern w:val="0"/>
          <w:lang w:eastAsia="en-US" w:bidi="ar-SA"/>
        </w:rPr>
        <w:t>(</w:t>
      </w:r>
      <w:hyperlink r:id="rId410" w:history="1">
        <w:r w:rsidRPr="00D147A7">
          <w:rPr>
            <w:rFonts w:eastAsiaTheme="minorEastAsia"/>
            <w:color w:val="0000FF"/>
            <w:kern w:val="0"/>
            <w:u w:val="single"/>
            <w:lang w:eastAsia="en-US" w:bidi="ar-SA"/>
          </w:rPr>
          <w:t>https://openaccess.leidenuniv.nl/handle/1887/12352</w:t>
        </w:r>
      </w:hyperlink>
      <w:r w:rsidRPr="00D147A7">
        <w:rPr>
          <w:rFonts w:eastAsiaTheme="minorEastAsia"/>
          <w:kern w:val="0"/>
          <w:lang w:eastAsia="en-US" w:bidi="ar-SA"/>
        </w:rPr>
        <w:t>, laatst geraad</w:t>
      </w:r>
      <w:r w:rsidR="00865F01">
        <w:rPr>
          <w:rFonts w:eastAsiaTheme="minorEastAsia"/>
          <w:kern w:val="0"/>
          <w:lang w:eastAsia="en-US" w:bidi="ar-SA"/>
        </w:rPr>
        <w:t>-</w:t>
      </w:r>
      <w:r w:rsidRPr="00D147A7">
        <w:rPr>
          <w:rFonts w:eastAsiaTheme="minorEastAsia"/>
          <w:kern w:val="0"/>
          <w:lang w:eastAsia="en-US" w:bidi="ar-SA"/>
        </w:rPr>
        <w:t>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KRANENBORG, H.R.; VERHEY, L.F.M.; </w:t>
      </w:r>
      <w:r w:rsidRPr="00D147A7">
        <w:rPr>
          <w:rFonts w:eastAsiaTheme="minorEastAsia"/>
          <w:i/>
          <w:kern w:val="0"/>
          <w:lang w:eastAsia="en-US" w:bidi="ar-SA"/>
        </w:rPr>
        <w:t>Wet bescherming persoonsgegevens in Europees perspectief</w:t>
      </w:r>
      <w:r w:rsidRPr="00D147A7">
        <w:rPr>
          <w:rFonts w:eastAsiaTheme="minorEastAsia"/>
          <w:kern w:val="0"/>
          <w:lang w:eastAsia="en-US" w:bidi="ar-SA"/>
        </w:rPr>
        <w:t>, Mastermonografieën staats- en bestuursrecht, Deventer, Kluwer, 2011, 225p.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LEENEN, H.J.J., ‘Hulpverleningsplicht’, </w:t>
      </w:r>
      <w:r w:rsidRPr="00D147A7">
        <w:rPr>
          <w:rFonts w:eastAsiaTheme="minorEastAsia"/>
          <w:i/>
          <w:kern w:val="0"/>
          <w:lang w:eastAsia="en-US" w:bidi="ar-SA"/>
        </w:rPr>
        <w:t>N.T.G.</w:t>
      </w:r>
      <w:r w:rsidRPr="00D147A7">
        <w:rPr>
          <w:rFonts w:eastAsiaTheme="minorEastAsia"/>
          <w:kern w:val="0"/>
          <w:lang w:eastAsia="en-US" w:bidi="ar-SA"/>
        </w:rPr>
        <w:t>, 135 (1991), p. 103-106.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LEENEN, H.H.J., ‘Moderne ontwikkelingen rond het geheim in de gezondheidszorg’, </w:t>
      </w:r>
      <w:r w:rsidRPr="00D147A7">
        <w:rPr>
          <w:rFonts w:eastAsiaTheme="minorEastAsia"/>
          <w:i/>
          <w:kern w:val="0"/>
          <w:lang w:eastAsia="en-US" w:bidi="ar-SA"/>
        </w:rPr>
        <w:t>T.P.R.</w:t>
      </w:r>
      <w:r w:rsidRPr="00D147A7">
        <w:rPr>
          <w:rFonts w:eastAsiaTheme="minorEastAsia"/>
          <w:kern w:val="0"/>
          <w:lang w:eastAsia="en-US" w:bidi="ar-SA"/>
        </w:rPr>
        <w:t>, 1974, p. 317-344.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LEENEN, H.J.J.; DUTE, J.C.J.; KASTELEIN, W.R.; </w:t>
      </w:r>
      <w:r w:rsidRPr="00D147A7">
        <w:rPr>
          <w:rFonts w:eastAsiaTheme="minorEastAsia"/>
          <w:i/>
          <w:kern w:val="0"/>
          <w:lang w:eastAsia="en-US" w:bidi="ar-SA"/>
        </w:rPr>
        <w:t>Handboek Gezondheidsrecht. Deel II: Gezondheidszorg en recht</w:t>
      </w:r>
      <w:r w:rsidRPr="00D147A7">
        <w:rPr>
          <w:rFonts w:eastAsiaTheme="minorEastAsia"/>
          <w:kern w:val="0"/>
          <w:lang w:eastAsia="en-US" w:bidi="ar-SA"/>
        </w:rPr>
        <w:t>, Houten, Bohn Stafleu Van Loghum, 2005</w:t>
      </w:r>
      <w:r w:rsidRPr="00D147A7">
        <w:rPr>
          <w:rFonts w:eastAsiaTheme="minorEastAsia"/>
          <w:kern w:val="0"/>
          <w:vertAlign w:val="superscript"/>
          <w:lang w:eastAsia="en-US" w:bidi="ar-SA"/>
        </w:rPr>
        <w:t>5</w:t>
      </w:r>
      <w:r w:rsidRPr="00D147A7">
        <w:rPr>
          <w:rFonts w:eastAsiaTheme="minorEastAsia"/>
          <w:kern w:val="0"/>
          <w:lang w:eastAsia="en-US" w:bidi="ar-SA"/>
        </w:rPr>
        <w:t>, 432p.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LEENEN, H.J.J.; GEVERS, J.K.M.; LEGEMAATE, J.; </w:t>
      </w:r>
      <w:r w:rsidRPr="00D147A7">
        <w:rPr>
          <w:rFonts w:eastAsiaTheme="minorEastAsia"/>
          <w:i/>
          <w:kern w:val="0"/>
          <w:lang w:eastAsia="en-US" w:bidi="ar-SA"/>
        </w:rPr>
        <w:t>Handboek gezondheidsrecht. Deel 1: Rechten van mensen in de gezondheidszorg</w:t>
      </w:r>
      <w:r w:rsidRPr="00D147A7">
        <w:rPr>
          <w:rFonts w:eastAsiaTheme="minorEastAsia"/>
          <w:kern w:val="0"/>
          <w:lang w:eastAsia="en-US" w:bidi="ar-SA"/>
        </w:rPr>
        <w:t>, Houten, Bohn Stafleu Van Loghum, 2007</w:t>
      </w:r>
      <w:r w:rsidRPr="00D147A7">
        <w:rPr>
          <w:rFonts w:eastAsiaTheme="minorEastAsia"/>
          <w:kern w:val="0"/>
          <w:vertAlign w:val="superscript"/>
          <w:lang w:eastAsia="en-US" w:bidi="ar-SA"/>
        </w:rPr>
        <w:t>4</w:t>
      </w:r>
      <w:r w:rsidRPr="00D147A7">
        <w:rPr>
          <w:rFonts w:eastAsiaTheme="minorEastAsia"/>
          <w:kern w:val="0"/>
          <w:lang w:eastAsia="en-US" w:bidi="ar-SA"/>
        </w:rPr>
        <w:t xml:space="preserve">, 386p.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LULOFS, M., ‘Privacy in het geding? De Wet bescherming persoonsgegevens (Wbp) en de ontsluiting van archieven door publieke archiefdiensten’, </w:t>
      </w:r>
      <w:r w:rsidRPr="00D147A7">
        <w:rPr>
          <w:rFonts w:eastAsiaTheme="minorEastAsia"/>
          <w:i/>
          <w:kern w:val="0"/>
          <w:lang w:eastAsia="en-US" w:bidi="ar-SA"/>
        </w:rPr>
        <w:t>Archievenblad</w:t>
      </w:r>
      <w:r w:rsidRPr="00D147A7">
        <w:rPr>
          <w:rFonts w:eastAsiaTheme="minorEastAsia"/>
          <w:kern w:val="0"/>
          <w:lang w:eastAsia="en-US" w:bidi="ar-SA"/>
        </w:rPr>
        <w:t xml:space="preserve">, 113/5 (2009), p. 28-29.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MEIJS, M., </w:t>
      </w:r>
      <w:r w:rsidRPr="00D147A7">
        <w:rPr>
          <w:rFonts w:eastAsiaTheme="minorEastAsia"/>
          <w:i/>
          <w:kern w:val="0"/>
          <w:lang w:eastAsia="en-US" w:bidi="ar-SA"/>
        </w:rPr>
        <w:t>Doorbreken van het medisch beroepsgeheim: zorg of zegen?</w:t>
      </w:r>
      <w:r w:rsidRPr="00D147A7">
        <w:rPr>
          <w:rFonts w:eastAsiaTheme="minorEastAsia"/>
          <w:kern w:val="0"/>
          <w:lang w:eastAsia="en-US" w:bidi="ar-SA"/>
        </w:rPr>
        <w:t>, onuitgeg. meester</w:t>
      </w:r>
      <w:r w:rsidR="00865F01">
        <w:rPr>
          <w:rFonts w:eastAsiaTheme="minorEastAsia"/>
          <w:kern w:val="0"/>
          <w:lang w:eastAsia="en-US" w:bidi="ar-SA"/>
        </w:rPr>
        <w:t>-</w:t>
      </w:r>
      <w:r w:rsidRPr="00D147A7">
        <w:rPr>
          <w:rFonts w:eastAsiaTheme="minorEastAsia"/>
          <w:kern w:val="0"/>
          <w:lang w:eastAsia="en-US" w:bidi="ar-SA"/>
        </w:rPr>
        <w:t>proef, faculteit Rechtsgeleerdheid, Universiteit van Tilburg, promotor, prof. dr. P. Vlaarding</w:t>
      </w:r>
      <w:r w:rsidR="00865F01">
        <w:rPr>
          <w:rFonts w:eastAsiaTheme="minorEastAsia"/>
          <w:kern w:val="0"/>
          <w:lang w:eastAsia="en-US" w:bidi="ar-SA"/>
        </w:rPr>
        <w:t>-</w:t>
      </w:r>
      <w:r w:rsidRPr="00D147A7">
        <w:rPr>
          <w:rFonts w:eastAsiaTheme="minorEastAsia"/>
          <w:kern w:val="0"/>
          <w:lang w:eastAsia="en-US" w:bidi="ar-SA"/>
        </w:rPr>
        <w:t>erbroek, 2009, 58p. (</w:t>
      </w:r>
      <w:hyperlink r:id="rId411" w:history="1">
        <w:r w:rsidRPr="00D147A7">
          <w:rPr>
            <w:rFonts w:eastAsiaTheme="minorEastAsia"/>
            <w:color w:val="0000FF"/>
            <w:kern w:val="0"/>
            <w:u w:val="single"/>
            <w:lang w:eastAsia="en-US" w:bidi="ar-SA"/>
          </w:rPr>
          <w:t>arno.uvt.nl/show.cgi?fid=113608</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MOENS, J.J.F., Ruimte voor wetenschappelijk gezondheidsonderzoek in kaart gebracht, </w:t>
      </w:r>
      <w:r w:rsidRPr="00D147A7">
        <w:rPr>
          <w:rFonts w:eastAsiaTheme="minorEastAsia"/>
          <w:i/>
          <w:kern w:val="0"/>
          <w:lang w:eastAsia="en-US" w:bidi="ar-SA"/>
        </w:rPr>
        <w:t>M.C.</w:t>
      </w:r>
      <w:r w:rsidRPr="00D147A7">
        <w:rPr>
          <w:rFonts w:eastAsiaTheme="minorEastAsia"/>
          <w:kern w:val="0"/>
          <w:lang w:eastAsia="en-US" w:bidi="ar-SA"/>
        </w:rPr>
        <w:t>, 47/17 (1992), p. 519-521.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NABBEN, P.F.P.; VAN DE LUYTGAARDEN, H.J.L.M.; </w:t>
      </w:r>
      <w:r w:rsidRPr="00D147A7">
        <w:rPr>
          <w:rFonts w:eastAsiaTheme="minorEastAsia"/>
          <w:i/>
          <w:kern w:val="0"/>
          <w:lang w:eastAsia="en-US" w:bidi="ar-SA"/>
        </w:rPr>
        <w:t>De ultieme vrijheid. Een rechts</w:t>
      </w:r>
      <w:r w:rsidR="00865F01">
        <w:rPr>
          <w:rFonts w:eastAsiaTheme="minorEastAsia"/>
          <w:i/>
          <w:kern w:val="0"/>
          <w:lang w:eastAsia="en-US" w:bidi="ar-SA"/>
        </w:rPr>
        <w:t>-</w:t>
      </w:r>
      <w:r w:rsidRPr="00D147A7">
        <w:rPr>
          <w:rFonts w:eastAsiaTheme="minorEastAsia"/>
          <w:i/>
          <w:kern w:val="0"/>
          <w:lang w:eastAsia="en-US" w:bidi="ar-SA"/>
        </w:rPr>
        <w:t>theoretische analyse van het recht op privacy</w:t>
      </w:r>
      <w:r w:rsidRPr="00D147A7">
        <w:rPr>
          <w:rFonts w:eastAsiaTheme="minorEastAsia"/>
          <w:kern w:val="0"/>
          <w:lang w:eastAsia="en-US" w:bidi="ar-SA"/>
        </w:rPr>
        <w:t>, Utrecht, Kluwer, 1996, 134p.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NAUTA, T., ‘De inroepbaarheid van het Handvest voor de Europese en nationale rechter’, </w:t>
      </w:r>
      <w:r w:rsidRPr="00D147A7">
        <w:rPr>
          <w:rFonts w:eastAsiaTheme="minorEastAsia"/>
          <w:i/>
          <w:kern w:val="0"/>
          <w:lang w:eastAsia="en-US" w:bidi="ar-SA"/>
        </w:rPr>
        <w:t>N.T.E.R.</w:t>
      </w:r>
      <w:r w:rsidRPr="00D147A7">
        <w:rPr>
          <w:rFonts w:eastAsiaTheme="minorEastAsia"/>
          <w:kern w:val="0"/>
          <w:lang w:eastAsia="en-US" w:bidi="ar-SA"/>
        </w:rPr>
        <w:t xml:space="preserve">, 2012, 1, p. 19-25.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NOORDAM, C., ‘Privacybescherming als hinderpaal’, </w:t>
      </w:r>
      <w:r w:rsidRPr="00D147A7">
        <w:rPr>
          <w:rFonts w:eastAsiaTheme="minorEastAsia"/>
          <w:i/>
          <w:kern w:val="0"/>
          <w:lang w:eastAsia="en-US" w:bidi="ar-SA"/>
        </w:rPr>
        <w:t>Archievenblad</w:t>
      </w:r>
      <w:r w:rsidRPr="00D147A7">
        <w:rPr>
          <w:rFonts w:eastAsiaTheme="minorEastAsia"/>
          <w:kern w:val="0"/>
          <w:lang w:eastAsia="en-US" w:bidi="ar-SA"/>
        </w:rPr>
        <w:t>, 101/4 (1997), p. 8-11.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NORTIER, C.A., </w:t>
      </w:r>
      <w:r w:rsidRPr="00D147A7">
        <w:rPr>
          <w:rFonts w:eastAsiaTheme="minorEastAsia"/>
          <w:i/>
          <w:kern w:val="0"/>
          <w:lang w:eastAsia="en-US" w:bidi="ar-SA"/>
        </w:rPr>
        <w:t>Het medisch beroepsgeheim. Een leidraad door de doolhof</w:t>
      </w:r>
      <w:r w:rsidRPr="00D147A7">
        <w:rPr>
          <w:rFonts w:eastAsiaTheme="minorEastAsia"/>
          <w:kern w:val="0"/>
          <w:lang w:eastAsia="en-US" w:bidi="ar-SA"/>
        </w:rPr>
        <w:t>, onuitgeg. mees</w:t>
      </w:r>
      <w:r w:rsidR="00865F01">
        <w:rPr>
          <w:rFonts w:eastAsiaTheme="minorEastAsia"/>
          <w:kern w:val="0"/>
          <w:lang w:eastAsia="en-US" w:bidi="ar-SA"/>
        </w:rPr>
        <w:t>-</w:t>
      </w:r>
      <w:r w:rsidRPr="00D147A7">
        <w:rPr>
          <w:rFonts w:eastAsiaTheme="minorEastAsia"/>
          <w:kern w:val="0"/>
          <w:lang w:eastAsia="en-US" w:bidi="ar-SA"/>
        </w:rPr>
        <w:t>terproef, faculteit Rechtsgeleerdheid, Universiteit van Amsterdam, promotores prof. dr. M. Boerlage en prof. dr. E.P.R. Sutorius, 2006, 85p. (</w:t>
      </w:r>
      <w:hyperlink r:id="rId412" w:history="1">
        <w:r w:rsidR="00865F01" w:rsidRPr="00ED5FE6">
          <w:rPr>
            <w:rStyle w:val="Hyperlink"/>
            <w:rFonts w:eastAsiaTheme="minorEastAsia"/>
            <w:kern w:val="0"/>
            <w:lang w:eastAsia="en-US" w:bidi="ar-SA"/>
          </w:rPr>
          <w:t>https://vubis.politieacademie.nl/pdf/43128. 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NOUWT, S., ‘De staat van de privacy-bescherming van patiënten en cliënten in de zorg</w:t>
      </w:r>
      <w:r w:rsidR="00865F01">
        <w:rPr>
          <w:rFonts w:eastAsiaTheme="minorEastAsia"/>
          <w:kern w:val="0"/>
          <w:lang w:eastAsia="en-US" w:bidi="ar-SA"/>
        </w:rPr>
        <w:t>-</w:t>
      </w:r>
      <w:r w:rsidRPr="00D147A7">
        <w:rPr>
          <w:rFonts w:eastAsiaTheme="minorEastAsia"/>
          <w:kern w:val="0"/>
          <w:lang w:eastAsia="en-US" w:bidi="ar-SA"/>
        </w:rPr>
        <w:t xml:space="preserve">sector’, </w:t>
      </w:r>
      <w:r w:rsidRPr="00D147A7">
        <w:rPr>
          <w:rFonts w:eastAsiaTheme="minorEastAsia"/>
          <w:i/>
          <w:kern w:val="0"/>
          <w:lang w:eastAsia="en-US" w:bidi="ar-SA"/>
        </w:rPr>
        <w:t>P&amp;I</w:t>
      </w:r>
      <w:r w:rsidRPr="00D147A7">
        <w:rPr>
          <w:rFonts w:eastAsiaTheme="minorEastAsia"/>
          <w:kern w:val="0"/>
          <w:lang w:eastAsia="en-US" w:bidi="ar-SA"/>
        </w:rPr>
        <w:t>, 2004, 6, p. 263-270.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NOUWT, S., ‘Privacy en medische informatie’, PRINS, J.E.J.; BERKVENS, J.M.A. (reds.); </w:t>
      </w:r>
      <w:r w:rsidRPr="00D147A7">
        <w:rPr>
          <w:rFonts w:eastAsiaTheme="minorEastAsia"/>
          <w:i/>
          <w:kern w:val="0"/>
          <w:lang w:eastAsia="en-US" w:bidi="ar-SA"/>
        </w:rPr>
        <w:t>Privacyregulering in theorie en praktijk</w:t>
      </w:r>
      <w:r w:rsidRPr="00D147A7">
        <w:rPr>
          <w:rFonts w:eastAsiaTheme="minorEastAsia"/>
          <w:kern w:val="0"/>
          <w:lang w:eastAsia="en-US" w:bidi="ar-SA"/>
        </w:rPr>
        <w:t>, Deventer, Kluwer, 2007</w:t>
      </w:r>
      <w:r w:rsidRPr="00D147A7">
        <w:rPr>
          <w:rFonts w:eastAsiaTheme="minorEastAsia"/>
          <w:kern w:val="0"/>
          <w:vertAlign w:val="superscript"/>
          <w:lang w:eastAsia="en-US" w:bidi="ar-SA"/>
        </w:rPr>
        <w:t>4</w:t>
      </w:r>
      <w:r w:rsidRPr="00D147A7">
        <w:rPr>
          <w:rFonts w:eastAsiaTheme="minorEastAsia"/>
          <w:kern w:val="0"/>
          <w:lang w:eastAsia="en-US" w:bidi="ar-SA"/>
        </w:rPr>
        <w:t>, p. 161-184.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NOUWT, S., </w:t>
      </w:r>
      <w:r w:rsidRPr="00D147A7">
        <w:rPr>
          <w:rFonts w:eastAsiaTheme="minorEastAsia"/>
          <w:i/>
          <w:kern w:val="0"/>
          <w:lang w:eastAsia="en-US" w:bidi="ar-SA"/>
        </w:rPr>
        <w:t>Zorg voor privacy. Informatietechnologie en informationele privacy in de ge</w:t>
      </w:r>
      <w:r w:rsidR="00865F01">
        <w:rPr>
          <w:rFonts w:eastAsiaTheme="minorEastAsia"/>
          <w:i/>
          <w:kern w:val="0"/>
          <w:lang w:eastAsia="en-US" w:bidi="ar-SA"/>
        </w:rPr>
        <w:t>-</w:t>
      </w:r>
      <w:r w:rsidRPr="00D147A7">
        <w:rPr>
          <w:rFonts w:eastAsiaTheme="minorEastAsia"/>
          <w:i/>
          <w:kern w:val="0"/>
          <w:lang w:eastAsia="en-US" w:bidi="ar-SA"/>
        </w:rPr>
        <w:t>zondheidszorg</w:t>
      </w:r>
      <w:r w:rsidRPr="00D147A7">
        <w:rPr>
          <w:rFonts w:eastAsiaTheme="minorEastAsia"/>
          <w:kern w:val="0"/>
          <w:lang w:eastAsia="en-US" w:bidi="ar-SA"/>
        </w:rPr>
        <w:t>, Den Haag, Sdu, 1997, 435p.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OVERKLEEFT-VERBURG, G., ‘Eenheid en verscheidenheid van recht in de informatie</w:t>
      </w:r>
      <w:r w:rsidR="00865F01">
        <w:rPr>
          <w:rFonts w:eastAsiaTheme="minorEastAsia"/>
          <w:kern w:val="0"/>
          <w:lang w:eastAsia="en-US" w:bidi="ar-SA"/>
        </w:rPr>
        <w:t>-</w:t>
      </w:r>
      <w:r w:rsidRPr="00D147A7">
        <w:rPr>
          <w:rFonts w:eastAsiaTheme="minorEastAsia"/>
          <w:kern w:val="0"/>
          <w:lang w:eastAsia="en-US" w:bidi="ar-SA"/>
        </w:rPr>
        <w:t>maatschappij. De Europese dimensie van het (grond)recht op privacy en gegevensbescher</w:t>
      </w:r>
      <w:r w:rsidR="00865F01">
        <w:rPr>
          <w:rFonts w:eastAsiaTheme="minorEastAsia"/>
          <w:kern w:val="0"/>
          <w:lang w:eastAsia="en-US" w:bidi="ar-SA"/>
        </w:rPr>
        <w:t>-</w:t>
      </w:r>
      <w:r w:rsidRPr="00D147A7">
        <w:rPr>
          <w:rFonts w:eastAsiaTheme="minorEastAsia"/>
          <w:kern w:val="0"/>
          <w:lang w:eastAsia="en-US" w:bidi="ar-SA"/>
        </w:rPr>
        <w:t xml:space="preserve">ming’, GAAKEER, A.M.P.; LOTH, M.A. (reds.); </w:t>
      </w:r>
      <w:r w:rsidRPr="00D147A7">
        <w:rPr>
          <w:rFonts w:eastAsiaTheme="minorEastAsia"/>
          <w:i/>
          <w:kern w:val="0"/>
          <w:lang w:eastAsia="en-US" w:bidi="ar-SA"/>
        </w:rPr>
        <w:t>Eenheid en verscheidenheid in recht en rechtswetenschap</w:t>
      </w:r>
      <w:r w:rsidRPr="00D147A7">
        <w:rPr>
          <w:rFonts w:eastAsiaTheme="minorEastAsia"/>
          <w:kern w:val="0"/>
          <w:lang w:eastAsia="en-US" w:bidi="ar-SA"/>
        </w:rPr>
        <w:t>, Rotterdam, 2002, p. 139-169.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OVERKLEEFT-VERBURG, G., </w:t>
      </w:r>
      <w:r w:rsidRPr="00D147A7">
        <w:rPr>
          <w:rFonts w:eastAsiaTheme="minorEastAsia"/>
          <w:i/>
          <w:kern w:val="0"/>
          <w:lang w:eastAsia="en-US" w:bidi="ar-SA"/>
        </w:rPr>
        <w:t>De Wet persoonsregistraties: norm, toepassing en evaluatie</w:t>
      </w:r>
      <w:r w:rsidRPr="00D147A7">
        <w:rPr>
          <w:rFonts w:eastAsiaTheme="minorEastAsia"/>
          <w:kern w:val="0"/>
          <w:lang w:eastAsia="en-US" w:bidi="ar-SA"/>
        </w:rPr>
        <w:t>, doctoraatsverhandeling, Faculteit Rechtsgeleerdheid, Katholieke Universiteit Brabant, promo</w:t>
      </w:r>
      <w:r w:rsidR="00865F01">
        <w:rPr>
          <w:rFonts w:eastAsiaTheme="minorEastAsia"/>
          <w:kern w:val="0"/>
          <w:lang w:eastAsia="en-US" w:bidi="ar-SA"/>
        </w:rPr>
        <w:t>-</w:t>
      </w:r>
      <w:r w:rsidRPr="00D147A7">
        <w:rPr>
          <w:rFonts w:eastAsiaTheme="minorEastAsia"/>
          <w:kern w:val="0"/>
          <w:lang w:eastAsia="en-US" w:bidi="ar-SA"/>
        </w:rPr>
        <w:t>tor prof. dr. E.M.H. Hirsch Ballin, Tilburg, 1995, 595p. (</w:t>
      </w:r>
      <w:hyperlink r:id="rId413" w:history="1">
        <w:r w:rsidR="002720ED" w:rsidRPr="00D147A7">
          <w:rPr>
            <w:rStyle w:val="Hyperlink"/>
            <w:rFonts w:eastAsiaTheme="minorEastAsia"/>
            <w:kern w:val="0"/>
            <w:lang w:eastAsia="en-US" w:bidi="ar-SA"/>
          </w:rPr>
          <w:t>http://www.overkleeft-verburg.nl</w:t>
        </w:r>
      </w:hyperlink>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PAHLADSINGH, A.; VAN ROOSMALEN, H.; ‘Het Handvest van de Grondrechten van de Europese Unie één jaar juridisch bindend: rechtspraak in kaart’, </w:t>
      </w:r>
      <w:r w:rsidRPr="00D147A7">
        <w:rPr>
          <w:rFonts w:eastAsiaTheme="minorEastAsia"/>
          <w:i/>
          <w:kern w:val="0"/>
          <w:lang w:eastAsia="en-US" w:bidi="ar-SA"/>
        </w:rPr>
        <w:t>N.T.E.R.</w:t>
      </w:r>
      <w:r w:rsidRPr="00D147A7">
        <w:rPr>
          <w:rFonts w:eastAsiaTheme="minorEastAsia"/>
          <w:kern w:val="0"/>
          <w:lang w:eastAsia="en-US" w:bidi="ar-SA"/>
        </w:rPr>
        <w:t>, 2011, 2, p. 54-61.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PAHLADSINGH, A.; VAN ROOSMALEN, H.; ‘Het Handvest van de grondrechten van de Europese Unie twee jaar juridisch bindend: rechtspraak in beweging?’, </w:t>
      </w:r>
      <w:r w:rsidRPr="00D147A7">
        <w:rPr>
          <w:rFonts w:eastAsiaTheme="minorEastAsia"/>
          <w:i/>
          <w:kern w:val="0"/>
          <w:lang w:eastAsia="en-US" w:bidi="ar-SA"/>
        </w:rPr>
        <w:t>N.T.E.R.</w:t>
      </w:r>
      <w:r w:rsidRPr="00D147A7">
        <w:rPr>
          <w:rFonts w:eastAsiaTheme="minorEastAsia"/>
          <w:kern w:val="0"/>
          <w:lang w:eastAsia="en-US" w:bidi="ar-SA"/>
        </w:rPr>
        <w:t>, 2012, 2, p. 56-65.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PLOEM, M., ‘Medisch-wetenschappelijk onderzoek met gecodeerde gegevens. De toepasse</w:t>
      </w:r>
      <w:r w:rsidR="00865F01">
        <w:rPr>
          <w:rFonts w:eastAsiaTheme="minorEastAsia"/>
          <w:kern w:val="0"/>
          <w:lang w:eastAsia="en-US" w:bidi="ar-SA"/>
        </w:rPr>
        <w:t>-</w:t>
      </w:r>
      <w:r w:rsidRPr="00D147A7">
        <w:rPr>
          <w:rFonts w:eastAsiaTheme="minorEastAsia"/>
          <w:kern w:val="0"/>
          <w:lang w:eastAsia="en-US" w:bidi="ar-SA"/>
        </w:rPr>
        <w:t xml:space="preserve">lijkheid van privacywetgeving’, </w:t>
      </w:r>
      <w:r w:rsidRPr="00D147A7">
        <w:rPr>
          <w:rFonts w:eastAsiaTheme="minorEastAsia"/>
          <w:i/>
          <w:kern w:val="0"/>
          <w:lang w:eastAsia="en-US" w:bidi="ar-SA"/>
        </w:rPr>
        <w:t>Computerr.</w:t>
      </w:r>
      <w:r w:rsidRPr="00D147A7">
        <w:rPr>
          <w:rFonts w:eastAsiaTheme="minorEastAsia"/>
          <w:kern w:val="0"/>
          <w:lang w:eastAsia="en-US" w:bidi="ar-SA"/>
        </w:rPr>
        <w:t>, 2000, 2, p. 69-75.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PLOEM, M.C., ‘De regeling inzake het gebruik van patiëntengegevens voor wetenschappelijk onderzoek in de WGBO. Tijd voor herziening?’, </w:t>
      </w:r>
      <w:r w:rsidRPr="00D147A7">
        <w:rPr>
          <w:rFonts w:eastAsiaTheme="minorEastAsia"/>
          <w:i/>
          <w:kern w:val="0"/>
          <w:lang w:eastAsia="en-US" w:bidi="ar-SA"/>
        </w:rPr>
        <w:t>T.G.</w:t>
      </w:r>
      <w:r w:rsidRPr="00D147A7">
        <w:rPr>
          <w:rFonts w:eastAsiaTheme="minorEastAsia"/>
          <w:kern w:val="0"/>
          <w:lang w:eastAsia="en-US" w:bidi="ar-SA"/>
        </w:rPr>
        <w:t>, 30/6 (2006), p. 401-413.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PLOEM, M.C., ‘Informationele privacy in de gezondheidszorg: algemene privacywetgeving overbodig?’, </w:t>
      </w:r>
      <w:r w:rsidRPr="00D147A7">
        <w:rPr>
          <w:rFonts w:eastAsiaTheme="minorEastAsia"/>
          <w:i/>
          <w:kern w:val="0"/>
          <w:lang w:eastAsia="en-US" w:bidi="ar-SA"/>
        </w:rPr>
        <w:t>P&amp;I</w:t>
      </w:r>
      <w:r w:rsidRPr="00D147A7">
        <w:rPr>
          <w:rFonts w:eastAsiaTheme="minorEastAsia"/>
          <w:kern w:val="0"/>
          <w:lang w:eastAsia="en-US" w:bidi="ar-SA"/>
        </w:rPr>
        <w:t>, 2/2 (1999), p. 52-59.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PLOEM, M.C., </w:t>
      </w:r>
      <w:r w:rsidRPr="00D147A7">
        <w:rPr>
          <w:rFonts w:eastAsiaTheme="minorEastAsia"/>
          <w:i/>
          <w:kern w:val="0"/>
          <w:lang w:eastAsia="en-US" w:bidi="ar-SA"/>
        </w:rPr>
        <w:t>Tussen privacy en wetenschapsvrijheid. Regulering van gegevensverwerking voor medisch-wetenschappelijk onderzoek</w:t>
      </w:r>
      <w:r w:rsidRPr="00D147A7">
        <w:rPr>
          <w:rFonts w:eastAsiaTheme="minorEastAsia"/>
          <w:kern w:val="0"/>
          <w:lang w:eastAsia="en-US" w:bidi="ar-SA"/>
        </w:rPr>
        <w:t>, Gezondheidsrecht, 24, Den Haag, Sdu Uitgevers, 2004, 312p.</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POULLET, Y., ‘Privacy Protection and Transborder Data Flow; Recent Legal Issues’, VAN</w:t>
      </w:r>
      <w:r w:rsidR="00865F01">
        <w:rPr>
          <w:rFonts w:eastAsiaTheme="minorEastAsia"/>
          <w:kern w:val="0"/>
          <w:lang w:val="en-US" w:eastAsia="en-US" w:bidi="ar-SA"/>
        </w:rPr>
        <w:t>-</w:t>
      </w:r>
      <w:r w:rsidRPr="00D147A7">
        <w:rPr>
          <w:rFonts w:eastAsiaTheme="minorEastAsia"/>
          <w:kern w:val="0"/>
          <w:lang w:val="en-US" w:eastAsia="en-US" w:bidi="ar-SA"/>
        </w:rPr>
        <w:t xml:space="preserve">DENBERGHE, G., </w:t>
      </w:r>
      <w:r w:rsidRPr="00D147A7">
        <w:rPr>
          <w:rFonts w:eastAsiaTheme="minorEastAsia"/>
          <w:i/>
          <w:kern w:val="0"/>
          <w:lang w:val="en-US" w:eastAsia="en-US" w:bidi="ar-SA"/>
        </w:rPr>
        <w:t>Advanced Topics of Law and Information Technology</w:t>
      </w:r>
      <w:r w:rsidRPr="00D147A7">
        <w:rPr>
          <w:rFonts w:eastAsiaTheme="minorEastAsia"/>
          <w:kern w:val="0"/>
          <w:lang w:val="en-US" w:eastAsia="en-US" w:bidi="ar-SA"/>
        </w:rPr>
        <w:t>, Computer Law Se</w:t>
      </w:r>
      <w:r w:rsidR="00865F01">
        <w:rPr>
          <w:rFonts w:eastAsiaTheme="minorEastAsia"/>
          <w:kern w:val="0"/>
          <w:lang w:val="en-US" w:eastAsia="en-US" w:bidi="ar-SA"/>
        </w:rPr>
        <w:t>-</w:t>
      </w:r>
      <w:r w:rsidRPr="00D147A7">
        <w:rPr>
          <w:rFonts w:eastAsiaTheme="minorEastAsia"/>
          <w:kern w:val="0"/>
          <w:lang w:val="en-US" w:eastAsia="en-US" w:bidi="ar-SA"/>
        </w:rPr>
        <w:t>ries, 3, Deventer, Kluwer, 1989, p. 29-41.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ROSCAM ABBING, H.D.C., ‘Elektronisch patiëntendossier, beroepsgeheim en privacybe</w:t>
      </w:r>
      <w:r w:rsidR="00865F01">
        <w:rPr>
          <w:rFonts w:eastAsiaTheme="minorEastAsia"/>
          <w:kern w:val="0"/>
          <w:lang w:eastAsia="en-US" w:bidi="ar-SA"/>
        </w:rPr>
        <w:t>-</w:t>
      </w:r>
      <w:r w:rsidRPr="00D147A7">
        <w:rPr>
          <w:rFonts w:eastAsiaTheme="minorEastAsia"/>
          <w:kern w:val="0"/>
          <w:lang w:eastAsia="en-US" w:bidi="ar-SA"/>
        </w:rPr>
        <w:t xml:space="preserve">scherming’, </w:t>
      </w:r>
      <w:r w:rsidRPr="00D147A7">
        <w:rPr>
          <w:rFonts w:eastAsiaTheme="minorEastAsia"/>
          <w:i/>
          <w:kern w:val="0"/>
          <w:lang w:eastAsia="en-US" w:bidi="ar-SA"/>
        </w:rPr>
        <w:t>N.T.G.</w:t>
      </w:r>
      <w:r w:rsidRPr="00D147A7">
        <w:rPr>
          <w:rFonts w:eastAsiaTheme="minorEastAsia"/>
          <w:kern w:val="0"/>
          <w:lang w:eastAsia="en-US" w:bidi="ar-SA"/>
        </w:rPr>
        <w:t xml:space="preserve">, 144/7 (2000), p. 334-337.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ROSCAM ABBING, H.D.C., ‘Informatie en toestemming in de gezondheidszorg: recente ontwikkelingen’, </w:t>
      </w:r>
      <w:r w:rsidRPr="00D147A7">
        <w:rPr>
          <w:rFonts w:eastAsiaTheme="minorEastAsia"/>
          <w:i/>
          <w:kern w:val="0"/>
          <w:lang w:eastAsia="en-US" w:bidi="ar-SA"/>
        </w:rPr>
        <w:t>N.T.G.</w:t>
      </w:r>
      <w:r w:rsidRPr="00D147A7">
        <w:rPr>
          <w:rFonts w:eastAsiaTheme="minorEastAsia"/>
          <w:kern w:val="0"/>
          <w:lang w:eastAsia="en-US" w:bidi="ar-SA"/>
        </w:rPr>
        <w:t>, 138 (1994), p. 2561-2564.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ROSCAM ABBING, H.D.C., ‘Zelfbeschikkingsrecht en recht op integriteit van het menselijk lichaam’, </w:t>
      </w:r>
      <w:r w:rsidRPr="00D147A7">
        <w:rPr>
          <w:rFonts w:eastAsiaTheme="minorEastAsia"/>
          <w:i/>
          <w:kern w:val="0"/>
          <w:lang w:eastAsia="en-US" w:bidi="ar-SA"/>
        </w:rPr>
        <w:t>A.Hosp.</w:t>
      </w:r>
      <w:r w:rsidRPr="00D147A7">
        <w:rPr>
          <w:rFonts w:eastAsiaTheme="minorEastAsia"/>
          <w:kern w:val="0"/>
          <w:lang w:eastAsia="en-US" w:bidi="ar-SA"/>
        </w:rPr>
        <w:t>, 1983, 2, p. 5-13.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SCHREUDERS, E., </w:t>
      </w:r>
      <w:r w:rsidRPr="00D147A7">
        <w:rPr>
          <w:rFonts w:eastAsiaTheme="minorEastAsia"/>
          <w:i/>
          <w:kern w:val="0"/>
          <w:lang w:eastAsia="en-US" w:bidi="ar-SA"/>
        </w:rPr>
        <w:t>Data mining, de toetsing van beslisregels &amp; privacy</w:t>
      </w:r>
      <w:r w:rsidRPr="00D147A7">
        <w:rPr>
          <w:rFonts w:eastAsiaTheme="minorEastAsia"/>
          <w:kern w:val="0"/>
          <w:lang w:eastAsia="en-US" w:bidi="ar-SA"/>
        </w:rPr>
        <w:t>, ITeR, 48, Tilburg, 2001, 175p. (</w:t>
      </w:r>
      <w:hyperlink r:id="rId414" w:history="1">
        <w:r w:rsidRPr="00D147A7">
          <w:rPr>
            <w:rFonts w:eastAsiaTheme="minorEastAsia"/>
            <w:color w:val="0000FF"/>
            <w:kern w:val="0"/>
            <w:u w:val="single"/>
            <w:lang w:eastAsia="en-US" w:bidi="ar-SA"/>
          </w:rPr>
          <w:t>http://www.ejure.nl/</w:t>
        </w:r>
      </w:hyperlink>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SCHRODER, P., ‘Het rijk alleen. Bescherming van persoonsgegevens, de relatie tussen infor</w:t>
      </w:r>
      <w:r w:rsidR="00865F01">
        <w:rPr>
          <w:rFonts w:eastAsiaTheme="minorEastAsia"/>
          <w:kern w:val="0"/>
          <w:lang w:eastAsia="en-US" w:bidi="ar-SA"/>
        </w:rPr>
        <w:t>-</w:t>
      </w:r>
      <w:r w:rsidRPr="00D147A7">
        <w:rPr>
          <w:rFonts w:eastAsiaTheme="minorEastAsia"/>
          <w:kern w:val="0"/>
          <w:lang w:eastAsia="en-US" w:bidi="ar-SA"/>
        </w:rPr>
        <w:t xml:space="preserve">mationele en maatschappelijk bewegingsvrijheid’, </w:t>
      </w:r>
      <w:r w:rsidRPr="00D147A7">
        <w:rPr>
          <w:rFonts w:eastAsiaTheme="minorEastAsia"/>
          <w:i/>
          <w:kern w:val="0"/>
          <w:lang w:eastAsia="en-US" w:bidi="ar-SA"/>
        </w:rPr>
        <w:t>Privacy geregistreerd. Visies op de maat</w:t>
      </w:r>
      <w:r w:rsidR="00865F01">
        <w:rPr>
          <w:rFonts w:eastAsiaTheme="minorEastAsia"/>
          <w:i/>
          <w:kern w:val="0"/>
          <w:lang w:eastAsia="en-US" w:bidi="ar-SA"/>
        </w:rPr>
        <w:t>-</w:t>
      </w:r>
      <w:r w:rsidRPr="00D147A7">
        <w:rPr>
          <w:rFonts w:eastAsiaTheme="minorEastAsia"/>
          <w:i/>
          <w:kern w:val="0"/>
          <w:lang w:eastAsia="en-US" w:bidi="ar-SA"/>
        </w:rPr>
        <w:t>schappelijke betekenis van privacy</w:t>
      </w:r>
      <w:r w:rsidRPr="00D147A7">
        <w:rPr>
          <w:rFonts w:eastAsiaTheme="minorEastAsia"/>
          <w:kern w:val="0"/>
          <w:lang w:eastAsia="en-US" w:bidi="ar-SA"/>
        </w:rPr>
        <w:t>, Werkdocument Rathenau Instituut, 63, Amsterdam, Otto Cramwinckerl, 1998, p. 247-279.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STEENKAMP, R., </w:t>
      </w:r>
      <w:r w:rsidRPr="00D147A7">
        <w:rPr>
          <w:rFonts w:eastAsiaTheme="minorEastAsia"/>
          <w:i/>
          <w:kern w:val="0"/>
          <w:lang w:eastAsia="en-US" w:bidi="ar-SA"/>
        </w:rPr>
        <w:t>Privacy en technologie</w:t>
      </w:r>
      <w:r w:rsidRPr="00D147A7">
        <w:rPr>
          <w:rFonts w:eastAsiaTheme="minorEastAsia"/>
          <w:kern w:val="0"/>
          <w:lang w:eastAsia="en-US" w:bidi="ar-SA"/>
        </w:rPr>
        <w:t xml:space="preserve"> (</w:t>
      </w:r>
      <w:hyperlink r:id="rId415" w:history="1">
        <w:r w:rsidR="00865F01" w:rsidRPr="00ED5FE6">
          <w:rPr>
            <w:rStyle w:val="Hyperlink"/>
            <w:rFonts w:eastAsiaTheme="minorEastAsia"/>
            <w:kern w:val="0"/>
            <w:lang w:eastAsia="en-US" w:bidi="ar-SA"/>
          </w:rPr>
          <w:t>http://www.steenkamp-ict.com/wbp/hfdst00 richtlijn.html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STRUIJS, J.N.; BAAN, C.A.; HUTTEN, J.B.F.; WESTERT, G.P.; ‘De mogelijkheden van geanonimiseerde huisarts- en ziekenhuisgegevens: een vooronderzoek’, </w:t>
      </w:r>
      <w:r w:rsidRPr="00D147A7">
        <w:rPr>
          <w:rFonts w:eastAsiaTheme="minorEastAsia"/>
          <w:i/>
          <w:kern w:val="0"/>
          <w:lang w:eastAsia="en-US" w:bidi="ar-SA"/>
        </w:rPr>
        <w:t>T.S.G.</w:t>
      </w:r>
      <w:r w:rsidRPr="00D147A7">
        <w:rPr>
          <w:rFonts w:eastAsiaTheme="minorEastAsia"/>
          <w:kern w:val="0"/>
          <w:lang w:eastAsia="en-US" w:bidi="ar-SA"/>
        </w:rPr>
        <w:t>, 81/5 (2003), p. 281-289.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STUIVE-HUISMAN, L.M.L., </w:t>
      </w:r>
      <w:r w:rsidRPr="00D147A7">
        <w:rPr>
          <w:rFonts w:eastAsiaTheme="minorEastAsia"/>
          <w:i/>
          <w:kern w:val="0"/>
          <w:lang w:eastAsia="en-US" w:bidi="ar-SA"/>
        </w:rPr>
        <w:t>Het medisch beroepsgeheim in relatie tot de opsporing van strafbare feiten</w:t>
      </w:r>
      <w:r w:rsidRPr="00D147A7">
        <w:rPr>
          <w:rFonts w:eastAsiaTheme="minorEastAsia"/>
          <w:kern w:val="0"/>
          <w:lang w:eastAsia="en-US" w:bidi="ar-SA"/>
        </w:rPr>
        <w:t>, Amsterdam, 2010, 53p. (</w:t>
      </w:r>
      <w:hyperlink r:id="rId416" w:history="1">
        <w:r w:rsidRPr="00D147A7">
          <w:rPr>
            <w:rFonts w:eastAsiaTheme="minorEastAsia"/>
            <w:color w:val="0000FF"/>
            <w:kern w:val="0"/>
            <w:u w:val="single"/>
            <w:lang w:eastAsia="en-US" w:bidi="ar-SA"/>
          </w:rPr>
          <w:t>https://vubis.politieacademie.nl/pdf/79619.pdf</w:t>
        </w:r>
      </w:hyperlink>
      <w:r w:rsidRPr="00D147A7">
        <w:rPr>
          <w:rFonts w:eastAsiaTheme="minorEastAsia"/>
          <w:kern w:val="0"/>
          <w:lang w:eastAsia="en-US" w:bidi="ar-SA"/>
        </w:rPr>
        <w:t xml:space="preserve">, laatst geraadpleegd op 23 juli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TEN HAVE,  H.A.M.J.; TER MEULEN, R.H.J.; VAN LEEUWEN, H.A.M.J.; </w:t>
      </w:r>
      <w:r w:rsidRPr="00D147A7">
        <w:rPr>
          <w:rFonts w:eastAsiaTheme="minorEastAsia"/>
          <w:i/>
          <w:kern w:val="0"/>
          <w:lang w:eastAsia="en-US" w:bidi="ar-SA"/>
        </w:rPr>
        <w:t>Medische ethiek</w:t>
      </w:r>
      <w:r w:rsidRPr="00D147A7">
        <w:rPr>
          <w:rFonts w:eastAsiaTheme="minorEastAsia"/>
          <w:kern w:val="0"/>
          <w:lang w:eastAsia="en-US" w:bidi="ar-SA"/>
        </w:rPr>
        <w:t>, Houten, Bohn Stafleu van Loghum, 2009³, 326p.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THOLE, E.; VAN DER JAGT, F.; ROERDINK, H.; </w:t>
      </w:r>
      <w:r w:rsidRPr="00D147A7">
        <w:rPr>
          <w:rFonts w:eastAsiaTheme="minorEastAsia"/>
          <w:i/>
          <w:kern w:val="0"/>
          <w:lang w:eastAsia="en-US" w:bidi="ar-SA"/>
        </w:rPr>
        <w:t>50 vragen over privacy</w:t>
      </w:r>
      <w:r w:rsidRPr="00D147A7">
        <w:rPr>
          <w:rFonts w:eastAsiaTheme="minorEastAsia"/>
          <w:kern w:val="0"/>
          <w:lang w:eastAsia="en-US" w:bidi="ar-SA"/>
        </w:rPr>
        <w:t>, Deventer, Klu</w:t>
      </w:r>
      <w:r w:rsidR="00865F01">
        <w:rPr>
          <w:rFonts w:eastAsiaTheme="minorEastAsia"/>
          <w:kern w:val="0"/>
          <w:lang w:eastAsia="en-US" w:bidi="ar-SA"/>
        </w:rPr>
        <w:t>-</w:t>
      </w:r>
      <w:r w:rsidRPr="00D147A7">
        <w:rPr>
          <w:rFonts w:eastAsiaTheme="minorEastAsia"/>
          <w:kern w:val="0"/>
          <w:lang w:eastAsia="en-US" w:bidi="ar-SA"/>
        </w:rPr>
        <w:t>wer, 2010, 239p.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DEN BERG, M.F.M.; NOUWT, J.; ‘De toestemming voor gegevensverstrekking bij wilsonbekwaamheid in de zorg’, </w:t>
      </w:r>
      <w:r w:rsidRPr="00D147A7">
        <w:rPr>
          <w:rFonts w:eastAsiaTheme="minorEastAsia"/>
          <w:i/>
          <w:kern w:val="0"/>
          <w:lang w:eastAsia="en-US" w:bidi="ar-SA"/>
        </w:rPr>
        <w:t>P&amp;I</w:t>
      </w:r>
      <w:r w:rsidRPr="00D147A7">
        <w:rPr>
          <w:rFonts w:eastAsiaTheme="minorEastAsia"/>
          <w:kern w:val="0"/>
          <w:lang w:eastAsia="en-US" w:bidi="ar-SA"/>
        </w:rPr>
        <w:t>, 2008, 1, p. 27-32.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VANDENDRIESSCHE, G., ‘Over ‘opt-in’, ‘opt-out’ en de verwerker als verantwoordelijke voor de verwerking’, </w:t>
      </w:r>
      <w:r w:rsidRPr="00D147A7">
        <w:rPr>
          <w:rFonts w:eastAsiaTheme="minorEastAsia"/>
          <w:i/>
          <w:kern w:val="0"/>
          <w:lang w:eastAsia="en-US" w:bidi="ar-SA"/>
        </w:rPr>
        <w:t>Jaarboek Handelspraktijken &amp; Mededinging</w:t>
      </w:r>
      <w:r w:rsidRPr="00D147A7">
        <w:rPr>
          <w:rFonts w:eastAsiaTheme="minorEastAsia"/>
          <w:kern w:val="0"/>
          <w:lang w:eastAsia="en-US" w:bidi="ar-SA"/>
        </w:rPr>
        <w:t>, 2004, p. 615-626.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PITLO, A.; VAN DER BURGHT, G.; DOEK, J.E.; </w:t>
      </w:r>
      <w:r w:rsidRPr="00D147A7">
        <w:rPr>
          <w:rFonts w:eastAsiaTheme="minorEastAsia"/>
          <w:i/>
          <w:kern w:val="0"/>
          <w:lang w:eastAsia="en-US" w:bidi="ar-SA"/>
        </w:rPr>
        <w:t>Het Nederlands Burgerlijk Wetboek, I: Personen- en familierecht</w:t>
      </w:r>
      <w:r w:rsidRPr="00D147A7">
        <w:rPr>
          <w:rFonts w:eastAsiaTheme="minorEastAsia"/>
          <w:kern w:val="0"/>
          <w:lang w:eastAsia="en-US" w:bidi="ar-SA"/>
        </w:rPr>
        <w:t>, Deventer, Kluwer, 2002</w:t>
      </w:r>
      <w:r w:rsidRPr="00D147A7">
        <w:rPr>
          <w:rFonts w:eastAsiaTheme="minorEastAsia"/>
          <w:kern w:val="0"/>
          <w:vertAlign w:val="superscript"/>
          <w:lang w:eastAsia="en-US" w:bidi="ar-SA"/>
        </w:rPr>
        <w:t>12</w:t>
      </w:r>
      <w:r w:rsidRPr="00D147A7">
        <w:rPr>
          <w:rFonts w:eastAsiaTheme="minorEastAsia"/>
          <w:kern w:val="0"/>
          <w:lang w:eastAsia="en-US" w:bidi="ar-SA"/>
        </w:rPr>
        <w:t>, 788p.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en-US" w:eastAsia="en-US" w:bidi="ar-SA"/>
        </w:rPr>
        <w:t xml:space="preserve">VANDER LAENEN, F., ‘The end of the affair? </w:t>
      </w:r>
      <w:r w:rsidRPr="00D147A7">
        <w:rPr>
          <w:rFonts w:eastAsiaTheme="minorEastAsia"/>
          <w:kern w:val="0"/>
          <w:lang w:eastAsia="en-US" w:bidi="ar-SA"/>
        </w:rPr>
        <w:t>Het beroepsgeheim in de samenwerking tus</w:t>
      </w:r>
      <w:r w:rsidR="00865F01">
        <w:rPr>
          <w:rFonts w:eastAsiaTheme="minorEastAsia"/>
          <w:kern w:val="0"/>
          <w:lang w:eastAsia="en-US" w:bidi="ar-SA"/>
        </w:rPr>
        <w:t>-</w:t>
      </w:r>
      <w:r w:rsidRPr="00D147A7">
        <w:rPr>
          <w:rFonts w:eastAsiaTheme="minorEastAsia"/>
          <w:kern w:val="0"/>
          <w:lang w:eastAsia="en-US" w:bidi="ar-SA"/>
        </w:rPr>
        <w:t xml:space="preserve">sen justitie en de hulpverlening’, </w:t>
      </w:r>
      <w:r w:rsidRPr="00D147A7">
        <w:rPr>
          <w:rFonts w:eastAsiaTheme="minorEastAsia"/>
          <w:i/>
          <w:kern w:val="0"/>
          <w:lang w:eastAsia="en-US" w:bidi="ar-SA"/>
        </w:rPr>
        <w:t>Panopticon</w:t>
      </w:r>
      <w:r w:rsidRPr="00D147A7">
        <w:rPr>
          <w:rFonts w:eastAsiaTheme="minorEastAsia"/>
          <w:kern w:val="0"/>
          <w:lang w:eastAsia="en-US" w:bidi="ar-SA"/>
        </w:rPr>
        <w:t>, 2011, 4, p. 1-11.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DER LEER, O., ‘Gegevensbescherming in Nederland. Waarborgen voor privacybe</w:t>
      </w:r>
      <w:r w:rsidR="00865F01">
        <w:rPr>
          <w:rFonts w:eastAsiaTheme="minorEastAsia"/>
          <w:kern w:val="0"/>
          <w:lang w:eastAsia="en-US" w:bidi="ar-SA"/>
        </w:rPr>
        <w:t>-</w:t>
      </w:r>
      <w:r w:rsidRPr="00D147A7">
        <w:rPr>
          <w:rFonts w:eastAsiaTheme="minorEastAsia"/>
          <w:kern w:val="0"/>
          <w:lang w:eastAsia="en-US" w:bidi="ar-SA"/>
        </w:rPr>
        <w:t xml:space="preserve">scherming en vertrouwelijkheid van medische gegevens als onderdeel van zelfregulering’, </w:t>
      </w:r>
      <w:r w:rsidRPr="00D147A7">
        <w:rPr>
          <w:rFonts w:eastAsiaTheme="minorEastAsia"/>
          <w:i/>
          <w:kern w:val="0"/>
          <w:lang w:eastAsia="en-US" w:bidi="ar-SA"/>
        </w:rPr>
        <w:t>A.Hosp.</w:t>
      </w:r>
      <w:r w:rsidRPr="00D147A7">
        <w:rPr>
          <w:rFonts w:eastAsiaTheme="minorEastAsia"/>
          <w:kern w:val="0"/>
          <w:lang w:eastAsia="en-US" w:bidi="ar-SA"/>
        </w:rPr>
        <w:t>, 1994, 1, p. 93-101.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DER WEES, J., ‘De verantwoordelijke en de bewerker in de cloud’, </w:t>
      </w:r>
      <w:r w:rsidRPr="00D147A7">
        <w:rPr>
          <w:rFonts w:eastAsiaTheme="minorEastAsia"/>
          <w:i/>
          <w:kern w:val="0"/>
          <w:lang w:eastAsia="en-US" w:bidi="ar-SA"/>
        </w:rPr>
        <w:t>Computerr.</w:t>
      </w:r>
      <w:r w:rsidRPr="00D147A7">
        <w:rPr>
          <w:rFonts w:eastAsiaTheme="minorEastAsia"/>
          <w:kern w:val="0"/>
          <w:lang w:eastAsia="en-US" w:bidi="ar-SA"/>
        </w:rPr>
        <w:t>, 2011, 3, p. 108-114.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EIJK, H.H.; VERSTEGEN, A.J.; </w:t>
      </w:r>
      <w:r w:rsidRPr="00D147A7">
        <w:rPr>
          <w:rFonts w:eastAsiaTheme="minorEastAsia"/>
          <w:i/>
          <w:kern w:val="0"/>
          <w:lang w:eastAsia="en-US" w:bidi="ar-SA"/>
        </w:rPr>
        <w:t>Arts en wet: rechtskundige handleiding voor genees</w:t>
      </w:r>
      <w:r w:rsidR="00865F01">
        <w:rPr>
          <w:rFonts w:eastAsiaTheme="minorEastAsia"/>
          <w:i/>
          <w:kern w:val="0"/>
          <w:lang w:eastAsia="en-US" w:bidi="ar-SA"/>
        </w:rPr>
        <w:t>-</w:t>
      </w:r>
      <w:r w:rsidRPr="00D147A7">
        <w:rPr>
          <w:rFonts w:eastAsiaTheme="minorEastAsia"/>
          <w:i/>
          <w:kern w:val="0"/>
          <w:lang w:eastAsia="en-US" w:bidi="ar-SA"/>
        </w:rPr>
        <w:t>kundigen</w:t>
      </w:r>
      <w:r w:rsidRPr="00D147A7">
        <w:rPr>
          <w:rFonts w:eastAsiaTheme="minorEastAsia"/>
          <w:kern w:val="0"/>
          <w:lang w:eastAsia="en-US" w:bidi="ar-SA"/>
        </w:rPr>
        <w:t>,  Haarlem, Bohn, 1929², 730p.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ES, J.C., ‘Integratie medische gegevens: waterdicht systeem van geanonimiseerde gege</w:t>
      </w:r>
      <w:r w:rsidR="00865F01">
        <w:rPr>
          <w:rFonts w:eastAsiaTheme="minorEastAsia"/>
          <w:kern w:val="0"/>
          <w:lang w:eastAsia="en-US" w:bidi="ar-SA"/>
        </w:rPr>
        <w:t>-</w:t>
      </w:r>
      <w:r w:rsidRPr="00D147A7">
        <w:rPr>
          <w:rFonts w:eastAsiaTheme="minorEastAsia"/>
          <w:kern w:val="0"/>
          <w:lang w:eastAsia="en-US" w:bidi="ar-SA"/>
        </w:rPr>
        <w:t xml:space="preserve">vens. Een eerste voorwaarde’, </w:t>
      </w:r>
      <w:r w:rsidRPr="00D147A7">
        <w:rPr>
          <w:rFonts w:eastAsiaTheme="minorEastAsia"/>
          <w:i/>
          <w:kern w:val="0"/>
          <w:lang w:eastAsia="en-US" w:bidi="ar-SA"/>
        </w:rPr>
        <w:t>M.C.</w:t>
      </w:r>
      <w:r w:rsidRPr="00D147A7">
        <w:rPr>
          <w:rFonts w:eastAsiaTheme="minorEastAsia"/>
          <w:kern w:val="0"/>
          <w:lang w:eastAsia="en-US" w:bidi="ar-SA"/>
        </w:rPr>
        <w:t>, 41/19 (1986), p. 591.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VEEN, E.B., ‘Gecodeerde gegevens bij wetenschappelijk onderzoek: een begripsverhel</w:t>
      </w:r>
      <w:r w:rsidR="00865F01">
        <w:rPr>
          <w:rFonts w:eastAsiaTheme="minorEastAsia"/>
          <w:kern w:val="0"/>
          <w:lang w:eastAsia="en-US" w:bidi="ar-SA"/>
        </w:rPr>
        <w:t>-</w:t>
      </w:r>
      <w:r w:rsidRPr="00D147A7">
        <w:rPr>
          <w:rFonts w:eastAsiaTheme="minorEastAsia"/>
          <w:kern w:val="0"/>
          <w:lang w:eastAsia="en-US" w:bidi="ar-SA"/>
        </w:rPr>
        <w:t xml:space="preserve">dering’, </w:t>
      </w:r>
      <w:r w:rsidRPr="00D147A7">
        <w:rPr>
          <w:rFonts w:eastAsiaTheme="minorEastAsia"/>
          <w:i/>
          <w:kern w:val="0"/>
          <w:lang w:eastAsia="en-US" w:bidi="ar-SA"/>
        </w:rPr>
        <w:t>P&amp;I</w:t>
      </w:r>
      <w:r w:rsidRPr="00D147A7">
        <w:rPr>
          <w:rFonts w:eastAsiaTheme="minorEastAsia"/>
          <w:kern w:val="0"/>
          <w:lang w:eastAsia="en-US" w:bidi="ar-SA"/>
        </w:rPr>
        <w:t xml:space="preserve">, 2003, 6, p. 259-262.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VAN VEEN, E.B.; DE JONG, E.J.C.; KASTELEIN, W.R., ‘Het beroepsgeheim in rechte. Zwijgen: recht of plicht?’, Vereniging voor Gezondheidsrecht, </w:t>
      </w:r>
      <w:r w:rsidRPr="00D147A7">
        <w:rPr>
          <w:rFonts w:eastAsiaTheme="minorEastAsia"/>
          <w:i/>
          <w:kern w:val="0"/>
          <w:lang w:eastAsia="en-US" w:bidi="ar-SA"/>
        </w:rPr>
        <w:t>Het beroepsgeheim. Continuï</w:t>
      </w:r>
      <w:r w:rsidR="00865F01">
        <w:rPr>
          <w:rFonts w:eastAsiaTheme="minorEastAsia"/>
          <w:i/>
          <w:kern w:val="0"/>
          <w:lang w:eastAsia="en-US" w:bidi="ar-SA"/>
        </w:rPr>
        <w:t>-</w:t>
      </w:r>
      <w:r w:rsidRPr="00D147A7">
        <w:rPr>
          <w:rFonts w:eastAsiaTheme="minorEastAsia"/>
          <w:i/>
          <w:kern w:val="0"/>
          <w:lang w:eastAsia="en-US" w:bidi="ar-SA"/>
        </w:rPr>
        <w:t>teit en verandering</w:t>
      </w:r>
      <w:r w:rsidRPr="00D147A7">
        <w:rPr>
          <w:rFonts w:eastAsiaTheme="minorEastAsia"/>
          <w:kern w:val="0"/>
          <w:lang w:eastAsia="en-US" w:bidi="ar-SA"/>
        </w:rPr>
        <w:t>, Den Haag, Sdu, 2004, p. 145-195.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VEDDER, A.H., ‘Privacy na Babel: de vermeende ongrijpbaarheid van het privacybegrip’, </w:t>
      </w:r>
      <w:r w:rsidRPr="00D147A7">
        <w:rPr>
          <w:rFonts w:eastAsiaTheme="minorEastAsia"/>
          <w:i/>
          <w:kern w:val="0"/>
          <w:lang w:eastAsia="en-US" w:bidi="ar-SA"/>
        </w:rPr>
        <w:t>P&amp;I</w:t>
      </w:r>
      <w:r w:rsidRPr="00D147A7">
        <w:rPr>
          <w:rFonts w:eastAsiaTheme="minorEastAsia"/>
          <w:kern w:val="0"/>
          <w:lang w:eastAsia="en-US" w:bidi="ar-SA"/>
        </w:rPr>
        <w:t xml:space="preserve">, 1998, 1, p. 216-220.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VERHAERT, J., ‘[Nederland] Beperkingen aan de WOB [Wet openbaarheid van bestuur] van door toezicht verkregen medische gegevens’, </w:t>
      </w:r>
      <w:r w:rsidRPr="00D147A7">
        <w:rPr>
          <w:rFonts w:eastAsiaTheme="minorEastAsia"/>
          <w:i/>
          <w:kern w:val="0"/>
          <w:lang w:eastAsia="en-US" w:bidi="ar-SA"/>
        </w:rPr>
        <w:t>N.J.B.</w:t>
      </w:r>
      <w:r w:rsidRPr="00D147A7">
        <w:rPr>
          <w:rFonts w:eastAsiaTheme="minorEastAsia"/>
          <w:kern w:val="0"/>
          <w:lang w:eastAsia="en-US" w:bidi="ar-SA"/>
        </w:rPr>
        <w:t>, 2012, 5, p. 325-332.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VERKADE, D., ‘De nieuwe Nederlandse Wet bescherming persoonsgegevens: een bundeltje impressies’, </w:t>
      </w:r>
      <w:r w:rsidRPr="00D147A7">
        <w:rPr>
          <w:rFonts w:eastAsiaTheme="minorEastAsia"/>
          <w:i/>
          <w:kern w:val="0"/>
          <w:lang w:eastAsia="en-US" w:bidi="ar-SA"/>
        </w:rPr>
        <w:t>Computerr.</w:t>
      </w:r>
      <w:r w:rsidRPr="00D147A7">
        <w:rPr>
          <w:rFonts w:eastAsiaTheme="minorEastAsia"/>
          <w:kern w:val="0"/>
          <w:lang w:eastAsia="en-US" w:bidi="ar-SA"/>
        </w:rPr>
        <w:t>, 2001, 2, p. 56-60.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WAALWIJK, H., ‘Nederland controleland. Archiefdiensten en de Wet bevoegdheden vorde</w:t>
      </w:r>
      <w:r w:rsidR="00865F01">
        <w:rPr>
          <w:rFonts w:eastAsiaTheme="minorEastAsia"/>
          <w:kern w:val="0"/>
          <w:lang w:eastAsia="en-US" w:bidi="ar-SA"/>
        </w:rPr>
        <w:t>-</w:t>
      </w:r>
      <w:r w:rsidRPr="00D147A7">
        <w:rPr>
          <w:rFonts w:eastAsiaTheme="minorEastAsia"/>
          <w:kern w:val="0"/>
          <w:lang w:eastAsia="en-US" w:bidi="ar-SA"/>
        </w:rPr>
        <w:t xml:space="preserve">ren gegevens’ in BIEMANS, J.; YAP, R.; ‘De Wet bescherming persoonsgegevens: een vloek of een zegen’, </w:t>
      </w:r>
      <w:r w:rsidRPr="00D147A7">
        <w:rPr>
          <w:rFonts w:eastAsiaTheme="minorEastAsia"/>
          <w:i/>
          <w:kern w:val="0"/>
          <w:lang w:eastAsia="en-US" w:bidi="ar-SA"/>
        </w:rPr>
        <w:t>Archievenblad</w:t>
      </w:r>
      <w:r w:rsidRPr="00D147A7">
        <w:rPr>
          <w:rFonts w:eastAsiaTheme="minorEastAsia"/>
          <w:kern w:val="0"/>
          <w:lang w:eastAsia="en-US" w:bidi="ar-SA"/>
        </w:rPr>
        <w:t>, 113/5 (2009), p. 24-27.</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4.6.3.5 Websites</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2E7E12" w:rsidP="000F560E">
      <w:pPr>
        <w:widowControl/>
        <w:suppressAutoHyphens w:val="0"/>
        <w:rPr>
          <w:rFonts w:eastAsiaTheme="minorEastAsia"/>
          <w:kern w:val="0"/>
          <w:lang w:eastAsia="en-US" w:bidi="ar-SA"/>
        </w:rPr>
      </w:pPr>
      <w:hyperlink r:id="rId417" w:history="1">
        <w:r w:rsidR="000F560E" w:rsidRPr="00D147A7">
          <w:rPr>
            <w:rFonts w:eastAsiaTheme="minorEastAsia"/>
            <w:color w:val="0000FF"/>
            <w:kern w:val="0"/>
            <w:u w:val="single"/>
            <w:lang w:eastAsia="en-US" w:bidi="ar-SA"/>
          </w:rPr>
          <w:t>http://arno.uvt.nl/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18" w:history="1">
        <w:r w:rsidR="000F560E" w:rsidRPr="00D147A7">
          <w:rPr>
            <w:rFonts w:eastAsiaTheme="minorEastAsia"/>
            <w:color w:val="0000FF"/>
            <w:kern w:val="0"/>
            <w:u w:val="single"/>
            <w:lang w:eastAsia="en-US" w:bidi="ar-SA"/>
          </w:rPr>
          <w:t>http://cf.hum.uva.nl/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19" w:history="1">
        <w:r w:rsidR="000F560E" w:rsidRPr="00D147A7">
          <w:rPr>
            <w:rFonts w:eastAsiaTheme="minorEastAsia"/>
            <w:color w:val="0000FF"/>
            <w:kern w:val="0"/>
            <w:u w:val="single"/>
            <w:lang w:eastAsia="en-US" w:bidi="ar-SA"/>
          </w:rPr>
          <w:t>http://knmg.artsennet.nl/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20" w:history="1">
        <w:r w:rsidR="000F560E" w:rsidRPr="00D147A7">
          <w:rPr>
            <w:rFonts w:eastAsiaTheme="minorEastAsia"/>
            <w:color w:val="0000FF"/>
            <w:kern w:val="0"/>
            <w:u w:val="single"/>
            <w:lang w:eastAsia="en-US" w:bidi="ar-SA"/>
          </w:rPr>
          <w:t>https://openaccess.leidenuniv.nl/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21" w:history="1">
        <w:r w:rsidR="000F560E" w:rsidRPr="00D147A7">
          <w:rPr>
            <w:rFonts w:eastAsiaTheme="minorEastAsia"/>
            <w:color w:val="0000FF"/>
            <w:kern w:val="0"/>
            <w:u w:val="single"/>
            <w:lang w:eastAsia="en-US" w:bidi="ar-SA"/>
          </w:rPr>
          <w:t>https://vubis.politieacademie.nl/</w:t>
        </w:r>
      </w:hyperlink>
      <w:r w:rsidR="000F560E" w:rsidRPr="00D147A7">
        <w:rPr>
          <w:rFonts w:eastAsiaTheme="minorEastAsia"/>
          <w:kern w:val="0"/>
          <w:lang w:eastAsia="en-US" w:bidi="ar-SA"/>
        </w:rPr>
        <w:t>.</w:t>
      </w:r>
    </w:p>
    <w:p w:rsidR="002720ED" w:rsidRPr="00D147A7" w:rsidRDefault="002E7E12" w:rsidP="000F560E">
      <w:pPr>
        <w:widowControl/>
        <w:suppressAutoHyphens w:val="0"/>
        <w:rPr>
          <w:rFonts w:eastAsiaTheme="minorEastAsia"/>
          <w:kern w:val="0"/>
          <w:lang w:eastAsia="en-US" w:bidi="ar-SA"/>
        </w:rPr>
      </w:pPr>
      <w:hyperlink r:id="rId422" w:history="1">
        <w:r w:rsidR="000F560E" w:rsidRPr="00D147A7">
          <w:rPr>
            <w:rFonts w:eastAsiaTheme="minorEastAsia"/>
            <w:color w:val="0000FF"/>
            <w:kern w:val="0"/>
            <w:u w:val="single"/>
            <w:lang w:eastAsia="en-US" w:bidi="ar-SA"/>
          </w:rPr>
          <w:t>http://www.cbpweb.nl/</w:t>
        </w:r>
      </w:hyperlink>
      <w:r w:rsidR="002720ED" w:rsidRPr="00D147A7">
        <w:rPr>
          <w:rFonts w:eastAsiaTheme="minorEastAsia"/>
          <w:kern w:val="0"/>
          <w:lang w:eastAsia="en-US" w:bidi="ar-SA"/>
        </w:rPr>
        <w:t>.</w:t>
      </w:r>
    </w:p>
    <w:p w:rsidR="002720ED" w:rsidRPr="00D147A7" w:rsidRDefault="002E7E12" w:rsidP="000F560E">
      <w:pPr>
        <w:widowControl/>
        <w:suppressAutoHyphens w:val="0"/>
        <w:rPr>
          <w:rFonts w:eastAsiaTheme="minorEastAsia"/>
          <w:kern w:val="0"/>
          <w:lang w:eastAsia="en-US" w:bidi="ar-SA"/>
        </w:rPr>
      </w:pPr>
      <w:hyperlink r:id="rId423" w:history="1">
        <w:r w:rsidR="002720ED" w:rsidRPr="00D147A7">
          <w:rPr>
            <w:rStyle w:val="Hyperlink"/>
            <w:rFonts w:eastAsiaTheme="minorEastAsia"/>
            <w:kern w:val="0"/>
            <w:lang w:eastAsia="en-US" w:bidi="ar-SA"/>
          </w:rPr>
          <w:t>http://www.ejure.nl/</w:t>
        </w:r>
      </w:hyperlink>
      <w:r w:rsidR="002720ED" w:rsidRPr="00D147A7">
        <w:rPr>
          <w:rFonts w:eastAsiaTheme="minorEastAsia"/>
          <w:kern w:val="0"/>
          <w:lang w:eastAsia="en-US" w:bidi="ar-SA"/>
        </w:rPr>
        <w:t xml:space="preserve">. </w:t>
      </w:r>
    </w:p>
    <w:p w:rsidR="000F560E" w:rsidRPr="00D147A7" w:rsidRDefault="002E7E12" w:rsidP="000F560E">
      <w:pPr>
        <w:widowControl/>
        <w:suppressAutoHyphens w:val="0"/>
        <w:rPr>
          <w:rFonts w:eastAsiaTheme="minorEastAsia"/>
          <w:kern w:val="0"/>
          <w:lang w:eastAsia="en-US" w:bidi="ar-SA"/>
        </w:rPr>
      </w:pPr>
      <w:hyperlink r:id="rId424" w:history="1">
        <w:r w:rsidR="000F560E" w:rsidRPr="00D147A7">
          <w:rPr>
            <w:rFonts w:eastAsiaTheme="minorEastAsia"/>
            <w:color w:val="0000FF"/>
            <w:kern w:val="0"/>
            <w:u w:val="single"/>
            <w:lang w:eastAsia="en-US" w:bidi="ar-SA"/>
          </w:rPr>
          <w:t>http://www.erfgoedinspectie.nl/</w:t>
        </w:r>
      </w:hyperlink>
      <w:r w:rsidR="000F560E" w:rsidRPr="00D147A7">
        <w:rPr>
          <w:rFonts w:eastAsiaTheme="minorEastAsia"/>
          <w:kern w:val="0"/>
          <w:lang w:eastAsia="en-US" w:bidi="ar-SA"/>
        </w:rPr>
        <w:t>.</w:t>
      </w:r>
    </w:p>
    <w:p w:rsidR="002720ED" w:rsidRPr="00D147A7" w:rsidRDefault="002E7E12" w:rsidP="000F560E">
      <w:pPr>
        <w:widowControl/>
        <w:suppressAutoHyphens w:val="0"/>
        <w:rPr>
          <w:rFonts w:eastAsiaTheme="minorEastAsia"/>
          <w:kern w:val="0"/>
          <w:lang w:eastAsia="en-US" w:bidi="ar-SA"/>
        </w:rPr>
      </w:pPr>
      <w:hyperlink r:id="rId425" w:history="1">
        <w:r w:rsidR="000F560E" w:rsidRPr="00D147A7">
          <w:rPr>
            <w:rFonts w:eastAsiaTheme="minorEastAsia"/>
            <w:color w:val="0000FF"/>
            <w:kern w:val="0"/>
            <w:u w:val="single"/>
            <w:lang w:eastAsia="en-US" w:bidi="ar-SA"/>
          </w:rPr>
          <w:t>http://www.europa-nu.nl/</w:t>
        </w:r>
      </w:hyperlink>
      <w:r w:rsidR="000F560E" w:rsidRPr="00D147A7">
        <w:rPr>
          <w:rFonts w:eastAsiaTheme="minorEastAsia"/>
          <w:kern w:val="0"/>
          <w:lang w:eastAsia="en-US" w:bidi="ar-SA"/>
        </w:rPr>
        <w:t>.</w:t>
      </w:r>
    </w:p>
    <w:p w:rsidR="002720ED" w:rsidRPr="00D147A7" w:rsidRDefault="002E7E12" w:rsidP="000F560E">
      <w:pPr>
        <w:widowControl/>
        <w:suppressAutoHyphens w:val="0"/>
        <w:rPr>
          <w:rFonts w:eastAsiaTheme="minorEastAsia"/>
          <w:kern w:val="0"/>
          <w:lang w:eastAsia="en-US" w:bidi="ar-SA"/>
        </w:rPr>
      </w:pPr>
      <w:hyperlink r:id="rId426" w:history="1">
        <w:r w:rsidR="002720ED" w:rsidRPr="00D147A7">
          <w:rPr>
            <w:rStyle w:val="Hyperlink"/>
            <w:rFonts w:eastAsiaTheme="minorEastAsia"/>
            <w:kern w:val="0"/>
            <w:lang w:eastAsia="en-US" w:bidi="ar-SA"/>
          </w:rPr>
          <w:t>http://www/overkleeft-verburg.nl</w:t>
        </w:r>
      </w:hyperlink>
      <w:r w:rsidR="002720ED"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427" w:history="1">
        <w:r w:rsidR="002720ED" w:rsidRPr="00D147A7">
          <w:rPr>
            <w:rStyle w:val="Hyperlink"/>
            <w:rFonts w:eastAsiaTheme="minorEastAsia"/>
            <w:kern w:val="0"/>
            <w:lang w:eastAsia="en-US" w:bidi="ar-SA"/>
          </w:rPr>
          <w:t>http://www.steenkamp-ict.com/</w:t>
        </w:r>
      </w:hyperlink>
      <w:r w:rsidR="002720ED" w:rsidRPr="00D147A7">
        <w:rPr>
          <w:rFonts w:eastAsiaTheme="minorEastAsia"/>
          <w:kern w:val="0"/>
          <w:lang w:eastAsia="en-US" w:bidi="ar-SA"/>
        </w:rPr>
        <w:t xml:space="preserve">. </w:t>
      </w:r>
      <w:r w:rsidR="000F560E" w:rsidRPr="00D147A7">
        <w:rPr>
          <w:rFonts w:eastAsiaTheme="minorEastAsia"/>
          <w:kern w:val="0"/>
          <w:lang w:eastAsia="en-US" w:bidi="ar-SA"/>
        </w:rPr>
        <w:t xml:space="preserve"> </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kern w:val="0"/>
          <w:lang w:eastAsia="en-US" w:bidi="ar-SA"/>
        </w:rPr>
        <w:t>4.6.</w:t>
      </w:r>
      <w:r w:rsidRPr="00D147A7">
        <w:rPr>
          <w:rFonts w:eastAsiaTheme="minorEastAsia"/>
          <w:b/>
          <w:smallCaps/>
          <w:kern w:val="0"/>
          <w:lang w:eastAsia="en-US" w:bidi="ar-SA"/>
        </w:rPr>
        <w:t>4 Frankrijk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4.6.4.1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Universele Verklaring van de Rechten van de Mens van 10 december 1948 (</w:t>
      </w:r>
      <w:r w:rsidRPr="00D147A7">
        <w:rPr>
          <w:rFonts w:eastAsiaTheme="minorEastAsia"/>
          <w:i/>
          <w:kern w:val="0"/>
          <w:lang w:eastAsia="en-US" w:bidi="ar-SA"/>
        </w:rPr>
        <w:t>JORF</w:t>
      </w:r>
      <w:r w:rsidRPr="00D147A7">
        <w:rPr>
          <w:rFonts w:eastAsiaTheme="minorEastAsia"/>
          <w:kern w:val="0"/>
          <w:lang w:eastAsia="en-US" w:bidi="ar-SA"/>
        </w:rPr>
        <w:t>, 9 februari 1949).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nr. 74-360 van 3 mei 1974 houdende publicatie van het Europees Verdrag tot bescher</w:t>
      </w:r>
      <w:r w:rsidR="00865F01">
        <w:rPr>
          <w:rFonts w:eastAsiaTheme="minorEastAsia"/>
          <w:kern w:val="0"/>
          <w:lang w:eastAsia="en-US" w:bidi="ar-SA"/>
        </w:rPr>
        <w:t>-</w:t>
      </w:r>
      <w:r w:rsidRPr="00D147A7">
        <w:rPr>
          <w:rFonts w:eastAsiaTheme="minorEastAsia"/>
          <w:kern w:val="0"/>
          <w:lang w:eastAsia="en-US" w:bidi="ar-SA"/>
        </w:rPr>
        <w:t>ming van de rechten van de mens en de fundamentele vrijheden, ondertekend te Rome op 4 november 1950 en de aanvullende protocollen (</w:t>
      </w:r>
      <w:r w:rsidRPr="00D147A7">
        <w:rPr>
          <w:rFonts w:eastAsiaTheme="minorEastAsia"/>
          <w:i/>
          <w:kern w:val="0"/>
          <w:lang w:eastAsia="en-US" w:bidi="ar-SA"/>
        </w:rPr>
        <w:t>JORF</w:t>
      </w:r>
      <w:r w:rsidRPr="00D147A7">
        <w:rPr>
          <w:rFonts w:eastAsiaTheme="minorEastAsia"/>
          <w:kern w:val="0"/>
          <w:lang w:eastAsia="en-US" w:bidi="ar-SA"/>
        </w:rPr>
        <w:t>, 4 mei 1974)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82-890 van 19 oktober 1982 tot wettiging van de goedkeuring van het verdrag tot be</w:t>
      </w:r>
      <w:r w:rsidR="00865F01">
        <w:rPr>
          <w:rFonts w:eastAsiaTheme="minorEastAsia"/>
          <w:kern w:val="0"/>
          <w:lang w:eastAsia="en-US" w:bidi="ar-SA"/>
        </w:rPr>
        <w:t>-</w:t>
      </w:r>
      <w:r w:rsidRPr="00D147A7">
        <w:rPr>
          <w:rFonts w:eastAsiaTheme="minorEastAsia"/>
          <w:kern w:val="0"/>
          <w:lang w:eastAsia="en-US" w:bidi="ar-SA"/>
        </w:rPr>
        <w:t>scherming van personen ten opzichte van de automatische verwerking van persoonsgegevens, ondertekend te Straatsburg op 28-01-1981 (</w:t>
      </w:r>
      <w:r w:rsidRPr="00D147A7">
        <w:rPr>
          <w:rFonts w:eastAsiaTheme="minorEastAsia"/>
          <w:i/>
          <w:kern w:val="0"/>
          <w:lang w:eastAsia="en-US" w:bidi="ar-SA"/>
        </w:rPr>
        <w:t>JORF</w:t>
      </w:r>
      <w:r w:rsidRPr="00D147A7">
        <w:rPr>
          <w:rFonts w:eastAsiaTheme="minorEastAsia"/>
          <w:kern w:val="0"/>
          <w:lang w:eastAsia="en-US" w:bidi="ar-SA"/>
        </w:rPr>
        <w:t>, 20 oktober 1982).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94-548 van 1 juli 1994 betreffende de verwerking van persoonsgegevens voor me</w:t>
      </w:r>
      <w:r w:rsidR="00865F01">
        <w:rPr>
          <w:rFonts w:eastAsiaTheme="minorEastAsia"/>
          <w:kern w:val="0"/>
          <w:lang w:eastAsia="en-US" w:bidi="ar-SA"/>
        </w:rPr>
        <w:t>-</w:t>
      </w:r>
      <w:r w:rsidRPr="00D147A7">
        <w:rPr>
          <w:rFonts w:eastAsiaTheme="minorEastAsia"/>
          <w:kern w:val="0"/>
          <w:lang w:eastAsia="en-US" w:bidi="ar-SA"/>
        </w:rPr>
        <w:t>disch onderzoek en ter wijziging van wet nr. 78 -17 van 6 januari 1978 betreffende met be</w:t>
      </w:r>
      <w:r w:rsidR="00865F01">
        <w:rPr>
          <w:rFonts w:eastAsiaTheme="minorEastAsia"/>
          <w:kern w:val="0"/>
          <w:lang w:eastAsia="en-US" w:bidi="ar-SA"/>
        </w:rPr>
        <w:t>-</w:t>
      </w:r>
      <w:r w:rsidRPr="00D147A7">
        <w:rPr>
          <w:rFonts w:eastAsiaTheme="minorEastAsia"/>
          <w:kern w:val="0"/>
          <w:lang w:eastAsia="en-US" w:bidi="ar-SA"/>
        </w:rPr>
        <w:t>trekking tot de informatica, bestanden en vrijheden I (</w:t>
      </w:r>
      <w:r w:rsidRPr="00D147A7">
        <w:rPr>
          <w:rFonts w:eastAsiaTheme="minorEastAsia"/>
          <w:i/>
          <w:kern w:val="0"/>
          <w:lang w:eastAsia="en-US" w:bidi="ar-SA"/>
        </w:rPr>
        <w:t>JORF</w:t>
      </w:r>
      <w:r w:rsidRPr="00D147A7">
        <w:rPr>
          <w:rFonts w:eastAsiaTheme="minorEastAsia"/>
          <w:kern w:val="0"/>
          <w:lang w:eastAsia="en-US" w:bidi="ar-SA"/>
        </w:rPr>
        <w:t xml:space="preserve"> 152, 2 juli 1994).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16 november 1999 betreffende de tucht van de leden van het Legioen van Eer (</w:t>
      </w:r>
      <w:r w:rsidRPr="00D147A7">
        <w:rPr>
          <w:rFonts w:eastAsiaTheme="minorEastAsia"/>
          <w:i/>
          <w:kern w:val="0"/>
          <w:lang w:eastAsia="en-US" w:bidi="ar-SA"/>
        </w:rPr>
        <w:t>JORF</w:t>
      </w:r>
      <w:r w:rsidRPr="00D147A7">
        <w:rPr>
          <w:rFonts w:eastAsiaTheme="minorEastAsia"/>
          <w:kern w:val="0"/>
          <w:lang w:eastAsia="en-US" w:bidi="ar-SA"/>
        </w:rPr>
        <w:t xml:space="preserve"> 267, 18 november 1999).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16 november 1999 betreffende de tucht van de leden van de Orde van Verdienste (</w:t>
      </w:r>
      <w:r w:rsidRPr="00D147A7">
        <w:rPr>
          <w:rFonts w:eastAsiaTheme="minorEastAsia"/>
          <w:i/>
          <w:kern w:val="0"/>
          <w:lang w:eastAsia="en-US" w:bidi="ar-SA"/>
        </w:rPr>
        <w:t>JORF</w:t>
      </w:r>
      <w:r w:rsidRPr="00D147A7">
        <w:rPr>
          <w:rFonts w:eastAsiaTheme="minorEastAsia"/>
          <w:kern w:val="0"/>
          <w:lang w:eastAsia="en-US" w:bidi="ar-SA"/>
        </w:rPr>
        <w:t xml:space="preserve"> 267, 18 november 1999).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nr. 2001-437 van 16 mei 2001 houdende regeling van de wijze waarop individuele ge</w:t>
      </w:r>
      <w:r w:rsidR="00865F01">
        <w:rPr>
          <w:rFonts w:eastAsiaTheme="minorEastAsia"/>
          <w:kern w:val="0"/>
          <w:lang w:eastAsia="en-US" w:bidi="ar-SA"/>
        </w:rPr>
        <w:t>-</w:t>
      </w:r>
      <w:r w:rsidRPr="00D147A7">
        <w:rPr>
          <w:rFonts w:eastAsiaTheme="minorEastAsia"/>
          <w:kern w:val="0"/>
          <w:lang w:eastAsia="en-US" w:bidi="ar-SA"/>
        </w:rPr>
        <w:t xml:space="preserve">gevens met betrekking tot de ziekten als bedoeld in artikel L. 3113-1 van de </w:t>
      </w:r>
      <w:r w:rsidRPr="00D147A7">
        <w:rPr>
          <w:rFonts w:eastAsiaTheme="minorEastAsia"/>
          <w:i/>
          <w:kern w:val="0"/>
          <w:lang w:eastAsia="en-US" w:bidi="ar-SA"/>
        </w:rPr>
        <w:t>Code de la santé publique</w:t>
      </w:r>
      <w:r w:rsidRPr="00D147A7">
        <w:rPr>
          <w:rFonts w:eastAsiaTheme="minorEastAsia"/>
          <w:kern w:val="0"/>
          <w:lang w:eastAsia="en-US" w:bidi="ar-SA"/>
        </w:rPr>
        <w:t xml:space="preserve"> aan het Ministerie van Volksgezondheid moeten worden meegedeeld en ter wijzi</w:t>
      </w:r>
      <w:r w:rsidR="00865F01">
        <w:rPr>
          <w:rFonts w:eastAsiaTheme="minorEastAsia"/>
          <w:kern w:val="0"/>
          <w:lang w:eastAsia="en-US" w:bidi="ar-SA"/>
        </w:rPr>
        <w:t>-</w:t>
      </w:r>
      <w:r w:rsidRPr="00D147A7">
        <w:rPr>
          <w:rFonts w:eastAsiaTheme="minorEastAsia"/>
          <w:kern w:val="0"/>
          <w:lang w:eastAsia="en-US" w:bidi="ar-SA"/>
        </w:rPr>
        <w:lastRenderedPageBreak/>
        <w:t xml:space="preserve">ging van artikelen R. 11-2 en R 11-2 van de </w:t>
      </w:r>
      <w:r w:rsidRPr="00D147A7">
        <w:rPr>
          <w:rFonts w:eastAsiaTheme="minorEastAsia"/>
          <w:i/>
          <w:kern w:val="0"/>
          <w:lang w:eastAsia="en-US" w:bidi="ar-SA"/>
        </w:rPr>
        <w:t>Code de la santé publique</w:t>
      </w:r>
      <w:r w:rsidRPr="00D147A7">
        <w:rPr>
          <w:rFonts w:eastAsiaTheme="minorEastAsia"/>
          <w:kern w:val="0"/>
          <w:lang w:eastAsia="en-US" w:bidi="ar-SA"/>
        </w:rPr>
        <w:t xml:space="preserve"> (</w:t>
      </w:r>
      <w:r w:rsidRPr="00D147A7">
        <w:rPr>
          <w:rFonts w:eastAsiaTheme="minorEastAsia"/>
          <w:i/>
          <w:kern w:val="0"/>
          <w:lang w:eastAsia="en-US" w:bidi="ar-SA"/>
        </w:rPr>
        <w:t>JORF</w:t>
      </w:r>
      <w:r w:rsidRPr="00D147A7">
        <w:rPr>
          <w:rFonts w:eastAsiaTheme="minorEastAsia"/>
          <w:kern w:val="0"/>
          <w:lang w:eastAsia="en-US" w:bidi="ar-SA"/>
        </w:rPr>
        <w:t xml:space="preserve"> 119, 23 mei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Besluit nr. 2001-910 van 5 oktober 2001 ter wijziging van de lijst van ziekten die verplicht aan het Ministerie van Volksgezondheid moeten worden meegedeeld en ter wijziging van de </w:t>
      </w:r>
      <w:r w:rsidRPr="00D147A7">
        <w:rPr>
          <w:rFonts w:eastAsiaTheme="minorEastAsia"/>
          <w:i/>
          <w:kern w:val="0"/>
          <w:lang w:eastAsia="en-US" w:bidi="ar-SA"/>
        </w:rPr>
        <w:t>Code de la santé publique</w:t>
      </w:r>
      <w:r w:rsidRPr="00D147A7">
        <w:rPr>
          <w:rFonts w:eastAsiaTheme="minorEastAsia"/>
          <w:kern w:val="0"/>
          <w:lang w:eastAsia="en-US" w:bidi="ar-SA"/>
        </w:rPr>
        <w:t xml:space="preserve"> (</w:t>
      </w:r>
      <w:r w:rsidRPr="00D147A7">
        <w:rPr>
          <w:rFonts w:eastAsiaTheme="minorEastAsia"/>
          <w:i/>
          <w:kern w:val="0"/>
          <w:lang w:eastAsia="en-US" w:bidi="ar-SA"/>
        </w:rPr>
        <w:t>JORF</w:t>
      </w:r>
      <w:r w:rsidRPr="00D147A7">
        <w:rPr>
          <w:rFonts w:eastAsiaTheme="minorEastAsia"/>
          <w:kern w:val="0"/>
          <w:lang w:eastAsia="en-US" w:bidi="ar-SA"/>
        </w:rPr>
        <w:t xml:space="preserve"> 232, 6 oktober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2004-204 van 9 maart 2004 houdende aanpassing van justitie aan de ontwikkelingen in de criminaliteit I (</w:t>
      </w:r>
      <w:r w:rsidRPr="00D147A7">
        <w:rPr>
          <w:rFonts w:eastAsiaTheme="minorEastAsia"/>
          <w:i/>
          <w:kern w:val="0"/>
          <w:lang w:eastAsia="en-US" w:bidi="ar-SA"/>
        </w:rPr>
        <w:t>JORF</w:t>
      </w:r>
      <w:r w:rsidRPr="00D147A7">
        <w:rPr>
          <w:rFonts w:eastAsiaTheme="minorEastAsia"/>
          <w:kern w:val="0"/>
          <w:lang w:eastAsia="en-US" w:bidi="ar-SA"/>
        </w:rPr>
        <w:t xml:space="preserve"> 59, 10 maart 2004).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2004-801 van 6 augustus 2004 betreffende de bescherming van fysieke personen ten opzichte van de verwerking van persoonsgegevens en ter bescherming van wet nr. 78-17 van 6 januari 1978 betreffende de informatica, bestanden en vrijheden I (</w:t>
      </w:r>
      <w:r w:rsidRPr="00D147A7">
        <w:rPr>
          <w:rFonts w:eastAsiaTheme="minorEastAsia"/>
          <w:i/>
          <w:kern w:val="0"/>
          <w:lang w:eastAsia="en-US" w:bidi="ar-SA"/>
        </w:rPr>
        <w:t>JORF</w:t>
      </w:r>
      <w:r w:rsidRPr="00D147A7">
        <w:rPr>
          <w:rFonts w:eastAsiaTheme="minorEastAsia"/>
          <w:kern w:val="0"/>
          <w:lang w:eastAsia="en-US" w:bidi="ar-SA"/>
        </w:rPr>
        <w:t xml:space="preserve"> 182, 7 augustus 2004).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2005-370 van 22 april 2005 betreffende de rechten van de patiënten en aan het levens</w:t>
      </w:r>
      <w:r w:rsidR="00865F01">
        <w:rPr>
          <w:rFonts w:eastAsiaTheme="minorEastAsia"/>
          <w:kern w:val="0"/>
          <w:lang w:eastAsia="en-US" w:bidi="ar-SA"/>
        </w:rPr>
        <w:t>-</w:t>
      </w:r>
      <w:r w:rsidRPr="00D147A7">
        <w:rPr>
          <w:rFonts w:eastAsiaTheme="minorEastAsia"/>
          <w:kern w:val="0"/>
          <w:lang w:eastAsia="en-US" w:bidi="ar-SA"/>
        </w:rPr>
        <w:t>einde I (</w:t>
      </w:r>
      <w:r w:rsidRPr="00D147A7">
        <w:rPr>
          <w:rFonts w:eastAsiaTheme="minorEastAsia"/>
          <w:i/>
          <w:kern w:val="0"/>
          <w:lang w:eastAsia="en-US" w:bidi="ar-SA"/>
        </w:rPr>
        <w:t>JORF</w:t>
      </w:r>
      <w:r w:rsidRPr="00D147A7">
        <w:rPr>
          <w:rFonts w:eastAsiaTheme="minorEastAsia"/>
          <w:kern w:val="0"/>
          <w:lang w:eastAsia="en-US" w:bidi="ar-SA"/>
        </w:rPr>
        <w:t xml:space="preserve"> 95, 23 april 2005).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2011-334 van 29 maart 2011 betreffende ombudsdienst I (</w:t>
      </w:r>
      <w:r w:rsidRPr="00D147A7">
        <w:rPr>
          <w:rFonts w:eastAsiaTheme="minorEastAsia"/>
          <w:i/>
          <w:kern w:val="0"/>
          <w:lang w:eastAsia="en-US" w:bidi="ar-SA"/>
        </w:rPr>
        <w:t>JORF</w:t>
      </w:r>
      <w:r w:rsidRPr="00D147A7">
        <w:rPr>
          <w:rFonts w:eastAsiaTheme="minorEastAsia"/>
          <w:kern w:val="0"/>
          <w:lang w:eastAsia="en-US" w:bidi="ar-SA"/>
        </w:rPr>
        <w:t xml:space="preserve"> 75, 30 maart 2011).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Verordening nr. 2011-1012 van 24 augustus 2011 met betrekking tot de elektronische com</w:t>
      </w:r>
      <w:r w:rsidR="00865F01">
        <w:rPr>
          <w:rFonts w:eastAsiaTheme="minorEastAsia"/>
          <w:kern w:val="0"/>
          <w:lang w:eastAsia="en-US" w:bidi="ar-SA"/>
        </w:rPr>
        <w:t>-</w:t>
      </w:r>
      <w:r w:rsidRPr="00D147A7">
        <w:rPr>
          <w:rFonts w:eastAsiaTheme="minorEastAsia"/>
          <w:kern w:val="0"/>
          <w:lang w:eastAsia="en-US" w:bidi="ar-SA"/>
        </w:rPr>
        <w:t>municatie (</w:t>
      </w:r>
      <w:r w:rsidRPr="00D147A7">
        <w:rPr>
          <w:rFonts w:eastAsiaTheme="minorEastAsia"/>
          <w:i/>
          <w:kern w:val="0"/>
          <w:lang w:eastAsia="en-US" w:bidi="ar-SA"/>
        </w:rPr>
        <w:t>JORF</w:t>
      </w:r>
      <w:r w:rsidRPr="00D147A7">
        <w:rPr>
          <w:rFonts w:eastAsiaTheme="minorEastAsia"/>
          <w:kern w:val="0"/>
          <w:lang w:eastAsia="en-US" w:bidi="ar-SA"/>
        </w:rPr>
        <w:t xml:space="preserve"> 197, 26 augustus 2011).</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4.6.4.2 Rechtspraak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Beslissing nr. 211240 van de Raad van State, 29 december 2000.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val="fr-BE" w:eastAsia="en-US" w:bidi="ar-SA"/>
        </w:rPr>
      </w:pPr>
      <w:r w:rsidRPr="00D147A7">
        <w:rPr>
          <w:rFonts w:eastAsiaTheme="minorEastAsia"/>
          <w:b/>
          <w:kern w:val="0"/>
          <w:lang w:eastAsia="en-US" w:bidi="ar-SA"/>
        </w:rPr>
        <w:tab/>
      </w:r>
      <w:r w:rsidRPr="00D147A7">
        <w:rPr>
          <w:rFonts w:eastAsiaTheme="minorEastAsia"/>
          <w:b/>
          <w:kern w:val="0"/>
          <w:lang w:eastAsia="en-US" w:bidi="ar-SA"/>
        </w:rPr>
        <w:tab/>
      </w:r>
      <w:r w:rsidRPr="00D147A7">
        <w:rPr>
          <w:rFonts w:eastAsiaTheme="minorEastAsia"/>
          <w:b/>
          <w:kern w:val="0"/>
          <w:lang w:val="fr-BE" w:eastAsia="en-US" w:bidi="ar-SA"/>
        </w:rPr>
        <w:t>4.6.4.3 Krantenartikelen</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FREOUR, P., ‘Santé: «Tous les présidents français ont menti»’, </w:t>
      </w:r>
      <w:r w:rsidRPr="00D147A7">
        <w:rPr>
          <w:rFonts w:eastAsiaTheme="minorEastAsia"/>
          <w:i/>
          <w:kern w:val="0"/>
          <w:lang w:val="fr-BE" w:eastAsia="en-US" w:bidi="ar-SA"/>
        </w:rPr>
        <w:t>Le Figaro</w:t>
      </w:r>
      <w:r w:rsidRPr="00D147A7">
        <w:rPr>
          <w:rFonts w:eastAsiaTheme="minorEastAsia"/>
          <w:kern w:val="0"/>
          <w:lang w:val="fr-BE" w:eastAsia="en-US" w:bidi="ar-SA"/>
        </w:rPr>
        <w:t>, 10 april 2012.</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kern w:val="0"/>
          <w:lang w:eastAsia="en-US" w:bidi="ar-SA"/>
        </w:rPr>
        <w:t>4.6.4.4 Rechtsleer en literatuur</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eastAsia="en-US" w:bidi="ar-SA"/>
        </w:rPr>
        <w:t xml:space="preserve">‘Cour eur. </w:t>
      </w:r>
      <w:r w:rsidRPr="00D147A7">
        <w:rPr>
          <w:rFonts w:eastAsiaTheme="minorEastAsia"/>
          <w:kern w:val="0"/>
          <w:lang w:val="fr-BE" w:eastAsia="en-US" w:bidi="ar-SA"/>
        </w:rPr>
        <w:t xml:space="preserve">D.H. (2e sect.) n° 58148/00, 18 mai 2004 (Plon/France)’, </w:t>
      </w:r>
      <w:r w:rsidRPr="00D147A7">
        <w:rPr>
          <w:rFonts w:eastAsiaTheme="minorEastAsia"/>
          <w:i/>
          <w:kern w:val="0"/>
          <w:lang w:val="fr-BE" w:eastAsia="en-US" w:bidi="ar-SA"/>
        </w:rPr>
        <w:t>N.J.W.</w:t>
      </w:r>
      <w:r w:rsidRPr="00D147A7">
        <w:rPr>
          <w:rFonts w:eastAsiaTheme="minorEastAsia"/>
          <w:kern w:val="0"/>
          <w:lang w:val="fr-BE" w:eastAsia="en-US" w:bidi="ar-SA"/>
        </w:rPr>
        <w:t>, 91 (2004), p. 1309-1313.</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‘Loi n° 94-548 du 1er juillet 1994 relative au traitement de données nominatives ayant pour fin la recherche dans le domaine de la santé et modifiant la loi n° 78-17 du 6 janvier 1978 re</w:t>
      </w:r>
      <w:r w:rsidR="00865F01">
        <w:rPr>
          <w:rFonts w:eastAsiaTheme="minorEastAsia"/>
          <w:kern w:val="0"/>
          <w:lang w:val="fr-BE" w:eastAsia="en-US" w:bidi="ar-SA"/>
        </w:rPr>
        <w:t>-</w:t>
      </w:r>
      <w:r w:rsidRPr="00D147A7">
        <w:rPr>
          <w:rFonts w:eastAsiaTheme="minorEastAsia"/>
          <w:kern w:val="0"/>
          <w:lang w:val="fr-BE" w:eastAsia="en-US" w:bidi="ar-SA"/>
        </w:rPr>
        <w:t xml:space="preserve">lative à l’informatique, aux fichiers et aux libertés’, </w:t>
      </w:r>
      <w:r w:rsidRPr="00D147A7">
        <w:rPr>
          <w:rFonts w:eastAsiaTheme="minorEastAsia"/>
          <w:i/>
          <w:kern w:val="0"/>
          <w:lang w:val="fr-BE" w:eastAsia="en-US" w:bidi="ar-SA"/>
        </w:rPr>
        <w:t>L.D.I.</w:t>
      </w:r>
      <w:r w:rsidRPr="00D147A7">
        <w:rPr>
          <w:rFonts w:eastAsiaTheme="minorEastAsia"/>
          <w:kern w:val="0"/>
          <w:lang w:val="fr-BE" w:eastAsia="en-US" w:bidi="ar-SA"/>
        </w:rPr>
        <w:t>, 61 (1994), p. 14-15.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ALLAIX, M., ‘Signalement et secret professionnel’, Association Française d’Information et de Recherche sur l’Enfance Maltraitée (AFIREM), </w:t>
      </w:r>
      <w:r w:rsidRPr="00D147A7">
        <w:rPr>
          <w:rFonts w:eastAsiaTheme="minorEastAsia"/>
          <w:i/>
          <w:kern w:val="0"/>
          <w:lang w:val="fr-BE" w:eastAsia="en-US" w:bidi="ar-SA"/>
        </w:rPr>
        <w:t>Secret maintenu; secret dévoilé. A propos de la maltraitance</w:t>
      </w:r>
      <w:r w:rsidRPr="00D147A7">
        <w:rPr>
          <w:rFonts w:eastAsiaTheme="minorEastAsia"/>
          <w:kern w:val="0"/>
          <w:lang w:val="fr-BE" w:eastAsia="en-US" w:bidi="ar-SA"/>
        </w:rPr>
        <w:t>, Parijs, Karthala, 1994, p. 171-182.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ALMERAS, J.P., ‘La communication de données médicales aux compagnes d’assurance’, </w:t>
      </w:r>
      <w:r w:rsidRPr="00D147A7">
        <w:rPr>
          <w:rFonts w:eastAsiaTheme="minorEastAsia"/>
          <w:i/>
          <w:kern w:val="0"/>
          <w:lang w:val="fr-BE" w:eastAsia="en-US" w:bidi="ar-SA"/>
        </w:rPr>
        <w:t>C.M.</w:t>
      </w:r>
      <w:r w:rsidRPr="00D147A7">
        <w:rPr>
          <w:rFonts w:eastAsiaTheme="minorEastAsia"/>
          <w:kern w:val="0"/>
          <w:lang w:val="fr-BE" w:eastAsia="en-US" w:bidi="ar-SA"/>
        </w:rPr>
        <w:t>, 116/27 (1994), p. 2281-2282.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ANTONIOTTI, S.; PELLISSIER, V.; SIMEONI, M.C.; MANUELL, C.; ‘Déclaration obliga</w:t>
      </w:r>
      <w:r w:rsidR="00865F01">
        <w:rPr>
          <w:rFonts w:eastAsiaTheme="minorEastAsia"/>
          <w:kern w:val="0"/>
          <w:lang w:val="fr-BE" w:eastAsia="en-US" w:bidi="ar-SA"/>
        </w:rPr>
        <w:t>-</w:t>
      </w:r>
      <w:r w:rsidRPr="00D147A7">
        <w:rPr>
          <w:rFonts w:eastAsiaTheme="minorEastAsia"/>
          <w:kern w:val="0"/>
          <w:lang w:val="fr-BE" w:eastAsia="en-US" w:bidi="ar-SA"/>
        </w:rPr>
        <w:t xml:space="preserve">toire des maladies infectueuses’, </w:t>
      </w:r>
      <w:r w:rsidRPr="00D147A7">
        <w:rPr>
          <w:rFonts w:eastAsiaTheme="minorEastAsia"/>
          <w:i/>
          <w:kern w:val="0"/>
          <w:lang w:val="fr-BE" w:eastAsia="en-US" w:bidi="ar-SA"/>
        </w:rPr>
        <w:t>Santé Publique</w:t>
      </w:r>
      <w:r w:rsidRPr="00D147A7">
        <w:rPr>
          <w:rFonts w:eastAsiaTheme="minorEastAsia"/>
          <w:kern w:val="0"/>
          <w:lang w:val="fr-BE" w:eastAsia="en-US" w:bidi="ar-SA"/>
        </w:rPr>
        <w:t xml:space="preserve">, 14/2 (2002), p. 165-178.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ARIES, P.; DUBY, G.; CHARTIER, R. (reds.), </w:t>
      </w:r>
      <w:r w:rsidRPr="00D147A7">
        <w:rPr>
          <w:rFonts w:eastAsiaTheme="minorEastAsia"/>
          <w:i/>
          <w:kern w:val="0"/>
          <w:lang w:val="fr-BE" w:eastAsia="en-US" w:bidi="ar-SA"/>
        </w:rPr>
        <w:t>Histoire de la vie privée. 3: De la Renaissan</w:t>
      </w:r>
      <w:r w:rsidR="00865F01">
        <w:rPr>
          <w:rFonts w:eastAsiaTheme="minorEastAsia"/>
          <w:i/>
          <w:kern w:val="0"/>
          <w:lang w:val="fr-BE" w:eastAsia="en-US" w:bidi="ar-SA"/>
        </w:rPr>
        <w:t>-</w:t>
      </w:r>
      <w:r w:rsidRPr="00D147A7">
        <w:rPr>
          <w:rFonts w:eastAsiaTheme="minorEastAsia"/>
          <w:i/>
          <w:kern w:val="0"/>
          <w:lang w:val="fr-BE" w:eastAsia="en-US" w:bidi="ar-SA"/>
        </w:rPr>
        <w:t>ce aux Lumières</w:t>
      </w:r>
      <w:r w:rsidRPr="00D147A7">
        <w:rPr>
          <w:rFonts w:eastAsiaTheme="minorEastAsia"/>
          <w:kern w:val="0"/>
          <w:lang w:val="fr-BE" w:eastAsia="en-US" w:bidi="ar-SA"/>
        </w:rPr>
        <w:t xml:space="preserve">, L’univers historique, Parijs, Seuil, 1986, 634p.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ARIES, P.; DUBY, G.; DUBY, G. (reds.), </w:t>
      </w:r>
      <w:r w:rsidRPr="00D147A7">
        <w:rPr>
          <w:rFonts w:eastAsiaTheme="minorEastAsia"/>
          <w:i/>
          <w:kern w:val="0"/>
          <w:lang w:val="fr-BE" w:eastAsia="en-US" w:bidi="ar-SA"/>
        </w:rPr>
        <w:t>Histoire de la vie privée. 2: De l’Europe féodale à la Renaissance</w:t>
      </w:r>
      <w:r w:rsidRPr="00D147A7">
        <w:rPr>
          <w:rFonts w:eastAsiaTheme="minorEastAsia"/>
          <w:kern w:val="0"/>
          <w:lang w:val="fr-BE" w:eastAsia="en-US" w:bidi="ar-SA"/>
        </w:rPr>
        <w:t>, L’univers historique, Parijs, Seuil, 1985, 636p.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ARIES, P.; DUBY, G.; PERROT, M. (reds.), </w:t>
      </w:r>
      <w:r w:rsidRPr="00D147A7">
        <w:rPr>
          <w:rFonts w:eastAsiaTheme="minorEastAsia"/>
          <w:i/>
          <w:kern w:val="0"/>
          <w:lang w:val="fr-BE" w:eastAsia="en-US" w:bidi="ar-SA"/>
        </w:rPr>
        <w:t>Histoire de la vie privée. 4: De la Révolution à la Grande guerre</w:t>
      </w:r>
      <w:r w:rsidRPr="00D147A7">
        <w:rPr>
          <w:rFonts w:eastAsiaTheme="minorEastAsia"/>
          <w:kern w:val="0"/>
          <w:lang w:val="fr-BE" w:eastAsia="en-US" w:bidi="ar-SA"/>
        </w:rPr>
        <w:t>, L’univers historique, Parijs, Seuil, 1987, 636p.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ARIES, P.; DUBY, G.; PROST, A. (reds.), </w:t>
      </w:r>
      <w:r w:rsidRPr="00D147A7">
        <w:rPr>
          <w:rFonts w:eastAsiaTheme="minorEastAsia"/>
          <w:i/>
          <w:kern w:val="0"/>
          <w:lang w:val="fr-BE" w:eastAsia="en-US" w:bidi="ar-SA"/>
        </w:rPr>
        <w:t>Histoire de la vie privée. 5: De la première guerre mondiale à nos jours</w:t>
      </w:r>
      <w:r w:rsidRPr="00D147A7">
        <w:rPr>
          <w:rFonts w:eastAsiaTheme="minorEastAsia"/>
          <w:kern w:val="0"/>
          <w:lang w:val="fr-BE" w:eastAsia="en-US" w:bidi="ar-SA"/>
        </w:rPr>
        <w:t>, L’univers historique, Parijs, Seuil, 1987, 634p.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ARIES, P.; DUBY, G.; VEYNE, P. (reds.), </w:t>
      </w:r>
      <w:r w:rsidRPr="00D147A7">
        <w:rPr>
          <w:rFonts w:eastAsiaTheme="minorEastAsia"/>
          <w:i/>
          <w:kern w:val="0"/>
          <w:lang w:val="fr-BE" w:eastAsia="en-US" w:bidi="ar-SA"/>
        </w:rPr>
        <w:t>Histoire de la vie privée. 1: De l’empire romain à l’an mil</w:t>
      </w:r>
      <w:r w:rsidRPr="00D147A7">
        <w:rPr>
          <w:rFonts w:eastAsiaTheme="minorEastAsia"/>
          <w:kern w:val="0"/>
          <w:lang w:val="fr-BE" w:eastAsia="en-US" w:bidi="ar-SA"/>
        </w:rPr>
        <w:t>, L’univers historique, Parijs, Seuil, 1985, 634p.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lastRenderedPageBreak/>
        <w:t xml:space="preserve">BERGEROT, P., ‘L’accès direct du patient à sa base de données médicales partagées sur un internet sécurisé’, </w:t>
      </w:r>
      <w:r w:rsidRPr="00D147A7">
        <w:rPr>
          <w:rFonts w:eastAsiaTheme="minorEastAsia"/>
          <w:i/>
          <w:kern w:val="0"/>
          <w:lang w:val="fr-BE" w:eastAsia="en-US" w:bidi="ar-SA"/>
        </w:rPr>
        <w:t>A.J.S.</w:t>
      </w:r>
      <w:r w:rsidRPr="00D147A7">
        <w:rPr>
          <w:rFonts w:eastAsiaTheme="minorEastAsia"/>
          <w:kern w:val="0"/>
          <w:lang w:val="fr-BE" w:eastAsia="en-US" w:bidi="ar-SA"/>
        </w:rPr>
        <w:t>, 37 (2002), p. 23-29.</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BAUDRILLARD, J.; TURNER, C. (vert.); </w:t>
      </w:r>
      <w:r w:rsidRPr="00D147A7">
        <w:rPr>
          <w:rFonts w:eastAsiaTheme="minorEastAsia"/>
          <w:i/>
          <w:kern w:val="0"/>
          <w:lang w:val="en-US" w:eastAsia="en-US" w:bidi="ar-SA"/>
        </w:rPr>
        <w:t>Screened out</w:t>
      </w:r>
      <w:r w:rsidRPr="00D147A7">
        <w:rPr>
          <w:rFonts w:eastAsiaTheme="minorEastAsia"/>
          <w:kern w:val="0"/>
          <w:lang w:val="en-US" w:eastAsia="en-US" w:bidi="ar-SA"/>
        </w:rPr>
        <w:t>, Londen – New York, Verso, 2002, 213p.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BRISSET-VIGNEAU, F., ‘Le dossier médical: le secret ne doit pas cacher la vérité’, </w:t>
      </w:r>
      <w:r w:rsidRPr="00D147A7">
        <w:rPr>
          <w:rFonts w:eastAsiaTheme="minorEastAsia"/>
          <w:i/>
          <w:kern w:val="0"/>
          <w:lang w:val="fr-BE" w:eastAsia="en-US" w:bidi="ar-SA"/>
        </w:rPr>
        <w:t>La santé de l’homme</w:t>
      </w:r>
      <w:r w:rsidRPr="00D147A7">
        <w:rPr>
          <w:rFonts w:eastAsiaTheme="minorEastAsia"/>
          <w:kern w:val="0"/>
          <w:lang w:val="fr-BE" w:eastAsia="en-US" w:bidi="ar-SA"/>
        </w:rPr>
        <w:t xml:space="preserve">, 285 (1990), p. 38-39.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BRONDEL, S., ‘Le livre Le Grand Secret ne pouvait pas être définitivement censuré’, </w:t>
      </w:r>
      <w:r w:rsidRPr="00D147A7">
        <w:rPr>
          <w:rFonts w:eastAsiaTheme="minorEastAsia"/>
          <w:i/>
          <w:kern w:val="0"/>
          <w:lang w:val="fr-BE" w:eastAsia="en-US" w:bidi="ar-SA"/>
        </w:rPr>
        <w:t>A.J.D.A.</w:t>
      </w:r>
      <w:r w:rsidRPr="00D147A7">
        <w:rPr>
          <w:rFonts w:eastAsiaTheme="minorEastAsia"/>
          <w:kern w:val="0"/>
          <w:lang w:val="fr-BE" w:eastAsia="en-US" w:bidi="ar-SA"/>
        </w:rPr>
        <w:t>, 2004, 21, p. 1110.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BUFFELAN-LANORE, Y.; LARRIBAU-TERNEYRE, V.; </w:t>
      </w:r>
      <w:r w:rsidRPr="00D147A7">
        <w:rPr>
          <w:rFonts w:eastAsiaTheme="minorEastAsia"/>
          <w:i/>
          <w:kern w:val="0"/>
          <w:lang w:val="fr-BE" w:eastAsia="en-US" w:bidi="ar-SA"/>
        </w:rPr>
        <w:t>Droit Civil. Introduction: Biens, Personnes, Famille</w:t>
      </w:r>
      <w:r w:rsidRPr="00D147A7">
        <w:rPr>
          <w:rFonts w:eastAsiaTheme="minorEastAsia"/>
          <w:kern w:val="0"/>
          <w:lang w:val="fr-BE" w:eastAsia="en-US" w:bidi="ar-SA"/>
        </w:rPr>
        <w:t>, Parijs, Dalloz, 2011</w:t>
      </w:r>
      <w:r w:rsidRPr="00D147A7">
        <w:rPr>
          <w:rFonts w:eastAsiaTheme="minorEastAsia"/>
          <w:kern w:val="0"/>
          <w:vertAlign w:val="superscript"/>
          <w:lang w:val="fr-BE" w:eastAsia="en-US" w:bidi="ar-SA"/>
        </w:rPr>
        <w:t>17</w:t>
      </w:r>
      <w:r w:rsidRPr="00D147A7">
        <w:rPr>
          <w:rFonts w:eastAsiaTheme="minorEastAsia"/>
          <w:kern w:val="0"/>
          <w:lang w:val="fr-BE" w:eastAsia="en-US" w:bidi="ar-SA"/>
        </w:rPr>
        <w:t xml:space="preserve">, 988p.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CAPORAL, S.; LUTHER, J.; VERNIER, O. (reds.); </w:t>
      </w:r>
      <w:r w:rsidRPr="00D147A7">
        <w:rPr>
          <w:rFonts w:eastAsiaTheme="minorEastAsia"/>
          <w:i/>
          <w:kern w:val="0"/>
          <w:lang w:val="en-US" w:eastAsia="en-US" w:bidi="ar-SA"/>
        </w:rPr>
        <w:t>Constitutional Documents of France, Corsica and Monaco 1789-1848</w:t>
      </w:r>
      <w:r w:rsidRPr="00D147A7">
        <w:rPr>
          <w:rFonts w:eastAsiaTheme="minorEastAsia"/>
          <w:kern w:val="0"/>
          <w:lang w:val="en-US" w:eastAsia="en-US" w:bidi="ar-SA"/>
        </w:rPr>
        <w:t>, DIPPEL, H. (red.), Constitutions of the World from the late 18th Century to the Middle of the 19th Century: sources on the rise of modern constitutiona</w:t>
      </w:r>
      <w:r w:rsidR="00865F01">
        <w:rPr>
          <w:rFonts w:eastAsiaTheme="minorEastAsia"/>
          <w:kern w:val="0"/>
          <w:lang w:val="en-US" w:eastAsia="en-US" w:bidi="ar-SA"/>
        </w:rPr>
        <w:t>-</w:t>
      </w:r>
      <w:r w:rsidRPr="00D147A7">
        <w:rPr>
          <w:rFonts w:eastAsiaTheme="minorEastAsia"/>
          <w:kern w:val="0"/>
          <w:lang w:val="en-US" w:eastAsia="en-US" w:bidi="ar-SA"/>
        </w:rPr>
        <w:t>lism. Europe, 11, Berlijn-New York, De Gruyter Saur,  2009, 279p.</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CELERIER, I., ‘Instruction et secret médical’, </w:t>
      </w:r>
      <w:r w:rsidRPr="00D147A7">
        <w:rPr>
          <w:rFonts w:eastAsiaTheme="minorEastAsia"/>
          <w:i/>
          <w:kern w:val="0"/>
          <w:lang w:val="en-US" w:eastAsia="en-US" w:bidi="ar-SA"/>
        </w:rPr>
        <w:t>SWAPS</w:t>
      </w:r>
      <w:r w:rsidRPr="00D147A7">
        <w:rPr>
          <w:rFonts w:eastAsiaTheme="minorEastAsia"/>
          <w:kern w:val="0"/>
          <w:lang w:val="en-US" w:eastAsia="en-US" w:bidi="ar-SA"/>
        </w:rPr>
        <w:t>, 18 (2000), p. 5 (</w:t>
      </w:r>
      <w:hyperlink w:history="1">
        <w:r w:rsidR="002720ED" w:rsidRPr="00D147A7">
          <w:rPr>
            <w:rStyle w:val="Hyperlink"/>
            <w:rFonts w:eastAsiaTheme="minorEastAsia"/>
            <w:kern w:val="0"/>
            <w:lang w:val="en-US" w:eastAsia="en-US" w:bidi="ar-SA"/>
          </w:rPr>
          <w:t>http://fulltext.bdsp. ehesp.fr/Crips/Swaps/2000/18/S38777.pdf</w:t>
        </w:r>
      </w:hyperlink>
      <w:r w:rsidRPr="00D147A7">
        <w:rPr>
          <w:rFonts w:eastAsiaTheme="minorEastAsia"/>
          <w:kern w:val="0"/>
          <w:lang w:val="en-US"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CHEVALLIER, J., ‘COB, CNIL, CNCL et cie: la Philosophie des autorités administratives indépendantes’, </w:t>
      </w:r>
      <w:r w:rsidRPr="00D147A7">
        <w:rPr>
          <w:rFonts w:eastAsiaTheme="minorEastAsia"/>
          <w:i/>
          <w:kern w:val="0"/>
          <w:lang w:val="fr-BE" w:eastAsia="en-US" w:bidi="ar-SA"/>
        </w:rPr>
        <w:t>Regards sur l’actualité</w:t>
      </w:r>
      <w:r w:rsidRPr="00D147A7">
        <w:rPr>
          <w:rFonts w:eastAsiaTheme="minorEastAsia"/>
          <w:kern w:val="0"/>
          <w:lang w:val="fr-BE" w:eastAsia="en-US" w:bidi="ar-SA"/>
        </w:rPr>
        <w:t xml:space="preserve">, 146 (1988), p. 13-28.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COLE, A., </w:t>
      </w:r>
      <w:r w:rsidRPr="00D147A7">
        <w:rPr>
          <w:rFonts w:eastAsiaTheme="minorEastAsia"/>
          <w:i/>
          <w:kern w:val="0"/>
          <w:lang w:val="en-US" w:eastAsia="en-US" w:bidi="ar-SA"/>
        </w:rPr>
        <w:t>François Mitterrand: A Study in Political Leadership</w:t>
      </w:r>
      <w:r w:rsidRPr="00D147A7">
        <w:rPr>
          <w:rFonts w:eastAsiaTheme="minorEastAsia"/>
          <w:kern w:val="0"/>
          <w:lang w:val="en-US" w:eastAsia="en-US" w:bidi="ar-SA"/>
        </w:rPr>
        <w:t>, Londen, Routledge, 1994, 216p.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CONCE-CHEMTOB, M.C., ‘La protection des données de santé à caractère personnel’, </w:t>
      </w:r>
      <w:r w:rsidRPr="00D147A7">
        <w:rPr>
          <w:rFonts w:eastAsiaTheme="minorEastAsia"/>
          <w:i/>
          <w:kern w:val="0"/>
          <w:lang w:val="fr-BE" w:eastAsia="en-US" w:bidi="ar-SA"/>
        </w:rPr>
        <w:t>R.G.D.M.</w:t>
      </w:r>
      <w:r w:rsidRPr="00D147A7">
        <w:rPr>
          <w:rFonts w:eastAsiaTheme="minorEastAsia"/>
          <w:kern w:val="0"/>
          <w:lang w:val="fr-BE" w:eastAsia="en-US" w:bidi="ar-SA"/>
        </w:rPr>
        <w:t>, 2003, 10, p. 111-126.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COUSSIRAT-COUSTERE, V., ‘Article 8, § 2’, PETTITI, L.E.; DECAUX, E.; IMBERT, P.H. (reds.); </w:t>
      </w:r>
      <w:r w:rsidRPr="00D147A7">
        <w:rPr>
          <w:rFonts w:eastAsiaTheme="minorEastAsia"/>
          <w:i/>
          <w:kern w:val="0"/>
          <w:lang w:val="fr-BE" w:eastAsia="en-US" w:bidi="ar-SA"/>
        </w:rPr>
        <w:t>La convention européenne des droits de l’homme: commentaire article par arti</w:t>
      </w:r>
      <w:r w:rsidR="00865F01">
        <w:rPr>
          <w:rFonts w:eastAsiaTheme="minorEastAsia"/>
          <w:i/>
          <w:kern w:val="0"/>
          <w:lang w:val="fr-BE" w:eastAsia="en-US" w:bidi="ar-SA"/>
        </w:rPr>
        <w:t>-</w:t>
      </w:r>
      <w:r w:rsidRPr="00D147A7">
        <w:rPr>
          <w:rFonts w:eastAsiaTheme="minorEastAsia"/>
          <w:i/>
          <w:kern w:val="0"/>
          <w:lang w:val="fr-BE" w:eastAsia="en-US" w:bidi="ar-SA"/>
        </w:rPr>
        <w:t>cle</w:t>
      </w:r>
      <w:r w:rsidRPr="00D147A7">
        <w:rPr>
          <w:rFonts w:eastAsiaTheme="minorEastAsia"/>
          <w:kern w:val="0"/>
          <w:lang w:val="fr-BE" w:eastAsia="en-US" w:bidi="ar-SA"/>
        </w:rPr>
        <w:t>, Parijs, Economica, 1995, p. 323-351.</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DEBET, A., ‘Informatique et libertés: faut-il aujourd’hui reviser la directive 95/46/CE rela</w:t>
      </w:r>
      <w:r w:rsidR="00865F01">
        <w:rPr>
          <w:rFonts w:eastAsiaTheme="minorEastAsia"/>
          <w:kern w:val="0"/>
          <w:lang w:val="fr-BE" w:eastAsia="en-US" w:bidi="ar-SA"/>
        </w:rPr>
        <w:t>-</w:t>
      </w:r>
      <w:r w:rsidRPr="00D147A7">
        <w:rPr>
          <w:rFonts w:eastAsiaTheme="minorEastAsia"/>
          <w:kern w:val="0"/>
          <w:lang w:val="fr-BE" w:eastAsia="en-US" w:bidi="ar-SA"/>
        </w:rPr>
        <w:t xml:space="preserve">tive à la protection des données personnelles?’, </w:t>
      </w:r>
      <w:r w:rsidRPr="00D147A7">
        <w:rPr>
          <w:rFonts w:eastAsiaTheme="minorEastAsia"/>
          <w:i/>
          <w:kern w:val="0"/>
          <w:lang w:val="fr-BE" w:eastAsia="en-US" w:bidi="ar-SA"/>
        </w:rPr>
        <w:t>Recueil Dalloz</w:t>
      </w:r>
      <w:r w:rsidRPr="00D147A7">
        <w:rPr>
          <w:rFonts w:eastAsiaTheme="minorEastAsia"/>
          <w:kern w:val="0"/>
          <w:lang w:val="fr-BE" w:eastAsia="en-US" w:bidi="ar-SA"/>
        </w:rPr>
        <w:t>, 187/15 (2011), p. 1034-1039.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DE LAMBERTERIE, I., ‘Protection de la vie privée et traitement des données relatives à la santé à l’heure européenne’, </w:t>
      </w:r>
      <w:r w:rsidRPr="00D147A7">
        <w:rPr>
          <w:rFonts w:eastAsiaTheme="minorEastAsia"/>
          <w:i/>
          <w:kern w:val="0"/>
          <w:lang w:val="fr-BE" w:eastAsia="en-US" w:bidi="ar-SA"/>
        </w:rPr>
        <w:t>M.D.</w:t>
      </w:r>
      <w:r w:rsidRPr="00D147A7">
        <w:rPr>
          <w:rFonts w:eastAsiaTheme="minorEastAsia"/>
          <w:kern w:val="0"/>
          <w:lang w:val="fr-BE" w:eastAsia="en-US" w:bidi="ar-SA"/>
        </w:rPr>
        <w:t xml:space="preserve">, 1996, 20, p. 6-12.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DELPRAT, L., ‘Du secret médical au secret d’Etat… ou la justification d’une violation du se</w:t>
      </w:r>
      <w:r w:rsidR="00865F01">
        <w:rPr>
          <w:rFonts w:eastAsiaTheme="minorEastAsia"/>
          <w:kern w:val="0"/>
          <w:lang w:val="fr-BE" w:eastAsia="en-US" w:bidi="ar-SA"/>
        </w:rPr>
        <w:t>-</w:t>
      </w:r>
      <w:r w:rsidRPr="00D147A7">
        <w:rPr>
          <w:rFonts w:eastAsiaTheme="minorEastAsia"/>
          <w:kern w:val="0"/>
          <w:lang w:val="fr-BE" w:eastAsia="en-US" w:bidi="ar-SA"/>
        </w:rPr>
        <w:t xml:space="preserve">cret médical par la protection de liberté d’expression’, </w:t>
      </w:r>
      <w:r w:rsidRPr="00D147A7">
        <w:rPr>
          <w:rFonts w:eastAsiaTheme="minorEastAsia"/>
          <w:i/>
          <w:kern w:val="0"/>
          <w:lang w:val="fr-BE" w:eastAsia="en-US" w:bidi="ar-SA"/>
        </w:rPr>
        <w:t>M.D.</w:t>
      </w:r>
      <w:r w:rsidRPr="00D147A7">
        <w:rPr>
          <w:rFonts w:eastAsiaTheme="minorEastAsia"/>
          <w:kern w:val="0"/>
          <w:lang w:val="fr-BE" w:eastAsia="en-US" w:bidi="ar-SA"/>
        </w:rPr>
        <w:t>, 76 (2006), p. 1-10.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DEMONPION, D.; LEGER, L.; </w:t>
      </w:r>
      <w:r w:rsidRPr="00D147A7">
        <w:rPr>
          <w:rFonts w:eastAsiaTheme="minorEastAsia"/>
          <w:i/>
          <w:kern w:val="0"/>
          <w:lang w:val="fr-BE" w:eastAsia="en-US" w:bidi="ar-SA"/>
        </w:rPr>
        <w:t>Le Dernier Tabou: révélations sur la santé des présidents</w:t>
      </w:r>
      <w:r w:rsidRPr="00D147A7">
        <w:rPr>
          <w:rFonts w:eastAsiaTheme="minorEastAsia"/>
          <w:kern w:val="0"/>
          <w:lang w:val="fr-BE" w:eastAsia="en-US" w:bidi="ar-SA"/>
        </w:rPr>
        <w:t>, Histoire secrete, Parijs, Pygmalion, 2012, 320p.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DUBOUT, E., ‘Le passé, l’histoire et la politique (arrêts Plon (société) du 18 mai 2004 [Af</w:t>
      </w:r>
      <w:r w:rsidR="00865F01">
        <w:rPr>
          <w:rFonts w:eastAsiaTheme="minorEastAsia"/>
          <w:kern w:val="0"/>
          <w:lang w:val="fr-BE" w:eastAsia="en-US" w:bidi="ar-SA"/>
        </w:rPr>
        <w:t>-</w:t>
      </w:r>
      <w:r w:rsidRPr="00D147A7">
        <w:rPr>
          <w:rFonts w:eastAsiaTheme="minorEastAsia"/>
          <w:kern w:val="0"/>
          <w:lang w:val="fr-BE" w:eastAsia="en-US" w:bidi="ar-SA"/>
        </w:rPr>
        <w:t xml:space="preserve">faire du ‘grand secret’] et Chauvy et autres du 29 juin 2004 [Affaire des époux Aubrac])’, </w:t>
      </w:r>
      <w:r w:rsidRPr="00D147A7">
        <w:rPr>
          <w:rFonts w:eastAsiaTheme="minorEastAsia"/>
          <w:i/>
          <w:kern w:val="0"/>
          <w:lang w:val="fr-BE" w:eastAsia="en-US" w:bidi="ar-SA"/>
        </w:rPr>
        <w:t>La France et la Cour européenne des droits de l’homme. La jurisprudence en 2004. Présentation, commentaires et débats, Cahiers du CREDHO</w:t>
      </w:r>
      <w:r w:rsidRPr="00D147A7">
        <w:rPr>
          <w:rFonts w:eastAsiaTheme="minorEastAsia"/>
          <w:kern w:val="0"/>
          <w:lang w:val="fr-BE" w:eastAsia="en-US" w:bidi="ar-SA"/>
        </w:rPr>
        <w:t>, 11/2005, 2006, p. 185-216.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FERRAUD-CIANDET, N., ‘Sécurité et confidentialité des données de santé dans l’Union européenne. Le cadre légal applicable aux dossiers médicaux électroniques nationaux’, </w:t>
      </w:r>
      <w:r w:rsidRPr="00D147A7">
        <w:rPr>
          <w:rFonts w:eastAsiaTheme="minorEastAsia"/>
          <w:i/>
          <w:kern w:val="0"/>
          <w:lang w:val="fr-BE" w:eastAsia="en-US" w:bidi="ar-SA"/>
        </w:rPr>
        <w:t>R.E.D.C.</w:t>
      </w:r>
      <w:r w:rsidRPr="00D147A7">
        <w:rPr>
          <w:rFonts w:eastAsiaTheme="minorEastAsia"/>
          <w:kern w:val="0"/>
          <w:lang w:val="fr-BE" w:eastAsia="en-US" w:bidi="ar-SA"/>
        </w:rPr>
        <w:t xml:space="preserve">, 2007-2008, 3, p. 417-424; </w:t>
      </w:r>
      <w:r w:rsidRPr="00D147A7">
        <w:rPr>
          <w:rFonts w:eastAsiaTheme="minorEastAsia"/>
          <w:i/>
          <w:kern w:val="0"/>
          <w:lang w:val="fr-BE" w:eastAsia="en-US" w:bidi="ar-SA"/>
        </w:rPr>
        <w:t>J.D.E.</w:t>
      </w:r>
      <w:r w:rsidRPr="00D147A7">
        <w:rPr>
          <w:rFonts w:eastAsiaTheme="minorEastAsia"/>
          <w:kern w:val="0"/>
          <w:lang w:val="fr-BE" w:eastAsia="en-US" w:bidi="ar-SA"/>
        </w:rPr>
        <w:t>, 155 (2009), p. 12-14.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FEUGAS, M., ‘Réforme de la loi informatique et libertés et données personnelles de santé’, </w:t>
      </w:r>
      <w:r w:rsidRPr="00D147A7">
        <w:rPr>
          <w:rFonts w:eastAsiaTheme="minorEastAsia"/>
          <w:i/>
          <w:kern w:val="0"/>
          <w:lang w:val="fr-BE" w:eastAsia="en-US" w:bidi="ar-SA"/>
        </w:rPr>
        <w:t>Techniques hospitalières</w:t>
      </w:r>
      <w:r w:rsidRPr="00D147A7">
        <w:rPr>
          <w:rFonts w:eastAsiaTheme="minorEastAsia"/>
          <w:kern w:val="0"/>
          <w:lang w:val="fr-BE" w:eastAsia="en-US" w:bidi="ar-SA"/>
        </w:rPr>
        <w:t xml:space="preserve">, 691 (2005), p. 17-22.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FLICHY, P., ‘Les communications de l’intimité: Les nouvelles frontières de la vie privée’, </w:t>
      </w:r>
      <w:r w:rsidRPr="00D147A7">
        <w:rPr>
          <w:rFonts w:eastAsiaTheme="minorEastAsia"/>
          <w:i/>
          <w:kern w:val="0"/>
          <w:lang w:val="fr-BE" w:eastAsia="en-US" w:bidi="ar-SA"/>
        </w:rPr>
        <w:t>Sciences humaine</w:t>
      </w:r>
      <w:r w:rsidRPr="00D147A7">
        <w:rPr>
          <w:rFonts w:eastAsiaTheme="minorEastAsia"/>
          <w:kern w:val="0"/>
          <w:lang w:val="fr-BE" w:eastAsia="en-US" w:bidi="ar-SA"/>
        </w:rPr>
        <w:t>, 140 (2003), p. 36-39.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FRAYSINNET, J.; FAUVET, J.; </w:t>
      </w:r>
      <w:r w:rsidRPr="00D147A7">
        <w:rPr>
          <w:rFonts w:eastAsiaTheme="minorEastAsia"/>
          <w:i/>
          <w:kern w:val="0"/>
          <w:lang w:val="fr-BE" w:eastAsia="en-US" w:bidi="ar-SA"/>
        </w:rPr>
        <w:t>Informatique, fichiers et liberté: les règles, les sanctions, la doctrine de la CNIL</w:t>
      </w:r>
      <w:r w:rsidRPr="00D147A7">
        <w:rPr>
          <w:rFonts w:eastAsiaTheme="minorEastAsia"/>
          <w:kern w:val="0"/>
          <w:lang w:val="fr-BE" w:eastAsia="en-US" w:bidi="ar-SA"/>
        </w:rPr>
        <w:t>, Parijs, Litec, 1992, 229p.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FRAYSSINET, J., ‘Loi ‘informatique et libertés’ et durée de conservation des données per</w:t>
      </w:r>
      <w:r w:rsidR="00865F01">
        <w:rPr>
          <w:rFonts w:eastAsiaTheme="minorEastAsia"/>
          <w:kern w:val="0"/>
          <w:lang w:val="fr-BE" w:eastAsia="en-US" w:bidi="ar-SA"/>
        </w:rPr>
        <w:t>-</w:t>
      </w:r>
      <w:r w:rsidRPr="00D147A7">
        <w:rPr>
          <w:rFonts w:eastAsiaTheme="minorEastAsia"/>
          <w:kern w:val="0"/>
          <w:lang w:val="fr-BE" w:eastAsia="en-US" w:bidi="ar-SA"/>
        </w:rPr>
        <w:t xml:space="preserve">sonnelles’, </w:t>
      </w:r>
      <w:r w:rsidRPr="00D147A7">
        <w:rPr>
          <w:rFonts w:eastAsiaTheme="minorEastAsia"/>
          <w:i/>
          <w:kern w:val="0"/>
          <w:lang w:val="fr-BE" w:eastAsia="en-US" w:bidi="ar-SA"/>
        </w:rPr>
        <w:t>R.L.D.I.</w:t>
      </w:r>
      <w:r w:rsidRPr="00D147A7">
        <w:rPr>
          <w:rFonts w:eastAsiaTheme="minorEastAsia"/>
          <w:kern w:val="0"/>
          <w:lang w:val="fr-BE" w:eastAsia="en-US" w:bidi="ar-SA"/>
        </w:rPr>
        <w:t xml:space="preserve">, 28 (2007), p. 27-29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FROCHOT, D., ‘Le droit à l’oubli numérique: nouvelle donne sur internet’, </w:t>
      </w:r>
      <w:r w:rsidRPr="00D147A7">
        <w:rPr>
          <w:rFonts w:eastAsiaTheme="minorEastAsia"/>
          <w:i/>
          <w:kern w:val="0"/>
          <w:lang w:val="fr-BE" w:eastAsia="en-US" w:bidi="ar-SA"/>
        </w:rPr>
        <w:t>Archimag</w:t>
      </w:r>
      <w:r w:rsidRPr="00D147A7">
        <w:rPr>
          <w:rFonts w:eastAsiaTheme="minorEastAsia"/>
          <w:kern w:val="0"/>
          <w:lang w:val="fr-BE" w:eastAsia="en-US" w:bidi="ar-SA"/>
        </w:rPr>
        <w:t xml:space="preserve">, 235 (2010), p. 42-43.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lastRenderedPageBreak/>
        <w:t>GALY, M.; SEGUI-SAULNIER, S.; ‘Les relations entre l'hôpital, la police et la justice: élé</w:t>
      </w:r>
      <w:r w:rsidR="00865F01">
        <w:rPr>
          <w:rFonts w:eastAsiaTheme="minorEastAsia"/>
          <w:kern w:val="0"/>
          <w:lang w:val="fr-BE" w:eastAsia="en-US" w:bidi="ar-SA"/>
        </w:rPr>
        <w:t>-</w:t>
      </w:r>
      <w:r w:rsidRPr="00D147A7">
        <w:rPr>
          <w:rFonts w:eastAsiaTheme="minorEastAsia"/>
          <w:kern w:val="0"/>
          <w:lang w:val="fr-BE" w:eastAsia="en-US" w:bidi="ar-SA"/>
        </w:rPr>
        <w:t xml:space="preserve">ments de base. Le secret et les dérogations légales’, </w:t>
      </w:r>
      <w:r w:rsidRPr="00D147A7">
        <w:rPr>
          <w:rFonts w:eastAsiaTheme="minorEastAsia"/>
          <w:i/>
          <w:kern w:val="0"/>
          <w:lang w:val="fr-BE" w:eastAsia="en-US" w:bidi="ar-SA"/>
        </w:rPr>
        <w:t>A.J.S.</w:t>
      </w:r>
      <w:r w:rsidRPr="00D147A7">
        <w:rPr>
          <w:rFonts w:eastAsiaTheme="minorEastAsia"/>
          <w:kern w:val="0"/>
          <w:lang w:val="fr-BE" w:eastAsia="en-US" w:bidi="ar-SA"/>
        </w:rPr>
        <w:t xml:space="preserve">, 48 (2004), p. 18-22.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GAUDEMET, M.; PERRAY, R.; ‘Le renforcement du rôle de la CNIL après 2004’, </w:t>
      </w:r>
      <w:r w:rsidRPr="00D147A7">
        <w:rPr>
          <w:rFonts w:eastAsiaTheme="minorEastAsia"/>
          <w:i/>
          <w:kern w:val="0"/>
          <w:lang w:val="fr-BE" w:eastAsia="en-US" w:bidi="ar-SA"/>
        </w:rPr>
        <w:t>Regards sur l’actualité</w:t>
      </w:r>
      <w:r w:rsidRPr="00D147A7">
        <w:rPr>
          <w:rFonts w:eastAsiaTheme="minorEastAsia"/>
          <w:kern w:val="0"/>
          <w:lang w:val="fr-BE" w:eastAsia="en-US" w:bidi="ar-SA"/>
        </w:rPr>
        <w:t>, 327 (2007), p. 71-84.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GONOD, M., </w:t>
      </w:r>
      <w:r w:rsidRPr="00D147A7">
        <w:rPr>
          <w:rFonts w:eastAsiaTheme="minorEastAsia"/>
          <w:i/>
          <w:kern w:val="0"/>
          <w:lang w:val="fr-BE" w:eastAsia="en-US" w:bidi="ar-SA"/>
        </w:rPr>
        <w:t>Le Secret Du Docteur Gubler</w:t>
      </w:r>
      <w:r w:rsidRPr="00D147A7">
        <w:rPr>
          <w:rFonts w:eastAsiaTheme="minorEastAsia"/>
          <w:kern w:val="0"/>
          <w:lang w:val="fr-BE" w:eastAsia="en-US" w:bidi="ar-SA"/>
        </w:rPr>
        <w:t>, Parijs-Monaco, Editions du Rocher, 1997, 181p.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GRIBEAUVAL, J.P., ‘Droit: Les données de santé personnelles et les tiers’, </w:t>
      </w:r>
      <w:r w:rsidRPr="00D147A7">
        <w:rPr>
          <w:rFonts w:eastAsiaTheme="minorEastAsia"/>
          <w:i/>
          <w:kern w:val="0"/>
          <w:lang w:val="fr-BE" w:eastAsia="en-US" w:bidi="ar-SA"/>
        </w:rPr>
        <w:t>La Revue Pré</w:t>
      </w:r>
      <w:r w:rsidR="00865F01">
        <w:rPr>
          <w:rFonts w:eastAsiaTheme="minorEastAsia"/>
          <w:i/>
          <w:kern w:val="0"/>
          <w:lang w:val="fr-BE" w:eastAsia="en-US" w:bidi="ar-SA"/>
        </w:rPr>
        <w:t>-</w:t>
      </w:r>
      <w:r w:rsidRPr="00D147A7">
        <w:rPr>
          <w:rFonts w:eastAsiaTheme="minorEastAsia"/>
          <w:i/>
          <w:kern w:val="0"/>
          <w:lang w:val="fr-BE" w:eastAsia="en-US" w:bidi="ar-SA"/>
        </w:rPr>
        <w:t>scrire</w:t>
      </w:r>
      <w:r w:rsidRPr="00D147A7">
        <w:rPr>
          <w:rFonts w:eastAsiaTheme="minorEastAsia"/>
          <w:kern w:val="0"/>
          <w:lang w:val="fr-BE" w:eastAsia="en-US" w:bidi="ar-SA"/>
        </w:rPr>
        <w:t xml:space="preserve">, 240 (2003), p. 466-468.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GUBLER, C.; GONOD, M.; </w:t>
      </w:r>
      <w:r w:rsidRPr="00D147A7">
        <w:rPr>
          <w:rFonts w:eastAsiaTheme="minorEastAsia"/>
          <w:i/>
          <w:kern w:val="0"/>
          <w:lang w:val="fr-BE" w:eastAsia="en-US" w:bidi="ar-SA"/>
        </w:rPr>
        <w:t>Le Grand Secret</w:t>
      </w:r>
      <w:r w:rsidRPr="00D147A7">
        <w:rPr>
          <w:rFonts w:eastAsiaTheme="minorEastAsia"/>
          <w:kern w:val="0"/>
          <w:lang w:val="fr-BE" w:eastAsia="en-US" w:bidi="ar-SA"/>
        </w:rPr>
        <w:t>, Parijs, Plon, 1995, 198p.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HASSLER, T., ‘Droits de la personnalité: rediffusion et droit à l’oubli’, </w:t>
      </w:r>
      <w:r w:rsidRPr="00D147A7">
        <w:rPr>
          <w:rFonts w:eastAsiaTheme="minorEastAsia"/>
          <w:i/>
          <w:kern w:val="0"/>
          <w:lang w:val="fr-BE" w:eastAsia="en-US" w:bidi="ar-SA"/>
        </w:rPr>
        <w:t>Recueil Dalloz</w:t>
      </w:r>
      <w:r w:rsidRPr="00D147A7">
        <w:rPr>
          <w:rFonts w:eastAsiaTheme="minorEastAsia"/>
          <w:kern w:val="0"/>
          <w:lang w:val="fr-BE" w:eastAsia="en-US" w:bidi="ar-SA"/>
        </w:rPr>
        <w:t xml:space="preserve">, 183/40 (2007), p. 2829-2832.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HERAIL, T., ‘Le droit à l’oubli comme éthique de l’archivage du dossier du patient informa</w:t>
      </w:r>
      <w:r w:rsidR="00865F01">
        <w:rPr>
          <w:rFonts w:eastAsiaTheme="minorEastAsia"/>
          <w:kern w:val="0"/>
          <w:lang w:val="fr-BE" w:eastAsia="en-US" w:bidi="ar-SA"/>
        </w:rPr>
        <w:t>-</w:t>
      </w:r>
      <w:r w:rsidRPr="00D147A7">
        <w:rPr>
          <w:rFonts w:eastAsiaTheme="minorEastAsia"/>
          <w:kern w:val="0"/>
          <w:lang w:val="fr-BE" w:eastAsia="en-US" w:bidi="ar-SA"/>
        </w:rPr>
        <w:t xml:space="preserve">tisé’, </w:t>
      </w:r>
      <w:r w:rsidRPr="00D147A7">
        <w:rPr>
          <w:rFonts w:eastAsiaTheme="minorEastAsia"/>
          <w:i/>
          <w:kern w:val="0"/>
          <w:lang w:val="fr-BE" w:eastAsia="en-US" w:bidi="ar-SA"/>
        </w:rPr>
        <w:t>Soins Psychiatrie</w:t>
      </w:r>
      <w:r w:rsidRPr="00D147A7">
        <w:rPr>
          <w:rFonts w:eastAsiaTheme="minorEastAsia"/>
          <w:kern w:val="0"/>
          <w:lang w:val="fr-BE" w:eastAsia="en-US" w:bidi="ar-SA"/>
        </w:rPr>
        <w:t>, 238 (2005), p. 31-33.</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HIRECHE, H.; EL MOHTARIM, B.; ‘Le secret médical’, </w:t>
      </w:r>
      <w:r w:rsidRPr="00D147A7">
        <w:rPr>
          <w:rFonts w:eastAsiaTheme="minorEastAsia"/>
          <w:i/>
          <w:kern w:val="0"/>
          <w:lang w:val="fr-BE" w:eastAsia="en-US" w:bidi="ar-SA"/>
        </w:rPr>
        <w:t>E.M.</w:t>
      </w:r>
      <w:r w:rsidRPr="00D147A7">
        <w:rPr>
          <w:rFonts w:eastAsiaTheme="minorEastAsia"/>
          <w:kern w:val="0"/>
          <w:lang w:val="fr-BE" w:eastAsia="en-US" w:bidi="ar-SA"/>
        </w:rPr>
        <w:t xml:space="preserve">, 90 (2003), p. 12-16.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HOEBEKE, S., ‘Le grand secret’, </w:t>
      </w:r>
      <w:r w:rsidRPr="00D147A7">
        <w:rPr>
          <w:rFonts w:eastAsiaTheme="minorEastAsia"/>
          <w:i/>
          <w:kern w:val="0"/>
          <w:lang w:val="fr-BE" w:eastAsia="en-US" w:bidi="ar-SA"/>
        </w:rPr>
        <w:t>Le Journal du Juriste</w:t>
      </w:r>
      <w:r w:rsidRPr="00D147A7">
        <w:rPr>
          <w:rFonts w:eastAsiaTheme="minorEastAsia"/>
          <w:kern w:val="0"/>
          <w:lang w:val="fr-BE" w:eastAsia="en-US" w:bidi="ar-SA"/>
        </w:rPr>
        <w:t>, 33 (2004), p. 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LAKBIRI, A.; BENYAICH, H.; EL KHALIL, M.; ‘Secret médical et certificats médicaux: les certificats médicaux’, </w:t>
      </w:r>
      <w:r w:rsidRPr="00D147A7">
        <w:rPr>
          <w:rFonts w:eastAsiaTheme="minorEastAsia"/>
          <w:i/>
          <w:kern w:val="0"/>
          <w:lang w:val="fr-BE" w:eastAsia="en-US" w:bidi="ar-SA"/>
        </w:rPr>
        <w:t>E.M.</w:t>
      </w:r>
      <w:r w:rsidRPr="00D147A7">
        <w:rPr>
          <w:rFonts w:eastAsiaTheme="minorEastAsia"/>
          <w:kern w:val="0"/>
          <w:lang w:val="fr-BE" w:eastAsia="en-US" w:bidi="ar-SA"/>
        </w:rPr>
        <w:t>, 104 (2004), p. 189-192.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LE BIGOT, S.; GRIVEL, P.; ‘Le secret médical et l’informatisation des données de santé’, </w:t>
      </w:r>
      <w:r w:rsidRPr="00D147A7">
        <w:rPr>
          <w:rFonts w:eastAsiaTheme="minorEastAsia"/>
          <w:i/>
          <w:kern w:val="0"/>
          <w:lang w:val="fr-BE" w:eastAsia="en-US" w:bidi="ar-SA"/>
        </w:rPr>
        <w:t>C.M.</w:t>
      </w:r>
      <w:r w:rsidRPr="00D147A7">
        <w:rPr>
          <w:rFonts w:eastAsiaTheme="minorEastAsia"/>
          <w:kern w:val="0"/>
          <w:lang w:val="fr-BE" w:eastAsia="en-US" w:bidi="ar-SA"/>
        </w:rPr>
        <w:t>, 126/33 (2004), p. 1955-1966.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LHERBIER-MALBRANQUE, B., </w:t>
      </w:r>
      <w:r w:rsidRPr="00D147A7">
        <w:rPr>
          <w:rFonts w:eastAsiaTheme="minorEastAsia"/>
          <w:i/>
          <w:kern w:val="0"/>
          <w:lang w:val="fr-BE" w:eastAsia="en-US" w:bidi="ar-SA"/>
        </w:rPr>
        <w:t>La protection de l’enfant maltraité: protéger, aider, punir et collaborer</w:t>
      </w:r>
      <w:r w:rsidRPr="00D147A7">
        <w:rPr>
          <w:rFonts w:eastAsiaTheme="minorEastAsia"/>
          <w:kern w:val="0"/>
          <w:lang w:val="fr-BE" w:eastAsia="en-US" w:bidi="ar-SA"/>
        </w:rPr>
        <w:t>, Logiques juridiques, Parijs, l’Harmattan, 2000, 332p.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MAHEU, E., ‘Secret er transparence: un enjeu démocratique’, </w:t>
      </w:r>
      <w:r w:rsidRPr="00D147A7">
        <w:rPr>
          <w:rFonts w:eastAsiaTheme="minorEastAsia"/>
          <w:i/>
          <w:kern w:val="0"/>
          <w:lang w:val="fr-BE" w:eastAsia="en-US" w:bidi="ar-SA"/>
        </w:rPr>
        <w:t>Agora</w:t>
      </w:r>
      <w:r w:rsidRPr="00D147A7">
        <w:rPr>
          <w:rFonts w:eastAsiaTheme="minorEastAsia"/>
          <w:kern w:val="0"/>
          <w:lang w:val="fr-BE" w:eastAsia="en-US" w:bidi="ar-SA"/>
        </w:rPr>
        <w:t>, 37 (1996), p. 3-8.</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MAIGRET, J., ‘Le caractère général et absolu du secret médical: Le Grand Secret et la France devant la Cour européenne des droits de l’homme’, </w:t>
      </w:r>
      <w:r w:rsidRPr="00D147A7">
        <w:rPr>
          <w:rFonts w:eastAsiaTheme="minorEastAsia"/>
          <w:i/>
          <w:kern w:val="0"/>
          <w:lang w:val="fr-BE" w:eastAsia="en-US" w:bidi="ar-SA"/>
        </w:rPr>
        <w:t>R.G.D.M.</w:t>
      </w:r>
      <w:r w:rsidRPr="00D147A7">
        <w:rPr>
          <w:rFonts w:eastAsiaTheme="minorEastAsia"/>
          <w:kern w:val="0"/>
          <w:lang w:val="fr-BE" w:eastAsia="en-US" w:bidi="ar-SA"/>
        </w:rPr>
        <w:t xml:space="preserve">, 2005, 15, p. 163-173.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MAISL, H., ‘Les archives et la législation «informatique et libertés»’, </w:t>
      </w:r>
      <w:r w:rsidRPr="00D147A7">
        <w:rPr>
          <w:rFonts w:eastAsiaTheme="minorEastAsia"/>
          <w:i/>
          <w:kern w:val="0"/>
          <w:lang w:val="fr-BE" w:eastAsia="en-US" w:bidi="ar-SA"/>
        </w:rPr>
        <w:t>Gazette des archives</w:t>
      </w:r>
      <w:r w:rsidRPr="00D147A7">
        <w:rPr>
          <w:rFonts w:eastAsiaTheme="minorEastAsia"/>
          <w:kern w:val="0"/>
          <w:lang w:val="fr-BE" w:eastAsia="en-US" w:bidi="ar-SA"/>
        </w:rPr>
        <w:t>, 130-131 (1985), p. 225-229.</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MANAOUIL, C., ‘La santé du chef de l’Etat, le secret médical et l’information dans une dé</w:t>
      </w:r>
      <w:r w:rsidR="00865F01">
        <w:rPr>
          <w:rFonts w:eastAsiaTheme="minorEastAsia"/>
          <w:kern w:val="0"/>
          <w:lang w:val="fr-BE" w:eastAsia="en-US" w:bidi="ar-SA"/>
        </w:rPr>
        <w:t>-</w:t>
      </w:r>
      <w:r w:rsidRPr="00D147A7">
        <w:rPr>
          <w:rFonts w:eastAsiaTheme="minorEastAsia"/>
          <w:kern w:val="0"/>
          <w:lang w:val="fr-BE" w:eastAsia="en-US" w:bidi="ar-SA"/>
        </w:rPr>
        <w:t xml:space="preserve">mocratie’, </w:t>
      </w:r>
      <w:r w:rsidRPr="00D147A7">
        <w:rPr>
          <w:rFonts w:eastAsiaTheme="minorEastAsia"/>
          <w:i/>
          <w:kern w:val="0"/>
          <w:lang w:val="fr-BE" w:eastAsia="en-US" w:bidi="ar-SA"/>
        </w:rPr>
        <w:t>Droit déontologie soin</w:t>
      </w:r>
      <w:r w:rsidRPr="00D147A7">
        <w:rPr>
          <w:rFonts w:eastAsiaTheme="minorEastAsia"/>
          <w:kern w:val="0"/>
          <w:lang w:val="fr-BE" w:eastAsia="en-US" w:bidi="ar-SA"/>
        </w:rPr>
        <w:t>, 7/2 (2007), p. 148-168.</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PARROT, D., ‘Protection des données personnelles en santé’, </w:t>
      </w:r>
      <w:r w:rsidRPr="00D147A7">
        <w:rPr>
          <w:rFonts w:eastAsiaTheme="minorEastAsia"/>
          <w:i/>
          <w:kern w:val="0"/>
          <w:lang w:val="fr-BE" w:eastAsia="en-US" w:bidi="ar-SA"/>
        </w:rPr>
        <w:t>G.H.</w:t>
      </w:r>
      <w:r w:rsidRPr="00D147A7">
        <w:rPr>
          <w:rFonts w:eastAsiaTheme="minorEastAsia"/>
          <w:kern w:val="0"/>
          <w:lang w:val="fr-BE" w:eastAsia="en-US" w:bidi="ar-SA"/>
        </w:rPr>
        <w:t xml:space="preserve">, 442 (2005), p. 26-29.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QUANTIN, C.; GOUYON, B.; ALLAERT, F.A.; COHEN, O.; ‘Méthodologie pour le chaîna</w:t>
      </w:r>
      <w:r w:rsidR="00865F01">
        <w:rPr>
          <w:rFonts w:eastAsiaTheme="minorEastAsia"/>
          <w:kern w:val="0"/>
          <w:lang w:val="fr-BE" w:eastAsia="en-US" w:bidi="ar-SA"/>
        </w:rPr>
        <w:t>-</w:t>
      </w:r>
      <w:r w:rsidRPr="00D147A7">
        <w:rPr>
          <w:rFonts w:eastAsiaTheme="minorEastAsia"/>
          <w:kern w:val="0"/>
          <w:lang w:val="fr-BE" w:eastAsia="en-US" w:bidi="ar-SA"/>
        </w:rPr>
        <w:t xml:space="preserve">ge de données sensibles tout en respectant l’anonymat: Des informations médicales’, </w:t>
      </w:r>
      <w:r w:rsidRPr="00D147A7">
        <w:rPr>
          <w:rFonts w:eastAsiaTheme="minorEastAsia"/>
          <w:i/>
          <w:kern w:val="0"/>
          <w:lang w:val="fr-BE" w:eastAsia="en-US" w:bidi="ar-SA"/>
        </w:rPr>
        <w:t>Journal de la Société française de statistique</w:t>
      </w:r>
      <w:r w:rsidRPr="00D147A7">
        <w:rPr>
          <w:rFonts w:eastAsiaTheme="minorEastAsia"/>
          <w:kern w:val="0"/>
          <w:lang w:val="fr-BE" w:eastAsia="en-US" w:bidi="ar-SA"/>
        </w:rPr>
        <w:t>, 146/3 (2005), p. 18-37.</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RATTEZ, M., ‘Le renoncement du patient au secret médical. Une autorisation sans valeur pour le médecin’, </w:t>
      </w:r>
      <w:r w:rsidRPr="00D147A7">
        <w:rPr>
          <w:rFonts w:eastAsiaTheme="minorEastAsia"/>
          <w:i/>
          <w:kern w:val="0"/>
          <w:lang w:val="fr-BE" w:eastAsia="en-US" w:bidi="ar-SA"/>
        </w:rPr>
        <w:t>G.H.</w:t>
      </w:r>
      <w:r w:rsidRPr="00D147A7">
        <w:rPr>
          <w:rFonts w:eastAsiaTheme="minorEastAsia"/>
          <w:kern w:val="0"/>
          <w:lang w:val="fr-BE" w:eastAsia="en-US" w:bidi="ar-SA"/>
        </w:rPr>
        <w:t>, 438 (2004), p. 571-573.</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ROLAND-GOSSELIN, A., ‘Droits de l’enfant et hospitalisation’, DOUCHAIN, F. (red.), </w:t>
      </w:r>
      <w:r w:rsidRPr="00D147A7">
        <w:rPr>
          <w:rFonts w:eastAsiaTheme="minorEastAsia"/>
          <w:i/>
          <w:kern w:val="0"/>
          <w:lang w:val="fr-BE" w:eastAsia="en-US" w:bidi="ar-SA"/>
        </w:rPr>
        <w:t>Pé</w:t>
      </w:r>
      <w:r w:rsidR="00865F01">
        <w:rPr>
          <w:rFonts w:eastAsiaTheme="minorEastAsia"/>
          <w:i/>
          <w:kern w:val="0"/>
          <w:lang w:val="fr-BE" w:eastAsia="en-US" w:bidi="ar-SA"/>
        </w:rPr>
        <w:t>-</w:t>
      </w:r>
      <w:r w:rsidRPr="00D147A7">
        <w:rPr>
          <w:rFonts w:eastAsiaTheme="minorEastAsia"/>
          <w:i/>
          <w:kern w:val="0"/>
          <w:lang w:val="fr-BE" w:eastAsia="en-US" w:bidi="ar-SA"/>
        </w:rPr>
        <w:t>diatrie hospitalière</w:t>
      </w:r>
      <w:r w:rsidRPr="00D147A7">
        <w:rPr>
          <w:rFonts w:eastAsiaTheme="minorEastAsia"/>
          <w:kern w:val="0"/>
          <w:lang w:val="fr-BE" w:eastAsia="en-US" w:bidi="ar-SA"/>
        </w:rPr>
        <w:t>, Progrès en pédiatrie, 8, Parijs, Doin, 2001, p. 9-20.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ROMAN, D., ‘Libre disposition de son corps et protection de la santé [en droit français]’, LARRALDE, J., </w:t>
      </w:r>
      <w:r w:rsidRPr="00D147A7">
        <w:rPr>
          <w:rFonts w:eastAsiaTheme="minorEastAsia"/>
          <w:i/>
          <w:kern w:val="0"/>
          <w:lang w:val="fr-BE" w:eastAsia="en-US" w:bidi="ar-SA"/>
        </w:rPr>
        <w:t>La libre disposition de son corps</w:t>
      </w:r>
      <w:r w:rsidRPr="00D147A7">
        <w:rPr>
          <w:rFonts w:eastAsiaTheme="minorEastAsia"/>
          <w:kern w:val="0"/>
          <w:lang w:val="fr-BE" w:eastAsia="en-US" w:bidi="ar-SA"/>
        </w:rPr>
        <w:t>, Droit et Justice, 88, Brussel, Bruylant, 2009, p. 199-236.</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RUSSO, C., ‘Article 8, § 1’, PETTITI, L.E.; DECAUX, E.; IMBERT, P.H.; </w:t>
      </w:r>
      <w:r w:rsidRPr="00D147A7">
        <w:rPr>
          <w:rFonts w:eastAsiaTheme="minorEastAsia"/>
          <w:i/>
          <w:kern w:val="0"/>
          <w:lang w:val="fr-BE" w:eastAsia="en-US" w:bidi="ar-SA"/>
        </w:rPr>
        <w:t>La convention européenne des droits de l’homme</w:t>
      </w:r>
      <w:r w:rsidRPr="00D147A7">
        <w:rPr>
          <w:rFonts w:eastAsiaTheme="minorEastAsia"/>
          <w:kern w:val="0"/>
          <w:lang w:val="fr-BE" w:eastAsia="en-US" w:bidi="ar-SA"/>
        </w:rPr>
        <w:t>, Parijs, Economica, 1995, p. 305-324.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SAINT MARTIN, A., ‘Le secret médical et le patient: le patient (a priori) maître du secret professionnel médical’, </w:t>
      </w:r>
      <w:r w:rsidRPr="00D147A7">
        <w:rPr>
          <w:rFonts w:eastAsiaTheme="minorEastAsia"/>
          <w:i/>
          <w:kern w:val="0"/>
          <w:lang w:val="fr-BE" w:eastAsia="en-US" w:bidi="ar-SA"/>
        </w:rPr>
        <w:t>Revue droit et santé</w:t>
      </w:r>
      <w:r w:rsidRPr="00D147A7">
        <w:rPr>
          <w:rFonts w:eastAsiaTheme="minorEastAsia"/>
          <w:kern w:val="0"/>
          <w:lang w:val="fr-BE" w:eastAsia="en-US" w:bidi="ar-SA"/>
        </w:rPr>
        <w:t>, 34 (2010), p. 108-112; 36 (2010), p. 326-330.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SAINT-PIERRE, F., ‘Le secret médical face à la justice pénale’, </w:t>
      </w:r>
      <w:r w:rsidRPr="00D147A7">
        <w:rPr>
          <w:rFonts w:eastAsiaTheme="minorEastAsia"/>
          <w:i/>
          <w:kern w:val="0"/>
          <w:lang w:val="fr-BE" w:eastAsia="en-US" w:bidi="ar-SA"/>
        </w:rPr>
        <w:t>Droit déontologie soin</w:t>
      </w:r>
      <w:r w:rsidRPr="00D147A7">
        <w:rPr>
          <w:rFonts w:eastAsiaTheme="minorEastAsia"/>
          <w:kern w:val="0"/>
          <w:lang w:val="fr-BE" w:eastAsia="en-US" w:bidi="ar-SA"/>
        </w:rPr>
        <w:t xml:space="preserve">, 2/2 (2002), p. 148-151.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THIBAULT, A., ‘Le secret professionnel et le droit au respect de la vie privée peuvent-ils faire échec aux droits de la defense?’, </w:t>
      </w:r>
      <w:r w:rsidRPr="00D147A7">
        <w:rPr>
          <w:rFonts w:eastAsiaTheme="minorEastAsia"/>
          <w:i/>
          <w:kern w:val="0"/>
          <w:lang w:val="fr-BE" w:eastAsia="en-US" w:bidi="ar-SA"/>
        </w:rPr>
        <w:t>A.J.S.</w:t>
      </w:r>
      <w:r w:rsidRPr="00D147A7">
        <w:rPr>
          <w:rFonts w:eastAsiaTheme="minorEastAsia"/>
          <w:kern w:val="0"/>
          <w:lang w:val="fr-BE" w:eastAsia="en-US" w:bidi="ar-SA"/>
        </w:rPr>
        <w:t xml:space="preserve">, 60 (2007), p. 61-65. </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t xml:space="preserve">TIERSKY, R., </w:t>
      </w:r>
      <w:r w:rsidRPr="00D147A7">
        <w:rPr>
          <w:rFonts w:eastAsiaTheme="minorEastAsia"/>
          <w:i/>
          <w:kern w:val="0"/>
          <w:lang w:val="en-US" w:eastAsia="en-US" w:bidi="ar-SA"/>
        </w:rPr>
        <w:t>François Mitterrand: A Very French President</w:t>
      </w:r>
      <w:r w:rsidRPr="00D147A7">
        <w:rPr>
          <w:rFonts w:eastAsiaTheme="minorEastAsia"/>
          <w:kern w:val="0"/>
          <w:lang w:val="en-US" w:eastAsia="en-US" w:bidi="ar-SA"/>
        </w:rPr>
        <w:t>, Lanham, Rowman and Little</w:t>
      </w:r>
      <w:r w:rsidR="00865F01">
        <w:rPr>
          <w:rFonts w:eastAsiaTheme="minorEastAsia"/>
          <w:kern w:val="0"/>
          <w:lang w:val="en-US" w:eastAsia="en-US" w:bidi="ar-SA"/>
        </w:rPr>
        <w:t>-</w:t>
      </w:r>
      <w:r w:rsidRPr="00D147A7">
        <w:rPr>
          <w:rFonts w:eastAsiaTheme="minorEastAsia"/>
          <w:kern w:val="0"/>
          <w:lang w:val="en-US" w:eastAsia="en-US" w:bidi="ar-SA"/>
        </w:rPr>
        <w:t>field, 2000, 438p.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VITENBERG, J., ‘Le secret médical à l’aune de l’article 8 de la Convention européenne des droits de l’homme’, </w:t>
      </w:r>
      <w:r w:rsidRPr="00D147A7">
        <w:rPr>
          <w:rFonts w:eastAsiaTheme="minorEastAsia"/>
          <w:i/>
          <w:kern w:val="0"/>
          <w:lang w:val="fr-BE" w:eastAsia="en-US" w:bidi="ar-SA"/>
        </w:rPr>
        <w:t>M.D.</w:t>
      </w:r>
      <w:r w:rsidRPr="00D147A7">
        <w:rPr>
          <w:rFonts w:eastAsiaTheme="minorEastAsia"/>
          <w:kern w:val="0"/>
          <w:lang w:val="fr-BE" w:eastAsia="en-US" w:bidi="ar-SA"/>
        </w:rPr>
        <w:t xml:space="preserve">, 88 (2008), p. 8-9; err. </w:t>
      </w:r>
      <w:r w:rsidRPr="00D147A7">
        <w:rPr>
          <w:rFonts w:eastAsiaTheme="minorEastAsia"/>
          <w:i/>
          <w:kern w:val="0"/>
          <w:lang w:val="fr-BE" w:eastAsia="en-US" w:bidi="ar-SA"/>
        </w:rPr>
        <w:t>M.D.</w:t>
      </w:r>
      <w:r w:rsidRPr="00D147A7">
        <w:rPr>
          <w:rFonts w:eastAsiaTheme="minorEastAsia"/>
          <w:kern w:val="0"/>
          <w:lang w:val="fr-BE" w:eastAsia="en-US" w:bidi="ar-SA"/>
        </w:rPr>
        <w:t>, 90 (2008), p. 94.</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lastRenderedPageBreak/>
        <w:t xml:space="preserve">VULLIET-TAVERNIER, S., ‘De l’anonymat dans le traitement des données de santé’, </w:t>
      </w:r>
      <w:r w:rsidRPr="00D147A7">
        <w:rPr>
          <w:rFonts w:eastAsiaTheme="minorEastAsia"/>
          <w:i/>
          <w:kern w:val="0"/>
          <w:lang w:val="fr-BE" w:eastAsia="en-US" w:bidi="ar-SA"/>
        </w:rPr>
        <w:t>M.D.</w:t>
      </w:r>
      <w:r w:rsidRPr="00D147A7">
        <w:rPr>
          <w:rFonts w:eastAsiaTheme="minorEastAsia"/>
          <w:kern w:val="0"/>
          <w:lang w:val="fr-BE" w:eastAsia="en-US" w:bidi="ar-SA"/>
        </w:rPr>
        <w:t>, 100-101 (2000), p. 22-25.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VULLIET-TAVERNIER, S., ‘La CNIL et la protection des données médicales nominatives’, </w:t>
      </w:r>
      <w:r w:rsidRPr="00D147A7">
        <w:rPr>
          <w:rFonts w:eastAsiaTheme="minorEastAsia"/>
          <w:i/>
          <w:kern w:val="0"/>
          <w:lang w:val="fr-BE" w:eastAsia="en-US" w:bidi="ar-SA"/>
        </w:rPr>
        <w:t>M.D.</w:t>
      </w:r>
      <w:r w:rsidRPr="00D147A7">
        <w:rPr>
          <w:rFonts w:eastAsiaTheme="minorEastAsia"/>
          <w:kern w:val="0"/>
          <w:lang w:val="fr-BE" w:eastAsia="en-US" w:bidi="ar-SA"/>
        </w:rPr>
        <w:t>, 1996, 20, p. 2-5.</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b/>
          <w:kern w:val="0"/>
          <w:lang w:val="fr-BE" w:eastAsia="en-US" w:bidi="ar-SA"/>
        </w:rPr>
      </w:pPr>
      <w:r w:rsidRPr="00D147A7">
        <w:rPr>
          <w:rFonts w:eastAsiaTheme="minorEastAsia"/>
          <w:b/>
          <w:kern w:val="0"/>
          <w:lang w:val="fr-BE" w:eastAsia="en-US" w:bidi="ar-SA"/>
        </w:rPr>
        <w:tab/>
      </w:r>
      <w:r w:rsidRPr="00D147A7">
        <w:rPr>
          <w:rFonts w:eastAsiaTheme="minorEastAsia"/>
          <w:b/>
          <w:kern w:val="0"/>
          <w:lang w:val="fr-BE" w:eastAsia="en-US" w:bidi="ar-SA"/>
        </w:rPr>
        <w:tab/>
        <w:t>4.6.4.5 Websites</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2E7E12" w:rsidP="000F560E">
      <w:pPr>
        <w:widowControl/>
        <w:suppressAutoHyphens w:val="0"/>
        <w:rPr>
          <w:rFonts w:eastAsiaTheme="minorEastAsia"/>
          <w:kern w:val="0"/>
          <w:lang w:val="fr-BE" w:eastAsia="en-US" w:bidi="ar-SA"/>
        </w:rPr>
      </w:pPr>
      <w:hyperlink r:id="rId428" w:history="1">
        <w:r w:rsidR="000F560E" w:rsidRPr="00D147A7">
          <w:rPr>
            <w:rFonts w:eastAsiaTheme="minorEastAsia"/>
            <w:color w:val="0000FF"/>
            <w:kern w:val="0"/>
            <w:u w:val="single"/>
            <w:lang w:val="fr-BE" w:eastAsia="en-US" w:bidi="ar-SA"/>
          </w:rPr>
          <w:t>http://fulltext.bdsp.ehesp.fr/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429" w:history="1">
        <w:r w:rsidR="000F560E" w:rsidRPr="00D147A7">
          <w:rPr>
            <w:rFonts w:eastAsiaTheme="minorEastAsia"/>
            <w:color w:val="0000FF"/>
            <w:kern w:val="0"/>
            <w:u w:val="single"/>
            <w:lang w:val="fr-BE" w:eastAsia="en-US" w:bidi="ar-SA"/>
          </w:rPr>
          <w:t>http://web.upmf-grenoble.fr/</w:t>
        </w:r>
      </w:hyperlink>
      <w:r w:rsidR="000F560E" w:rsidRPr="00D147A7">
        <w:rPr>
          <w:rFonts w:eastAsiaTheme="minorEastAsia"/>
          <w:kern w:val="0"/>
          <w:lang w:val="fr-BE" w:eastAsia="en-US" w:bidi="ar-SA"/>
        </w:rPr>
        <w:t xml:space="preserve">. </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smallCaps/>
          <w:lang w:val="fr-BE"/>
        </w:rPr>
      </w:pPr>
    </w:p>
    <w:p w:rsidR="000F560E" w:rsidRPr="00D147A7" w:rsidRDefault="000F560E">
      <w:pPr>
        <w:widowControl/>
        <w:suppressAutoHyphens w:val="0"/>
        <w:spacing w:after="200" w:line="276" w:lineRule="auto"/>
        <w:rPr>
          <w:kern w:val="0"/>
          <w:lang w:val="fr-BE" w:eastAsia="en-US" w:bidi="ar-SA"/>
        </w:rPr>
      </w:pPr>
      <w:r w:rsidRPr="00D147A7">
        <w:rPr>
          <w:lang w:val="fr-BE"/>
        </w:rPr>
        <w:br w:type="page"/>
      </w:r>
    </w:p>
    <w:p w:rsidR="000F560E" w:rsidRPr="00D147A7" w:rsidRDefault="000F560E" w:rsidP="000F560E">
      <w:pPr>
        <w:widowControl/>
        <w:suppressAutoHyphens w:val="0"/>
        <w:jc w:val="center"/>
        <w:rPr>
          <w:rFonts w:eastAsiaTheme="minorEastAsia"/>
          <w:b/>
          <w:smallCaps/>
          <w:kern w:val="0"/>
          <w:sz w:val="32"/>
          <w:szCs w:val="32"/>
          <w:lang w:eastAsia="en-US" w:bidi="ar-SA"/>
        </w:rPr>
      </w:pPr>
      <w:r w:rsidRPr="00D147A7">
        <w:rPr>
          <w:rFonts w:eastAsiaTheme="minorEastAsia"/>
          <w:b/>
          <w:smallCaps/>
          <w:kern w:val="0"/>
          <w:sz w:val="32"/>
          <w:szCs w:val="32"/>
          <w:lang w:eastAsia="en-US" w:bidi="ar-SA"/>
        </w:rPr>
        <w:lastRenderedPageBreak/>
        <w:t>Deel 5: Selectie, overdracht en vernietiging</w:t>
      </w:r>
    </w:p>
    <w:p w:rsidR="000F560E" w:rsidRPr="00D147A7" w:rsidRDefault="000F560E" w:rsidP="000F560E">
      <w:pPr>
        <w:widowControl/>
        <w:suppressAutoHyphens w:val="0"/>
        <w:jc w:val="both"/>
        <w:rPr>
          <w:rFonts w:eastAsiaTheme="minorEastAsia"/>
          <w:kern w:val="0"/>
          <w:lang w:eastAsia="en-US" w:bidi="ar-SA"/>
        </w:rPr>
      </w:pPr>
    </w:p>
    <w:p w:rsidR="00DB6BB5" w:rsidRPr="00D147A7" w:rsidRDefault="006A58E2" w:rsidP="003D2F61">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In dit laatste deel </w:t>
      </w:r>
      <w:r w:rsidR="003D2F61" w:rsidRPr="00D147A7">
        <w:rPr>
          <w:rFonts w:eastAsiaTheme="minorEastAsia"/>
          <w:kern w:val="0"/>
          <w:lang w:eastAsia="en-US" w:bidi="ar-SA"/>
        </w:rPr>
        <w:t>komt</w:t>
      </w:r>
      <w:r w:rsidRPr="00D147A7">
        <w:rPr>
          <w:rFonts w:eastAsiaTheme="minorEastAsia"/>
          <w:kern w:val="0"/>
          <w:lang w:eastAsia="en-US" w:bidi="ar-SA"/>
        </w:rPr>
        <w:t xml:space="preserve"> </w:t>
      </w:r>
      <w:r w:rsidR="003D2F61" w:rsidRPr="00D147A7">
        <w:rPr>
          <w:rFonts w:eastAsiaTheme="minorEastAsia"/>
          <w:kern w:val="0"/>
          <w:lang w:eastAsia="en-US" w:bidi="ar-SA"/>
        </w:rPr>
        <w:t xml:space="preserve">de selectie van medische archieven aan bod. Eerst wordt toegelicht wat het begrip ‘selectie’ precies betekent. Vervolgens wordt voor ieder land nagegaan of </w:t>
      </w:r>
      <w:r w:rsidRPr="00D147A7">
        <w:rPr>
          <w:rFonts w:eastAsiaTheme="minorEastAsia"/>
          <w:kern w:val="0"/>
          <w:lang w:eastAsia="en-US" w:bidi="ar-SA"/>
        </w:rPr>
        <w:t>pa</w:t>
      </w:r>
      <w:r w:rsidR="00865F01">
        <w:rPr>
          <w:rFonts w:eastAsiaTheme="minorEastAsia"/>
          <w:kern w:val="0"/>
          <w:lang w:eastAsia="en-US" w:bidi="ar-SA"/>
        </w:rPr>
        <w:t>-</w:t>
      </w:r>
      <w:r w:rsidRPr="00D147A7">
        <w:rPr>
          <w:rFonts w:eastAsiaTheme="minorEastAsia"/>
          <w:kern w:val="0"/>
          <w:lang w:eastAsia="en-US" w:bidi="ar-SA"/>
        </w:rPr>
        <w:t>tiëntendossiers van openbare ziekenhuizen onder het toepassingsgebied van de archiefwet val</w:t>
      </w:r>
      <w:r w:rsidR="00865F01">
        <w:rPr>
          <w:rFonts w:eastAsiaTheme="minorEastAsia"/>
          <w:kern w:val="0"/>
          <w:lang w:eastAsia="en-US" w:bidi="ar-SA"/>
        </w:rPr>
        <w:t>-</w:t>
      </w:r>
      <w:r w:rsidRPr="00D147A7">
        <w:rPr>
          <w:rFonts w:eastAsiaTheme="minorEastAsia"/>
          <w:kern w:val="0"/>
          <w:lang w:eastAsia="en-US" w:bidi="ar-SA"/>
        </w:rPr>
        <w:t xml:space="preserve">len. </w:t>
      </w:r>
      <w:r w:rsidR="003D2F61" w:rsidRPr="00D147A7">
        <w:rPr>
          <w:rFonts w:eastAsiaTheme="minorEastAsia"/>
          <w:kern w:val="0"/>
          <w:lang w:eastAsia="en-US" w:bidi="ar-SA"/>
        </w:rPr>
        <w:t>Als deze vraag positief beantwoord wordt,</w:t>
      </w:r>
      <w:r w:rsidRPr="00D147A7">
        <w:rPr>
          <w:rFonts w:eastAsiaTheme="minorEastAsia"/>
          <w:kern w:val="0"/>
          <w:lang w:eastAsia="en-US" w:bidi="ar-SA"/>
        </w:rPr>
        <w:t xml:space="preserve"> </w:t>
      </w:r>
      <w:r w:rsidR="003D2F61" w:rsidRPr="00D147A7">
        <w:rPr>
          <w:rFonts w:eastAsiaTheme="minorEastAsia"/>
          <w:kern w:val="0"/>
          <w:lang w:eastAsia="en-US" w:bidi="ar-SA"/>
        </w:rPr>
        <w:t>zal er</w:t>
      </w:r>
      <w:r w:rsidRPr="00D147A7">
        <w:rPr>
          <w:rFonts w:eastAsiaTheme="minorEastAsia"/>
          <w:kern w:val="0"/>
          <w:lang w:eastAsia="en-US" w:bidi="ar-SA"/>
        </w:rPr>
        <w:t xml:space="preserve"> bekeken </w:t>
      </w:r>
      <w:r w:rsidR="003D2F61" w:rsidRPr="00D147A7">
        <w:rPr>
          <w:rFonts w:eastAsiaTheme="minorEastAsia"/>
          <w:kern w:val="0"/>
          <w:lang w:eastAsia="en-US" w:bidi="ar-SA"/>
        </w:rPr>
        <w:t>worden hoe de nationale wetge</w:t>
      </w:r>
      <w:r w:rsidR="00865F01">
        <w:rPr>
          <w:rFonts w:eastAsiaTheme="minorEastAsia"/>
          <w:kern w:val="0"/>
          <w:lang w:eastAsia="en-US" w:bidi="ar-SA"/>
        </w:rPr>
        <w:t>-</w:t>
      </w:r>
      <w:r w:rsidR="003D2F61" w:rsidRPr="00D147A7">
        <w:rPr>
          <w:rFonts w:eastAsiaTheme="minorEastAsia"/>
          <w:kern w:val="0"/>
          <w:lang w:eastAsia="en-US" w:bidi="ar-SA"/>
        </w:rPr>
        <w:t>ver</w:t>
      </w:r>
      <w:r w:rsidRPr="00D147A7">
        <w:rPr>
          <w:rFonts w:eastAsiaTheme="minorEastAsia"/>
          <w:kern w:val="0"/>
          <w:lang w:eastAsia="en-US" w:bidi="ar-SA"/>
        </w:rPr>
        <w:t xml:space="preserve"> de overdracht van patiëntendossiers naar het Rijksarchief geregeld heeft. Openbare zie</w:t>
      </w:r>
      <w:r w:rsidR="00865F01">
        <w:rPr>
          <w:rFonts w:eastAsiaTheme="minorEastAsia"/>
          <w:kern w:val="0"/>
          <w:lang w:eastAsia="en-US" w:bidi="ar-SA"/>
        </w:rPr>
        <w:t>-</w:t>
      </w:r>
      <w:r w:rsidRPr="00D147A7">
        <w:rPr>
          <w:rFonts w:eastAsiaTheme="minorEastAsia"/>
          <w:kern w:val="0"/>
          <w:lang w:eastAsia="en-US" w:bidi="ar-SA"/>
        </w:rPr>
        <w:t>kenhuizen hebben – net als alle andere overheidsinstellingen – geen exclusieve rechten op de door hen gevormde archieven. Zij kunnen de openbaarheid van hun archieven niet voorko</w:t>
      </w:r>
      <w:r w:rsidR="00865F01">
        <w:rPr>
          <w:rFonts w:eastAsiaTheme="minorEastAsia"/>
          <w:kern w:val="0"/>
          <w:lang w:eastAsia="en-US" w:bidi="ar-SA"/>
        </w:rPr>
        <w:t>-</w:t>
      </w:r>
      <w:r w:rsidRPr="00D147A7">
        <w:rPr>
          <w:rFonts w:eastAsiaTheme="minorEastAsia"/>
          <w:kern w:val="0"/>
          <w:lang w:eastAsia="en-US" w:bidi="ar-SA"/>
        </w:rPr>
        <w:t>men. Zij hebben evenmin de bevoegdheid om de toegang van rechtzoekende burgers en (his</w:t>
      </w:r>
      <w:r w:rsidR="00865F01">
        <w:rPr>
          <w:rFonts w:eastAsiaTheme="minorEastAsia"/>
          <w:kern w:val="0"/>
          <w:lang w:eastAsia="en-US" w:bidi="ar-SA"/>
        </w:rPr>
        <w:t>-</w:t>
      </w:r>
      <w:r w:rsidRPr="00D147A7">
        <w:rPr>
          <w:rFonts w:eastAsiaTheme="minorEastAsia"/>
          <w:kern w:val="0"/>
          <w:lang w:eastAsia="en-US" w:bidi="ar-SA"/>
        </w:rPr>
        <w:t>torische) onderzoekers tot (onderdelen) van deze archieven te ontzeggen. D</w:t>
      </w:r>
      <w:r w:rsidR="00DB6BB5" w:rsidRPr="00D147A7">
        <w:rPr>
          <w:rFonts w:eastAsiaTheme="minorEastAsia"/>
          <w:kern w:val="0"/>
          <w:lang w:eastAsia="en-US" w:bidi="ar-SA"/>
        </w:rPr>
        <w:t>aarom hebben d</w:t>
      </w:r>
      <w:r w:rsidRPr="00D147A7">
        <w:rPr>
          <w:rFonts w:eastAsiaTheme="minorEastAsia"/>
          <w:kern w:val="0"/>
          <w:lang w:eastAsia="en-US" w:bidi="ar-SA"/>
        </w:rPr>
        <w:t xml:space="preserve">e verschillende  nationale wetgevers bepalingen in hun archiefwetgeving opgenomen waarin de beslissingsbevoegdheid m.b.t. de overdracht </w:t>
      </w:r>
      <w:r w:rsidR="00DB6BB5" w:rsidRPr="00D147A7">
        <w:rPr>
          <w:rFonts w:eastAsiaTheme="minorEastAsia"/>
          <w:kern w:val="0"/>
          <w:lang w:eastAsia="en-US" w:bidi="ar-SA"/>
        </w:rPr>
        <w:t xml:space="preserve">en de vernietiging </w:t>
      </w:r>
      <w:r w:rsidRPr="00D147A7">
        <w:rPr>
          <w:rFonts w:eastAsiaTheme="minorEastAsia"/>
          <w:kern w:val="0"/>
          <w:lang w:eastAsia="en-US" w:bidi="ar-SA"/>
        </w:rPr>
        <w:t>van overheidsarchieven (</w:t>
      </w:r>
      <w:r w:rsidR="00DB6BB5" w:rsidRPr="00D147A7">
        <w:rPr>
          <w:rFonts w:eastAsiaTheme="minorEastAsia"/>
          <w:kern w:val="0"/>
          <w:lang w:eastAsia="en-US" w:bidi="ar-SA"/>
        </w:rPr>
        <w:t>m.a.w</w:t>
      </w:r>
      <w:r w:rsidRPr="00D147A7">
        <w:rPr>
          <w:rFonts w:eastAsiaTheme="minorEastAsia"/>
          <w:kern w:val="0"/>
          <w:lang w:eastAsia="en-US" w:bidi="ar-SA"/>
        </w:rPr>
        <w:t>. de selectie) niet aan de archiefvormende instelling, maar aan de nationale rijksarchie</w:t>
      </w:r>
      <w:r w:rsidR="003A078C">
        <w:rPr>
          <w:rFonts w:eastAsiaTheme="minorEastAsia"/>
          <w:kern w:val="0"/>
          <w:lang w:eastAsia="en-US" w:bidi="ar-SA"/>
        </w:rPr>
        <w:t>-</w:t>
      </w:r>
      <w:r w:rsidRPr="00D147A7">
        <w:rPr>
          <w:rFonts w:eastAsiaTheme="minorEastAsia"/>
          <w:kern w:val="0"/>
          <w:lang w:eastAsia="en-US" w:bidi="ar-SA"/>
        </w:rPr>
        <w:t xml:space="preserve">ven wordt toegekend. </w:t>
      </w:r>
    </w:p>
    <w:p w:rsidR="00DB6BB5" w:rsidRPr="00D147A7" w:rsidRDefault="00DB6BB5" w:rsidP="003D2F61">
      <w:pPr>
        <w:widowControl/>
        <w:suppressAutoHyphens w:val="0"/>
        <w:jc w:val="both"/>
        <w:rPr>
          <w:rFonts w:eastAsiaTheme="minorEastAsia"/>
          <w:kern w:val="0"/>
          <w:lang w:eastAsia="en-US" w:bidi="ar-SA"/>
        </w:rPr>
      </w:pPr>
    </w:p>
    <w:tbl>
      <w:tblPr>
        <w:tblStyle w:val="Tabelraster"/>
        <w:tblW w:w="0" w:type="auto"/>
        <w:tblLook w:val="04A0" w:firstRow="1" w:lastRow="0" w:firstColumn="1" w:lastColumn="0" w:noHBand="0" w:noVBand="1"/>
      </w:tblPr>
      <w:tblGrid>
        <w:gridCol w:w="9212"/>
      </w:tblGrid>
      <w:tr w:rsidR="00DB6BB5" w:rsidRPr="00D147A7" w:rsidTr="00DB6BB5">
        <w:tc>
          <w:tcPr>
            <w:tcW w:w="9212" w:type="dxa"/>
          </w:tcPr>
          <w:p w:rsidR="00DB6BB5" w:rsidRPr="00D147A7" w:rsidRDefault="00DB6BB5" w:rsidP="003D2F61">
            <w:pPr>
              <w:widowControl/>
              <w:suppressAutoHyphens w:val="0"/>
              <w:jc w:val="both"/>
              <w:rPr>
                <w:rFonts w:eastAsiaTheme="minorEastAsia"/>
                <w:b/>
                <w:smallCaps/>
                <w:kern w:val="0"/>
                <w:lang w:eastAsia="en-US" w:bidi="ar-SA"/>
              </w:rPr>
            </w:pPr>
            <w:r w:rsidRPr="00D147A7">
              <w:rPr>
                <w:rFonts w:eastAsiaTheme="minorEastAsia"/>
                <w:b/>
                <w:smallCaps/>
                <w:kern w:val="0"/>
                <w:lang w:eastAsia="en-US" w:bidi="ar-SA"/>
              </w:rPr>
              <w:t>Relevante wetgeving</w:t>
            </w:r>
          </w:p>
        </w:tc>
      </w:tr>
      <w:tr w:rsidR="00DB6BB5" w:rsidRPr="00D147A7" w:rsidTr="00DB6BB5">
        <w:tc>
          <w:tcPr>
            <w:tcW w:w="9212" w:type="dxa"/>
          </w:tcPr>
          <w:p w:rsidR="00DB6BB5" w:rsidRPr="00D147A7" w:rsidRDefault="00DB6BB5" w:rsidP="003D2F61">
            <w:pPr>
              <w:widowControl/>
              <w:suppressAutoHyphens w:val="0"/>
              <w:jc w:val="both"/>
              <w:rPr>
                <w:rFonts w:eastAsiaTheme="minorEastAsia"/>
                <w:kern w:val="0"/>
                <w:lang w:eastAsia="en-US" w:bidi="ar-SA"/>
              </w:rPr>
            </w:pPr>
            <w:r w:rsidRPr="00D147A7">
              <w:rPr>
                <w:rFonts w:eastAsiaTheme="minorEastAsia"/>
                <w:b/>
                <w:kern w:val="0"/>
                <w:lang w:eastAsia="en-US" w:bidi="ar-SA"/>
              </w:rPr>
              <w:t>België:</w:t>
            </w:r>
            <w:r w:rsidRPr="00D147A7">
              <w:rPr>
                <w:rFonts w:eastAsiaTheme="minorEastAsia"/>
                <w:kern w:val="0"/>
                <w:lang w:eastAsia="en-US" w:bidi="ar-SA"/>
              </w:rPr>
              <w:t xml:space="preserve"> </w:t>
            </w:r>
            <w:r w:rsidR="00282D3F" w:rsidRPr="00D147A7">
              <w:rPr>
                <w:rFonts w:eastAsiaTheme="minorEastAsia"/>
                <w:kern w:val="0"/>
                <w:lang w:eastAsia="en-US" w:bidi="ar-SA"/>
              </w:rPr>
              <w:t>art. 1 § 1 Archiefwet</w:t>
            </w:r>
          </w:p>
        </w:tc>
      </w:tr>
      <w:tr w:rsidR="00DB6BB5" w:rsidRPr="00D147A7" w:rsidTr="00DB6BB5">
        <w:tc>
          <w:tcPr>
            <w:tcW w:w="9212" w:type="dxa"/>
          </w:tcPr>
          <w:p w:rsidR="00DB6BB5" w:rsidRPr="00D147A7" w:rsidRDefault="00DB6BB5" w:rsidP="003D2F61">
            <w:pPr>
              <w:widowControl/>
              <w:suppressAutoHyphens w:val="0"/>
              <w:jc w:val="both"/>
              <w:rPr>
                <w:rFonts w:eastAsiaTheme="minorEastAsia"/>
                <w:kern w:val="0"/>
                <w:lang w:eastAsia="en-US" w:bidi="ar-SA"/>
              </w:rPr>
            </w:pPr>
            <w:r w:rsidRPr="00D147A7">
              <w:rPr>
                <w:rFonts w:eastAsiaTheme="minorEastAsia"/>
                <w:b/>
                <w:kern w:val="0"/>
                <w:lang w:eastAsia="en-US" w:bidi="ar-SA"/>
              </w:rPr>
              <w:t>Nederland:</w:t>
            </w:r>
            <w:r w:rsidRPr="00D147A7">
              <w:rPr>
                <w:rFonts w:eastAsiaTheme="minorEastAsia"/>
                <w:kern w:val="0"/>
                <w:lang w:eastAsia="en-US" w:bidi="ar-SA"/>
              </w:rPr>
              <w:t xml:space="preserve"> </w:t>
            </w:r>
            <w:r w:rsidR="00282D3F" w:rsidRPr="00D147A7">
              <w:rPr>
                <w:rFonts w:eastAsiaTheme="minorEastAsia"/>
                <w:kern w:val="0"/>
                <w:lang w:eastAsia="en-US" w:bidi="ar-SA"/>
              </w:rPr>
              <w:t>/</w:t>
            </w:r>
          </w:p>
        </w:tc>
      </w:tr>
      <w:tr w:rsidR="00DB6BB5" w:rsidRPr="00D147A7" w:rsidTr="00DB6BB5">
        <w:tc>
          <w:tcPr>
            <w:tcW w:w="9212" w:type="dxa"/>
          </w:tcPr>
          <w:p w:rsidR="00DB6BB5" w:rsidRPr="00D147A7" w:rsidRDefault="00DB6BB5" w:rsidP="003D2F61">
            <w:pPr>
              <w:widowControl/>
              <w:suppressAutoHyphens w:val="0"/>
              <w:jc w:val="both"/>
              <w:rPr>
                <w:rFonts w:eastAsiaTheme="minorEastAsia"/>
                <w:kern w:val="0"/>
                <w:lang w:eastAsia="en-US" w:bidi="ar-SA"/>
              </w:rPr>
            </w:pPr>
            <w:r w:rsidRPr="00D147A7">
              <w:rPr>
                <w:rFonts w:eastAsiaTheme="minorEastAsia"/>
                <w:b/>
                <w:kern w:val="0"/>
                <w:lang w:eastAsia="en-US" w:bidi="ar-SA"/>
              </w:rPr>
              <w:t>Frankrijk:</w:t>
            </w:r>
            <w:r w:rsidRPr="00D147A7">
              <w:rPr>
                <w:rFonts w:eastAsiaTheme="minorEastAsia"/>
                <w:kern w:val="0"/>
                <w:lang w:eastAsia="en-US" w:bidi="ar-SA"/>
              </w:rPr>
              <w:t xml:space="preserve"> </w:t>
            </w:r>
            <w:r w:rsidR="00282D3F" w:rsidRPr="00D147A7">
              <w:rPr>
                <w:rFonts w:eastAsiaTheme="minorEastAsia"/>
                <w:kern w:val="0"/>
                <w:lang w:eastAsia="en-US" w:bidi="ar-SA"/>
              </w:rPr>
              <w:t>art. R. 1112-8 CSP; art. 7 van het besluit van 11 maart 1968</w:t>
            </w:r>
          </w:p>
        </w:tc>
      </w:tr>
    </w:tbl>
    <w:p w:rsidR="00DB6BB5" w:rsidRPr="00D147A7" w:rsidRDefault="00DB6BB5" w:rsidP="003D2F61">
      <w:pPr>
        <w:widowControl/>
        <w:suppressAutoHyphens w:val="0"/>
        <w:jc w:val="both"/>
        <w:rPr>
          <w:rFonts w:eastAsiaTheme="minorEastAsia"/>
          <w:kern w:val="0"/>
          <w:lang w:eastAsia="en-US" w:bidi="ar-SA"/>
        </w:rPr>
      </w:pPr>
    </w:p>
    <w:p w:rsidR="006A58E2" w:rsidRPr="00D147A7" w:rsidRDefault="006A58E2" w:rsidP="003D2F61">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Tot slot wordt bestudeerd onder welke voorwaarden en wanneer patiëntendossiers vernietigd mogen worden. Onder vernietigen wordt verstaan: het </w:t>
      </w:r>
      <w:r w:rsidRPr="00D147A7">
        <w:rPr>
          <w:rFonts w:eastAsiaTheme="minorEastAsia"/>
          <w:i/>
          <w:kern w:val="0"/>
          <w:lang w:eastAsia="en-US" w:bidi="ar-SA"/>
        </w:rPr>
        <w:t>z</w:t>
      </w:r>
      <w:r w:rsidRPr="00D147A7">
        <w:rPr>
          <w:rFonts w:eastAsiaTheme="minorEastAsia"/>
          <w:i/>
          <w:iCs/>
          <w:kern w:val="0"/>
          <w:lang w:eastAsia="nl-BE" w:bidi="ar-SA"/>
        </w:rPr>
        <w:t>odanig bewerken van de gegevensdra</w:t>
      </w:r>
      <w:r w:rsidR="003A078C">
        <w:rPr>
          <w:rFonts w:eastAsiaTheme="minorEastAsia"/>
          <w:i/>
          <w:iCs/>
          <w:kern w:val="0"/>
          <w:lang w:eastAsia="nl-BE" w:bidi="ar-SA"/>
        </w:rPr>
        <w:t>-</w:t>
      </w:r>
      <w:r w:rsidRPr="00D147A7">
        <w:rPr>
          <w:rFonts w:eastAsiaTheme="minorEastAsia"/>
          <w:i/>
          <w:iCs/>
          <w:kern w:val="0"/>
          <w:lang w:eastAsia="nl-BE" w:bidi="ar-SA"/>
        </w:rPr>
        <w:t>ger dat daarvan</w:t>
      </w:r>
      <w:r w:rsidRPr="00D147A7">
        <w:rPr>
          <w:rFonts w:eastAsiaTheme="minorEastAsia"/>
          <w:kern w:val="0"/>
          <w:lang w:eastAsia="nl-BE" w:bidi="ar-SA"/>
        </w:rPr>
        <w:t xml:space="preserve"> </w:t>
      </w:r>
      <w:r w:rsidRPr="00D147A7">
        <w:rPr>
          <w:rFonts w:eastAsiaTheme="minorEastAsia"/>
          <w:i/>
          <w:iCs/>
          <w:kern w:val="0"/>
          <w:lang w:eastAsia="nl-BE" w:bidi="ar-SA"/>
        </w:rPr>
        <w:t>of daaruit op geen enkele wijze de gegevens die erop zijn vastgelegd, kunnen</w:t>
      </w:r>
      <w:r w:rsidRPr="00D147A7">
        <w:rPr>
          <w:rFonts w:eastAsiaTheme="minorEastAsia"/>
          <w:kern w:val="0"/>
          <w:lang w:eastAsia="nl-BE" w:bidi="ar-SA"/>
        </w:rPr>
        <w:t xml:space="preserve"> </w:t>
      </w:r>
      <w:r w:rsidRPr="00D147A7">
        <w:rPr>
          <w:rFonts w:eastAsiaTheme="minorEastAsia"/>
          <w:i/>
          <w:iCs/>
          <w:kern w:val="0"/>
          <w:lang w:eastAsia="nl-BE" w:bidi="ar-SA"/>
        </w:rPr>
        <w:t>worden gereconstrueerd. Dit impliceert dus versnippering</w:t>
      </w:r>
      <w:r w:rsidRPr="00D147A7">
        <w:rPr>
          <w:rFonts w:eastAsiaTheme="minorEastAsia"/>
          <w:kern w:val="0"/>
          <w:lang w:eastAsia="nl-BE" w:bidi="ar-SA"/>
        </w:rPr>
        <w:t xml:space="preserve"> </w:t>
      </w:r>
      <w:r w:rsidRPr="00D147A7">
        <w:rPr>
          <w:rFonts w:eastAsiaTheme="minorEastAsia"/>
          <w:i/>
          <w:iCs/>
          <w:kern w:val="0"/>
          <w:lang w:eastAsia="nl-BE" w:bidi="ar-SA"/>
        </w:rPr>
        <w:t>of verbranding van papier en foto</w:t>
      </w:r>
      <w:r w:rsidR="003A078C">
        <w:rPr>
          <w:rFonts w:eastAsiaTheme="minorEastAsia"/>
          <w:i/>
          <w:iCs/>
          <w:kern w:val="0"/>
          <w:lang w:eastAsia="nl-BE" w:bidi="ar-SA"/>
        </w:rPr>
        <w:t>-</w:t>
      </w:r>
      <w:r w:rsidRPr="00D147A7">
        <w:rPr>
          <w:rFonts w:eastAsiaTheme="minorEastAsia"/>
          <w:i/>
          <w:iCs/>
          <w:kern w:val="0"/>
          <w:lang w:eastAsia="nl-BE" w:bidi="ar-SA"/>
        </w:rPr>
        <w:t>grafisch materiaal, het verbrijzelen</w:t>
      </w:r>
      <w:r w:rsidRPr="00D147A7">
        <w:rPr>
          <w:rFonts w:eastAsiaTheme="minorEastAsia"/>
          <w:kern w:val="0"/>
          <w:lang w:eastAsia="nl-BE" w:bidi="ar-SA"/>
        </w:rPr>
        <w:t xml:space="preserve"> </w:t>
      </w:r>
      <w:r w:rsidRPr="00D147A7">
        <w:rPr>
          <w:rFonts w:eastAsiaTheme="minorEastAsia"/>
          <w:i/>
          <w:iCs/>
          <w:kern w:val="0"/>
          <w:lang w:eastAsia="nl-BE" w:bidi="ar-SA"/>
        </w:rPr>
        <w:t>van optische schijven en het demagnetiseren (niet alleen met de wisknop) van elektromagnetische gegevensdragers (banden, diskettes, harde schij</w:t>
      </w:r>
      <w:r w:rsidR="003A078C">
        <w:rPr>
          <w:rFonts w:eastAsiaTheme="minorEastAsia"/>
          <w:i/>
          <w:iCs/>
          <w:kern w:val="0"/>
          <w:lang w:eastAsia="nl-BE" w:bidi="ar-SA"/>
        </w:rPr>
        <w:t>-</w:t>
      </w:r>
      <w:r w:rsidRPr="00D147A7">
        <w:rPr>
          <w:rFonts w:eastAsiaTheme="minorEastAsia"/>
          <w:i/>
          <w:iCs/>
          <w:kern w:val="0"/>
          <w:lang w:eastAsia="nl-BE" w:bidi="ar-SA"/>
        </w:rPr>
        <w:t>ven)</w:t>
      </w:r>
      <w:r w:rsidRPr="00D147A7">
        <w:rPr>
          <w:rFonts w:eastAsiaTheme="minorEastAsia"/>
          <w:iCs/>
          <w:kern w:val="0"/>
          <w:lang w:eastAsia="nl-BE" w:bidi="ar-SA"/>
        </w:rPr>
        <w:t>.</w:t>
      </w:r>
      <w:r w:rsidRPr="00D147A7">
        <w:rPr>
          <w:rFonts w:eastAsiaTheme="minorEastAsia"/>
          <w:iCs/>
          <w:kern w:val="0"/>
          <w:vertAlign w:val="superscript"/>
          <w:lang w:eastAsia="nl-BE" w:bidi="ar-SA"/>
        </w:rPr>
        <w:footnoteReference w:id="1214"/>
      </w:r>
      <w:r w:rsidRPr="00D147A7">
        <w:rPr>
          <w:rFonts w:eastAsiaTheme="minorEastAsia"/>
          <w:kern w:val="0"/>
          <w:lang w:eastAsia="nl-BE" w:bidi="ar-SA"/>
        </w:rPr>
        <w:t xml:space="preserve"> </w:t>
      </w:r>
    </w:p>
    <w:p w:rsidR="006A58E2" w:rsidRPr="00D147A7" w:rsidRDefault="006A58E2" w:rsidP="000F560E">
      <w:pPr>
        <w:widowControl/>
        <w:suppressAutoHyphens w:val="0"/>
        <w:jc w:val="both"/>
        <w:rPr>
          <w:rFonts w:eastAsiaTheme="minorEastAsia"/>
          <w:kern w:val="0"/>
          <w:lang w:eastAsia="en-US" w:bidi="ar-SA"/>
        </w:rPr>
      </w:pPr>
    </w:p>
    <w:tbl>
      <w:tblPr>
        <w:tblStyle w:val="Tabelraster"/>
        <w:tblW w:w="0" w:type="auto"/>
        <w:tblLook w:val="04A0" w:firstRow="1" w:lastRow="0" w:firstColumn="1" w:lastColumn="0" w:noHBand="0" w:noVBand="1"/>
      </w:tblPr>
      <w:tblGrid>
        <w:gridCol w:w="9212"/>
      </w:tblGrid>
      <w:tr w:rsidR="00282D3F" w:rsidRPr="00D147A7" w:rsidTr="00282D3F">
        <w:tc>
          <w:tcPr>
            <w:tcW w:w="9212" w:type="dxa"/>
          </w:tcPr>
          <w:p w:rsidR="00282D3F" w:rsidRPr="00D147A7" w:rsidRDefault="00282D3F" w:rsidP="000F560E">
            <w:pPr>
              <w:widowControl/>
              <w:suppressAutoHyphens w:val="0"/>
              <w:jc w:val="both"/>
              <w:rPr>
                <w:rFonts w:eastAsiaTheme="minorEastAsia"/>
                <w:b/>
                <w:smallCaps/>
                <w:kern w:val="0"/>
                <w:lang w:eastAsia="en-US" w:bidi="ar-SA"/>
              </w:rPr>
            </w:pPr>
            <w:r w:rsidRPr="00D147A7">
              <w:rPr>
                <w:rFonts w:eastAsiaTheme="minorEastAsia"/>
                <w:b/>
                <w:smallCaps/>
                <w:kern w:val="0"/>
                <w:lang w:eastAsia="en-US" w:bidi="ar-SA"/>
              </w:rPr>
              <w:t>Relevante wetgeving</w:t>
            </w:r>
          </w:p>
        </w:tc>
      </w:tr>
      <w:tr w:rsidR="00282D3F" w:rsidRPr="00D147A7" w:rsidTr="00282D3F">
        <w:tc>
          <w:tcPr>
            <w:tcW w:w="9212" w:type="dxa"/>
          </w:tcPr>
          <w:p w:rsidR="00282D3F" w:rsidRPr="00D147A7" w:rsidRDefault="00282D3F"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België: art. 5 Archiefwet; art. 4 § 1, 5° Privacywet; art. 11 § 1 van het KB van 18 augustus 2010 (2)</w:t>
            </w:r>
          </w:p>
        </w:tc>
      </w:tr>
      <w:tr w:rsidR="00282D3F" w:rsidRPr="00D147A7" w:rsidTr="00282D3F">
        <w:tc>
          <w:tcPr>
            <w:tcW w:w="9212" w:type="dxa"/>
          </w:tcPr>
          <w:p w:rsidR="00282D3F" w:rsidRPr="00D147A7" w:rsidRDefault="00282D3F" w:rsidP="00935E88">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Nederland: </w:t>
            </w:r>
            <w:r w:rsidR="00935E88" w:rsidRPr="00D147A7">
              <w:rPr>
                <w:rFonts w:eastAsiaTheme="minorEastAsia"/>
                <w:kern w:val="0"/>
                <w:lang w:eastAsia="en-US" w:bidi="ar-SA"/>
              </w:rPr>
              <w:t>art. 3 Besluit patiëntendossier BOPZ; art. 455 § 1 WGBO; art. 3 en art. 7 Archiefwet; art. 10 § 1 Wbp; art. 20 § 2, a Wcz</w:t>
            </w:r>
          </w:p>
        </w:tc>
      </w:tr>
      <w:tr w:rsidR="00282D3F" w:rsidRPr="00D147A7" w:rsidTr="00282D3F">
        <w:tc>
          <w:tcPr>
            <w:tcW w:w="9212" w:type="dxa"/>
          </w:tcPr>
          <w:p w:rsidR="00282D3F" w:rsidRPr="00D147A7" w:rsidRDefault="00282D3F"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Frankrijk: </w:t>
            </w:r>
            <w:r w:rsidR="00935E88" w:rsidRPr="00D147A7">
              <w:rPr>
                <w:rFonts w:eastAsiaTheme="minorEastAsia"/>
                <w:kern w:val="0"/>
                <w:lang w:eastAsia="en-US" w:bidi="ar-SA"/>
              </w:rPr>
              <w:t>art. 14 van besluit nr. 79-1037 van 3 december 1979, zoals gewijzigd door art. 8, 2° van besluit nr. 2009-1124 van 17 september 2009</w:t>
            </w:r>
          </w:p>
        </w:tc>
      </w:tr>
    </w:tbl>
    <w:p w:rsidR="00282D3F" w:rsidRPr="00D147A7" w:rsidRDefault="00282D3F" w:rsidP="000F560E">
      <w:pPr>
        <w:widowControl/>
        <w:suppressAutoHyphens w:val="0"/>
        <w:jc w:val="both"/>
        <w:rPr>
          <w:rFonts w:eastAsiaTheme="minorEastAsia"/>
          <w:kern w:val="0"/>
          <w:lang w:eastAsia="en-US" w:bidi="ar-SA"/>
        </w:rPr>
      </w:pPr>
    </w:p>
    <w:p w:rsidR="006A58E2" w:rsidRPr="00D147A7" w:rsidRDefault="006A58E2"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smallCaps/>
          <w:kern w:val="0"/>
          <w:lang w:eastAsia="en-US" w:bidi="ar-SA"/>
        </w:rPr>
      </w:pPr>
      <w:r w:rsidRPr="00D147A7">
        <w:rPr>
          <w:rFonts w:eastAsiaTheme="minorEastAsia"/>
          <w:smallCaps/>
          <w:kern w:val="0"/>
          <w:lang w:eastAsia="en-US" w:bidi="ar-SA"/>
        </w:rPr>
        <w:t>5.1 Selectie</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eastAsia="en-US" w:bidi="ar-SA"/>
        </w:rPr>
        <w:t xml:space="preserve">Omdat het </w:t>
      </w:r>
      <w:r w:rsidR="003A078C">
        <w:rPr>
          <w:rFonts w:eastAsiaTheme="minorEastAsia"/>
          <w:kern w:val="0"/>
          <w:lang w:eastAsia="en-US" w:bidi="ar-SA"/>
        </w:rPr>
        <w:t>vanaf</w:t>
      </w:r>
      <w:r w:rsidRPr="00D147A7">
        <w:rPr>
          <w:rFonts w:eastAsiaTheme="minorEastAsia"/>
          <w:kern w:val="0"/>
          <w:lang w:eastAsia="en-US" w:bidi="ar-SA"/>
        </w:rPr>
        <w:t xml:space="preserve"> de jaren 1960 almaar makkelijker werd om documenten op grote schaal te (re)produceren, nam de omvang van de archieven van moderne administraties </w:t>
      </w:r>
      <w:r w:rsidR="003A078C">
        <w:rPr>
          <w:rFonts w:eastAsiaTheme="minorEastAsia"/>
          <w:kern w:val="0"/>
          <w:lang w:eastAsia="en-US" w:bidi="ar-SA"/>
        </w:rPr>
        <w:t xml:space="preserve">sindsdien </w:t>
      </w:r>
      <w:r w:rsidRPr="00D147A7">
        <w:rPr>
          <w:rFonts w:eastAsiaTheme="minorEastAsia"/>
          <w:kern w:val="0"/>
          <w:lang w:eastAsia="en-US" w:bidi="ar-SA"/>
        </w:rPr>
        <w:t>een hoge vlucht. In deze optiek steeg het belang van selectie, waarbij permanent te bewaren van te vernietigen archiefbescheiden (i.e. bescheiden zonder administratieve, juridische en maat</w:t>
      </w:r>
      <w:r w:rsidR="003A078C">
        <w:rPr>
          <w:rFonts w:eastAsiaTheme="minorEastAsia"/>
          <w:kern w:val="0"/>
          <w:lang w:eastAsia="en-US" w:bidi="ar-SA"/>
        </w:rPr>
        <w:t>-</w:t>
      </w:r>
      <w:r w:rsidRPr="00D147A7">
        <w:rPr>
          <w:rFonts w:eastAsiaTheme="minorEastAsia"/>
          <w:kern w:val="0"/>
          <w:lang w:eastAsia="en-US" w:bidi="ar-SA"/>
        </w:rPr>
        <w:t>schappelijke waarde) van elkaar gescheiden worden. Er kan zowel intellectueel (</w:t>
      </w:r>
      <w:r w:rsidRPr="00D147A7">
        <w:rPr>
          <w:rFonts w:eastAsiaTheme="minorEastAsia"/>
          <w:i/>
          <w:kern w:val="0"/>
          <w:lang w:eastAsia="en-US" w:bidi="ar-SA"/>
        </w:rPr>
        <w:t>het geheel van activiteiten gericht op het scheiden van voor blijvende bewaring en voor vernietiging te eniger tijd bestemde archiefbescheiden</w:t>
      </w:r>
      <w:r w:rsidRPr="00D147A7">
        <w:rPr>
          <w:rFonts w:eastAsiaTheme="minorEastAsia"/>
          <w:kern w:val="0"/>
          <w:lang w:eastAsia="en-US" w:bidi="ar-SA"/>
        </w:rPr>
        <w:t>) als fysiek (</w:t>
      </w:r>
      <w:r w:rsidRPr="00D147A7">
        <w:rPr>
          <w:rFonts w:eastAsiaTheme="minorEastAsia"/>
          <w:i/>
          <w:kern w:val="0"/>
          <w:lang w:eastAsia="en-US" w:bidi="ar-SA"/>
        </w:rPr>
        <w:t>de</w:t>
      </w:r>
      <w:r w:rsidRPr="00D147A7">
        <w:rPr>
          <w:rFonts w:eastAsiaTheme="minorEastAsia"/>
          <w:kern w:val="0"/>
          <w:lang w:eastAsia="en-US" w:bidi="ar-SA"/>
        </w:rPr>
        <w:t xml:space="preserve"> </w:t>
      </w:r>
      <w:r w:rsidRPr="00D147A7">
        <w:rPr>
          <w:rFonts w:eastAsiaTheme="minorEastAsia"/>
          <w:i/>
          <w:kern w:val="0"/>
          <w:lang w:eastAsia="en-US" w:bidi="ar-SA"/>
        </w:rPr>
        <w:t>activiteiten binnen de selectie waarbij de voor blijvende bewaring en de voor vernietiging in aanmerking komende archiefbeschei</w:t>
      </w:r>
      <w:r w:rsidR="003A078C">
        <w:rPr>
          <w:rFonts w:eastAsiaTheme="minorEastAsia"/>
          <w:i/>
          <w:kern w:val="0"/>
          <w:lang w:eastAsia="en-US" w:bidi="ar-SA"/>
        </w:rPr>
        <w:t>-</w:t>
      </w:r>
      <w:r w:rsidRPr="00D147A7">
        <w:rPr>
          <w:rFonts w:eastAsiaTheme="minorEastAsia"/>
          <w:i/>
          <w:kern w:val="0"/>
          <w:lang w:eastAsia="en-US" w:bidi="ar-SA"/>
        </w:rPr>
        <w:lastRenderedPageBreak/>
        <w:t>den daadwerkelijk worden gescheiden</w:t>
      </w:r>
      <w:r w:rsidRPr="00D147A7">
        <w:rPr>
          <w:rFonts w:eastAsiaTheme="minorEastAsia"/>
          <w:kern w:val="0"/>
          <w:lang w:eastAsia="en-US" w:bidi="ar-SA"/>
        </w:rPr>
        <w:t>) geselecteerd worden.</w:t>
      </w:r>
      <w:r w:rsidRPr="00D147A7">
        <w:rPr>
          <w:rFonts w:eastAsiaTheme="minorEastAsia"/>
          <w:kern w:val="0"/>
          <w:vertAlign w:val="superscript"/>
          <w:lang w:eastAsia="en-US" w:bidi="ar-SA"/>
        </w:rPr>
        <w:footnoteReference w:id="1215"/>
      </w:r>
      <w:r w:rsidRPr="00D147A7">
        <w:rPr>
          <w:rFonts w:eastAsiaTheme="minorEastAsia"/>
          <w:kern w:val="0"/>
          <w:lang w:eastAsia="en-US" w:bidi="ar-SA"/>
        </w:rPr>
        <w:t xml:space="preserve"> Selectie gaat gepaard met een ware reflectie over de administratieve en juridische waarde van de verschillende archiefbe</w:t>
      </w:r>
      <w:r w:rsidR="003A078C">
        <w:rPr>
          <w:rFonts w:eastAsiaTheme="minorEastAsia"/>
          <w:kern w:val="0"/>
          <w:lang w:eastAsia="en-US" w:bidi="ar-SA"/>
        </w:rPr>
        <w:t>-</w:t>
      </w:r>
      <w:r w:rsidRPr="00D147A7">
        <w:rPr>
          <w:rFonts w:eastAsiaTheme="minorEastAsia"/>
          <w:kern w:val="0"/>
          <w:lang w:eastAsia="en-US" w:bidi="ar-SA"/>
        </w:rPr>
        <w:t>scheiden voor de archiefvormer en over hun maatschappelijk belang (als cultureel erfgoed). Vandaag de dag gaan bewaring en vernietiging hand in hand. De vernietigingsproblematiek bevindt zich op het snijvlak van strategische, technologische, economische en historische vraagstukken, wet- en regelgeving, veiligheid, optimalisatie van de organisatie en van de pro</w:t>
      </w:r>
      <w:r w:rsidR="003A078C">
        <w:rPr>
          <w:rFonts w:eastAsiaTheme="minorEastAsia"/>
          <w:kern w:val="0"/>
          <w:lang w:eastAsia="en-US" w:bidi="ar-SA"/>
        </w:rPr>
        <w:t>-</w:t>
      </w:r>
      <w:r w:rsidRPr="00D147A7">
        <w:rPr>
          <w:rFonts w:eastAsiaTheme="minorEastAsia"/>
          <w:kern w:val="0"/>
          <w:lang w:eastAsia="en-US" w:bidi="ar-SA"/>
        </w:rPr>
        <w:t xml:space="preserve">ductie- en informatiestromen. Inmiddels is selectie tot één van de belangrijkste activiteiten van archivarissen en </w:t>
      </w:r>
      <w:r w:rsidRPr="00D147A7">
        <w:rPr>
          <w:rFonts w:eastAsiaTheme="minorEastAsia"/>
          <w:i/>
          <w:kern w:val="0"/>
          <w:lang w:eastAsia="en-US" w:bidi="ar-SA"/>
        </w:rPr>
        <w:t>records managers</w:t>
      </w:r>
      <w:r w:rsidRPr="00D147A7">
        <w:rPr>
          <w:rFonts w:eastAsiaTheme="minorEastAsia"/>
          <w:kern w:val="0"/>
          <w:lang w:eastAsia="en-US" w:bidi="ar-SA"/>
        </w:rPr>
        <w:t xml:space="preserve"> verheven, naast het traditionele ordenen en beschrij</w:t>
      </w:r>
      <w:r w:rsidR="003A078C">
        <w:rPr>
          <w:rFonts w:eastAsiaTheme="minorEastAsia"/>
          <w:kern w:val="0"/>
          <w:lang w:eastAsia="en-US" w:bidi="ar-SA"/>
        </w:rPr>
        <w:t>-</w:t>
      </w:r>
      <w:r w:rsidRPr="00D147A7">
        <w:rPr>
          <w:rFonts w:eastAsiaTheme="minorEastAsia"/>
          <w:kern w:val="0"/>
          <w:lang w:eastAsia="en-US" w:bidi="ar-SA"/>
        </w:rPr>
        <w:t xml:space="preserve">ven. </w:t>
      </w:r>
      <w:r w:rsidRPr="00D147A7">
        <w:rPr>
          <w:rFonts w:eastAsiaTheme="minorEastAsia"/>
          <w:kern w:val="0"/>
          <w:lang w:val="fr-BE" w:eastAsia="en-US" w:bidi="ar-SA"/>
        </w:rPr>
        <w:t xml:space="preserve">De archivaris </w:t>
      </w:r>
      <w:r w:rsidRPr="00D147A7">
        <w:rPr>
          <w:rFonts w:eastAsiaTheme="minorEastAsia"/>
          <w:i/>
          <w:kern w:val="0"/>
          <w:lang w:val="fr-BE" w:eastAsia="en-US" w:bidi="ar-SA"/>
        </w:rPr>
        <w:t>doit être, plus que jamais celui qui sait éliminer, peut être aussi celui qui ose éliminer</w:t>
      </w:r>
      <w:r w:rsidRPr="00D147A7">
        <w:rPr>
          <w:rFonts w:eastAsiaTheme="minorEastAsia"/>
          <w:kern w:val="0"/>
          <w:lang w:val="fr-BE" w:eastAsia="en-US" w:bidi="ar-SA"/>
        </w:rPr>
        <w:t>.</w:t>
      </w:r>
      <w:r w:rsidRPr="00D147A7">
        <w:rPr>
          <w:rFonts w:eastAsiaTheme="minorEastAsia"/>
          <w:kern w:val="0"/>
          <w:vertAlign w:val="superscript"/>
          <w:lang w:eastAsia="en-US" w:bidi="ar-SA"/>
        </w:rPr>
        <w:footnoteReference w:id="1216"/>
      </w:r>
    </w:p>
    <w:p w:rsidR="007866A1" w:rsidRPr="00D147A7" w:rsidRDefault="007866A1" w:rsidP="000F560E">
      <w:pPr>
        <w:widowControl/>
        <w:suppressAutoHyphens w:val="0"/>
        <w:jc w:val="both"/>
        <w:rPr>
          <w:rFonts w:eastAsiaTheme="minorEastAsia"/>
          <w:kern w:val="0"/>
          <w:lang w:val="fr-BE" w:eastAsia="en-US" w:bidi="ar-SA"/>
        </w:rPr>
      </w:pPr>
      <w:r>
        <w:t>Zonder de inmenging van archivarissen zal de voornaamste beweegreden om archiefbeschei-den te vernietigen, ingegeven worden door het gebrek aan opslagruimte</w:t>
      </w:r>
      <w:r w:rsidRPr="00BC399E">
        <w:t xml:space="preserve">. </w:t>
      </w:r>
      <w:r>
        <w:t>Als er vooraf niet grondig over alle aspecten van het bestaansrecht van de verschillende documenttypes</w:t>
      </w:r>
      <w:r w:rsidRPr="00454FD6">
        <w:t xml:space="preserve"> </w:t>
      </w:r>
      <w:r>
        <w:t>bezon-nen wordt, worden de</w:t>
      </w:r>
      <w:r w:rsidRPr="00BC399E">
        <w:t xml:space="preserve"> </w:t>
      </w:r>
      <w:r>
        <w:t>archief</w:t>
      </w:r>
      <w:r w:rsidRPr="00BC399E">
        <w:t xml:space="preserve">bescheiden die </w:t>
      </w:r>
      <w:r>
        <w:t xml:space="preserve">volgens één iemand (of enkele personen) op het eerste zicht </w:t>
      </w:r>
      <w:r w:rsidRPr="00BC399E">
        <w:t xml:space="preserve">onbelangrijk </w:t>
      </w:r>
      <w:r>
        <w:t>lijken naar de prullenmand verwezen</w:t>
      </w:r>
      <w:r w:rsidRPr="00BC399E">
        <w:t>.</w:t>
      </w:r>
      <w:r w:rsidRPr="00BC399E">
        <w:rPr>
          <w:rStyle w:val="Voetnootmarkering"/>
        </w:rPr>
        <w:footnoteReference w:id="1217"/>
      </w:r>
      <w:r w:rsidRPr="00BC399E">
        <w:t xml:space="preserve"> </w:t>
      </w:r>
      <w:r>
        <w:t>Dergelijke</w:t>
      </w:r>
      <w:r w:rsidRPr="00BC399E">
        <w:t xml:space="preserve"> willekeurige</w:t>
      </w:r>
      <w:r>
        <w:t>, ondoordachte</w:t>
      </w:r>
      <w:r w:rsidRPr="00BC399E">
        <w:t xml:space="preserve"> beslissingen </w:t>
      </w:r>
      <w:r>
        <w:t>hebben</w:t>
      </w:r>
      <w:r w:rsidRPr="00BC399E">
        <w:t xml:space="preserve"> </w:t>
      </w:r>
      <w:r>
        <w:t xml:space="preserve">echter verstrekkende gevolgen: </w:t>
      </w:r>
      <w:r w:rsidRPr="00BC399E">
        <w:t xml:space="preserve">betekenisvolle bescheiden </w:t>
      </w:r>
      <w:r>
        <w:t xml:space="preserve">worden </w:t>
      </w:r>
      <w:r w:rsidRPr="00BC399E">
        <w:t xml:space="preserve">vroegtijdig vernietigd, terwijl nutteloze stukken nodeloos </w:t>
      </w:r>
      <w:r>
        <w:t>bewaard blijven</w:t>
      </w:r>
      <w:r w:rsidRPr="00BC399E">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Momenteel leggen archivarissen en </w:t>
      </w:r>
      <w:r w:rsidRPr="00D147A7">
        <w:rPr>
          <w:rFonts w:eastAsiaTheme="minorEastAsia"/>
          <w:i/>
          <w:kern w:val="0"/>
          <w:lang w:eastAsia="en-US" w:bidi="ar-SA"/>
        </w:rPr>
        <w:t>records managers</w:t>
      </w:r>
      <w:r w:rsidRPr="00D147A7">
        <w:rPr>
          <w:rFonts w:eastAsiaTheme="minorEastAsia"/>
          <w:kern w:val="0"/>
          <w:lang w:eastAsia="en-US" w:bidi="ar-SA"/>
        </w:rPr>
        <w:t xml:space="preserve"> de nadruk op de activiteit vóór de se</w:t>
      </w:r>
      <w:r w:rsidR="007866A1">
        <w:rPr>
          <w:rFonts w:eastAsiaTheme="minorEastAsia"/>
          <w:kern w:val="0"/>
          <w:lang w:eastAsia="en-US" w:bidi="ar-SA"/>
        </w:rPr>
        <w:t>-</w:t>
      </w:r>
      <w:r w:rsidRPr="00D147A7">
        <w:rPr>
          <w:rFonts w:eastAsiaTheme="minorEastAsia"/>
          <w:kern w:val="0"/>
          <w:lang w:eastAsia="en-US" w:bidi="ar-SA"/>
        </w:rPr>
        <w:t>lectie (aangeduid met de term waardering of waardebepaling)</w:t>
      </w:r>
      <w:r w:rsidRPr="00D147A7">
        <w:rPr>
          <w:rFonts w:eastAsiaTheme="minorEastAsia"/>
          <w:i/>
          <w:kern w:val="0"/>
          <w:lang w:eastAsia="en-US" w:bidi="ar-SA"/>
        </w:rPr>
        <w:t xml:space="preserve"> waarbij door bestudering van de context van archiefbescheiden wordt bepaald welke categorieën archiefbescheiden voor tijdelijke dan wel blijvende bewaring in aanmerking komen, al dan niet onder toekenning van bewaartermijnen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218"/>
      </w:r>
      <w:r w:rsidRPr="00D147A7">
        <w:rPr>
          <w:rFonts w:eastAsiaTheme="minorEastAsia"/>
          <w:kern w:val="0"/>
          <w:lang w:eastAsia="en-US" w:bidi="ar-SA"/>
        </w:rPr>
        <w:t xml:space="preserve"> </w:t>
      </w:r>
      <w:r w:rsidRPr="00D147A7">
        <w:rPr>
          <w:rFonts w:eastAsiaTheme="minorEastAsia"/>
          <w:i/>
          <w:kern w:val="0"/>
          <w:lang w:eastAsia="en-US" w:bidi="ar-SA"/>
        </w:rPr>
        <w:t>In concreto</w:t>
      </w:r>
      <w:r w:rsidRPr="00D147A7">
        <w:rPr>
          <w:rFonts w:eastAsiaTheme="minorEastAsia"/>
          <w:kern w:val="0"/>
          <w:lang w:eastAsia="en-US" w:bidi="ar-SA"/>
        </w:rPr>
        <w:t xml:space="preserve"> zullen archivarissen en </w:t>
      </w:r>
      <w:r w:rsidRPr="00D147A7">
        <w:rPr>
          <w:rFonts w:eastAsiaTheme="minorEastAsia"/>
          <w:i/>
          <w:kern w:val="0"/>
          <w:lang w:eastAsia="en-US" w:bidi="ar-SA"/>
        </w:rPr>
        <w:t>records managers</w:t>
      </w:r>
      <w:r w:rsidRPr="00D147A7">
        <w:rPr>
          <w:rFonts w:eastAsiaTheme="minorEastAsia"/>
          <w:kern w:val="0"/>
          <w:lang w:eastAsia="en-US" w:bidi="ar-SA"/>
        </w:rPr>
        <w:t xml:space="preserve"> selectielijsten (die in Nederland basisselectiedocumenten genoemd worden en in Frankrijk </w:t>
      </w:r>
      <w:r w:rsidRPr="00D147A7">
        <w:rPr>
          <w:rFonts w:eastAsiaTheme="minorEastAsia"/>
          <w:i/>
          <w:kern w:val="0"/>
          <w:lang w:eastAsia="en-US" w:bidi="ar-SA"/>
        </w:rPr>
        <w:t>tableau</w:t>
      </w:r>
      <w:r w:rsidR="007866A1">
        <w:rPr>
          <w:rFonts w:eastAsiaTheme="minorEastAsia"/>
          <w:i/>
          <w:kern w:val="0"/>
          <w:lang w:eastAsia="en-US" w:bidi="ar-SA"/>
        </w:rPr>
        <w:t>x</w:t>
      </w:r>
      <w:r w:rsidRPr="00D147A7">
        <w:rPr>
          <w:rFonts w:eastAsiaTheme="minorEastAsia"/>
          <w:i/>
          <w:kern w:val="0"/>
          <w:lang w:eastAsia="en-US" w:bidi="ar-SA"/>
        </w:rPr>
        <w:t xml:space="preserve"> de tri</w:t>
      </w:r>
      <w:r w:rsidRPr="00D147A7">
        <w:rPr>
          <w:rFonts w:eastAsiaTheme="minorEastAsia"/>
          <w:kern w:val="0"/>
          <w:lang w:eastAsia="en-US" w:bidi="ar-SA"/>
        </w:rPr>
        <w:t>/</w:t>
      </w:r>
      <w:r w:rsidRPr="00D147A7">
        <w:rPr>
          <w:rFonts w:eastAsiaTheme="minorEastAsia"/>
          <w:i/>
          <w:kern w:val="0"/>
          <w:lang w:eastAsia="en-US" w:bidi="ar-SA"/>
        </w:rPr>
        <w:t>ges</w:t>
      </w:r>
      <w:r w:rsidR="007866A1">
        <w:rPr>
          <w:rFonts w:eastAsiaTheme="minorEastAsia"/>
          <w:i/>
          <w:kern w:val="0"/>
          <w:lang w:eastAsia="en-US" w:bidi="ar-SA"/>
        </w:rPr>
        <w:t>-</w:t>
      </w:r>
      <w:r w:rsidRPr="00D147A7">
        <w:rPr>
          <w:rFonts w:eastAsiaTheme="minorEastAsia"/>
          <w:i/>
          <w:kern w:val="0"/>
          <w:lang w:eastAsia="en-US" w:bidi="ar-SA"/>
        </w:rPr>
        <w:t>tion</w:t>
      </w:r>
      <w:r w:rsidRPr="00D147A7">
        <w:rPr>
          <w:rFonts w:eastAsiaTheme="minorEastAsia"/>
          <w:kern w:val="0"/>
          <w:vertAlign w:val="superscript"/>
          <w:lang w:eastAsia="en-US" w:bidi="ar-SA"/>
        </w:rPr>
        <w:footnoteReference w:id="1219"/>
      </w:r>
      <w:r w:rsidRPr="00D147A7">
        <w:rPr>
          <w:rFonts w:eastAsiaTheme="minorEastAsia"/>
          <w:i/>
          <w:kern w:val="0"/>
          <w:lang w:eastAsia="en-US" w:bidi="ar-SA"/>
        </w:rPr>
        <w:t xml:space="preserve"> </w:t>
      </w:r>
      <w:r w:rsidRPr="00D147A7">
        <w:rPr>
          <w:rFonts w:eastAsiaTheme="minorEastAsia"/>
          <w:kern w:val="0"/>
          <w:lang w:eastAsia="en-US" w:bidi="ar-SA"/>
        </w:rPr>
        <w:t xml:space="preserve">of </w:t>
      </w:r>
      <w:r w:rsidRPr="00D147A7">
        <w:rPr>
          <w:rFonts w:eastAsiaTheme="minorEastAsia"/>
          <w:i/>
          <w:kern w:val="0"/>
          <w:lang w:eastAsia="en-US" w:bidi="ar-SA"/>
        </w:rPr>
        <w:t>calendrier</w:t>
      </w:r>
      <w:r w:rsidR="007866A1">
        <w:rPr>
          <w:rFonts w:eastAsiaTheme="minorEastAsia"/>
          <w:i/>
          <w:kern w:val="0"/>
          <w:lang w:eastAsia="en-US" w:bidi="ar-SA"/>
        </w:rPr>
        <w:t>s</w:t>
      </w:r>
      <w:r w:rsidRPr="00D147A7">
        <w:rPr>
          <w:rFonts w:eastAsiaTheme="minorEastAsia"/>
          <w:i/>
          <w:kern w:val="0"/>
          <w:lang w:eastAsia="en-US" w:bidi="ar-SA"/>
        </w:rPr>
        <w:t xml:space="preserve"> de conservation</w:t>
      </w:r>
      <w:r w:rsidRPr="00D147A7">
        <w:rPr>
          <w:rFonts w:eastAsiaTheme="minorEastAsia"/>
          <w:kern w:val="0"/>
          <w:vertAlign w:val="superscript"/>
          <w:lang w:eastAsia="en-US" w:bidi="ar-SA"/>
        </w:rPr>
        <w:footnoteReference w:id="1220"/>
      </w:r>
      <w:r w:rsidRPr="00D147A7">
        <w:rPr>
          <w:rFonts w:eastAsiaTheme="minorEastAsia"/>
          <w:kern w:val="0"/>
          <w:lang w:eastAsia="en-US" w:bidi="ar-SA"/>
        </w:rPr>
        <w:t>) opstellen, opvolgen en actualiseren door institutio</w:t>
      </w:r>
      <w:r w:rsidR="007866A1">
        <w:rPr>
          <w:rFonts w:eastAsiaTheme="minorEastAsia"/>
          <w:kern w:val="0"/>
          <w:lang w:eastAsia="en-US" w:bidi="ar-SA"/>
        </w:rPr>
        <w:t>-</w:t>
      </w:r>
      <w:r w:rsidRPr="00D147A7">
        <w:rPr>
          <w:rFonts w:eastAsiaTheme="minorEastAsia"/>
          <w:kern w:val="0"/>
          <w:lang w:eastAsia="en-US" w:bidi="ar-SA"/>
        </w:rPr>
        <w:t>neel onderzoek te verrichten; werkprocessen, informatiestromen en bestaande archiefbeschei</w:t>
      </w:r>
      <w:r w:rsidR="007866A1">
        <w:rPr>
          <w:rFonts w:eastAsiaTheme="minorEastAsia"/>
          <w:kern w:val="0"/>
          <w:lang w:eastAsia="en-US" w:bidi="ar-SA"/>
        </w:rPr>
        <w:t>-</w:t>
      </w:r>
      <w:r w:rsidRPr="00D147A7">
        <w:rPr>
          <w:rFonts w:eastAsiaTheme="minorEastAsia"/>
          <w:kern w:val="0"/>
          <w:lang w:eastAsia="en-US" w:bidi="ar-SA"/>
        </w:rPr>
        <w:t>den te observeren en te analyseren; en interviews (of archiefenquêtes) af te nemen van alle diensthoofden én andere werknemers</w:t>
      </w:r>
      <w:r w:rsidR="004E4D35">
        <w:rPr>
          <w:rFonts w:eastAsiaTheme="minorEastAsia"/>
          <w:kern w:val="0"/>
          <w:lang w:eastAsia="en-US" w:bidi="ar-SA"/>
        </w:rPr>
        <w:t xml:space="preserve"> uit de verschillende lagen van de bedrijfshiërarchie</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221"/>
      </w:r>
      <w:r w:rsidRPr="00D147A7">
        <w:rPr>
          <w:rFonts w:eastAsiaTheme="minorEastAsia"/>
          <w:kern w:val="0"/>
          <w:lang w:eastAsia="en-US" w:bidi="ar-SA"/>
        </w:rPr>
        <w:t xml:space="preserve"> Op deze manier worden de verschillende archiefreeksen geïdentificeerd die door een instel</w:t>
      </w:r>
      <w:r w:rsidR="004E4D35">
        <w:rPr>
          <w:rFonts w:eastAsiaTheme="minorEastAsia"/>
          <w:kern w:val="0"/>
          <w:lang w:eastAsia="en-US" w:bidi="ar-SA"/>
        </w:rPr>
        <w:t>-</w:t>
      </w:r>
      <w:r w:rsidRPr="00D147A7">
        <w:rPr>
          <w:rFonts w:eastAsiaTheme="minorEastAsia"/>
          <w:kern w:val="0"/>
          <w:lang w:eastAsia="en-US" w:bidi="ar-SA"/>
        </w:rPr>
        <w:t>ling of administratie gevormd worden, waarbij aan ieder documenttype een welbepaalde plaats (of waarde) binnen het grotere geheel wordt toegekend.</w:t>
      </w:r>
      <w:r w:rsidRPr="00D147A7">
        <w:rPr>
          <w:rFonts w:eastAsiaTheme="minorEastAsia"/>
          <w:kern w:val="0"/>
          <w:vertAlign w:val="superscript"/>
          <w:lang w:eastAsia="en-US" w:bidi="ar-SA"/>
        </w:rPr>
        <w:footnoteReference w:id="1222"/>
      </w:r>
      <w:r w:rsidRPr="00D147A7">
        <w:rPr>
          <w:rFonts w:eastAsiaTheme="minorEastAsia"/>
          <w:kern w:val="0"/>
          <w:lang w:eastAsia="en-US" w:bidi="ar-SA"/>
        </w:rPr>
        <w:t xml:space="preserve"> De selectielijst is een hulp</w:t>
      </w:r>
      <w:r w:rsidR="004E4D35">
        <w:rPr>
          <w:rFonts w:eastAsiaTheme="minorEastAsia"/>
          <w:kern w:val="0"/>
          <w:lang w:eastAsia="en-US" w:bidi="ar-SA"/>
        </w:rPr>
        <w:t>-</w:t>
      </w:r>
      <w:r w:rsidRPr="00D147A7">
        <w:rPr>
          <w:rFonts w:eastAsiaTheme="minorEastAsia"/>
          <w:kern w:val="0"/>
          <w:lang w:eastAsia="en-US" w:bidi="ar-SA"/>
        </w:rPr>
        <w:t>middel voor de opsporing en de beheersing van informatie binnen de instelling. Het laat toe om de verantwoordelijkheden van iedere dienst vast te leggen in de archivering van documen</w:t>
      </w:r>
      <w:r w:rsidR="004E4D35">
        <w:rPr>
          <w:rFonts w:eastAsiaTheme="minorEastAsia"/>
          <w:kern w:val="0"/>
          <w:lang w:eastAsia="en-US" w:bidi="ar-SA"/>
        </w:rPr>
        <w:t>-</w:t>
      </w:r>
      <w:r w:rsidRPr="00D147A7">
        <w:rPr>
          <w:rFonts w:eastAsiaTheme="minorEastAsia"/>
          <w:kern w:val="0"/>
          <w:lang w:eastAsia="en-US" w:bidi="ar-SA"/>
        </w:rPr>
        <w:t xml:space="preserve">ten en door de bewaarniveaus eenduidig vast te leggen </w:t>
      </w:r>
      <w:r w:rsidR="004E4D35">
        <w:rPr>
          <w:rFonts w:eastAsiaTheme="minorEastAsia"/>
          <w:kern w:val="0"/>
          <w:lang w:eastAsia="en-US" w:bidi="ar-SA"/>
        </w:rPr>
        <w:t>waardoor</w:t>
      </w:r>
      <w:r w:rsidRPr="00D147A7">
        <w:rPr>
          <w:rFonts w:eastAsiaTheme="minorEastAsia"/>
          <w:kern w:val="0"/>
          <w:lang w:eastAsia="en-US" w:bidi="ar-SA"/>
        </w:rPr>
        <w:t xml:space="preserve"> de bewaring van meerdere exemplaren van eenzelfde archiefstuk </w:t>
      </w:r>
      <w:r w:rsidR="004E4D35">
        <w:rPr>
          <w:rFonts w:eastAsiaTheme="minorEastAsia"/>
          <w:kern w:val="0"/>
          <w:lang w:eastAsia="en-US" w:bidi="ar-SA"/>
        </w:rPr>
        <w:t xml:space="preserve">kan </w:t>
      </w:r>
      <w:r w:rsidRPr="00D147A7">
        <w:rPr>
          <w:rFonts w:eastAsiaTheme="minorEastAsia"/>
          <w:kern w:val="0"/>
          <w:lang w:eastAsia="en-US" w:bidi="ar-SA"/>
        </w:rPr>
        <w:t>voorkomen</w:t>
      </w:r>
      <w:r w:rsidR="004E4D35">
        <w:rPr>
          <w:rFonts w:eastAsiaTheme="minorEastAsia"/>
          <w:kern w:val="0"/>
          <w:lang w:eastAsia="en-US" w:bidi="ar-SA"/>
        </w:rPr>
        <w:t xml:space="preserve"> worden</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Eerst en vooral wordt voor ieder document een bewaartermijn opgesteld, tenzij uit het institu</w:t>
      </w:r>
      <w:r w:rsidR="004E4D35">
        <w:rPr>
          <w:rFonts w:eastAsiaTheme="minorEastAsia"/>
          <w:kern w:val="0"/>
          <w:lang w:eastAsia="en-US" w:bidi="ar-SA"/>
        </w:rPr>
        <w:t>-</w:t>
      </w:r>
      <w:r w:rsidRPr="00D147A7">
        <w:rPr>
          <w:rFonts w:eastAsiaTheme="minorEastAsia"/>
          <w:kern w:val="0"/>
          <w:lang w:eastAsia="en-US" w:bidi="ar-SA"/>
        </w:rPr>
        <w:t xml:space="preserve">tioneel onderzoek blijkt dat dergelijke termijnen in de vigerende wetgeving </w:t>
      </w:r>
      <w:r w:rsidR="004E4D35">
        <w:rPr>
          <w:rFonts w:eastAsiaTheme="minorEastAsia"/>
          <w:kern w:val="0"/>
          <w:lang w:eastAsia="en-US" w:bidi="ar-SA"/>
        </w:rPr>
        <w:t>opgenomen zijn</w:t>
      </w:r>
      <w:r w:rsidRPr="00D147A7">
        <w:rPr>
          <w:rFonts w:eastAsiaTheme="minorEastAsia"/>
          <w:kern w:val="0"/>
          <w:lang w:eastAsia="en-US" w:bidi="ar-SA"/>
        </w:rPr>
        <w:t xml:space="preserve">. </w:t>
      </w:r>
      <w:r w:rsidRPr="00D147A7">
        <w:rPr>
          <w:rFonts w:eastAsiaTheme="minorEastAsia"/>
          <w:kern w:val="0"/>
          <w:lang w:eastAsia="en-US" w:bidi="ar-SA"/>
        </w:rPr>
        <w:lastRenderedPageBreak/>
        <w:t>Zolang een document een juridische, administratieve of fiscale waarde heeft, moet het in de archiefvormende instelling bewaard</w:t>
      </w:r>
      <w:r w:rsidR="004E4D35" w:rsidRPr="004E4D35">
        <w:rPr>
          <w:rFonts w:eastAsiaTheme="minorEastAsia"/>
          <w:kern w:val="0"/>
          <w:lang w:eastAsia="en-US" w:bidi="ar-SA"/>
        </w:rPr>
        <w:t xml:space="preserve"> </w:t>
      </w:r>
      <w:r w:rsidR="004E4D35" w:rsidRPr="00D147A7">
        <w:rPr>
          <w:rFonts w:eastAsiaTheme="minorEastAsia"/>
          <w:kern w:val="0"/>
          <w:lang w:eastAsia="en-US" w:bidi="ar-SA"/>
        </w:rPr>
        <w:t>worden</w:t>
      </w:r>
      <w:r w:rsidRPr="00D147A7">
        <w:rPr>
          <w:rFonts w:eastAsiaTheme="minorEastAsia"/>
          <w:kern w:val="0"/>
          <w:lang w:eastAsia="en-US" w:bidi="ar-SA"/>
        </w:rPr>
        <w:t>. De bewaartermijn behelst m.a.w. de dynamische en de semi-dynamische fase van een archiefstuk. De wettelijke bewaartermijnen van (de on</w:t>
      </w:r>
      <w:r w:rsidR="004E4D35">
        <w:rPr>
          <w:rFonts w:eastAsiaTheme="minorEastAsia"/>
          <w:kern w:val="0"/>
          <w:lang w:eastAsia="en-US" w:bidi="ar-SA"/>
        </w:rPr>
        <w:t>-</w:t>
      </w:r>
      <w:r w:rsidRPr="00D147A7">
        <w:rPr>
          <w:rFonts w:eastAsiaTheme="minorEastAsia"/>
          <w:kern w:val="0"/>
          <w:lang w:eastAsia="en-US" w:bidi="ar-SA"/>
        </w:rPr>
        <w:t>derdelen van) patiëntendossiers w</w:t>
      </w:r>
      <w:r w:rsidR="004E4D35">
        <w:rPr>
          <w:rFonts w:eastAsiaTheme="minorEastAsia"/>
          <w:kern w:val="0"/>
          <w:lang w:eastAsia="en-US" w:bidi="ar-SA"/>
        </w:rPr>
        <w:t>e</w:t>
      </w:r>
      <w:r w:rsidRPr="00D147A7">
        <w:rPr>
          <w:rFonts w:eastAsiaTheme="minorEastAsia"/>
          <w:kern w:val="0"/>
          <w:lang w:eastAsia="en-US" w:bidi="ar-SA"/>
        </w:rPr>
        <w:t xml:space="preserve">rden in deel 3 uitvoerig behandeld.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Daarnaast worden selectiecriteria gekozen, die de zogenaamde ‘definitieve bestemming’ van archiefbescheiden vastleggen. Wat is m.a.w. het lot van de verschillende documenttypes nadat hun bewaartermijn verstreken is? In principe zijn er slechts twee mogelijkheden: (permanent) bewaren of vernietigen. Alvorens archiefstukken definitief bewaard worden, kunnen ze wel eerst aan een nadere fysieke selectie (of schoning) onderworpen worden.</w:t>
      </w:r>
      <w:r w:rsidRPr="00D147A7">
        <w:rPr>
          <w:rFonts w:eastAsiaTheme="minorEastAsia"/>
          <w:kern w:val="0"/>
          <w:vertAlign w:val="superscript"/>
          <w:lang w:eastAsia="en-US" w:bidi="ar-SA"/>
        </w:rPr>
        <w:footnoteReference w:id="1223"/>
      </w:r>
      <w:r w:rsidRPr="00D147A7">
        <w:rPr>
          <w:rFonts w:eastAsiaTheme="minorEastAsia"/>
          <w:kern w:val="0"/>
          <w:lang w:eastAsia="en-US" w:bidi="ar-SA"/>
        </w:rPr>
        <w:t xml:space="preserve"> Bovendien zijn archiefvormende instellingen vrij om bescheiden die vernietigd mogen worden zelf verder te bewaren.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Bij het vastleggen van selectiecriteria laten archivarissen en </w:t>
      </w:r>
      <w:r w:rsidRPr="00D147A7">
        <w:rPr>
          <w:rFonts w:eastAsiaTheme="minorEastAsia"/>
          <w:i/>
          <w:kern w:val="0"/>
          <w:lang w:eastAsia="en-US" w:bidi="ar-SA"/>
        </w:rPr>
        <w:t xml:space="preserve">records managers </w:t>
      </w:r>
      <w:r w:rsidRPr="00D147A7">
        <w:rPr>
          <w:rFonts w:eastAsiaTheme="minorEastAsia"/>
          <w:kern w:val="0"/>
          <w:lang w:eastAsia="en-US" w:bidi="ar-SA"/>
        </w:rPr>
        <w:t>zich traditio</w:t>
      </w:r>
      <w:r w:rsidR="004E4D35">
        <w:rPr>
          <w:rFonts w:eastAsiaTheme="minorEastAsia"/>
          <w:kern w:val="0"/>
          <w:lang w:eastAsia="en-US" w:bidi="ar-SA"/>
        </w:rPr>
        <w:t>-</w:t>
      </w:r>
      <w:r w:rsidRPr="00D147A7">
        <w:rPr>
          <w:rFonts w:eastAsiaTheme="minorEastAsia"/>
          <w:kern w:val="0"/>
          <w:lang w:eastAsia="en-US" w:bidi="ar-SA"/>
        </w:rPr>
        <w:t xml:space="preserve">neel leiden door de juridische en administratieve waarde </w:t>
      </w:r>
      <w:r w:rsidR="004E4D35">
        <w:rPr>
          <w:rFonts w:eastAsiaTheme="minorEastAsia"/>
          <w:kern w:val="0"/>
          <w:lang w:eastAsia="en-US" w:bidi="ar-SA"/>
        </w:rPr>
        <w:t>die</w:t>
      </w:r>
      <w:r w:rsidRPr="00D147A7">
        <w:rPr>
          <w:rFonts w:eastAsiaTheme="minorEastAsia"/>
          <w:kern w:val="0"/>
          <w:lang w:eastAsia="en-US" w:bidi="ar-SA"/>
        </w:rPr>
        <w:t xml:space="preserve"> </w:t>
      </w:r>
      <w:r w:rsidR="004E4D35">
        <w:rPr>
          <w:rFonts w:eastAsiaTheme="minorEastAsia"/>
          <w:kern w:val="0"/>
          <w:lang w:eastAsia="en-US" w:bidi="ar-SA"/>
        </w:rPr>
        <w:t xml:space="preserve">archiefvormer aan </w:t>
      </w:r>
      <w:r w:rsidRPr="00D147A7">
        <w:rPr>
          <w:rFonts w:eastAsiaTheme="minorEastAsia"/>
          <w:kern w:val="0"/>
          <w:lang w:eastAsia="en-US" w:bidi="ar-SA"/>
        </w:rPr>
        <w:t xml:space="preserve">de bescheiden </w:t>
      </w:r>
      <w:r w:rsidR="004E4D35">
        <w:rPr>
          <w:rFonts w:eastAsiaTheme="minorEastAsia"/>
          <w:kern w:val="0"/>
          <w:lang w:eastAsia="en-US" w:bidi="ar-SA"/>
        </w:rPr>
        <w:t>toekent/-kende</w:t>
      </w:r>
      <w:r w:rsidRPr="00D147A7">
        <w:rPr>
          <w:rFonts w:eastAsiaTheme="minorEastAsia"/>
          <w:kern w:val="0"/>
          <w:lang w:eastAsia="en-US" w:bidi="ar-SA"/>
        </w:rPr>
        <w:t xml:space="preserve">. Daarom is het belangrijk om de selectie zo vroeg mogelijk in de </w:t>
      </w:r>
      <w:r w:rsidRPr="00D147A7">
        <w:rPr>
          <w:rFonts w:eastAsiaTheme="minorEastAsia"/>
          <w:i/>
          <w:kern w:val="0"/>
          <w:lang w:eastAsia="en-US" w:bidi="ar-SA"/>
        </w:rPr>
        <w:t>records life</w:t>
      </w:r>
      <w:r w:rsidR="004E4D35">
        <w:rPr>
          <w:rFonts w:eastAsiaTheme="minorEastAsia"/>
          <w:i/>
          <w:kern w:val="0"/>
          <w:lang w:eastAsia="en-US" w:bidi="ar-SA"/>
        </w:rPr>
        <w:t>-</w:t>
      </w:r>
      <w:r w:rsidRPr="00D147A7">
        <w:rPr>
          <w:rFonts w:eastAsiaTheme="minorEastAsia"/>
          <w:i/>
          <w:kern w:val="0"/>
          <w:lang w:eastAsia="en-US" w:bidi="ar-SA"/>
        </w:rPr>
        <w:t xml:space="preserve">cycle </w:t>
      </w:r>
      <w:r w:rsidRPr="00D147A7">
        <w:rPr>
          <w:rFonts w:eastAsiaTheme="minorEastAsia"/>
          <w:kern w:val="0"/>
          <w:lang w:eastAsia="en-US" w:bidi="ar-SA"/>
        </w:rPr>
        <w:t>uit te voeren. Als de definitieve bestemming in selectielijsten besloten ligt, kan bijvoor</w:t>
      </w:r>
      <w:r w:rsidR="004E4D35">
        <w:rPr>
          <w:rFonts w:eastAsiaTheme="minorEastAsia"/>
          <w:kern w:val="0"/>
          <w:lang w:eastAsia="en-US" w:bidi="ar-SA"/>
        </w:rPr>
        <w:t>-</w:t>
      </w:r>
      <w:r w:rsidRPr="00D147A7">
        <w:rPr>
          <w:rFonts w:eastAsiaTheme="minorEastAsia"/>
          <w:kern w:val="0"/>
          <w:lang w:eastAsia="en-US" w:bidi="ar-SA"/>
        </w:rPr>
        <w:t>beeld vermeden worden dat documenten die reeds na enkele jaren vernietigd mogen worden</w:t>
      </w:r>
      <w:r w:rsidR="004E4D35" w:rsidRPr="004E4D35">
        <w:rPr>
          <w:rFonts w:eastAsiaTheme="minorEastAsia"/>
          <w:kern w:val="0"/>
          <w:lang w:eastAsia="en-US" w:bidi="ar-SA"/>
        </w:rPr>
        <w:t xml:space="preserve"> </w:t>
      </w:r>
      <w:r w:rsidR="004E4D35" w:rsidRPr="00D147A7">
        <w:rPr>
          <w:rFonts w:eastAsiaTheme="minorEastAsia"/>
          <w:kern w:val="0"/>
          <w:lang w:eastAsia="en-US" w:bidi="ar-SA"/>
        </w:rPr>
        <w:t xml:space="preserve">op </w:t>
      </w:r>
      <w:r w:rsidR="004E4D35">
        <w:rPr>
          <w:rFonts w:eastAsiaTheme="minorEastAsia"/>
          <w:kern w:val="0"/>
          <w:lang w:eastAsia="en-US" w:bidi="ar-SA"/>
        </w:rPr>
        <w:t xml:space="preserve">(duur) </w:t>
      </w:r>
      <w:r w:rsidR="004E4D35" w:rsidRPr="00D147A7">
        <w:rPr>
          <w:rFonts w:eastAsiaTheme="minorEastAsia"/>
          <w:kern w:val="0"/>
          <w:lang w:eastAsia="en-US" w:bidi="ar-SA"/>
        </w:rPr>
        <w:t>zuurvrij papier opgesteld</w:t>
      </w:r>
      <w:r w:rsidR="004E4D35" w:rsidRPr="004E4D35">
        <w:rPr>
          <w:rFonts w:eastAsiaTheme="minorEastAsia"/>
          <w:kern w:val="0"/>
          <w:lang w:eastAsia="en-US" w:bidi="ar-SA"/>
        </w:rPr>
        <w:t xml:space="preserve"> </w:t>
      </w:r>
      <w:r w:rsidR="004E4D35" w:rsidRPr="00D147A7">
        <w:rPr>
          <w:rFonts w:eastAsiaTheme="minorEastAsia"/>
          <w:kern w:val="0"/>
          <w:lang w:eastAsia="en-US" w:bidi="ar-SA"/>
        </w:rPr>
        <w:t>worden</w:t>
      </w:r>
      <w:r w:rsidRPr="00D147A7">
        <w:rPr>
          <w:rFonts w:eastAsiaTheme="minorEastAsia"/>
          <w:kern w:val="0"/>
          <w:lang w:eastAsia="en-US" w:bidi="ar-SA"/>
        </w:rPr>
        <w:t>. Hoe korter op de bal gespeeld wordt, des te mak</w:t>
      </w:r>
      <w:r w:rsidR="004E4D35">
        <w:rPr>
          <w:rFonts w:eastAsiaTheme="minorEastAsia"/>
          <w:kern w:val="0"/>
          <w:lang w:eastAsia="en-US" w:bidi="ar-SA"/>
        </w:rPr>
        <w:t>-</w:t>
      </w:r>
      <w:r w:rsidRPr="00D147A7">
        <w:rPr>
          <w:rFonts w:eastAsiaTheme="minorEastAsia"/>
          <w:kern w:val="0"/>
          <w:lang w:eastAsia="en-US" w:bidi="ar-SA"/>
        </w:rPr>
        <w:t xml:space="preserve">kelijker de archiefvormer – in het geval van twijfel – kan worden opgespoord. Als de vormer zelf kan meedelen welke waarde een bepaald document </w:t>
      </w:r>
      <w:r w:rsidR="004E4D35">
        <w:rPr>
          <w:rFonts w:eastAsiaTheme="minorEastAsia"/>
          <w:kern w:val="0"/>
          <w:lang w:eastAsia="en-US" w:bidi="ar-SA"/>
        </w:rPr>
        <w:t>voor hem heeft/had</w:t>
      </w:r>
      <w:r w:rsidRPr="00D147A7">
        <w:rPr>
          <w:rFonts w:eastAsiaTheme="minorEastAsia"/>
          <w:kern w:val="0"/>
          <w:lang w:eastAsia="en-US" w:bidi="ar-SA"/>
        </w:rPr>
        <w:t xml:space="preserve">, moet dit niet via intensief literatuur- en archiefonderzoek achterhaald worden. De eisen waaraan het personeel moet voldoen om de selectie uit te voeren, stijgen naarmate de selectie </w:t>
      </w:r>
      <w:r w:rsidR="004E4D35" w:rsidRPr="00D147A7">
        <w:rPr>
          <w:rFonts w:eastAsiaTheme="minorEastAsia"/>
          <w:kern w:val="0"/>
          <w:lang w:eastAsia="en-US" w:bidi="ar-SA"/>
        </w:rPr>
        <w:t xml:space="preserve">wordt </w:t>
      </w:r>
      <w:r w:rsidRPr="00D147A7">
        <w:rPr>
          <w:rFonts w:eastAsiaTheme="minorEastAsia"/>
          <w:kern w:val="0"/>
          <w:lang w:eastAsia="en-US" w:bidi="ar-SA"/>
        </w:rPr>
        <w:t>uitgesteld. Vroegtijdig selecteren bespaart de administratie in kwestie dus heel wat tijd en geld. Eenmaal de selectie uitgesteld wordt, raakt men in een vicieuze cirkel verzeild. Omdat de gevolgen van selectie niet meteen zichtbaar zijn, wordt dit niet als prioritair beschouwd. Achteraf selecteren wordt daarom vaak op de lange baan geschoven, wat de zaak alleen maar ingewikkelder maakt en men nog minder geneigd zal zijn om zich hierover te buigen. Dit moet koste wat het kost vermeden worden, zeker als men met omvangrijke archieven (zoals in ziekenhuizen) te ma</w:t>
      </w:r>
      <w:r w:rsidR="004E4D35">
        <w:rPr>
          <w:rFonts w:eastAsiaTheme="minorEastAsia"/>
          <w:kern w:val="0"/>
          <w:lang w:eastAsia="en-US" w:bidi="ar-SA"/>
        </w:rPr>
        <w:t>ken heeft.</w:t>
      </w:r>
    </w:p>
    <w:p w:rsidR="000F560E" w:rsidRPr="00D147A7" w:rsidRDefault="000F560E" w:rsidP="000F560E">
      <w:pPr>
        <w:widowControl/>
        <w:suppressAutoHyphens w:val="0"/>
        <w:autoSpaceDE w:val="0"/>
        <w:autoSpaceDN w:val="0"/>
        <w:adjustRightInd w:val="0"/>
        <w:jc w:val="both"/>
        <w:rPr>
          <w:rFonts w:eastAsiaTheme="minorEastAsia"/>
          <w:kern w:val="0"/>
          <w:lang w:eastAsia="en-US" w:bidi="ar-SA"/>
        </w:rPr>
      </w:pPr>
      <w:r w:rsidRPr="00D147A7">
        <w:rPr>
          <w:rFonts w:eastAsiaTheme="minorEastAsia"/>
          <w:kern w:val="0"/>
          <w:lang w:eastAsia="en-US" w:bidi="ar-SA"/>
        </w:rPr>
        <w:t>Als er tijdig geselecteerd wordt, kunnen de archiefstukken ook meteen vernietigd worden zo</w:t>
      </w:r>
      <w:r w:rsidR="004E4D35">
        <w:rPr>
          <w:rFonts w:eastAsiaTheme="minorEastAsia"/>
          <w:kern w:val="0"/>
          <w:lang w:eastAsia="en-US" w:bidi="ar-SA"/>
        </w:rPr>
        <w:t>-</w:t>
      </w:r>
      <w:r w:rsidRPr="00D147A7">
        <w:rPr>
          <w:rFonts w:eastAsiaTheme="minorEastAsia"/>
          <w:kern w:val="0"/>
          <w:lang w:eastAsia="en-US" w:bidi="ar-SA"/>
        </w:rPr>
        <w:t>dra hun bewaartermijn verstreken is. Dit kan heel wat opslagplaats besparen. Bovendien ver</w:t>
      </w:r>
      <w:r w:rsidR="004E4D35">
        <w:rPr>
          <w:rFonts w:eastAsiaTheme="minorEastAsia"/>
          <w:kern w:val="0"/>
          <w:lang w:eastAsia="en-US" w:bidi="ar-SA"/>
        </w:rPr>
        <w:t>-</w:t>
      </w:r>
      <w:r w:rsidRPr="00D147A7">
        <w:rPr>
          <w:rFonts w:eastAsiaTheme="minorEastAsia"/>
          <w:kern w:val="0"/>
          <w:lang w:eastAsia="en-US" w:bidi="ar-SA"/>
        </w:rPr>
        <w:t>houdt de toegankelijkheid van archieven zich omgekeerd evenredig tot de omvang. Een goede (en dus vroegtijdige) selectie heeft ook dus ook gevolgen voor de (efficiënte) werking van een administratie. Dat geldt des te meer voor omvangrijke medische archieven. Een vroegtijdige selectie is dus – nog meer dan voor andere archieven – van elementair belang voor zieke</w:t>
      </w:r>
      <w:r w:rsidR="004E4D35">
        <w:rPr>
          <w:rFonts w:eastAsiaTheme="minorEastAsia"/>
          <w:kern w:val="0"/>
          <w:lang w:eastAsia="en-US" w:bidi="ar-SA"/>
        </w:rPr>
        <w:t>n-</w:t>
      </w:r>
      <w:r w:rsidRPr="00D147A7">
        <w:rPr>
          <w:rFonts w:eastAsiaTheme="minorEastAsia"/>
          <w:kern w:val="0"/>
          <w:lang w:eastAsia="en-US" w:bidi="ar-SA"/>
        </w:rPr>
        <w:t>huisarchieven. Uit onderstaande grafieken blijkt immers dat zowel de omvang van zieken</w:t>
      </w:r>
      <w:r w:rsidR="004E4D35">
        <w:rPr>
          <w:rFonts w:eastAsiaTheme="minorEastAsia"/>
          <w:kern w:val="0"/>
          <w:lang w:eastAsia="en-US" w:bidi="ar-SA"/>
        </w:rPr>
        <w:t>-</w:t>
      </w:r>
      <w:r w:rsidRPr="00D147A7">
        <w:rPr>
          <w:rFonts w:eastAsiaTheme="minorEastAsia"/>
          <w:kern w:val="0"/>
          <w:lang w:eastAsia="en-US" w:bidi="ar-SA"/>
        </w:rPr>
        <w:t>huisarchieven als het aantal patiëntendossiers almaar toeneemt.</w:t>
      </w:r>
      <w:r w:rsidRPr="00D147A7">
        <w:rPr>
          <w:rFonts w:eastAsiaTheme="minorEastAsia"/>
          <w:kern w:val="0"/>
          <w:vertAlign w:val="superscript"/>
          <w:lang w:eastAsia="en-US" w:bidi="ar-SA"/>
        </w:rPr>
        <w:footnoteReference w:id="1224"/>
      </w:r>
      <w:r w:rsidRPr="00D147A7">
        <w:rPr>
          <w:rFonts w:eastAsiaTheme="minorEastAsia"/>
          <w:kern w:val="0"/>
          <w:lang w:eastAsia="en-US" w:bidi="ar-SA"/>
        </w:rPr>
        <w:t xml:space="preserve"> </w:t>
      </w:r>
      <w:r w:rsidR="004E4D35">
        <w:rPr>
          <w:rFonts w:eastAsiaTheme="minorEastAsia"/>
          <w:kern w:val="0"/>
          <w:lang w:eastAsia="en-US" w:bidi="ar-SA"/>
        </w:rPr>
        <w:t>Uit r</w:t>
      </w:r>
      <w:r w:rsidRPr="00D147A7">
        <w:rPr>
          <w:rFonts w:eastAsiaTheme="minorEastAsia"/>
          <w:kern w:val="0"/>
          <w:lang w:eastAsia="en-US" w:bidi="ar-SA"/>
        </w:rPr>
        <w:t xml:space="preserve">ecente analyses </w:t>
      </w:r>
      <w:r w:rsidR="004E4D35">
        <w:rPr>
          <w:rFonts w:eastAsiaTheme="minorEastAsia"/>
          <w:kern w:val="0"/>
          <w:lang w:eastAsia="en-US" w:bidi="ar-SA"/>
        </w:rPr>
        <w:t>blijkt</w:t>
      </w:r>
      <w:r w:rsidRPr="00D147A7">
        <w:rPr>
          <w:rFonts w:eastAsiaTheme="minorEastAsia"/>
          <w:kern w:val="0"/>
          <w:lang w:eastAsia="en-US" w:bidi="ar-SA"/>
        </w:rPr>
        <w:t xml:space="preserve"> dat de archiefproductie iedere twee jaar zal verviervoudigen.</w:t>
      </w:r>
      <w:r w:rsidRPr="00D147A7">
        <w:rPr>
          <w:rFonts w:eastAsiaTheme="minorEastAsia"/>
          <w:kern w:val="0"/>
          <w:vertAlign w:val="superscript"/>
          <w:lang w:eastAsia="en-US" w:bidi="ar-SA"/>
        </w:rPr>
        <w:footnoteReference w:id="1225"/>
      </w:r>
      <w:r w:rsidRPr="00D147A7">
        <w:rPr>
          <w:rFonts w:eastAsiaTheme="minorEastAsia"/>
          <w:kern w:val="0"/>
          <w:lang w:eastAsia="en-US" w:bidi="ar-SA"/>
        </w:rPr>
        <w:t xml:space="preserve"> Bovendien moeten patiënten</w:t>
      </w:r>
      <w:r w:rsidR="004E4D35">
        <w:rPr>
          <w:rFonts w:eastAsiaTheme="minorEastAsia"/>
          <w:kern w:val="0"/>
          <w:lang w:eastAsia="en-US" w:bidi="ar-SA"/>
        </w:rPr>
        <w:t>-</w:t>
      </w:r>
      <w:r w:rsidRPr="00D147A7">
        <w:rPr>
          <w:rFonts w:eastAsiaTheme="minorEastAsia"/>
          <w:kern w:val="0"/>
          <w:lang w:eastAsia="en-US" w:bidi="ar-SA"/>
        </w:rPr>
        <w:t>dossiers ook zeer lang bewaard worden, zeker als men er rekening mee houdt dat de verschei</w:t>
      </w:r>
      <w:r w:rsidR="004E4D35">
        <w:rPr>
          <w:rFonts w:eastAsiaTheme="minorEastAsia"/>
          <w:kern w:val="0"/>
          <w:lang w:eastAsia="en-US" w:bidi="ar-SA"/>
        </w:rPr>
        <w:t>-</w:t>
      </w:r>
      <w:r w:rsidRPr="00D147A7">
        <w:rPr>
          <w:rFonts w:eastAsiaTheme="minorEastAsia"/>
          <w:kern w:val="0"/>
          <w:lang w:eastAsia="en-US" w:bidi="ar-SA"/>
        </w:rPr>
        <w:t xml:space="preserve">denheid aan bewaartermijnen voor de verschillende onderdelen van een patiëntendossier vooralsnog veeleer fictie </w:t>
      </w:r>
      <w:r w:rsidR="004E4D35">
        <w:rPr>
          <w:rFonts w:eastAsiaTheme="minorEastAsia"/>
          <w:kern w:val="0"/>
          <w:lang w:eastAsia="en-US" w:bidi="ar-SA"/>
        </w:rPr>
        <w:t>zijn</w:t>
      </w:r>
      <w:r w:rsidRPr="00D147A7">
        <w:rPr>
          <w:rFonts w:eastAsiaTheme="minorEastAsia"/>
          <w:kern w:val="0"/>
          <w:lang w:eastAsia="en-US" w:bidi="ar-SA"/>
        </w:rPr>
        <w:t xml:space="preserve">. Individuele papieren patiëntendossiers schonen is immers een veel te arbeidsintensieve (en dus dure) bezigheid. Zolang er niet automatische kan worden </w:t>
      </w:r>
      <w:r w:rsidRPr="00D147A7">
        <w:rPr>
          <w:rFonts w:eastAsiaTheme="minorEastAsia"/>
          <w:kern w:val="0"/>
          <w:lang w:eastAsia="en-US" w:bidi="ar-SA"/>
        </w:rPr>
        <w:lastRenderedPageBreak/>
        <w:t xml:space="preserve">vernietigd, bepaalt </w:t>
      </w:r>
      <w:r w:rsidR="004E4D35" w:rsidRPr="00D147A7">
        <w:rPr>
          <w:rFonts w:eastAsiaTheme="minorEastAsia"/>
          <w:i/>
          <w:kern w:val="0"/>
          <w:lang w:eastAsia="en-US" w:bidi="ar-SA"/>
        </w:rPr>
        <w:t>de facto</w:t>
      </w:r>
      <w:r w:rsidR="004E4D35" w:rsidRPr="00D147A7">
        <w:rPr>
          <w:rFonts w:eastAsiaTheme="minorEastAsia"/>
          <w:kern w:val="0"/>
          <w:lang w:eastAsia="en-US" w:bidi="ar-SA"/>
        </w:rPr>
        <w:t xml:space="preserve"> </w:t>
      </w:r>
      <w:r w:rsidRPr="00D147A7">
        <w:rPr>
          <w:rFonts w:eastAsiaTheme="minorEastAsia"/>
          <w:kern w:val="0"/>
          <w:lang w:eastAsia="en-US" w:bidi="ar-SA"/>
        </w:rPr>
        <w:t>het langst te bewaren document de bewaartermijn van het volle</w:t>
      </w:r>
      <w:r w:rsidR="004E4D35">
        <w:rPr>
          <w:rFonts w:eastAsiaTheme="minorEastAsia"/>
          <w:kern w:val="0"/>
          <w:lang w:eastAsia="en-US" w:bidi="ar-SA"/>
        </w:rPr>
        <w:t>-</w:t>
      </w:r>
      <w:r w:rsidRPr="00D147A7">
        <w:rPr>
          <w:rFonts w:eastAsiaTheme="minorEastAsia"/>
          <w:kern w:val="0"/>
          <w:lang w:eastAsia="en-US" w:bidi="ar-SA"/>
        </w:rPr>
        <w:t>dige patiëntendossiers. De Belgische wetgever heeft bijvoorbeeld verschillende bewaarter</w:t>
      </w:r>
      <w:r w:rsidR="004E4D35">
        <w:rPr>
          <w:rFonts w:eastAsiaTheme="minorEastAsia"/>
          <w:kern w:val="0"/>
          <w:lang w:eastAsia="en-US" w:bidi="ar-SA"/>
        </w:rPr>
        <w:t>-</w:t>
      </w:r>
      <w:r w:rsidRPr="00D147A7">
        <w:rPr>
          <w:rFonts w:eastAsiaTheme="minorEastAsia"/>
          <w:kern w:val="0"/>
          <w:lang w:eastAsia="en-US" w:bidi="ar-SA"/>
        </w:rPr>
        <w:t>mijnen voor de twee onderdelen van het patiëntendossier in ziekenhuisverband verordend: twintig jaar voor het verpleegkundige dossiers en dertig jaar voor het medisch dossier. Omdat deze dossiers samen bewaard worden, wordt ook het verpleegkundig dossier in de praktijk dertig jaar bijgehouden. Dit is natuurlijk alleen voor grote ziekenhuizen het geval. In afwach</w:t>
      </w:r>
      <w:r w:rsidR="004E4D35">
        <w:rPr>
          <w:rFonts w:eastAsiaTheme="minorEastAsia"/>
          <w:kern w:val="0"/>
          <w:lang w:eastAsia="en-US" w:bidi="ar-SA"/>
        </w:rPr>
        <w:t>-</w:t>
      </w:r>
      <w:r w:rsidRPr="00D147A7">
        <w:rPr>
          <w:rFonts w:eastAsiaTheme="minorEastAsia"/>
          <w:kern w:val="0"/>
          <w:lang w:eastAsia="en-US" w:bidi="ar-SA"/>
        </w:rPr>
        <w:t>ting van een doorgedreven digitalisering, moet iedere instelling zelf een kosten-batenanalyse ma</w:t>
      </w:r>
      <w:r w:rsidR="004E4D35">
        <w:rPr>
          <w:rFonts w:eastAsiaTheme="minorEastAsia"/>
          <w:kern w:val="0"/>
          <w:lang w:eastAsia="en-US" w:bidi="ar-SA"/>
        </w:rPr>
        <w:t>ken.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center"/>
        <w:rPr>
          <w:rFonts w:eastAsiaTheme="minorEastAsia"/>
          <w:noProof/>
          <w:kern w:val="0"/>
          <w:sz w:val="22"/>
          <w:szCs w:val="22"/>
          <w:lang w:eastAsia="nl-BE" w:bidi="ar-SA"/>
        </w:rPr>
      </w:pPr>
      <w:r w:rsidRPr="00D147A7">
        <w:rPr>
          <w:rFonts w:eastAsiaTheme="minorEastAsia"/>
          <w:noProof/>
          <w:kern w:val="0"/>
          <w:sz w:val="22"/>
          <w:szCs w:val="22"/>
          <w:lang w:eastAsia="nl-BE" w:bidi="ar-SA"/>
        </w:rPr>
        <w:drawing>
          <wp:inline distT="0" distB="0" distL="0" distR="0" wp14:anchorId="11F0EABA" wp14:editId="6269957E">
            <wp:extent cx="3978275" cy="2339340"/>
            <wp:effectExtent l="0" t="0" r="3175" b="3810"/>
            <wp:docPr id="49" name="Afbeelding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978275" cy="2339340"/>
                    </a:xfrm>
                    <a:prstGeom prst="rect">
                      <a:avLst/>
                    </a:prstGeom>
                    <a:noFill/>
                    <a:ln>
                      <a:noFill/>
                    </a:ln>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noProof/>
          <w:kern w:val="0"/>
          <w:lang w:eastAsia="nl-BE" w:bidi="ar-SA"/>
        </w:rPr>
        <w:t>Grafiek 10: Aantal strekkende meters die patiëntendossiers in beslag namen in een (groot) Nederlands academisch ziekenhuis (1981 – 1986)</w:t>
      </w:r>
      <w:r w:rsidRPr="00D147A7">
        <w:rPr>
          <w:rFonts w:eastAsiaTheme="minorEastAsia"/>
          <w:noProof/>
          <w:kern w:val="0"/>
          <w:vertAlign w:val="superscript"/>
          <w:lang w:eastAsia="nl-BE" w:bidi="ar-SA"/>
        </w:rPr>
        <w:footnoteReference w:id="1226"/>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noProof/>
          <w:kern w:val="0"/>
          <w:lang w:eastAsia="nl-BE" w:bidi="ar-SA"/>
        </w:rPr>
        <w:drawing>
          <wp:inline distT="0" distB="0" distL="0" distR="0" wp14:anchorId="0798FE42" wp14:editId="135EEAA5">
            <wp:extent cx="3978275" cy="2351405"/>
            <wp:effectExtent l="0" t="0" r="3175" b="0"/>
            <wp:docPr id="50" name="Afbeelding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978275" cy="2351405"/>
                    </a:xfrm>
                    <a:prstGeom prst="rect">
                      <a:avLst/>
                    </a:prstGeom>
                    <a:noFill/>
                    <a:ln>
                      <a:noFill/>
                    </a:ln>
                  </pic:spPr>
                </pic:pic>
              </a:graphicData>
            </a:graphic>
          </wp:inline>
        </w:drawing>
      </w:r>
    </w:p>
    <w:p w:rsidR="000F560E"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Grafiek 11: Evolutie van de omvang van enkele patiëntendossiers in een (groot) Nederlands academisch ziekenhuis (1960 – 1990)</w:t>
      </w:r>
      <w:r w:rsidRPr="00D147A7">
        <w:rPr>
          <w:rFonts w:eastAsiaTheme="minorEastAsia"/>
          <w:kern w:val="0"/>
          <w:vertAlign w:val="superscript"/>
          <w:lang w:eastAsia="en-US" w:bidi="ar-SA"/>
        </w:rPr>
        <w:footnoteReference w:id="1227"/>
      </w:r>
    </w:p>
    <w:p w:rsidR="004E4D35" w:rsidRPr="00D147A7" w:rsidRDefault="004E4D35"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autoSpaceDE w:val="0"/>
        <w:autoSpaceDN w:val="0"/>
        <w:adjustRightInd w:val="0"/>
        <w:jc w:val="both"/>
        <w:rPr>
          <w:rFonts w:eastAsiaTheme="minorEastAsia"/>
          <w:kern w:val="0"/>
          <w:lang w:eastAsia="en-US" w:bidi="ar-SA"/>
        </w:rPr>
      </w:pPr>
      <w:r w:rsidRPr="00D147A7">
        <w:rPr>
          <w:rFonts w:eastAsiaTheme="minorEastAsia"/>
          <w:kern w:val="0"/>
          <w:lang w:eastAsia="nl-BE" w:bidi="ar-SA"/>
        </w:rPr>
        <w:t xml:space="preserve">Het gebrek aan opslagruimte voor papieren bescheiden is het meest zichtbare probleem waar administraties mee geconfronteerd worden. Hoewel digitale archieven op een veel kleinere oppervlakte bewaard kunnen worden en digitale opslagmedia almaar goedkoper worden, is de </w:t>
      </w:r>
      <w:r w:rsidRPr="00D147A7">
        <w:rPr>
          <w:rFonts w:eastAsiaTheme="minorEastAsia"/>
          <w:kern w:val="0"/>
          <w:lang w:eastAsia="nl-BE" w:bidi="ar-SA"/>
        </w:rPr>
        <w:lastRenderedPageBreak/>
        <w:t>selectie in digitale wereld minstens even belangrijk. Omdat het in hoofdzaak een intellectueel vraagstuk is, verschilt de klassieke selectie in wezen niet veel van de selectie in de digitale wereld.</w:t>
      </w:r>
      <w:r w:rsidRPr="00D147A7">
        <w:rPr>
          <w:rFonts w:eastAsiaTheme="minorEastAsia"/>
          <w:kern w:val="0"/>
          <w:vertAlign w:val="superscript"/>
          <w:lang w:eastAsia="nl-BE" w:bidi="ar-SA"/>
        </w:rPr>
        <w:footnoteReference w:id="1228"/>
      </w:r>
      <w:r w:rsidRPr="00D147A7">
        <w:rPr>
          <w:rFonts w:eastAsiaTheme="minorEastAsia"/>
          <w:kern w:val="0"/>
          <w:lang w:eastAsia="nl-BE" w:bidi="ar-SA"/>
        </w:rPr>
        <w:t xml:space="preserve"> Archieven nemen niet alleen veel opslagruimte in beslag, maar moeten ook toe</w:t>
      </w:r>
      <w:r w:rsidR="004E4D35">
        <w:rPr>
          <w:rFonts w:eastAsiaTheme="minorEastAsia"/>
          <w:kern w:val="0"/>
          <w:lang w:eastAsia="nl-BE" w:bidi="ar-SA"/>
        </w:rPr>
        <w:t>-</w:t>
      </w:r>
      <w:r w:rsidRPr="00D147A7">
        <w:rPr>
          <w:rFonts w:eastAsiaTheme="minorEastAsia"/>
          <w:kern w:val="0"/>
          <w:lang w:eastAsia="nl-BE" w:bidi="ar-SA"/>
        </w:rPr>
        <w:t>gankelijk gehouden worden. Het heeft immers geen enkele zin om archiefbescheiden te be</w:t>
      </w:r>
      <w:r w:rsidR="004E4D35">
        <w:rPr>
          <w:rFonts w:eastAsiaTheme="minorEastAsia"/>
          <w:kern w:val="0"/>
          <w:lang w:eastAsia="nl-BE" w:bidi="ar-SA"/>
        </w:rPr>
        <w:t>-</w:t>
      </w:r>
      <w:r w:rsidRPr="00D147A7">
        <w:rPr>
          <w:rFonts w:eastAsiaTheme="minorEastAsia"/>
          <w:kern w:val="0"/>
          <w:lang w:eastAsia="nl-BE" w:bidi="ar-SA"/>
        </w:rPr>
        <w:t xml:space="preserve">waren als men niet weet wat er bewaard wordt of als bescheiden niet terugvonden kunnen worden wanneer nodig. Dat ook in </w:t>
      </w:r>
      <w:r w:rsidRPr="00D147A7">
        <w:rPr>
          <w:rFonts w:eastAsiaTheme="minorEastAsia"/>
          <w:kern w:val="0"/>
          <w:lang w:eastAsia="en-US" w:bidi="ar-SA"/>
        </w:rPr>
        <w:t>de medische wereld almaar meer gebruik gemaakt wordt van technologische toepassingen maakt de archivering van patiëntendossiers er geenszins makkelijker op. Papieren patiëntendossiers moeten op kwaliteitsvol, zuurvrij papier opgesteld worden en in een goed uitgerust gebouw (verlichting, luchtcirculatie, archiefrekken,…) be</w:t>
      </w:r>
      <w:r w:rsidR="0000042A">
        <w:rPr>
          <w:rFonts w:eastAsiaTheme="minorEastAsia"/>
          <w:kern w:val="0"/>
          <w:lang w:eastAsia="en-US" w:bidi="ar-SA"/>
        </w:rPr>
        <w:t>-</w:t>
      </w:r>
      <w:r w:rsidRPr="00D147A7">
        <w:rPr>
          <w:rFonts w:eastAsiaTheme="minorEastAsia"/>
          <w:kern w:val="0"/>
          <w:lang w:eastAsia="en-US" w:bidi="ar-SA"/>
        </w:rPr>
        <w:t xml:space="preserve">waard worden. Zodra men over een goed ordeningsplan beschikt, kan de </w:t>
      </w:r>
      <w:r w:rsidR="0000042A">
        <w:rPr>
          <w:rFonts w:eastAsiaTheme="minorEastAsia"/>
          <w:kern w:val="0"/>
          <w:lang w:eastAsia="en-US" w:bidi="ar-SA"/>
        </w:rPr>
        <w:t xml:space="preserve">verder </w:t>
      </w:r>
      <w:r w:rsidRPr="00D147A7">
        <w:rPr>
          <w:rFonts w:eastAsiaTheme="minorEastAsia"/>
          <w:kern w:val="0"/>
          <w:lang w:eastAsia="en-US" w:bidi="ar-SA"/>
        </w:rPr>
        <w:t>archivering door secretariaatspersoneel gebeuren. Om elektronische patiëntendossiers doorheen hun be</w:t>
      </w:r>
      <w:r w:rsidR="0000042A">
        <w:rPr>
          <w:rFonts w:eastAsiaTheme="minorEastAsia"/>
          <w:kern w:val="0"/>
          <w:lang w:eastAsia="en-US" w:bidi="ar-SA"/>
        </w:rPr>
        <w:t>-</w:t>
      </w:r>
      <w:r w:rsidRPr="00D147A7">
        <w:rPr>
          <w:rFonts w:eastAsiaTheme="minorEastAsia"/>
          <w:kern w:val="0"/>
          <w:lang w:eastAsia="en-US" w:bidi="ar-SA"/>
        </w:rPr>
        <w:t>waartermijn</w:t>
      </w:r>
      <w:r w:rsidR="0000042A" w:rsidRPr="0000042A">
        <w:rPr>
          <w:rFonts w:eastAsiaTheme="minorEastAsia"/>
          <w:kern w:val="0"/>
          <w:lang w:eastAsia="en-US" w:bidi="ar-SA"/>
        </w:rPr>
        <w:t xml:space="preserve"> </w:t>
      </w:r>
      <w:r w:rsidR="0000042A" w:rsidRPr="00D147A7">
        <w:rPr>
          <w:rFonts w:eastAsiaTheme="minorEastAsia"/>
          <w:kern w:val="0"/>
          <w:lang w:eastAsia="en-US" w:bidi="ar-SA"/>
        </w:rPr>
        <w:t>leesbaar te houden</w:t>
      </w:r>
      <w:r w:rsidRPr="00D147A7">
        <w:rPr>
          <w:rFonts w:eastAsiaTheme="minorEastAsia"/>
          <w:kern w:val="0"/>
          <w:lang w:eastAsia="en-US" w:bidi="ar-SA"/>
        </w:rPr>
        <w:t xml:space="preserve">, moeten daarentegen blijvende investeringen worden gemaakt. </w:t>
      </w:r>
      <w:r w:rsidRPr="00D147A7">
        <w:rPr>
          <w:rFonts w:eastAsiaTheme="minorHAnsi"/>
          <w:kern w:val="0"/>
          <w:lang w:eastAsia="en-US" w:bidi="ar-SA"/>
        </w:rPr>
        <w:t>Hoewel d</w:t>
      </w:r>
      <w:r w:rsidRPr="00D147A7">
        <w:rPr>
          <w:rFonts w:eastAsiaTheme="minorEastAsia"/>
          <w:kern w:val="0"/>
          <w:lang w:eastAsia="en-US" w:bidi="ar-SA"/>
        </w:rPr>
        <w:t>igitale opslagmedia en archiveringssoftware steeds goedkoper worden, strekken de kosten van digitale archivering veel verder dan deze (</w:t>
      </w:r>
      <w:r w:rsidR="0000042A">
        <w:rPr>
          <w:rFonts w:eastAsiaTheme="minorEastAsia"/>
          <w:kern w:val="0"/>
          <w:lang w:eastAsia="en-US" w:bidi="ar-SA"/>
        </w:rPr>
        <w:t>oppervlakkige</w:t>
      </w:r>
      <w:r w:rsidRPr="00D147A7">
        <w:rPr>
          <w:rFonts w:eastAsiaTheme="minorEastAsia"/>
          <w:kern w:val="0"/>
          <w:lang w:eastAsia="en-US" w:bidi="ar-SA"/>
        </w:rPr>
        <w:t>) aspecten. Het bestands</w:t>
      </w:r>
      <w:r w:rsidR="0000042A">
        <w:rPr>
          <w:rFonts w:eastAsiaTheme="minorEastAsia"/>
          <w:kern w:val="0"/>
          <w:lang w:eastAsia="en-US" w:bidi="ar-SA"/>
        </w:rPr>
        <w:t>-</w:t>
      </w:r>
      <w:r w:rsidRPr="00D147A7">
        <w:rPr>
          <w:rFonts w:eastAsiaTheme="minorEastAsia"/>
          <w:kern w:val="0"/>
          <w:lang w:eastAsia="en-US" w:bidi="ar-SA"/>
        </w:rPr>
        <w:t>form</w:t>
      </w:r>
      <w:r w:rsidR="0000042A">
        <w:rPr>
          <w:rFonts w:eastAsiaTheme="minorEastAsia"/>
          <w:kern w:val="0"/>
          <w:lang w:eastAsia="en-US" w:bidi="ar-SA"/>
        </w:rPr>
        <w:t>aat van digitale gegevens moet</w:t>
      </w:r>
      <w:r w:rsidRPr="00D147A7">
        <w:rPr>
          <w:rFonts w:eastAsiaTheme="minorEastAsia"/>
          <w:kern w:val="0"/>
          <w:lang w:eastAsia="en-US" w:bidi="ar-SA"/>
        </w:rPr>
        <w:t xml:space="preserve"> immers op geregelde tijdstippen – door hoog opgeleide informatici – </w:t>
      </w:r>
      <w:r w:rsidR="0000042A" w:rsidRPr="00D147A7">
        <w:rPr>
          <w:rFonts w:eastAsiaTheme="minorEastAsia"/>
          <w:kern w:val="0"/>
          <w:lang w:eastAsia="en-US" w:bidi="ar-SA"/>
        </w:rPr>
        <w:t>(door conversie of migratie)</w:t>
      </w:r>
      <w:r w:rsidRPr="00D147A7">
        <w:rPr>
          <w:rFonts w:eastAsiaTheme="minorEastAsia"/>
          <w:kern w:val="0"/>
          <w:lang w:eastAsia="en-US" w:bidi="ar-SA"/>
        </w:rPr>
        <w:t xml:space="preserve"> worden</w:t>
      </w:r>
      <w:r w:rsidR="0000042A" w:rsidRPr="0000042A">
        <w:rPr>
          <w:rFonts w:eastAsiaTheme="minorEastAsia"/>
          <w:kern w:val="0"/>
          <w:lang w:eastAsia="en-US" w:bidi="ar-SA"/>
        </w:rPr>
        <w:t xml:space="preserve"> </w:t>
      </w:r>
      <w:r w:rsidR="0000042A" w:rsidRPr="00D147A7">
        <w:rPr>
          <w:rFonts w:eastAsiaTheme="minorEastAsia"/>
          <w:kern w:val="0"/>
          <w:lang w:eastAsia="en-US" w:bidi="ar-SA"/>
        </w:rPr>
        <w:t>omgezet</w:t>
      </w:r>
      <w:r w:rsidRPr="00D147A7">
        <w:rPr>
          <w:rFonts w:eastAsiaTheme="minorEastAsia"/>
          <w:kern w:val="0"/>
          <w:lang w:eastAsia="en-US" w:bidi="ar-SA"/>
        </w:rPr>
        <w:t>, zonder dat hierbij informatiever</w:t>
      </w:r>
      <w:r w:rsidR="0000042A">
        <w:rPr>
          <w:rFonts w:eastAsiaTheme="minorEastAsia"/>
          <w:kern w:val="0"/>
          <w:lang w:eastAsia="en-US" w:bidi="ar-SA"/>
        </w:rPr>
        <w:t>-</w:t>
      </w:r>
      <w:r w:rsidRPr="00D147A7">
        <w:rPr>
          <w:rFonts w:eastAsiaTheme="minorEastAsia"/>
          <w:kern w:val="0"/>
          <w:lang w:eastAsia="en-US" w:bidi="ar-SA"/>
        </w:rPr>
        <w:t xml:space="preserve">lies optreedt. Een proactieve houding moet doorheen de volledige </w:t>
      </w:r>
      <w:r w:rsidRPr="00D147A7">
        <w:rPr>
          <w:rFonts w:eastAsiaTheme="minorEastAsia"/>
          <w:i/>
          <w:kern w:val="0"/>
          <w:lang w:eastAsia="en-US" w:bidi="ar-SA"/>
        </w:rPr>
        <w:t>records lifecycle</w:t>
      </w:r>
      <w:r w:rsidRPr="00D147A7">
        <w:rPr>
          <w:rFonts w:eastAsiaTheme="minorEastAsia"/>
          <w:kern w:val="0"/>
          <w:lang w:eastAsia="en-US" w:bidi="ar-SA"/>
        </w:rPr>
        <w:t xml:space="preserve"> gehan</w:t>
      </w:r>
      <w:r w:rsidR="0000042A">
        <w:rPr>
          <w:rFonts w:eastAsiaTheme="minorEastAsia"/>
          <w:kern w:val="0"/>
          <w:lang w:eastAsia="en-US" w:bidi="ar-SA"/>
        </w:rPr>
        <w:t>-</w:t>
      </w:r>
      <w:r w:rsidRPr="00D147A7">
        <w:rPr>
          <w:rFonts w:eastAsiaTheme="minorEastAsia"/>
          <w:kern w:val="0"/>
          <w:lang w:eastAsia="en-US" w:bidi="ar-SA"/>
        </w:rPr>
        <w:t>teerd worden. Daarnaast moeten er op dagelijkse basis (één of meerdere) back-ups gemaakt worden. De kosten van opslagmedia en -ruimten moeten dus vermenigvuldigd worden met het aantal back-ups + 1. Bovendien moeten ook deze gegevens toegankelijk gehouden worden. Het welslagen van de digitale archivering zal in grote mate afhankelijk zijn van de investe</w:t>
      </w:r>
      <w:r w:rsidR="0000042A">
        <w:rPr>
          <w:rFonts w:eastAsiaTheme="minorEastAsia"/>
          <w:kern w:val="0"/>
          <w:lang w:eastAsia="en-US" w:bidi="ar-SA"/>
        </w:rPr>
        <w:t>-</w:t>
      </w:r>
      <w:r w:rsidRPr="00D147A7">
        <w:rPr>
          <w:rFonts w:eastAsiaTheme="minorEastAsia"/>
          <w:kern w:val="0"/>
          <w:lang w:eastAsia="en-US" w:bidi="ar-SA"/>
        </w:rPr>
        <w:t>ringen die gemaakt worden. Reddingsacties zullen niet alleen duurder uitdraaien, maar in het ergste geval kan er ook informatieverlies optreden tijdens het migratieproces. Het zou onver</w:t>
      </w:r>
      <w:r w:rsidR="0000042A">
        <w:rPr>
          <w:rFonts w:eastAsiaTheme="minorEastAsia"/>
          <w:kern w:val="0"/>
          <w:lang w:eastAsia="en-US" w:bidi="ar-SA"/>
        </w:rPr>
        <w:t>-</w:t>
      </w:r>
      <w:r w:rsidRPr="00D147A7">
        <w:rPr>
          <w:rFonts w:eastAsiaTheme="minorEastAsia"/>
          <w:kern w:val="0"/>
          <w:lang w:eastAsia="en-US" w:bidi="ar-SA"/>
        </w:rPr>
        <w:t xml:space="preserve">antwoord zijn om patiëntendossiers aan dit risico bloot te stellen.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Archiefbescheiden hebben verschillende waarden. Schellenberg onderscheidde een primaire van een secundaire waarde, afhankelijk van de beweegredenen van diegene die het archiefstuk raadpleegt en in welk stadium (van de </w:t>
      </w:r>
      <w:r w:rsidRPr="00D147A7">
        <w:rPr>
          <w:rFonts w:eastAsiaTheme="minorEastAsia"/>
          <w:i/>
          <w:kern w:val="0"/>
          <w:lang w:eastAsia="en-US" w:bidi="ar-SA"/>
        </w:rPr>
        <w:t>records lifecycle</w:t>
      </w:r>
      <w:r w:rsidRPr="00D147A7">
        <w:rPr>
          <w:rFonts w:eastAsiaTheme="minorEastAsia"/>
          <w:kern w:val="0"/>
          <w:lang w:eastAsia="en-US" w:bidi="ar-SA"/>
        </w:rPr>
        <w:t>) het stuk zich op dat moment be</w:t>
      </w:r>
      <w:r w:rsidR="0000042A">
        <w:rPr>
          <w:rFonts w:eastAsiaTheme="minorEastAsia"/>
          <w:kern w:val="0"/>
          <w:lang w:eastAsia="en-US" w:bidi="ar-SA"/>
        </w:rPr>
        <w:t>-</w:t>
      </w:r>
      <w:r w:rsidRPr="00D147A7">
        <w:rPr>
          <w:rFonts w:eastAsiaTheme="minorEastAsia"/>
          <w:kern w:val="0"/>
          <w:lang w:eastAsia="en-US" w:bidi="ar-SA"/>
        </w:rPr>
        <w:t>vindt.</w:t>
      </w:r>
      <w:r w:rsidRPr="00D147A7">
        <w:rPr>
          <w:rFonts w:eastAsiaTheme="minorEastAsia"/>
          <w:kern w:val="0"/>
          <w:vertAlign w:val="superscript"/>
          <w:lang w:eastAsia="en-US" w:bidi="ar-SA"/>
        </w:rPr>
        <w:footnoteReference w:id="1229"/>
      </w:r>
      <w:r w:rsidRPr="00D147A7">
        <w:rPr>
          <w:rFonts w:eastAsiaTheme="minorEastAsia"/>
          <w:kern w:val="0"/>
          <w:lang w:eastAsia="en-US" w:bidi="ar-SA"/>
        </w:rPr>
        <w:t xml:space="preserve"> Personen vormen en bewaren archieven om over bewijsmateriaal te beschikken waarmee de rechten en plichten van de archiefvormer en diens contractanten kunnen worden aangetoond (juridische waarde). Bovendien moet bij het opstellen van documenten niet iedere keer opnieuw het warme water worden uitgevonden. Archiefvormers kunnen hiervoor een be</w:t>
      </w:r>
      <w:r w:rsidR="0000042A">
        <w:rPr>
          <w:rFonts w:eastAsiaTheme="minorEastAsia"/>
          <w:kern w:val="0"/>
          <w:lang w:eastAsia="en-US" w:bidi="ar-SA"/>
        </w:rPr>
        <w:t>-</w:t>
      </w:r>
      <w:r w:rsidRPr="00D147A7">
        <w:rPr>
          <w:rFonts w:eastAsiaTheme="minorEastAsia"/>
          <w:kern w:val="0"/>
          <w:lang w:eastAsia="en-US" w:bidi="ar-SA"/>
        </w:rPr>
        <w:t>roep doen op de documenten die de neerslag vormen van gelijkaardige of identieke activi</w:t>
      </w:r>
      <w:r w:rsidR="0000042A">
        <w:rPr>
          <w:rFonts w:eastAsiaTheme="minorEastAsia"/>
          <w:kern w:val="0"/>
          <w:lang w:eastAsia="en-US" w:bidi="ar-SA"/>
        </w:rPr>
        <w:t>-</w:t>
      </w:r>
      <w:r w:rsidRPr="00D147A7">
        <w:rPr>
          <w:rFonts w:eastAsiaTheme="minorEastAsia"/>
          <w:kern w:val="0"/>
          <w:lang w:eastAsia="en-US" w:bidi="ar-SA"/>
        </w:rPr>
        <w:t>teiten uit het verleden (administratieve waarde).</w:t>
      </w:r>
      <w:r w:rsidRPr="00D147A7">
        <w:rPr>
          <w:rFonts w:eastAsiaTheme="minorEastAsia"/>
          <w:kern w:val="0"/>
          <w:vertAlign w:val="superscript"/>
          <w:lang w:eastAsia="en-US" w:bidi="ar-SA"/>
        </w:rPr>
        <w:footnoteReference w:id="1230"/>
      </w:r>
      <w:r w:rsidRPr="00D147A7">
        <w:rPr>
          <w:rFonts w:eastAsiaTheme="minorEastAsia"/>
          <w:kern w:val="0"/>
          <w:lang w:eastAsia="en-US" w:bidi="ar-SA"/>
        </w:rPr>
        <w:t xml:space="preserve"> Zelfs als documenten hun juridische en administratieve waarde verliezen, blijven ze een belangrijke schat aan informatie voor en over de archiefvormer. Ook documenten die nooit van juridisch en/of administratief belang ge</w:t>
      </w:r>
      <w:r w:rsidR="0000042A">
        <w:rPr>
          <w:rFonts w:eastAsiaTheme="minorEastAsia"/>
          <w:kern w:val="0"/>
          <w:lang w:eastAsia="en-US" w:bidi="ar-SA"/>
        </w:rPr>
        <w:t>-</w:t>
      </w:r>
      <w:r w:rsidRPr="00D147A7">
        <w:rPr>
          <w:rFonts w:eastAsiaTheme="minorEastAsia"/>
          <w:kern w:val="0"/>
          <w:lang w:eastAsia="en-US" w:bidi="ar-SA"/>
        </w:rPr>
        <w:t>weest zijn, kunnen belangrijke informatie bevatten.</w:t>
      </w:r>
      <w:r w:rsidRPr="00D147A7">
        <w:rPr>
          <w:rFonts w:eastAsiaTheme="minorEastAsia"/>
          <w:kern w:val="0"/>
          <w:vertAlign w:val="superscript"/>
          <w:lang w:eastAsia="en-US" w:bidi="ar-SA"/>
        </w:rPr>
        <w:footnoteReference w:id="1231"/>
      </w:r>
      <w:r w:rsidRPr="00D147A7">
        <w:rPr>
          <w:rFonts w:eastAsiaTheme="minorEastAsia"/>
          <w:kern w:val="0"/>
          <w:lang w:eastAsia="en-US" w:bidi="ar-SA"/>
        </w:rPr>
        <w:t xml:space="preserve"> Aan de hand van de (permanent) be</w:t>
      </w:r>
      <w:r w:rsidR="0000042A">
        <w:rPr>
          <w:rFonts w:eastAsiaTheme="minorEastAsia"/>
          <w:kern w:val="0"/>
          <w:lang w:eastAsia="en-US" w:bidi="ar-SA"/>
        </w:rPr>
        <w:t>-</w:t>
      </w:r>
      <w:r w:rsidRPr="00D147A7">
        <w:rPr>
          <w:rFonts w:eastAsiaTheme="minorEastAsia"/>
          <w:kern w:val="0"/>
          <w:lang w:eastAsia="en-US" w:bidi="ar-SA"/>
        </w:rPr>
        <w:t>waarde bescheiden moet de identiteit van de archiefvormende instelling gevormd kunnen worden. Daarnaast moet de informatie in archieven een representatief beeld schetsen van de maatschappij waarin zij werden</w:t>
      </w:r>
      <w:r w:rsidR="0000042A" w:rsidRPr="0000042A">
        <w:rPr>
          <w:rFonts w:eastAsiaTheme="minorEastAsia"/>
          <w:kern w:val="0"/>
          <w:lang w:eastAsia="en-US" w:bidi="ar-SA"/>
        </w:rPr>
        <w:t xml:space="preserve"> </w:t>
      </w:r>
      <w:r w:rsidR="0000042A" w:rsidRPr="00D147A7">
        <w:rPr>
          <w:rFonts w:eastAsiaTheme="minorEastAsia"/>
          <w:kern w:val="0"/>
          <w:lang w:eastAsia="en-US" w:bidi="ar-SA"/>
        </w:rPr>
        <w:t>gebruikt</w:t>
      </w:r>
      <w:r w:rsidRPr="00D147A7">
        <w:rPr>
          <w:rFonts w:eastAsiaTheme="minorEastAsia"/>
          <w:kern w:val="0"/>
          <w:lang w:eastAsia="en-US" w:bidi="ar-SA"/>
        </w:rPr>
        <w:t>. Archieven zijn immers – als onderdeel van het culturele erfgoed – één van de belangrijkste bronnen voor historici en andere (wetenschappe</w:t>
      </w:r>
      <w:r w:rsidR="0000042A">
        <w:rPr>
          <w:rFonts w:eastAsiaTheme="minorEastAsia"/>
          <w:kern w:val="0"/>
          <w:lang w:eastAsia="en-US" w:bidi="ar-SA"/>
        </w:rPr>
        <w:t>-</w:t>
      </w:r>
      <w:r w:rsidRPr="00D147A7">
        <w:rPr>
          <w:rFonts w:eastAsiaTheme="minorEastAsia"/>
          <w:kern w:val="0"/>
          <w:lang w:eastAsia="en-US" w:bidi="ar-SA"/>
        </w:rPr>
        <w:t xml:space="preserve">lijke) onderzoekers.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noProof/>
          <w:kern w:val="0"/>
          <w:sz w:val="22"/>
          <w:szCs w:val="22"/>
          <w:lang w:eastAsia="nl-BE" w:bidi="ar-SA"/>
        </w:rPr>
        <w:lastRenderedPageBreak/>
        <w:drawing>
          <wp:inline distT="0" distB="0" distL="0" distR="0" wp14:anchorId="3B5C660D" wp14:editId="62C3DDB5">
            <wp:extent cx="4390476" cy="2714286"/>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4390476" cy="2714286"/>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23: Schematische voorstelling van de selectietheorie van Schellenberg</w:t>
      </w:r>
      <w:r w:rsidRPr="00D147A7">
        <w:rPr>
          <w:rFonts w:eastAsiaTheme="minorEastAsia"/>
          <w:kern w:val="0"/>
          <w:vertAlign w:val="superscript"/>
          <w:lang w:eastAsia="en-US" w:bidi="ar-SA"/>
        </w:rPr>
        <w:footnoteReference w:id="1232"/>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AF492F">
        <w:rPr>
          <w:rFonts w:eastAsiaTheme="minorEastAsia"/>
          <w:kern w:val="0"/>
          <w:lang w:eastAsia="en-US" w:bidi="ar-SA"/>
        </w:rPr>
        <w:t>Aan de hand van de informatie die in archiefbewaarplaatsen berust, moet niet alleen de ge</w:t>
      </w:r>
      <w:r w:rsidR="0000042A" w:rsidRPr="00AF492F">
        <w:rPr>
          <w:rFonts w:eastAsiaTheme="minorEastAsia"/>
          <w:kern w:val="0"/>
          <w:lang w:eastAsia="en-US" w:bidi="ar-SA"/>
        </w:rPr>
        <w:t>-</w:t>
      </w:r>
      <w:r w:rsidRPr="00AF492F">
        <w:rPr>
          <w:rFonts w:eastAsiaTheme="minorEastAsia"/>
          <w:kern w:val="0"/>
          <w:lang w:eastAsia="en-US" w:bidi="ar-SA"/>
        </w:rPr>
        <w:t xml:space="preserve">schiedenis, de werking en de structuur van de archiefvormende instelling gereconstrueerd kunnen worden. De permanent bewaarde bescheiden moeten </w:t>
      </w:r>
      <w:r w:rsidR="0000042A" w:rsidRPr="00AF492F">
        <w:rPr>
          <w:rFonts w:eastAsiaTheme="minorEastAsia"/>
          <w:kern w:val="0"/>
          <w:lang w:eastAsia="en-US" w:bidi="ar-SA"/>
        </w:rPr>
        <w:t xml:space="preserve">ook </w:t>
      </w:r>
      <w:r w:rsidRPr="00AF492F">
        <w:rPr>
          <w:rFonts w:eastAsiaTheme="minorEastAsia"/>
          <w:kern w:val="0"/>
          <w:lang w:eastAsia="en-US" w:bidi="ar-SA"/>
        </w:rPr>
        <w:t>– als onderdeel van het cul</w:t>
      </w:r>
      <w:r w:rsidR="0000042A" w:rsidRPr="00AF492F">
        <w:rPr>
          <w:rFonts w:eastAsiaTheme="minorEastAsia"/>
          <w:kern w:val="0"/>
          <w:lang w:eastAsia="en-US" w:bidi="ar-SA"/>
        </w:rPr>
        <w:t>-</w:t>
      </w:r>
      <w:r w:rsidRPr="00AF492F">
        <w:rPr>
          <w:rFonts w:eastAsiaTheme="minorEastAsia"/>
          <w:kern w:val="0"/>
          <w:lang w:eastAsia="en-US" w:bidi="ar-SA"/>
        </w:rPr>
        <w:t>turele erfgoed –</w:t>
      </w:r>
      <w:r w:rsidR="0000042A" w:rsidRPr="00AF492F">
        <w:rPr>
          <w:rFonts w:eastAsiaTheme="minorEastAsia"/>
          <w:kern w:val="0"/>
          <w:lang w:eastAsia="en-US" w:bidi="ar-SA"/>
        </w:rPr>
        <w:t xml:space="preserve"> </w:t>
      </w:r>
      <w:r w:rsidRPr="00AF492F">
        <w:rPr>
          <w:rFonts w:eastAsiaTheme="minorEastAsia"/>
          <w:kern w:val="0"/>
          <w:lang w:eastAsia="en-US" w:bidi="ar-SA"/>
        </w:rPr>
        <w:t xml:space="preserve">een representatieve afspiegeling zijn van de maatschappij waarin ze ontstaan en gebruikt werden. </w:t>
      </w:r>
      <w:r w:rsidR="0000042A" w:rsidRPr="00AF492F">
        <w:rPr>
          <w:rFonts w:eastAsiaTheme="minorEastAsia"/>
          <w:kern w:val="0"/>
          <w:lang w:eastAsia="en-US" w:bidi="ar-SA"/>
        </w:rPr>
        <w:t>Zo moeten permanent te bewaren p</w:t>
      </w:r>
      <w:r w:rsidRPr="00AF492F">
        <w:rPr>
          <w:rFonts w:eastAsiaTheme="minorEastAsia"/>
          <w:kern w:val="0"/>
          <w:lang w:eastAsia="en-US" w:bidi="ar-SA"/>
        </w:rPr>
        <w:t xml:space="preserve">atiëntendossiers een bijdrage leveren aan de beeldvorming van de volksgezondheid. Omdat onderzoekers zich in de toekomst </w:t>
      </w:r>
      <w:r w:rsidR="00974D83" w:rsidRPr="00AF492F">
        <w:rPr>
          <w:rFonts w:eastAsiaTheme="minorEastAsia"/>
          <w:kern w:val="0"/>
          <w:lang w:eastAsia="en-US" w:bidi="ar-SA"/>
        </w:rPr>
        <w:t xml:space="preserve">enkel </w:t>
      </w:r>
      <w:r w:rsidRPr="00AF492F">
        <w:rPr>
          <w:rFonts w:eastAsiaTheme="minorEastAsia"/>
          <w:kern w:val="0"/>
          <w:lang w:eastAsia="en-US" w:bidi="ar-SA"/>
        </w:rPr>
        <w:t xml:space="preserve">op </w:t>
      </w:r>
      <w:r w:rsidR="00974D83" w:rsidRPr="00AF492F">
        <w:rPr>
          <w:rFonts w:eastAsiaTheme="minorEastAsia"/>
          <w:kern w:val="0"/>
          <w:lang w:eastAsia="en-US" w:bidi="ar-SA"/>
        </w:rPr>
        <w:t xml:space="preserve">de overgeleverde </w:t>
      </w:r>
      <w:r w:rsidRPr="00AF492F">
        <w:rPr>
          <w:rFonts w:eastAsiaTheme="minorEastAsia"/>
          <w:kern w:val="0"/>
          <w:lang w:eastAsia="en-US" w:bidi="ar-SA"/>
        </w:rPr>
        <w:t xml:space="preserve">archiefbescheiden kunnen verhalen, moeten archivarissen tijdens de selectie met alle mogelijke onderzoeken </w:t>
      </w:r>
      <w:r w:rsidR="00974D83" w:rsidRPr="00AF492F">
        <w:rPr>
          <w:rFonts w:eastAsiaTheme="minorEastAsia"/>
          <w:kern w:val="0"/>
          <w:lang w:eastAsia="en-US" w:bidi="ar-SA"/>
        </w:rPr>
        <w:t xml:space="preserve">rekening houden </w:t>
      </w:r>
      <w:r w:rsidRPr="00AF492F">
        <w:rPr>
          <w:rFonts w:eastAsiaTheme="minorEastAsia"/>
          <w:kern w:val="0"/>
          <w:lang w:eastAsia="en-US" w:bidi="ar-SA"/>
        </w:rPr>
        <w:t>die met het archief in kwestie ver</w:t>
      </w:r>
      <w:r w:rsidR="00974D83" w:rsidRPr="00AF492F">
        <w:rPr>
          <w:rFonts w:eastAsiaTheme="minorEastAsia"/>
          <w:kern w:val="0"/>
          <w:lang w:eastAsia="en-US" w:bidi="ar-SA"/>
        </w:rPr>
        <w:t>-</w:t>
      </w:r>
      <w:r w:rsidRPr="00AF492F">
        <w:rPr>
          <w:rFonts w:eastAsiaTheme="minorEastAsia"/>
          <w:kern w:val="0"/>
          <w:lang w:eastAsia="en-US" w:bidi="ar-SA"/>
        </w:rPr>
        <w:t>richt kunnen worden (met de nog niet geëxploiteerde onderzoeksmogelijkheden in het bijzon</w:t>
      </w:r>
      <w:r w:rsidR="00974D83" w:rsidRPr="00AF492F">
        <w:rPr>
          <w:rFonts w:eastAsiaTheme="minorEastAsia"/>
          <w:kern w:val="0"/>
          <w:lang w:eastAsia="en-US" w:bidi="ar-SA"/>
        </w:rPr>
        <w:t>-</w:t>
      </w:r>
      <w:r w:rsidRPr="00AF492F">
        <w:rPr>
          <w:rFonts w:eastAsiaTheme="minorEastAsia"/>
          <w:kern w:val="0"/>
          <w:lang w:eastAsia="en-US" w:bidi="ar-SA"/>
        </w:rPr>
        <w:t xml:space="preserve">der). </w:t>
      </w:r>
      <w:r w:rsidR="00AF492F" w:rsidRPr="00AF492F">
        <w:rPr>
          <w:rFonts w:eastAsiaTheme="minorEastAsia"/>
          <w:kern w:val="0"/>
          <w:lang w:eastAsia="en-US" w:bidi="ar-SA"/>
        </w:rPr>
        <w:t>Bovendien kan niet alleen in</w:t>
      </w:r>
      <w:r w:rsidRPr="00AF492F">
        <w:rPr>
          <w:rFonts w:eastAsiaTheme="minorEastAsia"/>
          <w:kern w:val="0"/>
          <w:lang w:eastAsia="en-US" w:bidi="ar-SA"/>
        </w:rPr>
        <w:t xml:space="preserve"> patiëntendossiers</w:t>
      </w:r>
      <w:r w:rsidR="00AF492F" w:rsidRPr="00AF492F">
        <w:rPr>
          <w:rFonts w:eastAsiaTheme="minorEastAsia"/>
          <w:kern w:val="0"/>
          <w:lang w:eastAsia="en-US" w:bidi="ar-SA"/>
        </w:rPr>
        <w:t>, maar ook</w:t>
      </w:r>
      <w:r w:rsidRPr="00AF492F">
        <w:rPr>
          <w:rFonts w:eastAsiaTheme="minorEastAsia"/>
          <w:kern w:val="0"/>
          <w:lang w:eastAsia="en-US" w:bidi="ar-SA"/>
        </w:rPr>
        <w:t xml:space="preserve"> in administratieve ziekenhuis</w:t>
      </w:r>
      <w:r w:rsidR="00AF492F" w:rsidRPr="00AF492F">
        <w:rPr>
          <w:rFonts w:eastAsiaTheme="minorEastAsia"/>
          <w:kern w:val="0"/>
          <w:lang w:eastAsia="en-US" w:bidi="ar-SA"/>
        </w:rPr>
        <w:t>-</w:t>
      </w:r>
      <w:r w:rsidRPr="00AF492F">
        <w:rPr>
          <w:rFonts w:eastAsiaTheme="minorEastAsia"/>
          <w:kern w:val="0"/>
          <w:lang w:eastAsia="en-US" w:bidi="ar-SA"/>
        </w:rPr>
        <w:t xml:space="preserve">archieven informatie </w:t>
      </w:r>
      <w:r w:rsidR="00AF492F" w:rsidRPr="00AF492F">
        <w:rPr>
          <w:rFonts w:eastAsiaTheme="minorEastAsia"/>
          <w:kern w:val="0"/>
          <w:lang w:eastAsia="en-US" w:bidi="ar-SA"/>
        </w:rPr>
        <w:t xml:space="preserve">teruggevonden worden </w:t>
      </w:r>
      <w:r w:rsidRPr="00AF492F">
        <w:rPr>
          <w:rFonts w:eastAsiaTheme="minorEastAsia"/>
          <w:kern w:val="0"/>
          <w:lang w:eastAsia="en-US" w:bidi="ar-SA"/>
        </w:rPr>
        <w:t>over de medische praktijken (te denken valt aan bescheiden m.b.t. medische apparatuur, geneesmiddelen,…).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Doorgaans schrijven zorgverleners enkel diagnoses (en geen symptomen) op. De kern van pa</w:t>
      </w:r>
      <w:r w:rsidR="00E02696">
        <w:rPr>
          <w:rFonts w:eastAsiaTheme="minorEastAsia"/>
          <w:kern w:val="0"/>
          <w:lang w:eastAsia="en-US" w:bidi="ar-SA"/>
        </w:rPr>
        <w:t>-</w:t>
      </w:r>
      <w:r w:rsidRPr="00D147A7">
        <w:rPr>
          <w:rFonts w:eastAsiaTheme="minorEastAsia"/>
          <w:kern w:val="0"/>
          <w:lang w:eastAsia="en-US" w:bidi="ar-SA"/>
        </w:rPr>
        <w:t>tiëntendossiers zijn dus doorgaans subjectieve gegevens, die enkel blijk geven van de ziekten die nu bekend zijn (of althans zo gepercipieerd worden). Daarom bieden patiëntendossiers op zich onvoldoende houvast voor medisch-wetenschappelijk onderzoekers in de toekomst. Hier</w:t>
      </w:r>
      <w:r w:rsidR="00E02696">
        <w:rPr>
          <w:rFonts w:eastAsiaTheme="minorEastAsia"/>
          <w:kern w:val="0"/>
          <w:lang w:eastAsia="en-US" w:bidi="ar-SA"/>
        </w:rPr>
        <w:t>-</w:t>
      </w:r>
      <w:r w:rsidRPr="00D147A7">
        <w:rPr>
          <w:rFonts w:eastAsiaTheme="minorEastAsia"/>
          <w:kern w:val="0"/>
          <w:lang w:eastAsia="en-US" w:bidi="ar-SA"/>
        </w:rPr>
        <w:t>aan kan tegemoet gekomen worden door (niet-geïnterpreteerde) onderzoeksresultaten bij te houden</w:t>
      </w:r>
      <w:r w:rsidR="00E02696">
        <w:rPr>
          <w:rFonts w:eastAsiaTheme="minorEastAsia"/>
          <w:kern w:val="0"/>
          <w:lang w:eastAsia="en-US" w:bidi="ar-SA"/>
        </w:rPr>
        <w:t>, maar deze</w:t>
      </w:r>
      <w:r w:rsidRPr="00D147A7">
        <w:rPr>
          <w:rFonts w:eastAsiaTheme="minorEastAsia"/>
          <w:kern w:val="0"/>
          <w:lang w:eastAsia="en-US" w:bidi="ar-SA"/>
        </w:rPr>
        <w:t xml:space="preserve"> dragen niet </w:t>
      </w:r>
      <w:r w:rsidR="00E02696">
        <w:rPr>
          <w:rFonts w:eastAsiaTheme="minorEastAsia"/>
          <w:kern w:val="0"/>
          <w:lang w:eastAsia="en-US" w:bidi="ar-SA"/>
        </w:rPr>
        <w:t>aan</w:t>
      </w:r>
      <w:r w:rsidRPr="00D147A7">
        <w:rPr>
          <w:rFonts w:eastAsiaTheme="minorEastAsia"/>
          <w:kern w:val="0"/>
          <w:lang w:eastAsia="en-US" w:bidi="ar-SA"/>
        </w:rPr>
        <w:t xml:space="preserve"> de beeldvorming van onze maatschappij</w:t>
      </w:r>
      <w:r w:rsidR="00E02696" w:rsidRPr="00E02696">
        <w:rPr>
          <w:rFonts w:eastAsiaTheme="minorEastAsia"/>
          <w:kern w:val="0"/>
          <w:lang w:eastAsia="en-US" w:bidi="ar-SA"/>
        </w:rPr>
        <w:t xml:space="preserve"> </w:t>
      </w:r>
      <w:r w:rsidR="00E02696" w:rsidRPr="00D147A7">
        <w:rPr>
          <w:rFonts w:eastAsiaTheme="minorEastAsia"/>
          <w:kern w:val="0"/>
          <w:lang w:eastAsia="en-US" w:bidi="ar-SA"/>
        </w:rPr>
        <w:t>bij</w:t>
      </w:r>
      <w:r w:rsidRPr="00D147A7">
        <w:rPr>
          <w:rFonts w:eastAsiaTheme="minorEastAsia"/>
          <w:kern w:val="0"/>
          <w:lang w:eastAsia="en-US" w:bidi="ar-SA"/>
        </w:rPr>
        <w:t xml:space="preserve">. Bovendien zou een nadere schifting vereist zijn, daar onderzoeksresultaten nog omvangrijker zijn dan de patiëntendossiers zelf. </w:t>
      </w:r>
      <w:r w:rsidR="00E02696">
        <w:rPr>
          <w:rFonts w:eastAsiaTheme="minorEastAsia"/>
          <w:kern w:val="0"/>
          <w:lang w:eastAsia="en-US" w:bidi="ar-SA"/>
        </w:rPr>
        <w:t>Bovendien zijn o</w:t>
      </w:r>
      <w:r w:rsidRPr="00D147A7">
        <w:rPr>
          <w:rFonts w:eastAsiaTheme="minorEastAsia"/>
          <w:kern w:val="0"/>
          <w:lang w:eastAsia="en-US" w:bidi="ar-SA"/>
        </w:rPr>
        <w:t xml:space="preserve">nderzoeksresultaten net de zwaarste bestanden, </w:t>
      </w:r>
      <w:r w:rsidR="00E02696">
        <w:rPr>
          <w:rFonts w:eastAsiaTheme="minorEastAsia"/>
          <w:kern w:val="0"/>
          <w:lang w:eastAsia="en-US" w:bidi="ar-SA"/>
        </w:rPr>
        <w:t>ten</w:t>
      </w:r>
      <w:r w:rsidRPr="00D147A7">
        <w:rPr>
          <w:rFonts w:eastAsiaTheme="minorEastAsia"/>
          <w:kern w:val="0"/>
          <w:lang w:eastAsia="en-US" w:bidi="ar-SA"/>
        </w:rPr>
        <w:t xml:space="preserve"> gevolg</w:t>
      </w:r>
      <w:r w:rsidR="00E02696">
        <w:rPr>
          <w:rFonts w:eastAsiaTheme="minorEastAsia"/>
          <w:kern w:val="0"/>
          <w:lang w:eastAsia="en-US" w:bidi="ar-SA"/>
        </w:rPr>
        <w:t>e</w:t>
      </w:r>
      <w:r w:rsidRPr="00D147A7">
        <w:rPr>
          <w:rFonts w:eastAsiaTheme="minorEastAsia"/>
          <w:kern w:val="0"/>
          <w:lang w:eastAsia="en-US" w:bidi="ar-SA"/>
        </w:rPr>
        <w:t xml:space="preserve"> van de hoge vlucht die beeldvormende technieken de laatste jaren genomen hebben: van lage naar hoge resoluties, van 2D naar 3D, van stilstaand naar bewegend beeld, steeds meer modaliteiten (zoals CT-scans, MRI’s, echografieën,…), multimodale systemen,…</w:t>
      </w:r>
      <w:r w:rsidRPr="00D147A7">
        <w:rPr>
          <w:rFonts w:eastAsiaTheme="minorEastAsia"/>
          <w:kern w:val="0"/>
          <w:vertAlign w:val="superscript"/>
          <w:lang w:eastAsia="en-US" w:bidi="ar-SA"/>
        </w:rPr>
        <w:footnoteReference w:id="1233"/>
      </w:r>
      <w:r w:rsidR="00E02696">
        <w:rPr>
          <w:rFonts w:eastAsiaTheme="minorEastAsia"/>
          <w:kern w:val="0"/>
          <w:lang w:eastAsia="en-US" w:bidi="ar-SA"/>
        </w:rPr>
        <w:t xml:space="preserve"> </w:t>
      </w:r>
    </w:p>
    <w:p w:rsidR="001B5D08" w:rsidRDefault="001B5D08"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Om aan de noden van statistisch onderzoek te voldoen, volstaat het om de ontslagbrieven uit de patiëntendossiers te lichten. Voor papieren dossiers is dit een veel te arbeidsintensieve kar</w:t>
      </w:r>
      <w:r w:rsidR="00E02696">
        <w:rPr>
          <w:rFonts w:eastAsiaTheme="minorEastAsia"/>
          <w:kern w:val="0"/>
          <w:lang w:eastAsia="en-US" w:bidi="ar-SA"/>
        </w:rPr>
        <w:t>-</w:t>
      </w:r>
      <w:r w:rsidRPr="00D147A7">
        <w:rPr>
          <w:rFonts w:eastAsiaTheme="minorEastAsia"/>
          <w:kern w:val="0"/>
          <w:lang w:eastAsia="en-US" w:bidi="ar-SA"/>
        </w:rPr>
        <w:lastRenderedPageBreak/>
        <w:t xml:space="preserve">wei, maar is voor elektronische patiëntendossiers </w:t>
      </w:r>
      <w:r w:rsidR="00E02696" w:rsidRPr="00D147A7">
        <w:rPr>
          <w:rFonts w:eastAsiaTheme="minorEastAsia"/>
          <w:kern w:val="0"/>
          <w:lang w:eastAsia="en-US" w:bidi="ar-SA"/>
        </w:rPr>
        <w:t xml:space="preserve">veel eenvoudiger </w:t>
      </w:r>
      <w:r w:rsidR="00E02696">
        <w:rPr>
          <w:rFonts w:eastAsiaTheme="minorEastAsia"/>
          <w:kern w:val="0"/>
          <w:lang w:eastAsia="en-US" w:bidi="ar-SA"/>
        </w:rPr>
        <w:t>op voorwaarde dat</w:t>
      </w:r>
      <w:r w:rsidRPr="00D147A7">
        <w:rPr>
          <w:rFonts w:eastAsiaTheme="minorEastAsia"/>
          <w:kern w:val="0"/>
          <w:lang w:eastAsia="en-US" w:bidi="ar-SA"/>
        </w:rPr>
        <w:t xml:space="preserve"> zorg</w:t>
      </w:r>
      <w:r w:rsidR="00E02696">
        <w:rPr>
          <w:rFonts w:eastAsiaTheme="minorEastAsia"/>
          <w:kern w:val="0"/>
          <w:lang w:eastAsia="en-US" w:bidi="ar-SA"/>
        </w:rPr>
        <w:t>-</w:t>
      </w:r>
      <w:r w:rsidRPr="00D147A7">
        <w:rPr>
          <w:rFonts w:eastAsiaTheme="minorEastAsia"/>
          <w:kern w:val="0"/>
          <w:lang w:eastAsia="en-US" w:bidi="ar-SA"/>
        </w:rPr>
        <w:t xml:space="preserve">verleners </w:t>
      </w:r>
      <w:r w:rsidR="00E02696">
        <w:rPr>
          <w:rFonts w:eastAsiaTheme="minorEastAsia"/>
          <w:kern w:val="0"/>
          <w:lang w:eastAsia="en-US" w:bidi="ar-SA"/>
        </w:rPr>
        <w:t xml:space="preserve">consequent </w:t>
      </w:r>
      <w:r w:rsidRPr="00D147A7">
        <w:rPr>
          <w:rFonts w:eastAsiaTheme="minorEastAsia"/>
          <w:kern w:val="0"/>
          <w:lang w:eastAsia="en-US" w:bidi="ar-SA"/>
        </w:rPr>
        <w:t xml:space="preserve">de correcte metadata </w:t>
      </w:r>
      <w:r w:rsidR="00E02696">
        <w:rPr>
          <w:rFonts w:eastAsiaTheme="minorEastAsia"/>
          <w:kern w:val="0"/>
          <w:lang w:eastAsia="en-US" w:bidi="ar-SA"/>
        </w:rPr>
        <w:t xml:space="preserve">aan elektronische bestanden </w:t>
      </w:r>
      <w:r w:rsidRPr="00D147A7">
        <w:rPr>
          <w:rFonts w:eastAsiaTheme="minorEastAsia"/>
          <w:kern w:val="0"/>
          <w:lang w:eastAsia="en-US" w:bidi="ar-SA"/>
        </w:rPr>
        <w:t xml:space="preserve">toekennen. </w:t>
      </w:r>
    </w:p>
    <w:p w:rsidR="000F560E" w:rsidRPr="00D147A7" w:rsidRDefault="000F560E" w:rsidP="000F560E">
      <w:pPr>
        <w:widowControl/>
        <w:suppressAutoHyphens w:val="0"/>
        <w:jc w:val="both"/>
      </w:pPr>
    </w:p>
    <w:p w:rsidR="000F560E" w:rsidRPr="00D147A7" w:rsidRDefault="000F560E" w:rsidP="000F560E">
      <w:pPr>
        <w:widowControl/>
        <w:suppressAutoHyphens w:val="0"/>
        <w:jc w:val="both"/>
        <w:rPr>
          <w:rFonts w:eastAsiaTheme="minorEastAsia"/>
          <w:kern w:val="0"/>
          <w:lang w:eastAsia="nl-BE" w:bidi="ar-SA"/>
        </w:rPr>
      </w:pPr>
      <w:r w:rsidRPr="00D147A7">
        <w:t>Andere methoden om het volume van (papieren) ziekenhuisarchieven terug te dringen, zijn: het uitvoeren van (bij voorkeur aselecte) steekproeven</w:t>
      </w:r>
      <w:r w:rsidRPr="00D147A7">
        <w:rPr>
          <w:vertAlign w:val="superscript"/>
        </w:rPr>
        <w:footnoteReference w:id="1234"/>
      </w:r>
      <w:r w:rsidRPr="00D147A7">
        <w:t>; het bewaren van de archieven van een beperkt aantal specialismen; (welbepaalde) patiëntendossiers schonen alvorens ze perma</w:t>
      </w:r>
      <w:r w:rsidR="001B5D08">
        <w:t>-</w:t>
      </w:r>
      <w:r w:rsidRPr="00D147A7">
        <w:t>nent bewaard worden (zoals alleen de ontslagbrieven bijhouden)</w:t>
      </w:r>
      <w:r w:rsidRPr="00D147A7">
        <w:rPr>
          <w:vertAlign w:val="superscript"/>
        </w:rPr>
        <w:footnoteReference w:id="1235"/>
      </w:r>
      <w:r w:rsidRPr="00D147A7">
        <w:t>; het archief van een aan</w:t>
      </w:r>
      <w:r w:rsidR="001B5D08">
        <w:t>-</w:t>
      </w:r>
      <w:r w:rsidRPr="00D147A7">
        <w:t>tal type-instellingen integraal bewaren; enkel gegevens over erfelijke ziektes bijhouden (maar wat vandaag niet als genetische aandoening wordt beschouwd, wordt dat morgen misschien wel);...</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noProof/>
          <w:kern w:val="0"/>
          <w:sz w:val="22"/>
          <w:szCs w:val="22"/>
          <w:lang w:eastAsia="nl-BE" w:bidi="ar-SA"/>
        </w:rPr>
        <w:drawing>
          <wp:inline distT="0" distB="0" distL="0" distR="0" wp14:anchorId="0F1D528E" wp14:editId="72F4D757">
            <wp:extent cx="3190476" cy="4285715"/>
            <wp:effectExtent l="0" t="0" r="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3190476" cy="4285715"/>
                    </a:xfrm>
                    <a:prstGeom prst="rect">
                      <a:avLst/>
                    </a:prstGeom>
                  </pic:spPr>
                </pic:pic>
              </a:graphicData>
            </a:graphic>
          </wp:inline>
        </w:drawing>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Figuur 24: Mogelijkheden voor ziekenhuizen en zorgverleners als hun archieven vol zijn</w:t>
      </w:r>
      <w:r w:rsidRPr="00D147A7">
        <w:rPr>
          <w:rFonts w:eastAsiaTheme="minorEastAsia"/>
          <w:kern w:val="0"/>
          <w:vertAlign w:val="superscript"/>
          <w:lang w:eastAsia="en-US" w:bidi="ar-SA"/>
        </w:rPr>
        <w:footnoteReference w:id="1236"/>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p>
    <w:p w:rsidR="001B5D08" w:rsidRDefault="001B5D08">
      <w:pPr>
        <w:widowControl/>
        <w:suppressAutoHyphens w:val="0"/>
        <w:spacing w:after="200" w:line="276" w:lineRule="auto"/>
        <w:rPr>
          <w:rFonts w:eastAsiaTheme="minorEastAsia"/>
          <w:kern w:val="0"/>
          <w:lang w:eastAsia="en-US" w:bidi="ar-SA"/>
        </w:rPr>
      </w:pPr>
      <w:r>
        <w:rPr>
          <w:rFonts w:eastAsiaTheme="minorEastAsia"/>
          <w:kern w:val="0"/>
          <w:lang w:eastAsia="en-US" w:bidi="ar-SA"/>
        </w:rPr>
        <w:br w:type="page"/>
      </w:r>
    </w:p>
    <w:p w:rsidR="000F560E" w:rsidRPr="001B5D08" w:rsidRDefault="000F560E" w:rsidP="000F560E">
      <w:pPr>
        <w:widowControl/>
        <w:suppressAutoHyphens w:val="0"/>
        <w:jc w:val="both"/>
        <w:rPr>
          <w:rFonts w:eastAsiaTheme="minorEastAsia"/>
          <w:smallCaps/>
          <w:kern w:val="0"/>
          <w:lang w:eastAsia="en-US" w:bidi="ar-SA"/>
        </w:rPr>
      </w:pPr>
      <w:r w:rsidRPr="001B5D08">
        <w:rPr>
          <w:rFonts w:eastAsiaTheme="minorEastAsia"/>
          <w:smallCaps/>
          <w:kern w:val="0"/>
          <w:lang w:eastAsia="en-US" w:bidi="ar-SA"/>
        </w:rPr>
        <w:lastRenderedPageBreak/>
        <w:t>5.2 België</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color w:val="0000FF"/>
          <w:kern w:val="0"/>
          <w:u w:val="single"/>
          <w:lang w:eastAsia="en-US" w:bidi="ar-SA"/>
        </w:rPr>
      </w:pPr>
      <w:r w:rsidRPr="00D147A7">
        <w:rPr>
          <w:rFonts w:eastAsiaTheme="minorEastAsia"/>
          <w:b/>
          <w:kern w:val="0"/>
          <w:lang w:eastAsia="en-US" w:bidi="ar-SA"/>
        </w:rPr>
        <w:tab/>
        <w:t>Hoofdstuk 1: Inleiding</w:t>
      </w:r>
      <w:hyperlink r:id="rId434" w:history="1">
        <w:r w:rsidRPr="00D147A7">
          <w:rPr>
            <w:rFonts w:eastAsiaTheme="minorEastAsia"/>
            <w:b/>
            <w:color w:val="0000FF"/>
            <w:kern w:val="0"/>
            <w:u w:val="single"/>
            <w:lang w:eastAsia="en-US" w:bidi="ar-SA"/>
          </w:rPr>
          <w:t xml:space="preserve"> </w:t>
        </w:r>
      </w:hyperlink>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kern w:val="0"/>
        </w:rPr>
      </w:pPr>
      <w:r w:rsidRPr="00D147A7">
        <w:rPr>
          <w:kern w:val="0"/>
        </w:rPr>
        <w:t xml:space="preserve">De Belgische wetgever definieert openbare ziekenhuizen als </w:t>
      </w:r>
      <w:r w:rsidRPr="00D147A7">
        <w:rPr>
          <w:i/>
          <w:kern w:val="0"/>
        </w:rPr>
        <w:t>de ziekenhuizen beheerd door een openbaar centrum voor maatschappelijk welzijn, of door een vereniging bedoeld in hoofdstuk 12 in de organieke wet van 8 juli 1976 betreffende de openbare centra voor maat</w:t>
      </w:r>
      <w:r w:rsidR="001B5D08">
        <w:rPr>
          <w:i/>
          <w:kern w:val="0"/>
        </w:rPr>
        <w:t>-</w:t>
      </w:r>
      <w:r w:rsidRPr="00D147A7">
        <w:rPr>
          <w:i/>
          <w:kern w:val="0"/>
        </w:rPr>
        <w:t>schappelijk welzijn, of voor een intercommunale vereniging die een of meer openbare centra voor maatschappelijk welzijn of gemeente omvat, door een provincie, of door een Staat, een gemeenschap of een gewest daarvan afhangende instelling</w:t>
      </w:r>
      <w:r w:rsidRPr="00D147A7">
        <w:rPr>
          <w:kern w:val="0"/>
        </w:rPr>
        <w:t>.</w:t>
      </w:r>
      <w:r w:rsidRPr="00D147A7">
        <w:rPr>
          <w:kern w:val="0"/>
          <w:vertAlign w:val="superscript"/>
        </w:rPr>
        <w:footnoteReference w:id="1237"/>
      </w:r>
      <w:r w:rsidRPr="00D147A7">
        <w:rPr>
          <w:kern w:val="0"/>
        </w:rPr>
        <w:t xml:space="preserve"> De vraag of openbare zieken</w:t>
      </w:r>
      <w:r w:rsidR="001B5D08">
        <w:rPr>
          <w:kern w:val="0"/>
        </w:rPr>
        <w:t>-</w:t>
      </w:r>
      <w:r w:rsidRPr="00D147A7">
        <w:rPr>
          <w:kern w:val="0"/>
        </w:rPr>
        <w:t>huizen onder het toepassingsgebied van de Archiefwet vallen, werd in België tot voor kort nooit officieel gesteld. Daarom vroeg het Algemeen Rijksarchief – in hoofden van de Alge</w:t>
      </w:r>
      <w:r w:rsidR="001B5D08">
        <w:rPr>
          <w:kern w:val="0"/>
        </w:rPr>
        <w:t>-</w:t>
      </w:r>
      <w:r w:rsidRPr="00D147A7">
        <w:rPr>
          <w:kern w:val="0"/>
        </w:rPr>
        <w:t>mene Rijksarchivaris, prof. dr. Karel Velle, en het departementshoofd Rijksarchieven in Vlaanderen, dr</w:t>
      </w:r>
      <w:r w:rsidR="001B5D08">
        <w:rPr>
          <w:kern w:val="0"/>
        </w:rPr>
        <w:t>.</w:t>
      </w:r>
      <w:r w:rsidRPr="00D147A7">
        <w:rPr>
          <w:kern w:val="0"/>
        </w:rPr>
        <w:t xml:space="preserve"> Michel Nuyttens – op 22 oktober 2008 aan de privacycommissie of zij het mogelijk acht om medische dossiers permanent te bewaren en zo ja, volgens welke procedure deze bronnen aan wetenschappelijke onderzoekers ter inzage kunnen worden </w:t>
      </w:r>
      <w:r w:rsidR="001B5D08">
        <w:rPr>
          <w:kern w:val="0"/>
        </w:rPr>
        <w:t>gegeven</w:t>
      </w:r>
      <w:r w:rsidRPr="00D147A7">
        <w:rPr>
          <w:kern w:val="0"/>
        </w:rPr>
        <w:t>.</w:t>
      </w:r>
      <w:r w:rsidRPr="00D147A7">
        <w:rPr>
          <w:kern w:val="0"/>
          <w:vertAlign w:val="superscript"/>
        </w:rPr>
        <w:footnoteReference w:id="1238"/>
      </w:r>
      <w:r w:rsidRPr="00D147A7">
        <w:rPr>
          <w:kern w:val="0"/>
        </w:rPr>
        <w:t xml:space="preserve"> Hoewel het Rijksarchief </w:t>
      </w:r>
      <w:r w:rsidR="001B5D08">
        <w:rPr>
          <w:kern w:val="0"/>
        </w:rPr>
        <w:t xml:space="preserve">reeds </w:t>
      </w:r>
      <w:r w:rsidRPr="00D147A7">
        <w:rPr>
          <w:kern w:val="0"/>
        </w:rPr>
        <w:t xml:space="preserve">de week nadien bericht kreeg dat </w:t>
      </w:r>
      <w:r w:rsidR="001B5D08">
        <w:rPr>
          <w:kern w:val="0"/>
        </w:rPr>
        <w:t>he</w:t>
      </w:r>
      <w:r w:rsidRPr="00D147A7">
        <w:rPr>
          <w:kern w:val="0"/>
        </w:rPr>
        <w:t>t verzoekschrift goed ont</w:t>
      </w:r>
      <w:r w:rsidR="001B5D08">
        <w:rPr>
          <w:kern w:val="0"/>
        </w:rPr>
        <w:t>-</w:t>
      </w:r>
      <w:r w:rsidRPr="00D147A7">
        <w:rPr>
          <w:kern w:val="0"/>
        </w:rPr>
        <w:t>vangen was</w:t>
      </w:r>
      <w:r w:rsidRPr="00D147A7">
        <w:rPr>
          <w:kern w:val="0"/>
          <w:vertAlign w:val="superscript"/>
        </w:rPr>
        <w:footnoteReference w:id="1239"/>
      </w:r>
      <w:r w:rsidRPr="00D147A7">
        <w:rPr>
          <w:kern w:val="0"/>
        </w:rPr>
        <w:t>, liet het feitelijke advies meer dan drie jaar op zich wachten.</w:t>
      </w:r>
      <w:r w:rsidRPr="00D147A7">
        <w:rPr>
          <w:kern w:val="0"/>
          <w:vertAlign w:val="superscript"/>
        </w:rPr>
        <w:footnoteReference w:id="1240"/>
      </w:r>
      <w:r w:rsidRPr="00D147A7">
        <w:rPr>
          <w:kern w:val="0"/>
        </w:rPr>
        <w:t xml:space="preserve"> Maar het ge</w:t>
      </w:r>
      <w:r w:rsidR="001B5D08">
        <w:rPr>
          <w:kern w:val="0"/>
        </w:rPr>
        <w:t>-</w:t>
      </w:r>
      <w:r w:rsidRPr="00D147A7">
        <w:rPr>
          <w:kern w:val="0"/>
        </w:rPr>
        <w:t xml:space="preserve">duld werd beloond: de geponeerde vragen werden over de hele lijn (op enkele nuancering na) positief beantwoord. </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Hoewel de zaak eindelijk uitgeklaard is, zijn er almaar minder (archieven van) openbare zie</w:t>
      </w:r>
      <w:r w:rsidR="001B5D08">
        <w:rPr>
          <w:rFonts w:eastAsiaTheme="minorEastAsia"/>
          <w:kern w:val="0"/>
          <w:lang w:eastAsia="en-US" w:bidi="ar-SA"/>
        </w:rPr>
        <w:t>-</w:t>
      </w:r>
      <w:r w:rsidRPr="00D147A7">
        <w:rPr>
          <w:rFonts w:eastAsiaTheme="minorEastAsia"/>
          <w:kern w:val="0"/>
          <w:lang w:eastAsia="en-US" w:bidi="ar-SA"/>
        </w:rPr>
        <w:t>kenhuizen in België. Steeds vaker smelten verschillende ziekenhuizen samen. Recentelijk – eind augustus 2011 – fusioneerde het Revalidatiecentrum Ten Bos van het Izegemse O.C.M.W. – goed voor 30 revalidatiebedden en 54 ziekenhuisbedden – noodgedwongen met de plaatselijke Sint-Jozefskliniek (een vzw).</w:t>
      </w:r>
      <w:r w:rsidRPr="00D147A7">
        <w:rPr>
          <w:rFonts w:eastAsiaTheme="minorEastAsia"/>
          <w:kern w:val="0"/>
          <w:vertAlign w:val="superscript"/>
          <w:lang w:eastAsia="en-US" w:bidi="ar-SA"/>
        </w:rPr>
        <w:footnoteReference w:id="1241"/>
      </w:r>
      <w:r w:rsidRPr="00D147A7">
        <w:rPr>
          <w:rFonts w:eastAsiaTheme="minorEastAsia"/>
          <w:kern w:val="0"/>
          <w:lang w:eastAsia="en-US" w:bidi="ar-SA"/>
        </w:rPr>
        <w:t xml:space="preserve"> Dé reden om met een ziekenhuis uit de priva</w:t>
      </w:r>
      <w:r w:rsidR="001B5D08">
        <w:rPr>
          <w:rFonts w:eastAsiaTheme="minorEastAsia"/>
          <w:kern w:val="0"/>
          <w:lang w:eastAsia="en-US" w:bidi="ar-SA"/>
        </w:rPr>
        <w:t>-</w:t>
      </w:r>
      <w:r w:rsidRPr="00D147A7">
        <w:rPr>
          <w:rFonts w:eastAsiaTheme="minorEastAsia"/>
          <w:kern w:val="0"/>
          <w:lang w:eastAsia="en-US" w:bidi="ar-SA"/>
        </w:rPr>
        <w:t>te sector te fusioneren, is steeds dezelfde: door het gebrek aan (door de overheid verleende) fi</w:t>
      </w:r>
      <w:r w:rsidR="001B5D08">
        <w:rPr>
          <w:rFonts w:eastAsiaTheme="minorEastAsia"/>
          <w:kern w:val="0"/>
          <w:lang w:eastAsia="en-US" w:bidi="ar-SA"/>
        </w:rPr>
        <w:t>-</w:t>
      </w:r>
      <w:r w:rsidRPr="00D147A7">
        <w:rPr>
          <w:rFonts w:eastAsiaTheme="minorEastAsia"/>
          <w:kern w:val="0"/>
          <w:lang w:eastAsia="en-US" w:bidi="ar-SA"/>
        </w:rPr>
        <w:t xml:space="preserve">nanciële middelen kunnen de nodige vernieuwingen om de best mogelijke zorgen </w:t>
      </w:r>
      <w:r w:rsidR="001B5D08" w:rsidRPr="00D147A7">
        <w:rPr>
          <w:rFonts w:eastAsiaTheme="minorEastAsia"/>
          <w:kern w:val="0"/>
          <w:lang w:eastAsia="en-US" w:bidi="ar-SA"/>
        </w:rPr>
        <w:t>aan patiënt</w:t>
      </w:r>
      <w:r w:rsidR="001B5D08">
        <w:rPr>
          <w:rFonts w:eastAsiaTheme="minorEastAsia"/>
          <w:kern w:val="0"/>
          <w:lang w:eastAsia="en-US" w:bidi="ar-SA"/>
        </w:rPr>
        <w:t>-</w:t>
      </w:r>
      <w:r w:rsidR="001B5D08" w:rsidRPr="00D147A7">
        <w:rPr>
          <w:rFonts w:eastAsiaTheme="minorEastAsia"/>
          <w:kern w:val="0"/>
          <w:lang w:eastAsia="en-US" w:bidi="ar-SA"/>
        </w:rPr>
        <w:t xml:space="preserve">en </w:t>
      </w:r>
      <w:r w:rsidRPr="00D147A7">
        <w:rPr>
          <w:rFonts w:eastAsiaTheme="minorEastAsia"/>
          <w:kern w:val="0"/>
          <w:lang w:eastAsia="en-US" w:bidi="ar-SA"/>
        </w:rPr>
        <w:t xml:space="preserve">te kunnen verlenen </w:t>
      </w:r>
      <w:r w:rsidR="001B5D08" w:rsidRPr="00D147A7">
        <w:rPr>
          <w:rFonts w:eastAsiaTheme="minorEastAsia"/>
          <w:kern w:val="0"/>
          <w:lang w:eastAsia="en-US" w:bidi="ar-SA"/>
        </w:rPr>
        <w:t>niet worden uitgevoerd</w:t>
      </w:r>
      <w:r w:rsidR="001B5D08">
        <w:rPr>
          <w:rFonts w:eastAsiaTheme="minorEastAsia"/>
          <w:kern w:val="0"/>
          <w:lang w:eastAsia="en-US" w:bidi="ar-SA"/>
        </w:rPr>
        <w:t>, waardoor</w:t>
      </w:r>
      <w:r w:rsidR="001B5D08" w:rsidRPr="00D147A7">
        <w:rPr>
          <w:rFonts w:eastAsiaTheme="minorEastAsia"/>
          <w:kern w:val="0"/>
          <w:lang w:eastAsia="en-US" w:bidi="ar-SA"/>
        </w:rPr>
        <w:t xml:space="preserve"> </w:t>
      </w:r>
      <w:r w:rsidRPr="00D147A7">
        <w:rPr>
          <w:rFonts w:eastAsiaTheme="minorEastAsia"/>
          <w:kern w:val="0"/>
          <w:lang w:eastAsia="en-US" w:bidi="ar-SA"/>
        </w:rPr>
        <w:t>de concurrentiestrijd met andere zie</w:t>
      </w:r>
      <w:r w:rsidR="001B5D08">
        <w:rPr>
          <w:rFonts w:eastAsiaTheme="minorEastAsia"/>
          <w:kern w:val="0"/>
          <w:lang w:eastAsia="en-US" w:bidi="ar-SA"/>
        </w:rPr>
        <w:t>-</w:t>
      </w:r>
      <w:r w:rsidRPr="00D147A7">
        <w:rPr>
          <w:rFonts w:eastAsiaTheme="minorEastAsia"/>
          <w:kern w:val="0"/>
          <w:lang w:eastAsia="en-US" w:bidi="ar-SA"/>
        </w:rPr>
        <w:t xml:space="preserve">kenhuizen </w:t>
      </w:r>
      <w:r w:rsidR="001B5D08">
        <w:rPr>
          <w:rFonts w:eastAsiaTheme="minorEastAsia"/>
          <w:kern w:val="0"/>
          <w:lang w:eastAsia="en-US" w:bidi="ar-SA"/>
        </w:rPr>
        <w:t>niet kan blijven worden</w:t>
      </w:r>
      <w:r w:rsidRPr="00D147A7">
        <w:rPr>
          <w:rFonts w:eastAsiaTheme="minorEastAsia"/>
          <w:kern w:val="0"/>
          <w:lang w:eastAsia="en-US" w:bidi="ar-SA"/>
        </w:rPr>
        <w:t xml:space="preserve"> aan</w:t>
      </w:r>
      <w:r w:rsidR="001B5D08">
        <w:rPr>
          <w:rFonts w:eastAsiaTheme="minorEastAsia"/>
          <w:kern w:val="0"/>
          <w:lang w:eastAsia="en-US" w:bidi="ar-SA"/>
        </w:rPr>
        <w:t>ge</w:t>
      </w:r>
      <w:r w:rsidRPr="00D147A7">
        <w:rPr>
          <w:rFonts w:eastAsiaTheme="minorEastAsia"/>
          <w:kern w:val="0"/>
          <w:lang w:eastAsia="en-US" w:bidi="ar-SA"/>
        </w:rPr>
        <w:t xml:space="preserve">gaan. </w:t>
      </w:r>
      <w:r w:rsidRPr="00D147A7">
        <w:rPr>
          <w:rFonts w:eastAsiaTheme="minorEastAsia"/>
          <w:i/>
          <w:kern w:val="0"/>
          <w:lang w:eastAsia="en-US" w:bidi="ar-SA"/>
        </w:rPr>
        <w:t>If you can’t beat them, join them</w:t>
      </w:r>
      <w:r w:rsidRPr="00D147A7">
        <w:rPr>
          <w:rFonts w:eastAsiaTheme="minorEastAsia"/>
          <w:kern w:val="0"/>
          <w:lang w:eastAsia="en-US" w:bidi="ar-SA"/>
        </w:rPr>
        <w:t>. Bij fusies gaan niet alleen de goederen en rechten, maar ook het archief op de rechtsopvolger over (dat zo een privaatrechtelijke status verkrijgt).</w:t>
      </w:r>
      <w:r w:rsidRPr="00D147A7">
        <w:rPr>
          <w:rFonts w:eastAsiaTheme="minorEastAsia"/>
          <w:kern w:val="0"/>
          <w:vertAlign w:val="superscript"/>
          <w:lang w:eastAsia="en-US" w:bidi="ar-SA"/>
        </w:rPr>
        <w:footnoteReference w:id="1242"/>
      </w:r>
      <w:r w:rsidRPr="00D147A7">
        <w:rPr>
          <w:rFonts w:eastAsiaTheme="minorEastAsia"/>
          <w:kern w:val="0"/>
          <w:lang w:eastAsia="en-US" w:bidi="ar-SA"/>
        </w:rPr>
        <w:t xml:space="preserve"> Hieronder worden de gegevens weergegevens over de openbare algemene en psychiatrische ziekenhuizen in België op 1 januari 2012.</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p>
    <w:tbl>
      <w:tblPr>
        <w:tblpPr w:leftFromText="141" w:rightFromText="141" w:vertAnchor="text" w:horzAnchor="margin" w:tblpXSpec="center" w:tblpY="73"/>
        <w:tblW w:w="10276" w:type="dxa"/>
        <w:tblLayout w:type="fixed"/>
        <w:tblCellMar>
          <w:left w:w="70" w:type="dxa"/>
          <w:right w:w="70" w:type="dxa"/>
        </w:tblCellMar>
        <w:tblLook w:val="04A0" w:firstRow="1" w:lastRow="0" w:firstColumn="1" w:lastColumn="0" w:noHBand="0" w:noVBand="1"/>
      </w:tblPr>
      <w:tblGrid>
        <w:gridCol w:w="1095"/>
        <w:gridCol w:w="2377"/>
        <w:gridCol w:w="993"/>
        <w:gridCol w:w="1275"/>
        <w:gridCol w:w="993"/>
        <w:gridCol w:w="567"/>
        <w:gridCol w:w="1109"/>
        <w:gridCol w:w="1017"/>
        <w:gridCol w:w="850"/>
      </w:tblGrid>
      <w:tr w:rsidR="000F560E" w:rsidRPr="00D147A7" w:rsidTr="004721B1">
        <w:trPr>
          <w:trHeight w:val="413"/>
        </w:trPr>
        <w:tc>
          <w:tcPr>
            <w:tcW w:w="1095" w:type="dxa"/>
            <w:tcBorders>
              <w:top w:val="single" w:sz="4" w:space="0" w:color="auto"/>
              <w:left w:val="single" w:sz="4" w:space="0" w:color="auto"/>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lastRenderedPageBreak/>
              <w:t>Erkennings-nummer</w:t>
            </w:r>
          </w:p>
        </w:tc>
        <w:tc>
          <w:tcPr>
            <w:tcW w:w="2377"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Instelling</w:t>
            </w:r>
          </w:p>
        </w:tc>
        <w:tc>
          <w:tcPr>
            <w:tcW w:w="993"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Filialen</w:t>
            </w:r>
          </w:p>
        </w:tc>
        <w:tc>
          <w:tcPr>
            <w:tcW w:w="1275"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Adres</w:t>
            </w:r>
          </w:p>
        </w:tc>
        <w:tc>
          <w:tcPr>
            <w:tcW w:w="993"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Gemeente</w:t>
            </w:r>
          </w:p>
        </w:tc>
        <w:tc>
          <w:tcPr>
            <w:tcW w:w="567"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Post-code</w:t>
            </w:r>
          </w:p>
        </w:tc>
        <w:tc>
          <w:tcPr>
            <w:tcW w:w="1109"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Provincie</w:t>
            </w:r>
          </w:p>
        </w:tc>
        <w:tc>
          <w:tcPr>
            <w:tcW w:w="1017" w:type="dxa"/>
            <w:tcBorders>
              <w:top w:val="single" w:sz="4" w:space="0" w:color="auto"/>
              <w:left w:val="nil"/>
              <w:bottom w:val="single" w:sz="4" w:space="0" w:color="auto"/>
              <w:right w:val="nil"/>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Soort instelling</w:t>
            </w:r>
          </w:p>
        </w:tc>
        <w:tc>
          <w:tcPr>
            <w:tcW w:w="850"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Aantal erkende bedden</w:t>
            </w:r>
          </w:p>
        </w:tc>
      </w:tr>
      <w:tr w:rsidR="000F560E" w:rsidRPr="00D147A7" w:rsidTr="004721B1">
        <w:trPr>
          <w:trHeight w:val="26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Stedelijk Ziekenhuis (</w:t>
            </w:r>
            <w:hyperlink r:id="rId435" w:history="1">
              <w:r w:rsidRPr="00D147A7">
                <w:rPr>
                  <w:rFonts w:eastAsia="Times New Roman"/>
                  <w:color w:val="0000FF"/>
                  <w:kern w:val="0"/>
                  <w:sz w:val="16"/>
                  <w:szCs w:val="16"/>
                  <w:u w:val="single"/>
                  <w:lang w:eastAsia="nl-BE" w:bidi="ar-SA"/>
                </w:rPr>
                <w:t>www.srz.be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Brugsesteenweg 90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Roeselare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8800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West-Vlaanderen</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r w:rsidRPr="00D147A7">
              <w:rPr>
                <w:rFonts w:eastAsia="Times New Roman"/>
                <w:color w:val="000000"/>
                <w:kern w:val="0"/>
                <w:sz w:val="16"/>
                <w:szCs w:val="16"/>
                <w:vertAlign w:val="superscript"/>
                <w:lang w:eastAsia="nl-BE" w:bidi="ar-SA"/>
              </w:rPr>
              <w:footnoteReference w:id="1243"/>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270</w:t>
            </w:r>
          </w:p>
        </w:tc>
      </w:tr>
      <w:tr w:rsidR="000F560E" w:rsidRPr="00D147A7" w:rsidTr="004721B1">
        <w:trPr>
          <w:trHeight w:val="271"/>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Clinique Reine Astrid (</w:t>
            </w:r>
            <w:hyperlink r:id="rId436" w:history="1">
              <w:r w:rsidRPr="00D147A7">
                <w:rPr>
                  <w:rFonts w:eastAsia="Times New Roman"/>
                  <w:color w:val="0000FF"/>
                  <w:kern w:val="0"/>
                  <w:sz w:val="16"/>
                  <w:szCs w:val="16"/>
                  <w:u w:val="single"/>
                  <w:lang w:val="fr-BE" w:eastAsia="nl-BE" w:bidi="ar-SA"/>
                </w:rPr>
                <w:t>www.cliniquemalmedy.be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devant les Religieuses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Malmédy</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4960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151</w:t>
            </w:r>
          </w:p>
        </w:tc>
      </w:tr>
      <w:tr w:rsidR="000F560E" w:rsidRPr="00D147A7" w:rsidTr="004721B1">
        <w:trPr>
          <w:trHeight w:val="276"/>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Régional de Namur (</w:t>
            </w:r>
            <w:hyperlink r:id="rId437" w:history="1">
              <w:r w:rsidRPr="00D147A7">
                <w:rPr>
                  <w:rFonts w:eastAsia="Times New Roman"/>
                  <w:color w:val="0000FF"/>
                  <w:kern w:val="0"/>
                  <w:sz w:val="16"/>
                  <w:szCs w:val="16"/>
                  <w:u w:val="single"/>
                  <w:lang w:val="fr-BE" w:eastAsia="nl-BE" w:bidi="ar-SA"/>
                </w:rPr>
                <w:t>www.chrn.be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Avenue Albert Ier 185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Namen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Namen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419</w:t>
            </w:r>
          </w:p>
        </w:tc>
      </w:tr>
      <w:tr w:rsidR="000F560E" w:rsidRPr="00D147A7" w:rsidTr="004721B1">
        <w:trPr>
          <w:trHeight w:val="282"/>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Régional de la Haute Senne (</w:t>
            </w:r>
            <w:hyperlink r:id="rId438" w:history="1">
              <w:r w:rsidRPr="00D147A7">
                <w:rPr>
                  <w:rFonts w:eastAsia="Times New Roman"/>
                  <w:color w:val="0000FF"/>
                  <w:kern w:val="0"/>
                  <w:sz w:val="16"/>
                  <w:szCs w:val="16"/>
                  <w:u w:val="single"/>
                  <w:lang w:val="fr-BE" w:eastAsia="nl-BE" w:bidi="ar-SA"/>
                </w:rPr>
                <w:t>www.chrhautesenne.be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Saint-Vincent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Boulevard Roosevelt 17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Soignies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55</w:t>
            </w:r>
          </w:p>
        </w:tc>
      </w:tr>
      <w:tr w:rsidR="000F560E" w:rsidRPr="00D147A7" w:rsidTr="004721B1">
        <w:trPr>
          <w:trHeight w:val="316"/>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Le Tilleriau</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Chaussée de Braine 49</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Soignies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185</w:t>
            </w:r>
          </w:p>
        </w:tc>
      </w:tr>
      <w:tr w:rsidR="000F560E" w:rsidRPr="00D147A7" w:rsidTr="004721B1">
        <w:trPr>
          <w:trHeight w:val="645"/>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Ziekenhuisnetwerk Antwerpen vzw (</w:t>
            </w:r>
            <w:hyperlink r:id="rId439" w:history="1">
              <w:r w:rsidRPr="00D147A7">
                <w:rPr>
                  <w:rFonts w:eastAsia="Times New Roman"/>
                  <w:color w:val="0000FF"/>
                  <w:kern w:val="0"/>
                  <w:sz w:val="16"/>
                  <w:szCs w:val="16"/>
                  <w:u w:val="single"/>
                  <w:lang w:eastAsia="nl-BE" w:bidi="ar-SA"/>
                </w:rPr>
                <w:t>www.zna.be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Middelheim / Paola Kinder-ziekenhuis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Lindendreef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Antwerpen-2</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r w:rsidRPr="00D147A7">
              <w:rPr>
                <w:rFonts w:eastAsia="Times New Roman"/>
                <w:color w:val="000000"/>
                <w:kern w:val="0"/>
                <w:sz w:val="16"/>
                <w:szCs w:val="16"/>
                <w:vertAlign w:val="superscript"/>
                <w:lang w:eastAsia="nl-BE" w:bidi="ar-SA"/>
              </w:rPr>
              <w:footnoteReference w:id="1244"/>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698</w:t>
            </w:r>
          </w:p>
        </w:tc>
      </w:tr>
      <w:tr w:rsidR="000F560E" w:rsidRPr="00D147A7" w:rsidTr="004721B1">
        <w:trPr>
          <w:trHeight w:val="432"/>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Hoge Beuken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Commandant Weynsstraat 165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Hoboken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2660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196</w:t>
            </w:r>
          </w:p>
        </w:tc>
      </w:tr>
      <w:tr w:rsidR="000F560E" w:rsidRPr="00D147A7" w:rsidTr="004721B1">
        <w:trPr>
          <w:trHeight w:val="29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Stuivenberg</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Lange Beeldekensstraat 267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Antwerpen-6</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428</w:t>
            </w:r>
          </w:p>
        </w:tc>
      </w:tr>
      <w:tr w:rsidR="000F560E" w:rsidRPr="00D147A7" w:rsidTr="004721B1">
        <w:trPr>
          <w:trHeight w:val="575"/>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ZNA Sint-Erasmus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Luitenant Lippenslaan 35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Borgerhout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2140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231</w:t>
            </w:r>
          </w:p>
        </w:tc>
      </w:tr>
      <w:tr w:rsidR="000F560E" w:rsidRPr="00D147A7" w:rsidTr="004721B1">
        <w:trPr>
          <w:trHeight w:val="555"/>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ZNA Jan Palfijn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Lange Bremstraat 70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Merksem</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2170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314</w:t>
            </w:r>
          </w:p>
        </w:tc>
      </w:tr>
      <w:tr w:rsidR="000F560E" w:rsidRPr="00D147A7" w:rsidTr="004721B1">
        <w:trPr>
          <w:trHeight w:val="30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Sint-Elisabeth</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Leopoldstraat 26</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Antwerpen-1</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242</w:t>
            </w:r>
          </w:p>
        </w:tc>
      </w:tr>
      <w:tr w:rsidR="000F560E" w:rsidRPr="00D147A7" w:rsidTr="004721B1">
        <w:trPr>
          <w:trHeight w:val="45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ZNA Joostens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Kapellei 133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Zoersel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2980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w:t>
            </w:r>
          </w:p>
        </w:tc>
      </w:tr>
      <w:tr w:rsidR="000F560E" w:rsidRPr="00D147A7" w:rsidTr="004721B1">
        <w:trPr>
          <w:trHeight w:val="452"/>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Peltzer-La Tourelle (</w:t>
            </w:r>
            <w:hyperlink r:id="rId440" w:history="1">
              <w:r w:rsidRPr="00D147A7">
                <w:rPr>
                  <w:rFonts w:eastAsia="Times New Roman"/>
                  <w:color w:val="0000FF"/>
                  <w:kern w:val="0"/>
                  <w:sz w:val="16"/>
                  <w:szCs w:val="16"/>
                  <w:u w:val="single"/>
                  <w:lang w:val="fr-BE" w:eastAsia="nl-BE" w:bidi="ar-SA"/>
                </w:rPr>
                <w:t>www.chplt.be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La Tourelle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du Parc 29</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Verviers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4800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366</w:t>
            </w:r>
          </w:p>
        </w:tc>
      </w:tr>
      <w:tr w:rsidR="000F560E" w:rsidRPr="00D147A7" w:rsidTr="004721B1">
        <w:trPr>
          <w:trHeight w:val="215"/>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Peltzer</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Avenue Peltzer 36</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Verviers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4800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w:t>
            </w:r>
          </w:p>
        </w:tc>
      </w:tr>
      <w:tr w:rsidR="000F560E" w:rsidRPr="00D147A7" w:rsidTr="004721B1">
        <w:trPr>
          <w:trHeight w:val="56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Princesse Astrid</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Borgaoumont 104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La-Gleize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4987</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w:t>
            </w:r>
          </w:p>
        </w:tc>
      </w:tr>
      <w:tr w:rsidR="000F560E" w:rsidRPr="00D147A7" w:rsidTr="004721B1">
        <w:trPr>
          <w:trHeight w:val="286"/>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37</w:t>
            </w:r>
          </w:p>
        </w:tc>
        <w:tc>
          <w:tcPr>
            <w:tcW w:w="237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Intercommunale de Soins Spécialisés de Liège (ISoSL) - Cliniques de soins spécialisés Valdor-Pèrî (</w:t>
            </w:r>
            <w:hyperlink r:id="rId441" w:history="1">
              <w:r w:rsidRPr="00D147A7">
                <w:rPr>
                  <w:rFonts w:eastAsia="Times New Roman"/>
                  <w:color w:val="0000FF"/>
                  <w:kern w:val="0"/>
                  <w:sz w:val="16"/>
                  <w:szCs w:val="16"/>
                  <w:u w:val="single"/>
                  <w:lang w:val="fr-BE" w:eastAsia="nl-BE" w:bidi="ar-SA"/>
                </w:rPr>
                <w:t>www.isosl.be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Valdor</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Basse-Wez 301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GGS</w:t>
            </w:r>
            <w:r w:rsidRPr="00D147A7">
              <w:rPr>
                <w:rFonts w:eastAsia="Times New Roman"/>
                <w:color w:val="000000"/>
                <w:kern w:val="0"/>
                <w:sz w:val="16"/>
                <w:szCs w:val="16"/>
                <w:vertAlign w:val="superscript"/>
                <w:lang w:eastAsia="nl-BE" w:bidi="ar-SA"/>
              </w:rPr>
              <w:footnoteReference w:id="1245"/>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198</w:t>
            </w:r>
          </w:p>
        </w:tc>
      </w:tr>
      <w:tr w:rsidR="000F560E" w:rsidRPr="00D147A7" w:rsidTr="004721B1">
        <w:trPr>
          <w:trHeight w:val="320"/>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Pèrî</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Montagne Ste Walburge 4b</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197</w:t>
            </w:r>
          </w:p>
        </w:tc>
      </w:tr>
      <w:tr w:rsidR="000F560E" w:rsidRPr="00D147A7" w:rsidTr="004721B1">
        <w:trPr>
          <w:trHeight w:val="225"/>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42</w:t>
            </w:r>
          </w:p>
        </w:tc>
        <w:tc>
          <w:tcPr>
            <w:tcW w:w="237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du Bois de l'Abbaye et de Hesbaye (</w:t>
            </w:r>
            <w:hyperlink r:id="rId442" w:history="1">
              <w:r w:rsidRPr="00D147A7">
                <w:rPr>
                  <w:rFonts w:eastAsia="Times New Roman"/>
                  <w:color w:val="0000FF"/>
                  <w:kern w:val="0"/>
                  <w:sz w:val="16"/>
                  <w:szCs w:val="16"/>
                  <w:u w:val="single"/>
                  <w:lang w:val="fr-BE" w:eastAsia="nl-BE" w:bidi="ar-SA"/>
                </w:rPr>
                <w:t>www.chbah.be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Seraing</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Laplace 40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Seraing</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4100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362</w:t>
            </w:r>
          </w:p>
        </w:tc>
      </w:tr>
      <w:tr w:rsidR="000F560E" w:rsidRPr="00D147A7" w:rsidTr="004721B1">
        <w:trPr>
          <w:trHeight w:val="42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Joseph Wauters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Avenue de la Résistance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Waremme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4300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100</w:t>
            </w:r>
          </w:p>
        </w:tc>
      </w:tr>
      <w:tr w:rsidR="000F560E" w:rsidRPr="00D147A7" w:rsidTr="004721B1">
        <w:trPr>
          <w:trHeight w:val="406"/>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49</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Sint-Jan Brugge-Oostende (</w:t>
            </w:r>
            <w:hyperlink r:id="rId443" w:history="1">
              <w:r w:rsidRPr="00D147A7">
                <w:rPr>
                  <w:rFonts w:eastAsia="Times New Roman"/>
                  <w:color w:val="0000FF"/>
                  <w:kern w:val="0"/>
                  <w:sz w:val="16"/>
                  <w:szCs w:val="16"/>
                  <w:u w:val="single"/>
                  <w:lang w:eastAsia="nl-BE" w:bidi="ar-SA"/>
                </w:rPr>
                <w:t>www.azbrugge.be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Sint-Jan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Ruddershove 10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Brugge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West-Vlaanderen</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773</w:t>
            </w:r>
          </w:p>
        </w:tc>
      </w:tr>
      <w:tr w:rsidR="000F560E" w:rsidRPr="00D147A7" w:rsidTr="004721B1">
        <w:trPr>
          <w:trHeight w:val="26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Henri Serruys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Kaïrostraat 84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Oostende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8400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West-Vlaanderen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329</w:t>
            </w:r>
          </w:p>
        </w:tc>
      </w:tr>
      <w:tr w:rsidR="000F560E" w:rsidRPr="00D147A7" w:rsidTr="004721B1">
        <w:trPr>
          <w:trHeight w:val="559"/>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Sint-Franciscus Xaverius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Spaanse loskaai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Brugge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West-Vlaanderen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139</w:t>
            </w:r>
          </w:p>
        </w:tc>
      </w:tr>
      <w:tr w:rsidR="000F560E" w:rsidRPr="00D147A7" w:rsidTr="004721B1">
        <w:trPr>
          <w:trHeight w:val="669"/>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51</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OCMW Sint-Lambrechts-Woluwe - Centrum voor Geriatrische Geneeskunde (</w:t>
            </w:r>
            <w:hyperlink r:id="rId444" w:history="1">
              <w:r w:rsidRPr="00D147A7">
                <w:rPr>
                  <w:rFonts w:eastAsia="Times New Roman"/>
                  <w:color w:val="0000FF"/>
                  <w:kern w:val="0"/>
                  <w:sz w:val="16"/>
                  <w:szCs w:val="16"/>
                  <w:u w:val="single"/>
                  <w:lang w:eastAsia="nl-BE" w:bidi="ar-SA"/>
                </w:rPr>
                <w:t>www.cpas1200.be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Karrestraat 27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Sint-Lambrechts-Woluwe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1200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GerZ</w:t>
            </w:r>
            <w:r w:rsidRPr="00D147A7">
              <w:rPr>
                <w:rFonts w:eastAsia="Times New Roman"/>
                <w:color w:val="000000"/>
                <w:kern w:val="0"/>
                <w:sz w:val="16"/>
                <w:szCs w:val="16"/>
                <w:vertAlign w:val="superscript"/>
                <w:lang w:eastAsia="nl-BE" w:bidi="ar-SA"/>
              </w:rPr>
              <w:footnoteReference w:id="1246"/>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95</w:t>
            </w:r>
          </w:p>
        </w:tc>
      </w:tr>
      <w:tr w:rsidR="000F560E" w:rsidRPr="00D147A7" w:rsidTr="004721B1">
        <w:trPr>
          <w:trHeight w:val="521"/>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68</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Régional de Huy (</w:t>
            </w:r>
            <w:hyperlink r:id="rId445" w:history="1">
              <w:r w:rsidRPr="00D147A7">
                <w:rPr>
                  <w:rFonts w:eastAsia="Times New Roman"/>
                  <w:color w:val="0000FF"/>
                  <w:kern w:val="0"/>
                  <w:sz w:val="16"/>
                  <w:szCs w:val="16"/>
                  <w:u w:val="single"/>
                  <w:lang w:val="fr-BE" w:eastAsia="nl-BE" w:bidi="ar-SA"/>
                </w:rPr>
                <w:t>www.chrh.be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Trois Ponts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Hoei</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4500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317</w:t>
            </w:r>
          </w:p>
        </w:tc>
      </w:tr>
      <w:tr w:rsidR="000F560E" w:rsidRPr="00D147A7" w:rsidTr="004721B1">
        <w:trPr>
          <w:trHeight w:val="14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lastRenderedPageBreak/>
              <w:t>76</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Universitair Ziekenhuis Sint-Pieter (</w:t>
            </w:r>
            <w:hyperlink r:id="rId446" w:history="1">
              <w:r w:rsidRPr="00D147A7">
                <w:rPr>
                  <w:rFonts w:eastAsia="Times New Roman"/>
                  <w:color w:val="0000FF"/>
                  <w:kern w:val="0"/>
                  <w:sz w:val="16"/>
                  <w:szCs w:val="16"/>
                  <w:u w:val="single"/>
                  <w:lang w:eastAsia="nl-BE" w:bidi="ar-SA"/>
                </w:rPr>
                <w:t>www.stpierre.bru.be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Hallepoort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Hoogstraat 322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398</w:t>
            </w:r>
          </w:p>
        </w:tc>
      </w:tr>
      <w:tr w:rsidR="000F560E" w:rsidRPr="00D147A7" w:rsidTr="004721B1">
        <w:trPr>
          <w:trHeight w:val="555"/>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César de Paepe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Cellebroersstraat 11-13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108</w:t>
            </w:r>
          </w:p>
        </w:tc>
      </w:tr>
      <w:tr w:rsidR="000F560E" w:rsidRPr="00D147A7" w:rsidTr="004721B1">
        <w:trPr>
          <w:trHeight w:val="318"/>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77</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Universitair Verplegingscentrum Brugmann (</w:t>
            </w:r>
            <w:hyperlink r:id="rId447" w:history="1">
              <w:r w:rsidRPr="00D147A7">
                <w:rPr>
                  <w:rFonts w:eastAsia="Times New Roman"/>
                  <w:color w:val="0000FF"/>
                  <w:kern w:val="0"/>
                  <w:sz w:val="16"/>
                  <w:szCs w:val="16"/>
                  <w:u w:val="single"/>
                  <w:lang w:eastAsia="nl-BE" w:bidi="ar-SA"/>
                </w:rPr>
                <w:t>www.uvc-brugmann.be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Victor Horta</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Arthur Van Gehuchtenplein 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Laken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632</w:t>
            </w:r>
          </w:p>
        </w:tc>
      </w:tr>
      <w:tr w:rsidR="000F560E" w:rsidRPr="00D147A7" w:rsidTr="004721B1">
        <w:trPr>
          <w:trHeight w:val="352"/>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Koningin Astrid</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Bruynstraat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Neder-Over-Heembeek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1120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96</w:t>
            </w:r>
          </w:p>
        </w:tc>
      </w:tr>
      <w:tr w:rsidR="000F560E" w:rsidRPr="00D147A7" w:rsidTr="004721B1">
        <w:trPr>
          <w:trHeight w:val="514"/>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Paul Brien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Schaarbeekse-Haardstraat 36</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Schaarbeek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1030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126</w:t>
            </w:r>
          </w:p>
        </w:tc>
      </w:tr>
      <w:tr w:rsidR="000F560E" w:rsidRPr="00D147A7" w:rsidTr="004721B1">
        <w:trPr>
          <w:trHeight w:val="409"/>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79</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Jules Bordet Instituut (</w:t>
            </w:r>
            <w:hyperlink r:id="rId448" w:history="1">
              <w:r w:rsidRPr="00D147A7">
                <w:rPr>
                  <w:rFonts w:eastAsia="Times New Roman"/>
                  <w:color w:val="0000FF"/>
                  <w:kern w:val="0"/>
                  <w:sz w:val="16"/>
                  <w:szCs w:val="16"/>
                  <w:u w:val="single"/>
                  <w:lang w:eastAsia="nl-BE" w:bidi="ar-SA"/>
                </w:rPr>
                <w:t>www.bordet.be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Héger-Bordetstraat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154</w:t>
            </w:r>
          </w:p>
        </w:tc>
      </w:tr>
      <w:tr w:rsidR="000F560E" w:rsidRPr="00D147A7" w:rsidTr="004721B1">
        <w:trPr>
          <w:trHeight w:val="415"/>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87</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IRIS Ziekenhuizen Zuid (</w:t>
            </w:r>
            <w:hyperlink r:id="rId449" w:history="1">
              <w:r w:rsidRPr="00D147A7">
                <w:rPr>
                  <w:rFonts w:eastAsia="Times New Roman"/>
                  <w:color w:val="0000FF"/>
                  <w:kern w:val="0"/>
                  <w:sz w:val="16"/>
                  <w:szCs w:val="16"/>
                  <w:u w:val="single"/>
                  <w:lang w:eastAsia="nl-BE" w:bidi="ar-SA"/>
                </w:rPr>
                <w:t>www.his-izz.be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Baron Lambert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Baron Lambertstraat 38</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Etterbeek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t>
            </w:r>
          </w:p>
        </w:tc>
      </w:tr>
      <w:tr w:rsidR="000F560E" w:rsidRPr="00D147A7" w:rsidTr="004721B1">
        <w:trPr>
          <w:trHeight w:val="42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Molière Longchamp</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Marconistraat 142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Vorst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1190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216</w:t>
            </w:r>
          </w:p>
        </w:tc>
      </w:tr>
      <w:tr w:rsidR="000F560E" w:rsidRPr="00D147A7" w:rsidTr="004721B1">
        <w:trPr>
          <w:trHeight w:val="413"/>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Joseph Bracops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Dokter Huetstraat 79</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Anderlecht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1070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215</w:t>
            </w:r>
          </w:p>
        </w:tc>
      </w:tr>
      <w:tr w:rsidR="000F560E" w:rsidRPr="00D147A7" w:rsidTr="004721B1">
        <w:trPr>
          <w:trHeight w:val="418"/>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Etterbeek-Elsene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Jean Paquotstraat 63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Elsene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1050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260</w:t>
            </w:r>
          </w:p>
        </w:tc>
      </w:tr>
      <w:tr w:rsidR="000F560E" w:rsidRPr="00D147A7" w:rsidTr="004721B1">
        <w:trPr>
          <w:trHeight w:val="554"/>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95</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Provinciaal zorgcentrum Lemberge APB (</w:t>
            </w:r>
            <w:hyperlink r:id="rId450" w:history="1">
              <w:r w:rsidRPr="00D147A7">
                <w:rPr>
                  <w:rFonts w:eastAsia="Times New Roman"/>
                  <w:color w:val="0000FF"/>
                  <w:kern w:val="0"/>
                  <w:sz w:val="16"/>
                  <w:szCs w:val="16"/>
                  <w:u w:val="single"/>
                  <w:lang w:eastAsia="nl-BE" w:bidi="ar-SA"/>
                </w:rPr>
                <w:t>www.lemberge.be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Salisburylaan 100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Merelbeke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9820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GS</w:t>
            </w:r>
            <w:r w:rsidRPr="00D147A7">
              <w:rPr>
                <w:rFonts w:eastAsia="Times New Roman"/>
                <w:color w:val="000000"/>
                <w:kern w:val="0"/>
                <w:sz w:val="16"/>
                <w:szCs w:val="16"/>
                <w:vertAlign w:val="superscript"/>
                <w:lang w:eastAsia="nl-BE" w:bidi="ar-SA"/>
              </w:rPr>
              <w:footnoteReference w:id="1247"/>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63</w:t>
            </w:r>
          </w:p>
        </w:tc>
      </w:tr>
      <w:tr w:rsidR="000F560E" w:rsidRPr="00D147A7" w:rsidTr="004721B1">
        <w:trPr>
          <w:trHeight w:val="42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150</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Universitair Kinderziekenhuis Koningin Fabiola (</w:t>
            </w:r>
            <w:hyperlink r:id="rId451" w:history="1">
              <w:r w:rsidRPr="00D147A7">
                <w:rPr>
                  <w:rFonts w:eastAsia="Times New Roman"/>
                  <w:color w:val="0000FF"/>
                  <w:kern w:val="0"/>
                  <w:sz w:val="16"/>
                  <w:szCs w:val="16"/>
                  <w:u w:val="single"/>
                  <w:lang w:eastAsia="nl-BE" w:bidi="ar-SA"/>
                </w:rPr>
                <w:t>www.huderf.be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J.J. Crocqlaan 15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Laken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168</w:t>
            </w:r>
          </w:p>
        </w:tc>
      </w:tr>
      <w:tr w:rsidR="000F560E" w:rsidRPr="00D147A7" w:rsidTr="004721B1">
        <w:trPr>
          <w:trHeight w:val="429"/>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164</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Vivalia - Intercommunale hospitalière Famenne Ardenne Condroz (IFAC) (</w:t>
            </w:r>
            <w:hyperlink r:id="rId452" w:history="1">
              <w:r w:rsidRPr="00D147A7">
                <w:rPr>
                  <w:rFonts w:eastAsia="Times New Roman"/>
                  <w:color w:val="0000FF"/>
                  <w:kern w:val="0"/>
                  <w:sz w:val="16"/>
                  <w:szCs w:val="16"/>
                  <w:u w:val="single"/>
                  <w:lang w:val="fr-BE" w:eastAsia="nl-BE" w:bidi="ar-SA"/>
                </w:rPr>
                <w:t>www.ifac.be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de Marche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du Vivier 21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Marche-en-Famenne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6900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179</w:t>
            </w:r>
          </w:p>
        </w:tc>
      </w:tr>
      <w:tr w:rsidR="000F560E" w:rsidRPr="00D147A7" w:rsidTr="004721B1">
        <w:trPr>
          <w:trHeight w:val="450"/>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de Bastogne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Chaussée de Houffalize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Bastogne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6600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87</w:t>
            </w:r>
          </w:p>
        </w:tc>
      </w:tr>
      <w:tr w:rsidR="000F560E" w:rsidRPr="00D147A7" w:rsidTr="004721B1">
        <w:trPr>
          <w:trHeight w:val="371"/>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168</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Vivalia - Centre Hospitalier de l'Ardenne (</w:t>
            </w:r>
            <w:hyperlink r:id="rId453" w:history="1">
              <w:r w:rsidRPr="00D147A7">
                <w:rPr>
                  <w:rFonts w:eastAsia="Times New Roman"/>
                  <w:color w:val="0000FF"/>
                  <w:kern w:val="0"/>
                  <w:sz w:val="16"/>
                  <w:szCs w:val="16"/>
                  <w:u w:val="single"/>
                  <w:lang w:val="fr-BE" w:eastAsia="nl-BE" w:bidi="ar-SA"/>
                </w:rPr>
                <w:t>www.cha.be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de Libramont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Avenue de Houffalize 35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Libramont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6800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194</w:t>
            </w:r>
          </w:p>
        </w:tc>
      </w:tr>
      <w:tr w:rsidR="000F560E" w:rsidRPr="00D147A7" w:rsidTr="004721B1">
        <w:trPr>
          <w:trHeight w:val="277"/>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de Sainte-Ode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Le Celly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Sainte-Ode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6680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135</w:t>
            </w:r>
          </w:p>
        </w:tc>
      </w:tr>
      <w:tr w:rsidR="000F560E" w:rsidRPr="00D147A7" w:rsidTr="004721B1">
        <w:trPr>
          <w:trHeight w:val="467"/>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170</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Oudenaarde (</w:t>
            </w:r>
            <w:hyperlink r:id="rId454" w:history="1">
              <w:r w:rsidRPr="00D147A7">
                <w:rPr>
                  <w:rFonts w:eastAsia="Times New Roman"/>
                  <w:color w:val="0000FF"/>
                  <w:kern w:val="0"/>
                  <w:sz w:val="16"/>
                  <w:szCs w:val="16"/>
                  <w:u w:val="single"/>
                  <w:lang w:eastAsia="nl-BE" w:bidi="ar-SA"/>
                </w:rPr>
                <w:t>www.azoudenaarde.be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Minderbroeders-straat 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Oudenaarde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9700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235</w:t>
            </w:r>
          </w:p>
        </w:tc>
      </w:tr>
      <w:tr w:rsidR="000F560E" w:rsidRPr="00D147A7" w:rsidTr="004721B1">
        <w:trPr>
          <w:trHeight w:val="417"/>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176</w:t>
            </w:r>
          </w:p>
        </w:tc>
        <w:tc>
          <w:tcPr>
            <w:tcW w:w="237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Stedelijk Ziekenhuis (</w:t>
            </w:r>
            <w:hyperlink r:id="rId455" w:history="1">
              <w:r w:rsidRPr="00D147A7">
                <w:rPr>
                  <w:rFonts w:eastAsia="Times New Roman"/>
                  <w:color w:val="0000FF"/>
                  <w:kern w:val="0"/>
                  <w:sz w:val="16"/>
                  <w:szCs w:val="16"/>
                  <w:u w:val="single"/>
                  <w:lang w:eastAsia="nl-BE" w:bidi="ar-SA"/>
                </w:rPr>
                <w:t>www.asz.be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Aalst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Merestraat 80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Aalst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9300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351</w:t>
            </w:r>
          </w:p>
        </w:tc>
      </w:tr>
      <w:tr w:rsidR="000F560E" w:rsidRPr="00D147A7" w:rsidTr="004721B1">
        <w:trPr>
          <w:trHeight w:val="423"/>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Wetteren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Wegvoerings-straat 73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Wetteren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9230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72</w:t>
            </w:r>
          </w:p>
        </w:tc>
      </w:tr>
      <w:tr w:rsidR="000F560E" w:rsidRPr="00D147A7" w:rsidTr="004721B1">
        <w:trPr>
          <w:trHeight w:val="557"/>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Geraards-bergen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Gasthuisstraat 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Geraardsbergen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9500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160</w:t>
            </w:r>
          </w:p>
        </w:tc>
      </w:tr>
      <w:tr w:rsidR="000F560E" w:rsidRPr="00D147A7" w:rsidTr="004721B1">
        <w:trPr>
          <w:trHeight w:val="409"/>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246</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Vivalia - Cliniques du Sud-Luxembourg (</w:t>
            </w:r>
            <w:hyperlink r:id="rId456" w:history="1">
              <w:r w:rsidRPr="00D147A7">
                <w:rPr>
                  <w:rFonts w:eastAsia="Times New Roman"/>
                  <w:color w:val="0000FF"/>
                  <w:kern w:val="0"/>
                  <w:sz w:val="16"/>
                  <w:szCs w:val="16"/>
                  <w:u w:val="single"/>
                  <w:lang w:val="fr-BE" w:eastAsia="nl-BE" w:bidi="ar-SA"/>
                </w:rPr>
                <w:t>www.clinsudlux.be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Saint-Joseph</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des Déportés 137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Aarlen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6700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247</w:t>
            </w:r>
          </w:p>
        </w:tc>
      </w:tr>
      <w:tr w:rsidR="000F560E" w:rsidRPr="00D147A7" w:rsidTr="004721B1">
        <w:trPr>
          <w:trHeight w:val="414"/>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Virton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d'Harnoncourt 48</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Saint-Mard</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6762</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96</w:t>
            </w:r>
          </w:p>
        </w:tc>
      </w:tr>
      <w:tr w:rsidR="000F560E" w:rsidRPr="00D147A7" w:rsidTr="004721B1">
        <w:trPr>
          <w:trHeight w:val="42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Athus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Avenue de la Libération 39</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Athus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6791</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w:t>
            </w:r>
          </w:p>
        </w:tc>
      </w:tr>
      <w:tr w:rsidR="000F560E" w:rsidRPr="00D147A7" w:rsidTr="004721B1">
        <w:trPr>
          <w:trHeight w:val="413"/>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Régional du Val de Sambre (</w:t>
            </w:r>
            <w:hyperlink r:id="rId457" w:history="1">
              <w:r w:rsidRPr="00D147A7">
                <w:rPr>
                  <w:rFonts w:eastAsia="Times New Roman"/>
                  <w:color w:val="0000FF"/>
                  <w:kern w:val="0"/>
                  <w:sz w:val="16"/>
                  <w:szCs w:val="16"/>
                  <w:u w:val="single"/>
                  <w:lang w:val="fr-BE" w:eastAsia="nl-BE" w:bidi="ar-SA"/>
                </w:rPr>
                <w:t>www.chrvs.be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Auvelais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Chère Voie 75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Auvelais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5060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Namen</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324</w:t>
            </w:r>
          </w:p>
        </w:tc>
      </w:tr>
      <w:tr w:rsidR="000F560E" w:rsidRPr="00D147A7" w:rsidTr="004721B1">
        <w:trPr>
          <w:trHeight w:val="419"/>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Fosses-la-Ville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Ste. Brigide 43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Fosses-la-Ville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5070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Namen</w:t>
            </w:r>
          </w:p>
        </w:tc>
        <w:tc>
          <w:tcPr>
            <w:tcW w:w="1017"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w:t>
            </w:r>
          </w:p>
        </w:tc>
      </w:tr>
      <w:tr w:rsidR="000F560E" w:rsidRPr="00D147A7" w:rsidTr="004721B1">
        <w:trPr>
          <w:trHeight w:val="411"/>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249</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de santé des Fagnes (</w:t>
            </w:r>
            <w:hyperlink r:id="rId458" w:history="1">
              <w:r w:rsidRPr="00D147A7">
                <w:rPr>
                  <w:rFonts w:eastAsia="Times New Roman"/>
                  <w:color w:val="0000FF"/>
                  <w:kern w:val="0"/>
                  <w:sz w:val="16"/>
                  <w:szCs w:val="16"/>
                  <w:u w:val="single"/>
                  <w:lang w:val="fr-BE" w:eastAsia="nl-BE" w:bidi="ar-SA"/>
                </w:rPr>
                <w:t>www.csf.be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Boulevard Louise 18</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Chimay</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6460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136</w:t>
            </w:r>
          </w:p>
        </w:tc>
      </w:tr>
      <w:tr w:rsidR="000F560E" w:rsidRPr="00D147A7" w:rsidTr="004721B1">
        <w:trPr>
          <w:trHeight w:val="417"/>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254</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Universitaire Ambroise Paré (</w:t>
            </w:r>
            <w:hyperlink r:id="rId459" w:history="1">
              <w:r w:rsidRPr="00D147A7">
                <w:rPr>
                  <w:rFonts w:eastAsia="Times New Roman"/>
                  <w:color w:val="0000FF"/>
                  <w:kern w:val="0"/>
                  <w:sz w:val="16"/>
                  <w:szCs w:val="16"/>
                  <w:u w:val="single"/>
                  <w:lang w:val="fr-BE" w:eastAsia="nl-BE" w:bidi="ar-SA"/>
                </w:rPr>
                <w:t>www.hap.be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Havre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Boulevard Kennedy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Bergen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336</w:t>
            </w:r>
          </w:p>
        </w:tc>
      </w:tr>
      <w:tr w:rsidR="000F560E" w:rsidRPr="00D147A7" w:rsidTr="004721B1">
        <w:trPr>
          <w:trHeight w:val="423"/>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265</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Lokeren (</w:t>
            </w:r>
            <w:hyperlink r:id="rId460" w:history="1">
              <w:r w:rsidRPr="00D147A7">
                <w:rPr>
                  <w:rFonts w:eastAsia="Times New Roman"/>
                  <w:color w:val="0000FF"/>
                  <w:kern w:val="0"/>
                  <w:sz w:val="16"/>
                  <w:szCs w:val="16"/>
                  <w:u w:val="single"/>
                  <w:lang w:eastAsia="nl-BE" w:bidi="ar-SA"/>
                </w:rPr>
                <w:t>www.azlokeren.be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Lepelstraat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Lokeren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9160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170</w:t>
            </w:r>
          </w:p>
        </w:tc>
      </w:tr>
      <w:tr w:rsidR="000F560E" w:rsidRPr="00D147A7" w:rsidTr="004721B1">
        <w:trPr>
          <w:trHeight w:val="456"/>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308</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Sint-Elisabeth (</w:t>
            </w:r>
            <w:hyperlink r:id="rId461" w:history="1">
              <w:r w:rsidRPr="00D147A7">
                <w:rPr>
                  <w:rFonts w:eastAsia="Times New Roman"/>
                  <w:color w:val="0000FF"/>
                  <w:kern w:val="0"/>
                  <w:sz w:val="16"/>
                  <w:szCs w:val="16"/>
                  <w:u w:val="single"/>
                  <w:lang w:eastAsia="nl-BE" w:bidi="ar-SA"/>
                </w:rPr>
                <w:t>www.azherentals.be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Nederrij 133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Herentals</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2200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243</w:t>
            </w:r>
          </w:p>
        </w:tc>
      </w:tr>
      <w:tr w:rsidR="000F560E" w:rsidRPr="00D147A7" w:rsidTr="004721B1">
        <w:trPr>
          <w:trHeight w:val="276"/>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lastRenderedPageBreak/>
              <w:t>371</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Ziekenhuis Oost-Limburg (</w:t>
            </w:r>
            <w:hyperlink r:id="rId462" w:history="1">
              <w:r w:rsidRPr="00D147A7">
                <w:rPr>
                  <w:rFonts w:eastAsia="Times New Roman"/>
                  <w:color w:val="0000FF"/>
                  <w:kern w:val="0"/>
                  <w:sz w:val="16"/>
                  <w:szCs w:val="16"/>
                  <w:u w:val="single"/>
                  <w:lang w:eastAsia="nl-BE" w:bidi="ar-SA"/>
                </w:rPr>
                <w:t>www.zol.be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Sint-Jan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Schiepse Bos 6</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Genk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475</w:t>
            </w:r>
          </w:p>
        </w:tc>
      </w:tr>
      <w:tr w:rsidR="000F560E" w:rsidRPr="00D147A7" w:rsidTr="004721B1">
        <w:trPr>
          <w:trHeight w:val="594"/>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Andre Dumont</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Stalenstraat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Genk</w:t>
            </w:r>
          </w:p>
        </w:tc>
        <w:tc>
          <w:tcPr>
            <w:tcW w:w="56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186</w:t>
            </w:r>
          </w:p>
        </w:tc>
      </w:tr>
      <w:tr w:rsidR="000F560E" w:rsidRPr="00D147A7" w:rsidTr="004721B1">
        <w:trPr>
          <w:trHeight w:val="560"/>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Sinte-Barbara</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Bessemerstraat 478</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Lanaken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3620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153</w:t>
            </w:r>
          </w:p>
        </w:tc>
      </w:tr>
      <w:tr w:rsidR="000F560E" w:rsidRPr="00D147A7" w:rsidTr="004721B1">
        <w:trPr>
          <w:trHeight w:val="411"/>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408</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Instituut Pacheco (</w:t>
            </w:r>
            <w:hyperlink r:id="rId463" w:history="1">
              <w:r w:rsidRPr="00D147A7">
                <w:rPr>
                  <w:rFonts w:eastAsia="Times New Roman"/>
                  <w:color w:val="0000FF"/>
                  <w:kern w:val="0"/>
                  <w:sz w:val="16"/>
                  <w:szCs w:val="16"/>
                  <w:u w:val="single"/>
                  <w:lang w:eastAsia="nl-BE" w:bidi="ar-SA"/>
                </w:rPr>
                <w:t>www.cpasbru.irisnet.be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Grootgodshuis-straat 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Brussel-Halle-Vilvoorde</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GGS</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145</w:t>
            </w:r>
          </w:p>
        </w:tc>
      </w:tr>
      <w:tr w:rsidR="000F560E" w:rsidRPr="00D147A7" w:rsidTr="004721B1">
        <w:trPr>
          <w:trHeight w:val="417"/>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412</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Régional de la Citadelle (</w:t>
            </w:r>
            <w:hyperlink r:id="rId464" w:history="1">
              <w:r w:rsidRPr="00D147A7">
                <w:rPr>
                  <w:rFonts w:eastAsia="Times New Roman"/>
                  <w:color w:val="0000FF"/>
                  <w:kern w:val="0"/>
                  <w:sz w:val="16"/>
                  <w:szCs w:val="16"/>
                  <w:u w:val="single"/>
                  <w:lang w:val="fr-BE" w:eastAsia="nl-BE" w:bidi="ar-SA"/>
                </w:rPr>
                <w:t>www.chrcitadelle.be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des Hauts-Sarts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des Alouettes 121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Milmort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4041</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AZU</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t>
            </w:r>
          </w:p>
        </w:tc>
      </w:tr>
      <w:tr w:rsidR="000F560E" w:rsidRPr="00D147A7" w:rsidTr="004721B1">
        <w:trPr>
          <w:trHeight w:val="564"/>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Citadelle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Boulevard du 12ème de Ligne 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929</w:t>
            </w:r>
          </w:p>
        </w:tc>
      </w:tr>
      <w:tr w:rsidR="000F560E" w:rsidRPr="00D147A7" w:rsidTr="004721B1">
        <w:trPr>
          <w:trHeight w:val="403"/>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Château Rouge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 Grand Puits 47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Herstal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47</w:t>
            </w:r>
          </w:p>
        </w:tc>
      </w:tr>
      <w:tr w:rsidR="000F560E" w:rsidRPr="00D147A7" w:rsidTr="004721B1">
        <w:trPr>
          <w:trHeight w:val="423"/>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Sainte-Rosalie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des Wallons 72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w:t>
            </w:r>
          </w:p>
        </w:tc>
      </w:tr>
      <w:tr w:rsidR="000F560E" w:rsidRPr="00D147A7" w:rsidTr="004721B1">
        <w:trPr>
          <w:trHeight w:val="4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649</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Sint-Janshospitaal (</w:t>
            </w:r>
            <w:hyperlink r:id="rId465" w:history="1">
              <w:r w:rsidRPr="00D147A7">
                <w:rPr>
                  <w:rFonts w:eastAsia="Times New Roman"/>
                  <w:color w:val="0000FF"/>
                  <w:kern w:val="0"/>
                  <w:sz w:val="16"/>
                  <w:szCs w:val="16"/>
                  <w:u w:val="single"/>
                  <w:lang w:eastAsia="nl-BE" w:bidi="ar-SA"/>
                </w:rPr>
                <w:t>www.ocmw-wervik.be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Steenakker 30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Wervik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8940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West-Vlaanderen</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GS</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w:t>
            </w:r>
          </w:p>
        </w:tc>
      </w:tr>
      <w:tr w:rsidR="000F560E" w:rsidRPr="00D147A7" w:rsidTr="004721B1">
        <w:trPr>
          <w:trHeight w:val="421"/>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670</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Universitair Ziekenhuis Gent (</w:t>
            </w:r>
            <w:hyperlink r:id="rId466" w:history="1">
              <w:r w:rsidRPr="00D147A7">
                <w:rPr>
                  <w:rFonts w:eastAsia="Times New Roman"/>
                  <w:color w:val="0000FF"/>
                  <w:kern w:val="0"/>
                  <w:sz w:val="16"/>
                  <w:szCs w:val="16"/>
                  <w:u w:val="single"/>
                  <w:lang w:eastAsia="nl-BE" w:bidi="ar-SA"/>
                </w:rPr>
                <w:t>www.uzgent.be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De Pintelaan 185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Gent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Oost-Vlaanderen</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UZ</w:t>
            </w:r>
            <w:r w:rsidRPr="00D147A7">
              <w:rPr>
                <w:rFonts w:eastAsia="Times New Roman"/>
                <w:color w:val="000000"/>
                <w:kern w:val="0"/>
                <w:sz w:val="16"/>
                <w:szCs w:val="16"/>
                <w:vertAlign w:val="superscript"/>
                <w:lang w:eastAsia="nl-BE" w:bidi="ar-SA"/>
              </w:rPr>
              <w:footnoteReference w:id="1248"/>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1062</w:t>
            </w:r>
          </w:p>
        </w:tc>
      </w:tr>
      <w:tr w:rsidR="000F560E" w:rsidRPr="00D147A7" w:rsidTr="004721B1">
        <w:trPr>
          <w:trHeight w:val="1121"/>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707</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Universitaire de Liège (</w:t>
            </w:r>
            <w:hyperlink r:id="rId467" w:history="1">
              <w:r w:rsidRPr="00D147A7">
                <w:rPr>
                  <w:rFonts w:eastAsia="Times New Roman"/>
                  <w:color w:val="0000FF"/>
                  <w:kern w:val="0"/>
                  <w:sz w:val="16"/>
                  <w:szCs w:val="16"/>
                  <w:u w:val="single"/>
                  <w:lang w:val="fr-BE" w:eastAsia="nl-BE" w:bidi="ar-SA"/>
                </w:rPr>
                <w:t>www.chu.ulg.ac.be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du Sart Tilman</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Avenue de l'Hôpital, 1 (Domaine Universitaire de Sart Tilman, Bâtiment B35)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UZ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652</w:t>
            </w:r>
          </w:p>
        </w:tc>
      </w:tr>
      <w:tr w:rsidR="000F560E" w:rsidRPr="00D147A7" w:rsidTr="004721B1">
        <w:trPr>
          <w:trHeight w:val="40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Site N.-D. des Bruyères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 Gaillarmont 600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Chênée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4032</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203</w:t>
            </w:r>
          </w:p>
        </w:tc>
      </w:tr>
      <w:tr w:rsidR="000F560E" w:rsidRPr="00D147A7" w:rsidTr="004721B1">
        <w:trPr>
          <w:trHeight w:val="42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Ourthe-Amblève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Granfosse 31-33</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Esneux</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4130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w:t>
            </w:r>
          </w:p>
        </w:tc>
      </w:tr>
      <w:tr w:rsidR="000F560E" w:rsidRPr="00D147A7" w:rsidTr="004721B1">
        <w:trPr>
          <w:trHeight w:val="55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709</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Sint-Dimpna (</w:t>
            </w:r>
            <w:hyperlink r:id="rId468" w:history="1">
              <w:r w:rsidRPr="00D147A7">
                <w:rPr>
                  <w:rFonts w:eastAsia="Times New Roman"/>
                  <w:color w:val="0000FF"/>
                  <w:kern w:val="0"/>
                  <w:sz w:val="16"/>
                  <w:szCs w:val="16"/>
                  <w:u w:val="single"/>
                  <w:lang w:eastAsia="nl-BE" w:bidi="ar-SA"/>
                </w:rPr>
                <w:t>www.azstdimpna.be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J.B. Stessensstraat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Geel</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101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295</w:t>
            </w:r>
          </w:p>
        </w:tc>
      </w:tr>
      <w:tr w:rsidR="000F560E" w:rsidRPr="00D147A7" w:rsidTr="004721B1">
        <w:trPr>
          <w:trHeight w:val="435"/>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716</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Algemeen Ziekenhuis Vesalius (</w:t>
            </w:r>
            <w:hyperlink r:id="rId469" w:history="1">
              <w:r w:rsidRPr="00D147A7">
                <w:rPr>
                  <w:rFonts w:eastAsia="Times New Roman"/>
                  <w:color w:val="0000FF"/>
                  <w:kern w:val="0"/>
                  <w:sz w:val="16"/>
                  <w:szCs w:val="16"/>
                  <w:u w:val="single"/>
                  <w:lang w:eastAsia="nl-BE" w:bidi="ar-SA"/>
                </w:rPr>
                <w:t>www.azvesalius.be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St. Jacobus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Hazelereik 51</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Tongeren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3700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355</w:t>
            </w:r>
          </w:p>
        </w:tc>
      </w:tr>
      <w:tr w:rsidR="000F560E" w:rsidRPr="00D147A7" w:rsidTr="004721B1">
        <w:trPr>
          <w:trHeight w:val="399"/>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St. Martinus</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Hospitaalstraat 15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Bilzen</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3740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t>
            </w:r>
          </w:p>
        </w:tc>
      </w:tr>
      <w:tr w:rsidR="000F560E" w:rsidRPr="00D147A7" w:rsidTr="004721B1">
        <w:trPr>
          <w:trHeight w:val="419"/>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717</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Ziekenhuis Maas en Kempen (</w:t>
            </w:r>
            <w:hyperlink r:id="rId470" w:history="1">
              <w:r w:rsidRPr="00D147A7">
                <w:rPr>
                  <w:rFonts w:eastAsia="Times New Roman"/>
                  <w:color w:val="0000FF"/>
                  <w:kern w:val="0"/>
                  <w:sz w:val="16"/>
                  <w:szCs w:val="16"/>
                  <w:u w:val="single"/>
                  <w:lang w:eastAsia="nl-BE" w:bidi="ar-SA"/>
                </w:rPr>
                <w:t>www.zmk.be</w:t>
              </w:r>
            </w:hyperlink>
            <w:r w:rsidRPr="00D147A7">
              <w:rPr>
                <w:rFonts w:eastAsia="Times New Roman"/>
                <w:color w:val="000000"/>
                <w:kern w:val="0"/>
                <w:sz w:val="16"/>
                <w:szCs w:val="16"/>
                <w:lang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Maaseik</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Mgr. Koningsstraat 10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Maaseik</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3680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116</w:t>
            </w:r>
          </w:p>
        </w:tc>
      </w:tr>
      <w:tr w:rsidR="000F560E" w:rsidRPr="00D147A7" w:rsidTr="004721B1">
        <w:trPr>
          <w:trHeight w:val="411"/>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Bree</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Rode Kruislaan 40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Bree</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3960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97</w:t>
            </w:r>
          </w:p>
        </w:tc>
      </w:tr>
      <w:tr w:rsidR="000F560E" w:rsidRPr="00D147A7" w:rsidTr="004721B1">
        <w:trPr>
          <w:trHeight w:val="433"/>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718</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Universitair de Charleroi (</w:t>
            </w:r>
            <w:hyperlink r:id="rId471" w:history="1">
              <w:r w:rsidRPr="00D147A7">
                <w:rPr>
                  <w:rFonts w:eastAsia="Times New Roman"/>
                  <w:color w:val="0000FF"/>
                  <w:kern w:val="0"/>
                  <w:sz w:val="16"/>
                  <w:szCs w:val="16"/>
                  <w:u w:val="single"/>
                  <w:lang w:val="fr-BE" w:eastAsia="nl-BE" w:bidi="ar-SA"/>
                </w:rPr>
                <w:t>www.chu-charleroi.be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Hôpital Civil</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Boulevard Paul Janson 92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Charleroi</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6000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AZ</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535</w:t>
            </w:r>
          </w:p>
        </w:tc>
      </w:tr>
      <w:tr w:rsidR="000F560E" w:rsidRPr="00D147A7" w:rsidTr="004721B1">
        <w:trPr>
          <w:trHeight w:val="679"/>
        </w:trPr>
        <w:tc>
          <w:tcPr>
            <w:tcW w:w="1095"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237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Hôpital Vincent van Gogh</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 l'Hôpital 55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Marchienne-au-Pont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6030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101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270</w:t>
            </w:r>
          </w:p>
        </w:tc>
      </w:tr>
      <w:tr w:rsidR="000F560E" w:rsidRPr="00D147A7" w:rsidTr="004721B1">
        <w:trPr>
          <w:trHeight w:val="547"/>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722</w:t>
            </w:r>
          </w:p>
        </w:tc>
        <w:tc>
          <w:tcPr>
            <w:tcW w:w="237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Foyer Saint Joseph (</w:t>
            </w:r>
            <w:hyperlink r:id="rId472" w:history="1">
              <w:r w:rsidRPr="00D147A7">
                <w:rPr>
                  <w:rFonts w:eastAsia="Times New Roman"/>
                  <w:color w:val="0000FF"/>
                  <w:kern w:val="0"/>
                  <w:sz w:val="16"/>
                  <w:szCs w:val="16"/>
                  <w:u w:val="single"/>
                  <w:lang w:val="fr-BE" w:eastAsia="nl-BE" w:bidi="ar-SA"/>
                </w:rPr>
                <w:t>www.aiomsmoresnet.be</w:t>
              </w:r>
            </w:hyperlink>
            <w:r w:rsidRPr="00D147A7">
              <w:rPr>
                <w:rFonts w:eastAsia="Times New Roman"/>
                <w:color w:val="000000"/>
                <w:kern w:val="0"/>
                <w:sz w:val="16"/>
                <w:szCs w:val="16"/>
                <w:lang w:val="fr-BE" w:eastAsia="nl-BE" w:bidi="ar-SA"/>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275"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 la Clinique 24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Moresnet</w:t>
            </w:r>
          </w:p>
        </w:tc>
        <w:tc>
          <w:tcPr>
            <w:tcW w:w="56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4850</w:t>
            </w:r>
          </w:p>
        </w:tc>
        <w:tc>
          <w:tcPr>
            <w:tcW w:w="1109"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101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GS</w:t>
            </w:r>
          </w:p>
        </w:tc>
        <w:tc>
          <w:tcPr>
            <w:tcW w:w="850"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w:t>
            </w:r>
          </w:p>
        </w:tc>
      </w:tr>
    </w:tbl>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Tabel 18: Openbare algemene ziekenhuizen in België op 1 januari 2012</w:t>
      </w:r>
      <w:r w:rsidRPr="00D147A7">
        <w:rPr>
          <w:rFonts w:eastAsiaTheme="minorEastAsia"/>
          <w:kern w:val="0"/>
          <w:vertAlign w:val="superscript"/>
          <w:lang w:eastAsia="en-US" w:bidi="ar-SA"/>
        </w:rPr>
        <w:footnoteReference w:id="1249"/>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fldChar w:fldCharType="begin"/>
      </w:r>
      <w:r w:rsidRPr="00D147A7">
        <w:rPr>
          <w:rFonts w:eastAsiaTheme="minorEastAsia"/>
          <w:kern w:val="0"/>
          <w:lang w:eastAsia="en-US" w:bidi="ar-SA"/>
        </w:rPr>
        <w:instrText xml:space="preserve"> LINK Excel.Sheet.12 "H:\\6. Overdracht\\Opênbare ziekenhuizen - algemeen, universitair,....xlsx" België!R5K3:R81K11 \a \f 4 \h  \* MERGEFORMAT </w:instrText>
      </w:r>
      <w:r w:rsidRPr="00D147A7">
        <w:rPr>
          <w:rFonts w:eastAsiaTheme="minorEastAsia"/>
          <w:kern w:val="0"/>
          <w:lang w:eastAsia="en-US" w:bidi="ar-SA"/>
        </w:rPr>
        <w:fldChar w:fldCharType="separate"/>
      </w:r>
    </w:p>
    <w:p w:rsidR="001B5D08" w:rsidRDefault="001B5D08">
      <w:r>
        <w:br w:type="page"/>
      </w:r>
    </w:p>
    <w:tbl>
      <w:tblPr>
        <w:tblpPr w:leftFromText="141" w:rightFromText="141" w:vertAnchor="text" w:horzAnchor="margin" w:tblpY="12"/>
        <w:tblW w:w="9214" w:type="dxa"/>
        <w:tblLayout w:type="fixed"/>
        <w:tblCellMar>
          <w:left w:w="70" w:type="dxa"/>
          <w:right w:w="70" w:type="dxa"/>
        </w:tblCellMar>
        <w:tblLook w:val="04A0" w:firstRow="1" w:lastRow="0" w:firstColumn="1" w:lastColumn="0" w:noHBand="0" w:noVBand="1"/>
      </w:tblPr>
      <w:tblGrid>
        <w:gridCol w:w="1134"/>
        <w:gridCol w:w="2127"/>
        <w:gridCol w:w="1108"/>
        <w:gridCol w:w="1301"/>
        <w:gridCol w:w="993"/>
        <w:gridCol w:w="654"/>
        <w:gridCol w:w="1047"/>
        <w:gridCol w:w="850"/>
      </w:tblGrid>
      <w:tr w:rsidR="000F560E" w:rsidRPr="00D147A7" w:rsidTr="004721B1">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smallCaps/>
                <w:color w:val="FFFFFF"/>
                <w:kern w:val="0"/>
                <w:sz w:val="16"/>
                <w:szCs w:val="16"/>
                <w:lang w:eastAsia="nl-BE" w:bidi="ar-SA"/>
              </w:rPr>
            </w:pPr>
            <w:r w:rsidRPr="00D147A7">
              <w:rPr>
                <w:rFonts w:eastAsia="Times New Roman"/>
                <w:b/>
                <w:smallCaps/>
                <w:color w:val="FFFFFF"/>
                <w:kern w:val="0"/>
                <w:sz w:val="16"/>
                <w:szCs w:val="16"/>
                <w:lang w:eastAsia="nl-BE" w:bidi="ar-SA"/>
              </w:rPr>
              <w:lastRenderedPageBreak/>
              <w:t>Erkennings-nummer</w:t>
            </w:r>
          </w:p>
        </w:tc>
        <w:tc>
          <w:tcPr>
            <w:tcW w:w="2127"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Instelling</w:t>
            </w:r>
          </w:p>
        </w:tc>
        <w:tc>
          <w:tcPr>
            <w:tcW w:w="1108"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Filialen</w:t>
            </w:r>
          </w:p>
        </w:tc>
        <w:tc>
          <w:tcPr>
            <w:tcW w:w="1301"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Adres</w:t>
            </w:r>
          </w:p>
        </w:tc>
        <w:tc>
          <w:tcPr>
            <w:tcW w:w="993"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Gemeente</w:t>
            </w:r>
          </w:p>
        </w:tc>
        <w:tc>
          <w:tcPr>
            <w:tcW w:w="654"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Post-code</w:t>
            </w:r>
          </w:p>
        </w:tc>
        <w:tc>
          <w:tcPr>
            <w:tcW w:w="1047"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Provincie</w:t>
            </w:r>
          </w:p>
        </w:tc>
        <w:tc>
          <w:tcPr>
            <w:tcW w:w="850"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16"/>
                <w:szCs w:val="16"/>
                <w:lang w:eastAsia="nl-BE" w:bidi="ar-SA"/>
              </w:rPr>
            </w:pPr>
            <w:r w:rsidRPr="00D147A7">
              <w:rPr>
                <w:rFonts w:eastAsia="Times New Roman"/>
                <w:smallCaps/>
                <w:color w:val="FFFFFF"/>
                <w:kern w:val="0"/>
                <w:sz w:val="16"/>
                <w:szCs w:val="16"/>
                <w:lang w:eastAsia="nl-BE" w:bidi="ar-SA"/>
              </w:rPr>
              <w:t>Aantal erkende bedden</w:t>
            </w:r>
          </w:p>
        </w:tc>
      </w:tr>
      <w:tr w:rsidR="000F560E" w:rsidRPr="00D147A7" w:rsidTr="004721B1">
        <w:trPr>
          <w:trHeight w:val="41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908</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Spécialisé 'l'Accueil' (</w:t>
            </w:r>
            <w:r w:rsidRPr="00D147A7">
              <w:rPr>
                <w:rFonts w:eastAsia="Times New Roman"/>
                <w:color w:val="0000CC"/>
                <w:kern w:val="0"/>
                <w:sz w:val="16"/>
                <w:szCs w:val="16"/>
                <w:u w:val="single"/>
                <w:lang w:val="fr-BE" w:eastAsia="nl-BE" w:bidi="ar-SA"/>
              </w:rPr>
              <w:t>www.chsa.be</w:t>
            </w:r>
            <w:r w:rsidRPr="00D147A7">
              <w:rPr>
                <w:rFonts w:eastAsia="Times New Roman"/>
                <w:color w:val="000000"/>
                <w:kern w:val="0"/>
                <w:sz w:val="16"/>
                <w:szCs w:val="16"/>
                <w:lang w:val="fr-BE" w:eastAsia="nl-BE" w:bidi="ar-SA"/>
              </w:rPr>
              <w:t xml:space="preserve">) </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du Doyard 15</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Lierneux</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4990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430</w:t>
            </w:r>
          </w:p>
        </w:tc>
      </w:tr>
      <w:tr w:rsidR="000F560E" w:rsidRPr="00D147A7" w:rsidTr="004721B1">
        <w:trPr>
          <w:trHeight w:val="55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909</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Openbaar Psychiatrisch Zorgcentrum (</w:t>
            </w:r>
            <w:r w:rsidRPr="00D147A7">
              <w:rPr>
                <w:rFonts w:eastAsia="Times New Roman"/>
                <w:color w:val="0000CC"/>
                <w:kern w:val="0"/>
                <w:sz w:val="16"/>
                <w:szCs w:val="16"/>
                <w:u w:val="single"/>
                <w:lang w:eastAsia="nl-BE" w:bidi="ar-SA"/>
              </w:rPr>
              <w:t>www.opzrekem.be</w:t>
            </w:r>
            <w:r w:rsidRPr="00D147A7">
              <w:rPr>
                <w:rFonts w:eastAsia="Times New Roman"/>
                <w:color w:val="000000"/>
                <w:kern w:val="0"/>
                <w:sz w:val="16"/>
                <w:szCs w:val="16"/>
                <w:lang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Daalbroekstraat 106</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Rekem</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3621</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Limburg</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288</w:t>
            </w:r>
          </w:p>
        </w:tc>
      </w:tr>
      <w:tr w:rsidR="000F560E" w:rsidRPr="00D147A7" w:rsidTr="004721B1">
        <w:trPr>
          <w:trHeight w:val="7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923</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Association 'Le Domaine - ULB-Erasme' (</w:t>
            </w:r>
            <w:r w:rsidRPr="00D147A7">
              <w:rPr>
                <w:rFonts w:eastAsia="Times New Roman"/>
                <w:color w:val="0000CC"/>
                <w:kern w:val="0"/>
                <w:sz w:val="16"/>
                <w:szCs w:val="16"/>
                <w:u w:val="single"/>
                <w:lang w:val="fr-BE" w:eastAsia="nl-BE" w:bidi="ar-SA"/>
              </w:rPr>
              <w:t>www.ulb.ac.be/assoc/chorus/domaine</w:t>
            </w:r>
            <w:r w:rsidRPr="00D147A7">
              <w:rPr>
                <w:rFonts w:eastAsia="Times New Roman"/>
                <w:color w:val="000000"/>
                <w:kern w:val="0"/>
                <w:sz w:val="16"/>
                <w:szCs w:val="16"/>
                <w:lang w:val="fr-BE"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Jean Lanneau 39</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Eigenbrakel</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1420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Waals-Brabant</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143</w:t>
            </w:r>
          </w:p>
        </w:tc>
      </w:tr>
      <w:tr w:rsidR="000F560E" w:rsidRPr="00D147A7" w:rsidTr="004721B1">
        <w:trPr>
          <w:trHeight w:val="52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939</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Openbaar Psychiatrisch Zorgcentrum Geel (</w:t>
            </w:r>
            <w:r w:rsidRPr="00D147A7">
              <w:rPr>
                <w:rFonts w:eastAsia="Times New Roman"/>
                <w:color w:val="0000CC"/>
                <w:kern w:val="0"/>
                <w:sz w:val="16"/>
                <w:szCs w:val="16"/>
                <w:u w:val="single"/>
                <w:lang w:eastAsia="nl-BE" w:bidi="ar-SA"/>
              </w:rPr>
              <w:t>www.opzgeel.be</w:t>
            </w:r>
            <w:r w:rsidRPr="00D147A7">
              <w:rPr>
                <w:rFonts w:eastAsia="Times New Roman"/>
                <w:color w:val="000000"/>
                <w:kern w:val="0"/>
                <w:sz w:val="16"/>
                <w:szCs w:val="16"/>
                <w:lang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Dr. Sanodreef 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Geel</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2440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858</w:t>
            </w:r>
          </w:p>
        </w:tc>
      </w:tr>
      <w:tr w:rsidR="000F560E" w:rsidRPr="00D147A7" w:rsidTr="004721B1">
        <w:trPr>
          <w:trHeight w:val="53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951</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Psychiatrique du Chêne aux Haies (</w:t>
            </w:r>
            <w:r w:rsidRPr="00D147A7">
              <w:rPr>
                <w:rFonts w:eastAsia="Times New Roman"/>
                <w:color w:val="0000CC"/>
                <w:kern w:val="0"/>
                <w:sz w:val="16"/>
                <w:szCs w:val="16"/>
                <w:u w:val="single"/>
                <w:lang w:val="fr-BE" w:eastAsia="nl-BE" w:bidi="ar-SA"/>
              </w:rPr>
              <w:t>www.chpchene.be</w:t>
            </w:r>
            <w:r w:rsidRPr="00D147A7">
              <w:rPr>
                <w:rFonts w:eastAsia="Times New Roman"/>
                <w:color w:val="000000"/>
                <w:kern w:val="0"/>
                <w:sz w:val="16"/>
                <w:szCs w:val="16"/>
                <w:lang w:val="fr-BE"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Boulevard Kennedy 2</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Bergen</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7000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445</w:t>
            </w:r>
          </w:p>
        </w:tc>
      </w:tr>
      <w:tr w:rsidR="000F560E" w:rsidRPr="00D147A7" w:rsidTr="004721B1">
        <w:trPr>
          <w:trHeight w:val="388"/>
        </w:trPr>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972</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ISoSL - Santé Mentale (</w:t>
            </w:r>
            <w:r w:rsidRPr="00D147A7">
              <w:rPr>
                <w:rFonts w:eastAsia="Times New Roman"/>
                <w:color w:val="0000CC"/>
                <w:kern w:val="0"/>
                <w:sz w:val="16"/>
                <w:szCs w:val="16"/>
                <w:u w:val="single"/>
                <w:lang w:val="fr-BE" w:eastAsia="nl-BE" w:bidi="ar-SA"/>
              </w:rPr>
              <w:t>www.isosl.be</w:t>
            </w:r>
            <w:r w:rsidRPr="00D147A7">
              <w:rPr>
                <w:rFonts w:eastAsia="Times New Roman"/>
                <w:color w:val="000000"/>
                <w:kern w:val="0"/>
                <w:sz w:val="16"/>
                <w:szCs w:val="16"/>
                <w:lang w:val="fr-BE"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Petit Bourgogne</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Professeur Mahaim 84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313</w:t>
            </w:r>
          </w:p>
        </w:tc>
      </w:tr>
      <w:tr w:rsidR="000F560E" w:rsidRPr="00D147A7" w:rsidTr="004721B1">
        <w:trPr>
          <w:trHeight w:val="422"/>
        </w:trPr>
        <w:tc>
          <w:tcPr>
            <w:tcW w:w="1134"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b/>
                <w:color w:val="000000"/>
                <w:kern w:val="0"/>
                <w:sz w:val="16"/>
                <w:szCs w:val="16"/>
                <w:lang w:eastAsia="nl-BE" w:bidi="ar-SA"/>
              </w:rPr>
            </w:pPr>
          </w:p>
        </w:tc>
        <w:tc>
          <w:tcPr>
            <w:tcW w:w="2127"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16"/>
                <w:szCs w:val="16"/>
                <w:lang w:eastAsia="nl-BE" w:bidi="ar-SA"/>
              </w:rPr>
            </w:pP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Site Agora</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Montagne Ste. Walburge 4A</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4000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Luik</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191</w:t>
            </w:r>
          </w:p>
        </w:tc>
      </w:tr>
      <w:tr w:rsidR="000F560E" w:rsidRPr="00D147A7" w:rsidTr="004721B1">
        <w:trPr>
          <w:trHeight w:val="55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974</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Centre Hospitalier Psychiatrique 'Les Marroniers' (</w:t>
            </w:r>
            <w:r w:rsidRPr="00D147A7">
              <w:rPr>
                <w:rFonts w:eastAsia="Times New Roman"/>
                <w:color w:val="0000CC"/>
                <w:kern w:val="0"/>
                <w:sz w:val="16"/>
                <w:szCs w:val="16"/>
                <w:u w:val="single"/>
                <w:lang w:val="fr-BE" w:eastAsia="nl-BE" w:bidi="ar-SA"/>
              </w:rPr>
              <w:t>www.marronniers.be</w:t>
            </w:r>
            <w:r w:rsidRPr="00D147A7">
              <w:rPr>
                <w:rFonts w:eastAsia="Times New Roman"/>
                <w:color w:val="000000"/>
                <w:kern w:val="0"/>
                <w:sz w:val="16"/>
                <w:szCs w:val="16"/>
                <w:lang w:val="fr-BE" w:eastAsia="nl-BE" w:bidi="ar-SA"/>
              </w:rPr>
              <w:t>)</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Despars 94</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Doornik</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7500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Henegouwen</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443</w:t>
            </w:r>
          </w:p>
        </w:tc>
      </w:tr>
      <w:tr w:rsidR="000F560E" w:rsidRPr="00D147A7" w:rsidTr="004721B1">
        <w:trPr>
          <w:trHeight w:val="40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985</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Vivalia - Hôpital Psychiatrique 'La Clairière' (</w:t>
            </w:r>
            <w:r w:rsidRPr="00D147A7">
              <w:rPr>
                <w:rFonts w:eastAsia="Times New Roman"/>
                <w:color w:val="0000CC"/>
                <w:kern w:val="0"/>
                <w:sz w:val="16"/>
                <w:szCs w:val="16"/>
                <w:u w:val="single"/>
                <w:lang w:val="fr-BE" w:eastAsia="nl-BE" w:bidi="ar-SA"/>
              </w:rPr>
              <w:t>www.vivalia.info</w:t>
            </w:r>
            <w:r w:rsidRPr="00D147A7">
              <w:rPr>
                <w:rFonts w:eastAsia="Times New Roman"/>
                <w:color w:val="000000"/>
                <w:kern w:val="0"/>
                <w:sz w:val="16"/>
                <w:szCs w:val="16"/>
                <w:lang w:val="fr-BE" w:eastAsia="nl-BE" w:bidi="ar-SA"/>
              </w:rPr>
              <w:t xml:space="preserve">) </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val="fr-BE" w:eastAsia="nl-BE" w:bidi="ar-SA"/>
              </w:rPr>
            </w:pPr>
            <w:r w:rsidRPr="00D147A7">
              <w:rPr>
                <w:rFonts w:eastAsia="Times New Roman"/>
                <w:color w:val="000000"/>
                <w:kern w:val="0"/>
                <w:sz w:val="16"/>
                <w:szCs w:val="16"/>
                <w:lang w:val="fr-BE" w:eastAsia="nl-BE" w:bidi="ar-SA"/>
              </w:rPr>
              <w:t> </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Rue des Ardoisières 100</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Bertrix</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6880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Luxemburg</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199</w:t>
            </w:r>
          </w:p>
        </w:tc>
      </w:tr>
      <w:tr w:rsidR="000F560E" w:rsidRPr="00D147A7" w:rsidTr="004721B1">
        <w:trPr>
          <w:trHeight w:val="57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b/>
                <w:color w:val="000000"/>
                <w:kern w:val="0"/>
                <w:sz w:val="16"/>
                <w:szCs w:val="16"/>
                <w:lang w:eastAsia="nl-BE" w:bidi="ar-SA"/>
              </w:rPr>
            </w:pPr>
            <w:r w:rsidRPr="00D147A7">
              <w:rPr>
                <w:rFonts w:eastAsia="Times New Roman"/>
                <w:b/>
                <w:color w:val="000000"/>
                <w:kern w:val="0"/>
                <w:sz w:val="16"/>
                <w:szCs w:val="16"/>
                <w:lang w:eastAsia="nl-BE" w:bidi="ar-SA"/>
              </w:rPr>
              <w:t>998</w:t>
            </w:r>
          </w:p>
        </w:tc>
        <w:tc>
          <w:tcPr>
            <w:tcW w:w="212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Ziekenhuisnetwerk Antwerpen (</w:t>
            </w:r>
            <w:r w:rsidRPr="00D147A7">
              <w:rPr>
                <w:rFonts w:eastAsia="Times New Roman"/>
                <w:color w:val="0000CC"/>
                <w:kern w:val="0"/>
                <w:sz w:val="16"/>
                <w:szCs w:val="16"/>
                <w:u w:val="single"/>
                <w:lang w:eastAsia="nl-BE" w:bidi="ar-SA"/>
              </w:rPr>
              <w:t>www.zna.be</w:t>
            </w:r>
            <w:r w:rsidRPr="00D147A7">
              <w:rPr>
                <w:rFonts w:eastAsia="Times New Roman"/>
                <w:color w:val="000000"/>
                <w:kern w:val="0"/>
                <w:sz w:val="16"/>
                <w:szCs w:val="16"/>
                <w:lang w:eastAsia="nl-BE" w:bidi="ar-SA"/>
              </w:rPr>
              <w:t xml:space="preserve">) </w:t>
            </w:r>
          </w:p>
        </w:tc>
        <w:tc>
          <w:tcPr>
            <w:tcW w:w="1108"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Campus PZ Stuivenberg</w:t>
            </w:r>
          </w:p>
        </w:tc>
        <w:tc>
          <w:tcPr>
            <w:tcW w:w="1301"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Lange Beeldekensstraat 267</w:t>
            </w:r>
          </w:p>
        </w:tc>
        <w:tc>
          <w:tcPr>
            <w:tcW w:w="993"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Antwerpen-6</w:t>
            </w:r>
          </w:p>
        </w:tc>
        <w:tc>
          <w:tcPr>
            <w:tcW w:w="654"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2060</w:t>
            </w:r>
          </w:p>
        </w:tc>
        <w:tc>
          <w:tcPr>
            <w:tcW w:w="1047" w:type="dxa"/>
            <w:tcBorders>
              <w:top w:val="nil"/>
              <w:left w:val="nil"/>
              <w:bottom w:val="single" w:sz="4" w:space="0" w:color="auto"/>
              <w:right w:val="single" w:sz="4" w:space="0" w:color="auto"/>
            </w:tcBorders>
            <w:shd w:val="clear" w:color="auto" w:fill="auto"/>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Antwerpen</w:t>
            </w:r>
          </w:p>
        </w:tc>
        <w:tc>
          <w:tcPr>
            <w:tcW w:w="85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16"/>
                <w:szCs w:val="16"/>
                <w:lang w:eastAsia="nl-BE" w:bidi="ar-SA"/>
              </w:rPr>
            </w:pPr>
            <w:r w:rsidRPr="00D147A7">
              <w:rPr>
                <w:rFonts w:eastAsia="Times New Roman"/>
                <w:color w:val="000000"/>
                <w:kern w:val="0"/>
                <w:sz w:val="16"/>
                <w:szCs w:val="16"/>
                <w:lang w:eastAsia="nl-BE" w:bidi="ar-SA"/>
              </w:rPr>
              <w:t>265</w:t>
            </w:r>
          </w:p>
        </w:tc>
      </w:tr>
    </w:tbl>
    <w:p w:rsidR="000F560E" w:rsidRPr="00D147A7" w:rsidRDefault="000F560E" w:rsidP="000F560E">
      <w:pPr>
        <w:widowControl/>
        <w:suppressAutoHyphens w:val="0"/>
        <w:spacing w:after="200" w:line="276" w:lineRule="auto"/>
        <w:jc w:val="center"/>
        <w:rPr>
          <w:rFonts w:eastAsiaTheme="minorEastAsia"/>
          <w:kern w:val="0"/>
          <w:lang w:eastAsia="en-US" w:bidi="ar-SA"/>
        </w:rPr>
      </w:pPr>
      <w:r w:rsidRPr="00D147A7">
        <w:rPr>
          <w:rFonts w:eastAsiaTheme="minorEastAsia"/>
          <w:kern w:val="0"/>
          <w:lang w:eastAsia="en-US" w:bidi="ar-SA"/>
        </w:rPr>
        <w:fldChar w:fldCharType="end"/>
      </w:r>
      <w:r w:rsidRPr="00D147A7">
        <w:rPr>
          <w:rFonts w:eastAsiaTheme="minorEastAsia"/>
          <w:kern w:val="0"/>
          <w:sz w:val="22"/>
          <w:szCs w:val="22"/>
          <w:lang w:eastAsia="en-US" w:bidi="ar-SA"/>
        </w:rPr>
        <w:fldChar w:fldCharType="begin"/>
      </w:r>
      <w:r w:rsidRPr="00D147A7">
        <w:rPr>
          <w:rFonts w:eastAsiaTheme="minorEastAsia"/>
          <w:kern w:val="0"/>
          <w:sz w:val="22"/>
          <w:szCs w:val="22"/>
          <w:lang w:eastAsia="en-US" w:bidi="ar-SA"/>
        </w:rPr>
        <w:instrText xml:space="preserve"> LINK Excel.Sheet.12 "H:\\6. Overdracht\\Opênbare ziekenhuizen - algemeen, universitair,....xlsx" België!R88K4:R98K11 \a \f 4 \h  \* MERGEFORMAT </w:instrText>
      </w:r>
      <w:r w:rsidRPr="00D147A7">
        <w:rPr>
          <w:rFonts w:eastAsiaTheme="minorEastAsia"/>
          <w:kern w:val="0"/>
          <w:sz w:val="22"/>
          <w:szCs w:val="22"/>
          <w:lang w:eastAsia="en-US" w:bidi="ar-SA"/>
        </w:rPr>
        <w:fldChar w:fldCharType="end"/>
      </w:r>
      <w:r w:rsidRPr="00D147A7">
        <w:rPr>
          <w:rFonts w:eastAsiaTheme="minorEastAsia"/>
          <w:kern w:val="0"/>
          <w:lang w:eastAsia="en-US" w:bidi="ar-SA"/>
        </w:rPr>
        <w:t>Tabel 19: Openbare psychiatrische ziekenhuizen in België op 1 januari 2012</w:t>
      </w:r>
      <w:r w:rsidRPr="00D147A7">
        <w:rPr>
          <w:rFonts w:eastAsiaTheme="minorEastAsia"/>
          <w:kern w:val="0"/>
          <w:vertAlign w:val="superscript"/>
          <w:lang w:eastAsia="en-US" w:bidi="ar-SA"/>
        </w:rPr>
        <w:footnoteReference w:id="1250"/>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spacing w:after="200" w:line="276" w:lineRule="auto"/>
        <w:jc w:val="center"/>
        <w:rPr>
          <w:rFonts w:eastAsiaTheme="minorEastAsia"/>
          <w:kern w:val="0"/>
          <w:sz w:val="22"/>
          <w:szCs w:val="22"/>
          <w:lang w:eastAsia="en-US" w:bidi="ar-SA"/>
        </w:rPr>
      </w:pPr>
      <w:r w:rsidRPr="00D147A7">
        <w:rPr>
          <w:rFonts w:eastAsiaTheme="minorEastAsia"/>
          <w:noProof/>
          <w:kern w:val="0"/>
          <w:sz w:val="22"/>
          <w:szCs w:val="22"/>
          <w:lang w:eastAsia="nl-BE" w:bidi="ar-SA"/>
        </w:rPr>
        <w:drawing>
          <wp:inline distT="0" distB="0" distL="0" distR="0" wp14:anchorId="590FF11B" wp14:editId="53A175CB">
            <wp:extent cx="4436828" cy="3108110"/>
            <wp:effectExtent l="0" t="0" r="190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4437817" cy="3108803"/>
                    </a:xfrm>
                    <a:prstGeom prst="rect">
                      <a:avLst/>
                    </a:prstGeom>
                  </pic:spPr>
                </pic:pic>
              </a:graphicData>
            </a:graphic>
          </wp:inline>
        </w:drawing>
      </w:r>
    </w:p>
    <w:p w:rsidR="000F560E" w:rsidRPr="00D147A7" w:rsidRDefault="000F560E" w:rsidP="000F560E">
      <w:pPr>
        <w:widowControl/>
        <w:suppressAutoHyphens w:val="0"/>
        <w:jc w:val="center"/>
        <w:rPr>
          <w:rFonts w:eastAsiaTheme="minorEastAsia"/>
          <w:iCs/>
          <w:kern w:val="0"/>
          <w:lang w:eastAsia="en-US" w:bidi="ar-SA"/>
        </w:rPr>
      </w:pPr>
      <w:r w:rsidRPr="00D147A7">
        <w:rPr>
          <w:rFonts w:eastAsiaTheme="minorEastAsia"/>
          <w:iCs/>
          <w:kern w:val="0"/>
          <w:lang w:eastAsia="en-US" w:bidi="ar-SA"/>
        </w:rPr>
        <w:t>Grafiek 12: De verschillende soorten ziekenhuizen in België op 1 januari 2012</w:t>
      </w:r>
      <w:r w:rsidRPr="00D147A7">
        <w:rPr>
          <w:rFonts w:eastAsiaTheme="minorEastAsia"/>
          <w:iCs/>
          <w:kern w:val="0"/>
          <w:vertAlign w:val="superscript"/>
          <w:lang w:eastAsia="en-US" w:bidi="ar-SA"/>
        </w:rPr>
        <w:footnoteReference w:id="1251"/>
      </w:r>
    </w:p>
    <w:p w:rsidR="000F560E" w:rsidRPr="00D147A7" w:rsidRDefault="000F560E" w:rsidP="000F560E">
      <w:pPr>
        <w:widowControl/>
        <w:suppressAutoHyphens w:val="0"/>
        <w:spacing w:after="200" w:line="276" w:lineRule="auto"/>
        <w:jc w:val="center"/>
        <w:rPr>
          <w:rFonts w:eastAsiaTheme="minorEastAsia"/>
          <w:kern w:val="0"/>
          <w:sz w:val="22"/>
          <w:szCs w:val="22"/>
          <w:lang w:eastAsia="en-US" w:bidi="ar-SA"/>
        </w:rPr>
      </w:pPr>
    </w:p>
    <w:p w:rsidR="000F560E" w:rsidRPr="00D147A7" w:rsidRDefault="000F560E" w:rsidP="000F560E">
      <w:pPr>
        <w:widowControl/>
        <w:suppressAutoHyphens w:val="0"/>
        <w:spacing w:after="200" w:line="276" w:lineRule="auto"/>
        <w:jc w:val="center"/>
        <w:rPr>
          <w:rFonts w:eastAsiaTheme="minorEastAsia"/>
          <w:kern w:val="0"/>
          <w:sz w:val="22"/>
          <w:szCs w:val="22"/>
          <w:lang w:eastAsia="en-US" w:bidi="ar-SA"/>
        </w:rPr>
      </w:pPr>
      <w:r w:rsidRPr="00D147A7">
        <w:rPr>
          <w:rFonts w:eastAsiaTheme="minorEastAsia"/>
          <w:noProof/>
          <w:kern w:val="0"/>
          <w:sz w:val="22"/>
          <w:szCs w:val="22"/>
          <w:lang w:eastAsia="nl-BE" w:bidi="ar-SA"/>
        </w:rPr>
        <w:lastRenderedPageBreak/>
        <w:drawing>
          <wp:inline distT="0" distB="0" distL="0" distR="0" wp14:anchorId="7430D68B" wp14:editId="10A37E9F">
            <wp:extent cx="2761905" cy="2209524"/>
            <wp:effectExtent l="0" t="0" r="635" b="63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2761905" cy="2209524"/>
                    </a:xfrm>
                    <a:prstGeom prst="rect">
                      <a:avLst/>
                    </a:prstGeom>
                  </pic:spPr>
                </pic:pic>
              </a:graphicData>
            </a:graphic>
          </wp:inline>
        </w:drawing>
      </w:r>
    </w:p>
    <w:p w:rsidR="00D57D6F" w:rsidRPr="001B5D08" w:rsidRDefault="000F560E" w:rsidP="001B5D08">
      <w:pPr>
        <w:widowControl/>
        <w:suppressAutoHyphens w:val="0"/>
        <w:jc w:val="center"/>
        <w:rPr>
          <w:rFonts w:eastAsiaTheme="minorEastAsia"/>
          <w:kern w:val="0"/>
          <w:lang w:eastAsia="en-US" w:bidi="ar-SA"/>
        </w:rPr>
      </w:pPr>
      <w:r w:rsidRPr="00D147A7">
        <w:rPr>
          <w:rFonts w:eastAsiaTheme="minorEastAsia"/>
          <w:kern w:val="0"/>
          <w:lang w:eastAsia="en-US" w:bidi="ar-SA"/>
        </w:rPr>
        <w:t>Grafiek 13: Het aandeel van privaat- en publiekrechtelijke ziekenhuizen in België op 1 januari 2012</w:t>
      </w:r>
      <w:r w:rsidRPr="00D147A7">
        <w:rPr>
          <w:rFonts w:eastAsiaTheme="minorEastAsia"/>
          <w:kern w:val="0"/>
          <w:vertAlign w:val="superscript"/>
          <w:lang w:eastAsia="en-US" w:bidi="ar-SA"/>
        </w:rPr>
        <w:footnoteReference w:id="1252"/>
      </w:r>
    </w:p>
    <w:p w:rsidR="00D57D6F" w:rsidRPr="00D147A7" w:rsidRDefault="00D57D6F" w:rsidP="000F560E">
      <w:pPr>
        <w:widowControl/>
        <w:suppressAutoHyphens w:val="0"/>
        <w:jc w:val="both"/>
        <w:rPr>
          <w:rFonts w:eastAsiaTheme="minorEastAsia"/>
          <w:kern w:val="0"/>
          <w:sz w:val="22"/>
          <w:szCs w:val="22"/>
          <w:lang w:eastAsia="en-US" w:bidi="ar-SA"/>
        </w:rPr>
      </w:pPr>
    </w:p>
    <w:p w:rsidR="00D57D6F" w:rsidRPr="00D147A7" w:rsidRDefault="00D57D6F" w:rsidP="000F560E">
      <w:pPr>
        <w:widowControl/>
        <w:suppressAutoHyphens w:val="0"/>
        <w:jc w:val="both"/>
        <w:rPr>
          <w:rFonts w:eastAsiaTheme="minorEastAsia"/>
          <w:b/>
          <w:kern w:val="0"/>
          <w:sz w:val="22"/>
          <w:szCs w:val="22"/>
          <w:lang w:eastAsia="en-US" w:bidi="ar-SA"/>
        </w:rPr>
      </w:pPr>
      <w:r w:rsidRPr="00D147A7">
        <w:rPr>
          <w:rFonts w:eastAsiaTheme="minorEastAsia"/>
          <w:kern w:val="0"/>
          <w:sz w:val="22"/>
          <w:szCs w:val="22"/>
          <w:lang w:eastAsia="en-US" w:bidi="ar-SA"/>
        </w:rPr>
        <w:tab/>
      </w:r>
      <w:r w:rsidRPr="00D147A7">
        <w:rPr>
          <w:rFonts w:eastAsiaTheme="minorEastAsia"/>
          <w:b/>
          <w:kern w:val="0"/>
          <w:sz w:val="22"/>
          <w:szCs w:val="22"/>
          <w:lang w:eastAsia="en-US" w:bidi="ar-SA"/>
        </w:rPr>
        <w:t>Hoofdstuk 2: Overdracht</w:t>
      </w:r>
    </w:p>
    <w:p w:rsidR="00D57D6F" w:rsidRPr="00D147A7" w:rsidRDefault="00D57D6F" w:rsidP="000F560E">
      <w:pPr>
        <w:widowControl/>
        <w:suppressAutoHyphens w:val="0"/>
        <w:jc w:val="both"/>
        <w:rPr>
          <w:rFonts w:eastAsiaTheme="minorEastAsia"/>
          <w:b/>
          <w:kern w:val="0"/>
          <w:sz w:val="22"/>
          <w:szCs w:val="22"/>
          <w:lang w:eastAsia="en-US" w:bidi="ar-SA"/>
        </w:rPr>
      </w:pPr>
    </w:p>
    <w:p w:rsidR="000F560E" w:rsidRPr="00D147A7" w:rsidRDefault="000F560E" w:rsidP="000F560E">
      <w:pPr>
        <w:widowControl/>
        <w:suppressAutoHyphens w:val="0"/>
        <w:jc w:val="both"/>
        <w:rPr>
          <w:kern w:val="0"/>
        </w:rPr>
      </w:pPr>
      <w:r w:rsidRPr="00D147A7">
        <w:rPr>
          <w:kern w:val="0"/>
        </w:rPr>
        <w:t>Openbare ziekenhuizen zijn ook in België aan de archiefwet onderworpen.</w:t>
      </w:r>
      <w:r w:rsidRPr="00D147A7">
        <w:rPr>
          <w:kern w:val="0"/>
          <w:vertAlign w:val="superscript"/>
        </w:rPr>
        <w:footnoteReference w:id="1253"/>
      </w:r>
      <w:r w:rsidRPr="00D147A7">
        <w:rPr>
          <w:kern w:val="0"/>
        </w:rPr>
        <w:t xml:space="preserve"> Daarom moe</w:t>
      </w:r>
      <w:r w:rsidR="001B5D08">
        <w:rPr>
          <w:kern w:val="0"/>
        </w:rPr>
        <w:t>-</w:t>
      </w:r>
      <w:r w:rsidRPr="00D147A7">
        <w:rPr>
          <w:kern w:val="0"/>
        </w:rPr>
        <w:t>ten z</w:t>
      </w:r>
      <w:r w:rsidR="001B5D08">
        <w:rPr>
          <w:kern w:val="0"/>
        </w:rPr>
        <w:t>ij</w:t>
      </w:r>
      <w:r w:rsidRPr="00D147A7">
        <w:rPr>
          <w:kern w:val="0"/>
        </w:rPr>
        <w:t xml:space="preserve"> na dertig jaar hun (administratieve én medische) archieven naar het Algemeen Rijks</w:t>
      </w:r>
      <w:r w:rsidR="001B5D08">
        <w:rPr>
          <w:kern w:val="0"/>
        </w:rPr>
        <w:t>-</w:t>
      </w:r>
      <w:r w:rsidRPr="00D147A7">
        <w:rPr>
          <w:kern w:val="0"/>
        </w:rPr>
        <w:t>archief of één der Rijksarchieven in de Provinciën overbrengen</w:t>
      </w:r>
      <w:r w:rsidRPr="00D147A7">
        <w:rPr>
          <w:kern w:val="0"/>
          <w:vertAlign w:val="superscript"/>
        </w:rPr>
        <w:footnoteReference w:id="1254"/>
      </w:r>
      <w:r w:rsidRPr="00D147A7">
        <w:rPr>
          <w:kern w:val="0"/>
        </w:rPr>
        <w:t xml:space="preserve">, </w:t>
      </w:r>
      <w:r w:rsidRPr="00D147A7">
        <w:rPr>
          <w:rFonts w:eastAsiaTheme="minorEastAsia"/>
          <w:i/>
          <w:kern w:val="0"/>
          <w:lang w:eastAsia="en-US" w:bidi="ar-SA"/>
        </w:rPr>
        <w:t xml:space="preserve">in zodanige toestand </w:t>
      </w:r>
      <w:r w:rsidRPr="00D147A7">
        <w:rPr>
          <w:rFonts w:eastAsiaTheme="minorEastAsia"/>
          <w:kern w:val="0"/>
          <w:lang w:eastAsia="en-US" w:bidi="ar-SA"/>
        </w:rPr>
        <w:t>(…)</w:t>
      </w:r>
      <w:r w:rsidRPr="00D147A7">
        <w:rPr>
          <w:rFonts w:eastAsiaTheme="minorEastAsia"/>
          <w:i/>
          <w:kern w:val="0"/>
          <w:lang w:eastAsia="en-US" w:bidi="ar-SA"/>
        </w:rPr>
        <w:t xml:space="preserve"> dat de langetermijnbewaring, de authenticiteit, de integriteit, de ordening, de toegankelijk</w:t>
      </w:r>
      <w:r w:rsidR="001B5D08">
        <w:rPr>
          <w:rFonts w:eastAsiaTheme="minorEastAsia"/>
          <w:i/>
          <w:kern w:val="0"/>
          <w:lang w:eastAsia="en-US" w:bidi="ar-SA"/>
        </w:rPr>
        <w:t>-</w:t>
      </w:r>
      <w:r w:rsidRPr="00D147A7">
        <w:rPr>
          <w:rFonts w:eastAsiaTheme="minorEastAsia"/>
          <w:i/>
          <w:kern w:val="0"/>
          <w:lang w:eastAsia="en-US" w:bidi="ar-SA"/>
        </w:rPr>
        <w:t>heid en de leesbaarheid gewaarborgd zijn, voor de volledige duur van hun levenscyclus en overeenkomstig de richtlijnen van het Rijksarchief.</w:t>
      </w:r>
      <w:r w:rsidRPr="00D147A7">
        <w:rPr>
          <w:rFonts w:eastAsiaTheme="minorEastAsia"/>
          <w:kern w:val="0"/>
          <w:vertAlign w:val="superscript"/>
          <w:lang w:eastAsia="en-US" w:bidi="ar-SA"/>
        </w:rPr>
        <w:footnoteReference w:id="1255"/>
      </w:r>
      <w:r w:rsidRPr="00D147A7">
        <w:rPr>
          <w:rFonts w:eastAsiaTheme="minorEastAsia"/>
          <w:kern w:val="0"/>
          <w:lang w:eastAsia="en-US" w:bidi="ar-SA"/>
        </w:rPr>
        <w:t xml:space="preserve"> Dat de archieven toegankelijk moeten zijn, wil zeggen dat ze </w:t>
      </w:r>
      <w:r w:rsidRPr="00D147A7">
        <w:rPr>
          <w:rFonts w:eastAsiaTheme="minorEastAsia"/>
          <w:i/>
          <w:kern w:val="0"/>
          <w:lang w:eastAsia="en-US" w:bidi="ar-SA"/>
        </w:rPr>
        <w:t>binnen een redelijke termijn beschreven kunnen worden en aan de gebruikers ter beschikking kunnen worden gesteld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256"/>
      </w:r>
      <w:r w:rsidRPr="00D147A7">
        <w:rPr>
          <w:rFonts w:eastAsiaTheme="minorEastAsia"/>
          <w:kern w:val="0"/>
          <w:lang w:eastAsia="en-US" w:bidi="ar-SA"/>
        </w:rPr>
        <w:t xml:space="preserve"> </w:t>
      </w:r>
      <w:r w:rsidRPr="00D147A7">
        <w:rPr>
          <w:kern w:val="0"/>
        </w:rPr>
        <w:t>Alle activiteiten die dit in het werk stellen, zijn verwerkingen in de zin van de privacywet. Zo moeten archieven vóór de over</w:t>
      </w:r>
      <w:r w:rsidR="001B5D08">
        <w:rPr>
          <w:kern w:val="0"/>
        </w:rPr>
        <w:t>-</w:t>
      </w:r>
      <w:r w:rsidRPr="00D147A7">
        <w:rPr>
          <w:kern w:val="0"/>
        </w:rPr>
        <w:t>brenging aan een selectie onderworpen</w:t>
      </w:r>
      <w:r w:rsidRPr="00D147A7">
        <w:rPr>
          <w:kern w:val="0"/>
          <w:vertAlign w:val="superscript"/>
        </w:rPr>
        <w:footnoteReference w:id="1257"/>
      </w:r>
      <w:r w:rsidRPr="00D147A7">
        <w:rPr>
          <w:kern w:val="0"/>
        </w:rPr>
        <w:t>, geordend</w:t>
      </w:r>
      <w:r w:rsidRPr="00D147A7">
        <w:rPr>
          <w:kern w:val="0"/>
          <w:vertAlign w:val="superscript"/>
        </w:rPr>
        <w:footnoteReference w:id="1258"/>
      </w:r>
      <w:r w:rsidRPr="00D147A7">
        <w:rPr>
          <w:kern w:val="0"/>
        </w:rPr>
        <w:t>, in een inventaris beschreven</w:t>
      </w:r>
      <w:r w:rsidRPr="00D147A7">
        <w:rPr>
          <w:kern w:val="0"/>
          <w:vertAlign w:val="superscript"/>
        </w:rPr>
        <w:footnoteReference w:id="1259"/>
      </w:r>
      <w:r w:rsidRPr="00D147A7">
        <w:rPr>
          <w:kern w:val="0"/>
        </w:rPr>
        <w:t>, ge</w:t>
      </w:r>
      <w:r w:rsidR="001B5D08">
        <w:rPr>
          <w:kern w:val="0"/>
        </w:rPr>
        <w:t>-</w:t>
      </w:r>
      <w:r w:rsidRPr="00D147A7">
        <w:rPr>
          <w:kern w:val="0"/>
        </w:rPr>
        <w:t>documenteerd</w:t>
      </w:r>
      <w:r w:rsidRPr="00D147A7">
        <w:rPr>
          <w:kern w:val="0"/>
          <w:vertAlign w:val="superscript"/>
        </w:rPr>
        <w:footnoteReference w:id="1260"/>
      </w:r>
      <w:r w:rsidRPr="00D147A7">
        <w:rPr>
          <w:kern w:val="0"/>
        </w:rPr>
        <w:t>, stofvrij gemaakt, ontsmet, van schadelijke materialen ontdaan en verpakt worden.</w:t>
      </w:r>
      <w:r w:rsidRPr="00D147A7">
        <w:rPr>
          <w:kern w:val="0"/>
          <w:vertAlign w:val="superscript"/>
        </w:rPr>
        <w:footnoteReference w:id="1261"/>
      </w:r>
      <w:r w:rsidRPr="00D147A7">
        <w:rPr>
          <w:kern w:val="0"/>
        </w:rPr>
        <w:t xml:space="preserve"> Hierboven werd reeds </w:t>
      </w:r>
      <w:r w:rsidR="00AE0B9E">
        <w:rPr>
          <w:kern w:val="0"/>
        </w:rPr>
        <w:t>opgemerkt</w:t>
      </w:r>
      <w:r w:rsidRPr="00D147A7">
        <w:rPr>
          <w:kern w:val="0"/>
        </w:rPr>
        <w:t xml:space="preserve"> dat niet al deze handelingen tot vlak voor de overdracht </w:t>
      </w:r>
      <w:r w:rsidR="00AE0B9E" w:rsidRPr="00D147A7">
        <w:rPr>
          <w:kern w:val="0"/>
        </w:rPr>
        <w:t xml:space="preserve">mogen worden </w:t>
      </w:r>
      <w:r w:rsidRPr="00D147A7">
        <w:rPr>
          <w:kern w:val="0"/>
        </w:rPr>
        <w:t>uitgesteld. M.n. selectie en vernietiging – op basis van door de Al</w:t>
      </w:r>
      <w:r w:rsidR="00AE0B9E">
        <w:rPr>
          <w:kern w:val="0"/>
        </w:rPr>
        <w:t>-</w:t>
      </w:r>
      <w:r w:rsidRPr="00D147A7">
        <w:rPr>
          <w:kern w:val="0"/>
        </w:rPr>
        <w:t xml:space="preserve">gemene Rijksarchivaris goedgekeurde selectielijst én met de </w:t>
      </w:r>
      <w:r w:rsidR="00AE0B9E">
        <w:rPr>
          <w:kern w:val="0"/>
        </w:rPr>
        <w:t xml:space="preserve">nadere </w:t>
      </w:r>
      <w:r w:rsidRPr="00D147A7">
        <w:rPr>
          <w:kern w:val="0"/>
        </w:rPr>
        <w:t>goedkeuring van de Alge</w:t>
      </w:r>
      <w:r w:rsidR="00AE0B9E">
        <w:rPr>
          <w:kern w:val="0"/>
        </w:rPr>
        <w:t>-</w:t>
      </w:r>
      <w:r w:rsidRPr="00D147A7">
        <w:rPr>
          <w:kern w:val="0"/>
        </w:rPr>
        <w:t>mene Rijksarchivaris of diens gemachtigde – moeten zo vroeg mogelijk uitgevoerd (en op jaarlijkse basis herhaald) worden. In de selectielijst legt de Algemene Rijksarchivaris de we</w:t>
      </w:r>
      <w:r w:rsidR="00AE0B9E">
        <w:rPr>
          <w:kern w:val="0"/>
        </w:rPr>
        <w:t>-</w:t>
      </w:r>
      <w:r w:rsidRPr="00D147A7">
        <w:rPr>
          <w:kern w:val="0"/>
        </w:rPr>
        <w:t>tenschappelijke, historische en maatschappelijke waarde van documenten vast en bepaalt hun definitieve bestemming.</w:t>
      </w:r>
      <w:r w:rsidRPr="00D147A7">
        <w:rPr>
          <w:kern w:val="0"/>
          <w:vertAlign w:val="superscript"/>
        </w:rPr>
        <w:footnoteReference w:id="1262"/>
      </w:r>
      <w:r w:rsidRPr="00D147A7">
        <w:rPr>
          <w:kern w:val="0"/>
        </w:rPr>
        <w:t xml:space="preserve"> Het principiële verwerkingsverbod van gezondheidsgegevens</w:t>
      </w:r>
      <w:r w:rsidRPr="00D147A7">
        <w:rPr>
          <w:kern w:val="0"/>
          <w:vertAlign w:val="superscript"/>
        </w:rPr>
        <w:footnoteReference w:id="1263"/>
      </w:r>
      <w:r w:rsidRPr="00D147A7">
        <w:rPr>
          <w:kern w:val="0"/>
        </w:rPr>
        <w:t xml:space="preserve"> </w:t>
      </w:r>
      <w:r w:rsidRPr="00D147A7">
        <w:rPr>
          <w:kern w:val="0"/>
        </w:rPr>
        <w:lastRenderedPageBreak/>
        <w:t>is niet van toepassing op de overbrenging van patiëntendossiers naar het Rijksarchief. Deze verwerking is immers noodzakelijk voor het wetenschappelijk onderzoek</w:t>
      </w:r>
      <w:r w:rsidRPr="00D147A7">
        <w:rPr>
          <w:kern w:val="0"/>
          <w:vertAlign w:val="superscript"/>
        </w:rPr>
        <w:footnoteReference w:id="1264"/>
      </w:r>
      <w:r w:rsidRPr="00D147A7">
        <w:rPr>
          <w:kern w:val="0"/>
        </w:rPr>
        <w:t xml:space="preserve"> en streeft een re</w:t>
      </w:r>
      <w:r w:rsidR="00AE0B9E">
        <w:rPr>
          <w:kern w:val="0"/>
        </w:rPr>
        <w:t>-</w:t>
      </w:r>
      <w:r w:rsidRPr="00D147A7">
        <w:rPr>
          <w:kern w:val="0"/>
        </w:rPr>
        <w:t>den van zwaarwegend algemeen belang na, opgelegd door artikel 1 § 1 van de Archiefwet.</w:t>
      </w:r>
      <w:r w:rsidRPr="00D147A7">
        <w:rPr>
          <w:kern w:val="0"/>
          <w:vertAlign w:val="superscript"/>
        </w:rPr>
        <w:footnoteReference w:id="1265"/>
      </w:r>
      <w:r w:rsidRPr="00D147A7">
        <w:rPr>
          <w:kern w:val="0"/>
        </w:rPr>
        <w:t xml:space="preserve"> Ook de privacycommissie heeft in verschillende adviezen bevestigd dat de bewaring van per</w:t>
      </w:r>
      <w:r w:rsidR="00AE0B9E">
        <w:rPr>
          <w:kern w:val="0"/>
        </w:rPr>
        <w:t>-</w:t>
      </w:r>
      <w:r w:rsidRPr="00D147A7">
        <w:rPr>
          <w:kern w:val="0"/>
        </w:rPr>
        <w:t>soonsgegevens in het Algemeen Rijksarchief voor historische en sociologische onderzoeks</w:t>
      </w:r>
      <w:r w:rsidR="00AE0B9E">
        <w:rPr>
          <w:kern w:val="0"/>
        </w:rPr>
        <w:t>-</w:t>
      </w:r>
      <w:r w:rsidRPr="00D147A7">
        <w:rPr>
          <w:kern w:val="0"/>
        </w:rPr>
        <w:t>doeleinden niet in strijd met de vigerende privacywetgeving</w:t>
      </w:r>
      <w:r w:rsidR="00AE0B9E" w:rsidRPr="00AE0B9E">
        <w:rPr>
          <w:kern w:val="0"/>
        </w:rPr>
        <w:t xml:space="preserve"> </w:t>
      </w:r>
      <w:r w:rsidR="00AE0B9E" w:rsidRPr="00D147A7">
        <w:rPr>
          <w:kern w:val="0"/>
        </w:rPr>
        <w:t>is</w:t>
      </w:r>
      <w:r w:rsidRPr="00D147A7">
        <w:rPr>
          <w:kern w:val="0"/>
        </w:rPr>
        <w:t>.</w:t>
      </w:r>
      <w:r w:rsidRPr="00D147A7">
        <w:rPr>
          <w:kern w:val="0"/>
          <w:vertAlign w:val="superscript"/>
        </w:rPr>
        <w:footnoteReference w:id="1266"/>
      </w:r>
      <w:r w:rsidR="003B63CF">
        <w:rPr>
          <w:kern w:val="0"/>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kern w:val="0"/>
        </w:rPr>
        <w:t xml:space="preserve">Naast de inventaris moeten </w:t>
      </w:r>
      <w:r w:rsidRPr="00D147A7">
        <w:rPr>
          <w:rFonts w:eastAsiaTheme="minorEastAsia"/>
          <w:kern w:val="0"/>
          <w:lang w:eastAsia="en-US" w:bidi="ar-SA"/>
        </w:rPr>
        <w:t xml:space="preserve">ook andere, nadere toegangen – in origineel of kopie – mee </w:t>
      </w:r>
      <w:r w:rsidR="003B63CF" w:rsidRPr="00D147A7">
        <w:rPr>
          <w:rFonts w:eastAsiaTheme="minorEastAsia"/>
          <w:kern w:val="0"/>
          <w:lang w:eastAsia="en-US" w:bidi="ar-SA"/>
        </w:rPr>
        <w:t>wor</w:t>
      </w:r>
      <w:r w:rsidR="003B63CF">
        <w:rPr>
          <w:rFonts w:eastAsiaTheme="minorEastAsia"/>
          <w:kern w:val="0"/>
          <w:lang w:eastAsia="en-US" w:bidi="ar-SA"/>
        </w:rPr>
        <w:t>-</w:t>
      </w:r>
      <w:r w:rsidR="003B63CF" w:rsidRPr="00D147A7">
        <w:rPr>
          <w:rFonts w:eastAsiaTheme="minorEastAsia"/>
          <w:kern w:val="0"/>
          <w:lang w:eastAsia="en-US" w:bidi="ar-SA"/>
        </w:rPr>
        <w:t xml:space="preserve">den </w:t>
      </w:r>
      <w:r w:rsidRPr="00D147A7">
        <w:rPr>
          <w:rFonts w:eastAsiaTheme="minorEastAsia"/>
          <w:kern w:val="0"/>
          <w:lang w:eastAsia="en-US" w:bidi="ar-SA"/>
        </w:rPr>
        <w:t>overgedragen.</w:t>
      </w:r>
      <w:r w:rsidRPr="00D147A7">
        <w:rPr>
          <w:rFonts w:eastAsiaTheme="minorEastAsia"/>
          <w:kern w:val="0"/>
          <w:vertAlign w:val="superscript"/>
          <w:lang w:eastAsia="en-US" w:bidi="ar-SA"/>
        </w:rPr>
        <w:footnoteReference w:id="1267"/>
      </w:r>
      <w:r w:rsidRPr="00D147A7">
        <w:rPr>
          <w:rFonts w:eastAsiaTheme="minorEastAsia"/>
          <w:kern w:val="0"/>
          <w:lang w:eastAsia="en-US" w:bidi="ar-SA"/>
        </w:rPr>
        <w:t xml:space="preserve"> Het ligt voor de hand dat toegangen op patiëntendossiers aan de hand waarvan patiënten geïdentificeerd kunnen worden niet publiek toegankelijk mogen zijn, maar aan de medewerkers van de archiefdienst voorbehouden moeten worden. Deze laatsten zijn dan aan het beroepsgeheim gebonden. Archieftoegangen waarin de namen van levende perso</w:t>
      </w:r>
      <w:r w:rsidR="003B63CF">
        <w:rPr>
          <w:rFonts w:eastAsiaTheme="minorEastAsia"/>
          <w:kern w:val="0"/>
          <w:lang w:eastAsia="en-US" w:bidi="ar-SA"/>
        </w:rPr>
        <w:t>-</w:t>
      </w:r>
      <w:r w:rsidRPr="00D147A7">
        <w:rPr>
          <w:rFonts w:eastAsiaTheme="minorEastAsia"/>
          <w:kern w:val="0"/>
          <w:lang w:eastAsia="en-US" w:bidi="ar-SA"/>
        </w:rPr>
        <w:t xml:space="preserve">nen opgenomen zijn, vallen onder het toepassingsgebied van de privacywet. Samen met het beschreven archief zijn ze immers een </w:t>
      </w:r>
      <w:r w:rsidRPr="00D147A7">
        <w:rPr>
          <w:rFonts w:eastAsiaTheme="minorEastAsia"/>
          <w:i/>
          <w:kern w:val="0"/>
          <w:lang w:eastAsia="en-US" w:bidi="ar-SA"/>
        </w:rPr>
        <w:t>gestructureerd geheel van persoonsgegevens die vol</w:t>
      </w:r>
      <w:r w:rsidR="003B63CF">
        <w:rPr>
          <w:rFonts w:eastAsiaTheme="minorEastAsia"/>
          <w:i/>
          <w:kern w:val="0"/>
          <w:lang w:eastAsia="en-US" w:bidi="ar-SA"/>
        </w:rPr>
        <w:t>-</w:t>
      </w:r>
      <w:r w:rsidRPr="00D147A7">
        <w:rPr>
          <w:rFonts w:eastAsiaTheme="minorEastAsia"/>
          <w:i/>
          <w:kern w:val="0"/>
          <w:lang w:eastAsia="en-US" w:bidi="ar-SA"/>
        </w:rPr>
        <w:t>gens bepaalde criteria toegankelijk zijn</w:t>
      </w:r>
      <w:r w:rsidRPr="00D147A7">
        <w:rPr>
          <w:rFonts w:eastAsiaTheme="minorEastAsia"/>
          <w:kern w:val="0"/>
          <w:lang w:eastAsia="en-US" w:bidi="ar-SA"/>
        </w:rPr>
        <w:t>, i.e. de definitie van een ‘bestand’ in de zin van de privacywet.</w:t>
      </w:r>
      <w:r w:rsidRPr="00D147A7">
        <w:rPr>
          <w:rFonts w:eastAsiaTheme="minorEastAsia"/>
          <w:kern w:val="0"/>
          <w:vertAlign w:val="superscript"/>
          <w:lang w:eastAsia="en-US" w:bidi="ar-SA"/>
        </w:rPr>
        <w:footnoteReference w:id="1268"/>
      </w:r>
      <w:r w:rsidRPr="00D147A7">
        <w:rPr>
          <w:rFonts w:eastAsiaTheme="minorEastAsia"/>
          <w:kern w:val="0"/>
          <w:lang w:eastAsia="en-US" w:bidi="ar-SA"/>
        </w:rPr>
        <w:t xml:space="preserve"> Elektronische inventarissen op basis van </w:t>
      </w:r>
      <w:r w:rsidRPr="003B63CF">
        <w:rPr>
          <w:rFonts w:eastAsiaTheme="minorEastAsia"/>
          <w:i/>
          <w:kern w:val="0"/>
          <w:lang w:eastAsia="en-US" w:bidi="ar-SA"/>
        </w:rPr>
        <w:t>Encoded Archival Description</w:t>
      </w:r>
      <w:r w:rsidRPr="00D147A7">
        <w:rPr>
          <w:rFonts w:eastAsiaTheme="minorEastAsia"/>
          <w:kern w:val="0"/>
          <w:lang w:eastAsia="en-US" w:bidi="ar-SA"/>
        </w:rPr>
        <w:t xml:space="preserve"> (EAD) zijn als geautomatiseerde verwerking ook zonder het desbetreffende archief aan de pri</w:t>
      </w:r>
      <w:r w:rsidR="003B63CF">
        <w:rPr>
          <w:rFonts w:eastAsiaTheme="minorEastAsia"/>
          <w:kern w:val="0"/>
          <w:lang w:eastAsia="en-US" w:bidi="ar-SA"/>
        </w:rPr>
        <w:t>-</w:t>
      </w:r>
      <w:r w:rsidRPr="00D147A7">
        <w:rPr>
          <w:rFonts w:eastAsiaTheme="minorEastAsia"/>
          <w:kern w:val="0"/>
          <w:lang w:eastAsia="en-US" w:bidi="ar-SA"/>
        </w:rPr>
        <w:t>vacywet onderworpen, tenzij [n</w:t>
      </w:r>
      <w:r w:rsidRPr="00D147A7">
        <w:t>]</w:t>
      </w:r>
      <w:r w:rsidRPr="00D147A7">
        <w:rPr>
          <w:i/>
        </w:rPr>
        <w:t>iemand nog in staat is om, met welk redelijkerwijs inzetbaar middel ook, te achterhalen op welk individu de beschreven informatie betrekking heeft</w:t>
      </w:r>
      <w:r w:rsidRPr="00D147A7">
        <w:t>.</w:t>
      </w:r>
      <w:r w:rsidRPr="00D147A7">
        <w:rPr>
          <w:vertAlign w:val="superscript"/>
        </w:rPr>
        <w:footnoteReference w:id="1269"/>
      </w:r>
      <w:r w:rsidRPr="00D147A7">
        <w:rPr>
          <w:rFonts w:eastAsiaTheme="minorEastAsia"/>
          <w:kern w:val="0"/>
          <w:lang w:eastAsia="en-US" w:bidi="ar-SA"/>
        </w:rPr>
        <w:t xml:space="preserve"> Het is dus aangewezen om patiëntendossiers op minimalistische wijze te beschrijven.</w:t>
      </w:r>
    </w:p>
    <w:p w:rsidR="000F560E" w:rsidRPr="00D147A7" w:rsidRDefault="000F560E" w:rsidP="000F560E">
      <w:pPr>
        <w:widowControl/>
        <w:suppressAutoHyphens w:val="0"/>
        <w:jc w:val="both"/>
        <w:rPr>
          <w:color w:val="0070C0"/>
          <w:kern w:val="0"/>
        </w:rPr>
      </w:pPr>
    </w:p>
    <w:p w:rsidR="000F560E" w:rsidRPr="00D147A7" w:rsidRDefault="000F560E" w:rsidP="000F560E">
      <w:pPr>
        <w:widowControl/>
        <w:suppressAutoHyphens w:val="0"/>
        <w:jc w:val="both"/>
        <w:rPr>
          <w:kern w:val="0"/>
        </w:rPr>
      </w:pPr>
      <w:r w:rsidRPr="00D147A7">
        <w:rPr>
          <w:kern w:val="0"/>
        </w:rPr>
        <w:t xml:space="preserve">Het is niet mogelijk </w:t>
      </w:r>
      <w:r w:rsidR="003B63CF">
        <w:rPr>
          <w:kern w:val="0"/>
        </w:rPr>
        <w:t>(</w:t>
      </w:r>
      <w:r w:rsidRPr="00D147A7">
        <w:rPr>
          <w:kern w:val="0"/>
        </w:rPr>
        <w:t>en ook niet wenselijk</w:t>
      </w:r>
      <w:r w:rsidR="003B63CF">
        <w:rPr>
          <w:kern w:val="0"/>
        </w:rPr>
        <w:t>)</w:t>
      </w:r>
      <w:r w:rsidRPr="00D147A7">
        <w:rPr>
          <w:kern w:val="0"/>
        </w:rPr>
        <w:t xml:space="preserve"> om de archieven van alle openbare (algemene en psychiatrische) ziekenhuizen integraal voor onbepaalde duur</w:t>
      </w:r>
      <w:r w:rsidR="003B63CF" w:rsidRPr="003B63CF">
        <w:rPr>
          <w:kern w:val="0"/>
        </w:rPr>
        <w:t xml:space="preserve"> </w:t>
      </w:r>
      <w:r w:rsidR="003B63CF" w:rsidRPr="00D147A7">
        <w:rPr>
          <w:kern w:val="0"/>
        </w:rPr>
        <w:t>te bewaren</w:t>
      </w:r>
      <w:r w:rsidRPr="00D147A7">
        <w:rPr>
          <w:kern w:val="0"/>
        </w:rPr>
        <w:t>. Er zijn niet alleen praktische (gebrek aan opslagruimte), maar ook inhoudelijke bezwaren (gezondheidsgegevens die op ‘banaliteiten’ (zoals botbreuken, galsteenoperaties,…) betrekking hebben, zijn immers in de meerderheid).</w:t>
      </w:r>
      <w:r w:rsidRPr="00D147A7">
        <w:rPr>
          <w:kern w:val="0"/>
          <w:vertAlign w:val="superscript"/>
        </w:rPr>
        <w:footnoteReference w:id="1270"/>
      </w:r>
      <w:r w:rsidRPr="00D147A7">
        <w:rPr>
          <w:kern w:val="0"/>
        </w:rPr>
        <w:t xml:space="preserve"> Daarom besloot de werkgroep ‘ziekenhuisarchieven’ van het Alge</w:t>
      </w:r>
      <w:r w:rsidR="003B63CF">
        <w:rPr>
          <w:kern w:val="0"/>
        </w:rPr>
        <w:t>-</w:t>
      </w:r>
      <w:r w:rsidRPr="00D147A7">
        <w:rPr>
          <w:kern w:val="0"/>
        </w:rPr>
        <w:t>meen Rijksarchief</w:t>
      </w:r>
      <w:r w:rsidRPr="00D147A7">
        <w:rPr>
          <w:kern w:val="0"/>
          <w:vertAlign w:val="superscript"/>
        </w:rPr>
        <w:footnoteReference w:id="1271"/>
      </w:r>
      <w:r w:rsidRPr="00D147A7">
        <w:rPr>
          <w:kern w:val="0"/>
        </w:rPr>
        <w:t xml:space="preserve"> om – naar het Finse voorbeeld</w:t>
      </w:r>
      <w:r w:rsidR="003B63CF">
        <w:rPr>
          <w:rStyle w:val="Voetnootmarkering"/>
          <w:kern w:val="0"/>
        </w:rPr>
        <w:footnoteReference w:id="1272"/>
      </w:r>
      <w:r w:rsidRPr="00D147A7">
        <w:rPr>
          <w:kern w:val="0"/>
        </w:rPr>
        <w:t xml:space="preserve"> – enkel de bescheiden die in het ka</w:t>
      </w:r>
      <w:r w:rsidR="002D23B9">
        <w:rPr>
          <w:kern w:val="0"/>
        </w:rPr>
        <w:t>-</w:t>
      </w:r>
      <w:r w:rsidRPr="00D147A7">
        <w:rPr>
          <w:kern w:val="0"/>
        </w:rPr>
        <w:t>der van onderzoek en behandeling door medisch-genetische afdelingen vervaardigd werden permanent te bewaren, samen met de dossiers van patiënten die op de 15</w:t>
      </w:r>
      <w:r w:rsidRPr="00D147A7">
        <w:rPr>
          <w:kern w:val="0"/>
          <w:vertAlign w:val="superscript"/>
        </w:rPr>
        <w:t>de</w:t>
      </w:r>
      <w:r w:rsidRPr="00D147A7">
        <w:rPr>
          <w:kern w:val="0"/>
        </w:rPr>
        <w:t xml:space="preserve"> van iedere maand geboren zijn (of – indien dit niet mogelijk is – één op dertig). Dit zijn de selectiecriteria voor openbare algemene ziekenhuizen. Wat de openbare psychiatrische ziekenhuizen betreft, is het </w:t>
      </w:r>
      <w:r w:rsidRPr="00D147A7">
        <w:rPr>
          <w:kern w:val="0"/>
        </w:rPr>
        <w:lastRenderedPageBreak/>
        <w:t>ook mogelijk om het archief van één Vlaamse (m.n. OPZGeel) en één Waalse instelling inte</w:t>
      </w:r>
      <w:r w:rsidR="002D23B9">
        <w:rPr>
          <w:kern w:val="0"/>
        </w:rPr>
        <w:t>-</w:t>
      </w:r>
      <w:r w:rsidRPr="00D147A7">
        <w:rPr>
          <w:kern w:val="0"/>
        </w:rPr>
        <w:t xml:space="preserve">graal te bewaren. </w:t>
      </w:r>
      <w:r w:rsidR="00D2734C">
        <w:rPr>
          <w:kern w:val="0"/>
        </w:rPr>
        <w:t xml:space="preserve">De </w:t>
      </w:r>
      <w:r w:rsidR="002D23B9">
        <w:rPr>
          <w:kern w:val="0"/>
        </w:rPr>
        <w:t xml:space="preserve">heer Ketelaar </w:t>
      </w:r>
      <w:r w:rsidR="00D2734C">
        <w:rPr>
          <w:kern w:val="0"/>
        </w:rPr>
        <w:t xml:space="preserve">duidt dit selectiecriterium met de weinig flatterende term ‘museumgedachte’ aan en stelt de (terechte) vraag welk wetenschappelijk belang hiermee gediend wordt. </w:t>
      </w:r>
      <w:r w:rsidRPr="00D147A7">
        <w:rPr>
          <w:kern w:val="0"/>
        </w:rPr>
        <w:t>Tot slot moeten ook alle patiëntendossiers van militaire gezondheidszorgin</w:t>
      </w:r>
      <w:r w:rsidR="00D2734C">
        <w:rPr>
          <w:kern w:val="0"/>
        </w:rPr>
        <w:t>-</w:t>
      </w:r>
      <w:r w:rsidRPr="00D147A7">
        <w:rPr>
          <w:kern w:val="0"/>
        </w:rPr>
        <w:t>stellingen bewaard worden. Vanouds heeft het Ministerie van Landsverdediging een soeverein statuut en is daardoor op verschillende vlakken een buitenbeentje. Tot 2010 gold de over</w:t>
      </w:r>
      <w:r w:rsidR="00D2734C">
        <w:rPr>
          <w:kern w:val="0"/>
        </w:rPr>
        <w:t>-</w:t>
      </w:r>
      <w:r w:rsidRPr="00D147A7">
        <w:rPr>
          <w:kern w:val="0"/>
        </w:rPr>
        <w:t>drachtsplicht niet voor de archieven van het Ministerie van Landsverdediging</w:t>
      </w:r>
      <w:r w:rsidRPr="00D147A7">
        <w:rPr>
          <w:kern w:val="0"/>
          <w:vertAlign w:val="superscript"/>
        </w:rPr>
        <w:footnoteReference w:id="1273"/>
      </w:r>
      <w:r w:rsidRPr="00D147A7">
        <w:rPr>
          <w:kern w:val="0"/>
        </w:rPr>
        <w:t>, met inbe</w:t>
      </w:r>
      <w:r w:rsidR="00D2734C">
        <w:rPr>
          <w:kern w:val="0"/>
        </w:rPr>
        <w:t>-</w:t>
      </w:r>
      <w:r w:rsidRPr="00D147A7">
        <w:rPr>
          <w:kern w:val="0"/>
        </w:rPr>
        <w:t>grip van het Militair Hospitaal Koningin Astrid te Neder-over-Heembeek.</w:t>
      </w:r>
      <w:r w:rsidRPr="00D147A7">
        <w:rPr>
          <w:kern w:val="0"/>
          <w:vertAlign w:val="superscript"/>
        </w:rPr>
        <w:footnoteReference w:id="1274"/>
      </w:r>
      <w:r w:rsidRPr="00D147A7">
        <w:rPr>
          <w:kern w:val="0"/>
        </w:rPr>
        <w:t xml:space="preserve"> Het Ministerie van Landsverdediging kan nog steeds de overdrachtsplicht omzeilen, op voorwaarde dat </w:t>
      </w:r>
      <w:r w:rsidRPr="00D147A7">
        <w:rPr>
          <w:i/>
          <w:kern w:val="0"/>
        </w:rPr>
        <w:t>de langetermijnbewaring, de authenticiteit, de integriteit, de ordening, de toegankelijkheid en de leesbaarheid van de archieven (…) worden gewaarborgd</w:t>
      </w:r>
      <w:r w:rsidRPr="00D147A7">
        <w:rPr>
          <w:kern w:val="0"/>
          <w:vertAlign w:val="superscript"/>
        </w:rPr>
        <w:footnoteReference w:id="1275"/>
      </w:r>
      <w:r w:rsidRPr="00D147A7">
        <w:rPr>
          <w:i/>
          <w:kern w:val="0"/>
        </w:rPr>
        <w:t xml:space="preserve"> </w:t>
      </w:r>
      <w:r w:rsidRPr="00D147A7">
        <w:rPr>
          <w:kern w:val="0"/>
        </w:rPr>
        <w:t xml:space="preserve">en </w:t>
      </w:r>
      <w:r w:rsidRPr="00D147A7">
        <w:rPr>
          <w:i/>
          <w:kern w:val="0"/>
        </w:rPr>
        <w:t>het publiek deze archieven onder dezelfde voorwaarden als in het Rijksarchief kan raadplegen</w:t>
      </w:r>
      <w:r w:rsidRPr="00D147A7">
        <w:rPr>
          <w:kern w:val="0"/>
        </w:rPr>
        <w:t>.</w:t>
      </w:r>
      <w:r w:rsidRPr="00D147A7">
        <w:rPr>
          <w:kern w:val="0"/>
          <w:vertAlign w:val="superscript"/>
        </w:rPr>
        <w:footnoteReference w:id="1276"/>
      </w:r>
      <w:r w:rsidRPr="00D147A7">
        <w:rPr>
          <w:kern w:val="0"/>
        </w:rPr>
        <w:t xml:space="preserve"> Hoewel Defensie erg verknocht is aan zijn geprivilegieerde statuut, hebben Kathleen Devolder en Sébastien Soyez – twee medewerkers van de afdeling Toezicht, advies en coördinatie van verwerving en selec</w:t>
      </w:r>
      <w:r w:rsidR="00D2734C">
        <w:rPr>
          <w:kern w:val="0"/>
        </w:rPr>
        <w:t>-</w:t>
      </w:r>
      <w:r w:rsidRPr="00D147A7">
        <w:rPr>
          <w:kern w:val="0"/>
        </w:rPr>
        <w:t>tie van het Algemeen Rijksarchief – onlangs een archiefaudit bij het Ministerie van Landsver</w:t>
      </w:r>
      <w:r w:rsidR="00D2734C">
        <w:rPr>
          <w:kern w:val="0"/>
        </w:rPr>
        <w:t>-</w:t>
      </w:r>
      <w:r w:rsidRPr="00D147A7">
        <w:rPr>
          <w:kern w:val="0"/>
        </w:rPr>
        <w:t>dediging uitgevoerd. Het hoofddoel van deze audit was het opstellen van een archiefselectie</w:t>
      </w:r>
      <w:r w:rsidR="00D2734C">
        <w:rPr>
          <w:kern w:val="0"/>
        </w:rPr>
        <w:t>-</w:t>
      </w:r>
      <w:r w:rsidRPr="00D147A7">
        <w:rPr>
          <w:kern w:val="0"/>
        </w:rPr>
        <w:t>lijst en een auditverslag waarin aanbevelingen geformuleerd worden om de bewaring en het beheer van de defensiearchieven te optimaliseren.</w:t>
      </w:r>
      <w:r w:rsidRPr="00D147A7">
        <w:rPr>
          <w:kern w:val="0"/>
          <w:vertAlign w:val="superscript"/>
        </w:rPr>
        <w:footnoteReference w:id="1277"/>
      </w:r>
      <w:r w:rsidRPr="00D147A7">
        <w:rPr>
          <w:kern w:val="0"/>
        </w:rPr>
        <w:t xml:space="preserve"> Verder is het Militair Hospitaal het eni</w:t>
      </w:r>
      <w:r w:rsidR="00D2734C">
        <w:rPr>
          <w:kern w:val="0"/>
        </w:rPr>
        <w:t>-</w:t>
      </w:r>
      <w:r w:rsidRPr="00D147A7">
        <w:rPr>
          <w:kern w:val="0"/>
        </w:rPr>
        <w:t xml:space="preserve">ge ziekenhuis </w:t>
      </w:r>
      <w:r w:rsidR="00D2734C">
        <w:rPr>
          <w:kern w:val="0"/>
        </w:rPr>
        <w:t>in België dat niet aan</w:t>
      </w:r>
      <w:r w:rsidRPr="00D147A7">
        <w:rPr>
          <w:kern w:val="0"/>
        </w:rPr>
        <w:t xml:space="preserve"> de ziekenhuiswet </w:t>
      </w:r>
      <w:r w:rsidR="00D2734C">
        <w:rPr>
          <w:kern w:val="0"/>
        </w:rPr>
        <w:t>onderworpen</w:t>
      </w:r>
      <w:r w:rsidRPr="00D147A7">
        <w:rPr>
          <w:kern w:val="0"/>
        </w:rPr>
        <w:t xml:space="preserve"> is</w:t>
      </w:r>
      <w:r w:rsidRPr="00D147A7">
        <w:rPr>
          <w:kern w:val="0"/>
          <w:vertAlign w:val="superscript"/>
        </w:rPr>
        <w:footnoteReference w:id="1278"/>
      </w:r>
      <w:r w:rsidRPr="00D147A7">
        <w:rPr>
          <w:kern w:val="0"/>
        </w:rPr>
        <w:t>, al worden de be</w:t>
      </w:r>
      <w:r w:rsidR="00D2734C">
        <w:rPr>
          <w:kern w:val="0"/>
        </w:rPr>
        <w:t>-</w:t>
      </w:r>
      <w:r w:rsidRPr="00D147A7">
        <w:rPr>
          <w:kern w:val="0"/>
        </w:rPr>
        <w:t xml:space="preserve">palingen uit deze wet </w:t>
      </w:r>
      <w:r w:rsidR="00D2734C">
        <w:rPr>
          <w:kern w:val="0"/>
        </w:rPr>
        <w:t xml:space="preserve">er </w:t>
      </w:r>
      <w:r w:rsidRPr="00D147A7">
        <w:rPr>
          <w:kern w:val="0"/>
        </w:rPr>
        <w:t>in de praktijk wel in acht genomen.</w:t>
      </w:r>
      <w:r w:rsidRPr="00D147A7">
        <w:rPr>
          <w:kern w:val="0"/>
          <w:vertAlign w:val="superscript"/>
        </w:rPr>
        <w:footnoteReference w:id="1279"/>
      </w:r>
      <w:r w:rsidRPr="00D147A7">
        <w:rPr>
          <w:kern w:val="0"/>
        </w:rPr>
        <w:t xml:space="preserve"> Omdat het archief van het Militair Hospitaal integraal in Neder-over-Heembeek bewaard</w:t>
      </w:r>
      <w:r w:rsidR="00D2734C" w:rsidRPr="00D2734C">
        <w:rPr>
          <w:kern w:val="0"/>
        </w:rPr>
        <w:t xml:space="preserve"> </w:t>
      </w:r>
      <w:r w:rsidR="00D2734C" w:rsidRPr="00D147A7">
        <w:rPr>
          <w:kern w:val="0"/>
        </w:rPr>
        <w:t>wordt</w:t>
      </w:r>
      <w:r w:rsidRPr="00D147A7">
        <w:rPr>
          <w:kern w:val="0"/>
        </w:rPr>
        <w:t>, zijn hier geen nadere selectiecriteria nodig.</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kern w:val="0"/>
        </w:rPr>
      </w:pPr>
      <w:r w:rsidRPr="00D147A7">
        <w:rPr>
          <w:kern w:val="0"/>
        </w:rPr>
        <w:t>Volgens de algemene regel zijn archiefbescheiden van overheidsinstellingen vanaf de over</w:t>
      </w:r>
      <w:r w:rsidR="00D2734C">
        <w:rPr>
          <w:kern w:val="0"/>
        </w:rPr>
        <w:t>-</w:t>
      </w:r>
      <w:r w:rsidRPr="00D147A7">
        <w:rPr>
          <w:kern w:val="0"/>
        </w:rPr>
        <w:t xml:space="preserve">dracht aan het Rijksarchief openbaar, </w:t>
      </w:r>
      <w:r w:rsidRPr="00D147A7">
        <w:rPr>
          <w:i/>
          <w:kern w:val="0"/>
        </w:rPr>
        <w:t xml:space="preserve">ergo </w:t>
      </w:r>
      <w:r w:rsidRPr="00D147A7">
        <w:rPr>
          <w:kern w:val="0"/>
        </w:rPr>
        <w:t>voor eenieder toegankelijk.</w:t>
      </w:r>
      <w:r w:rsidRPr="00D147A7">
        <w:rPr>
          <w:kern w:val="0"/>
          <w:vertAlign w:val="superscript"/>
        </w:rPr>
        <w:footnoteReference w:id="1280"/>
      </w:r>
      <w:r w:rsidRPr="00D147A7">
        <w:rPr>
          <w:kern w:val="0"/>
        </w:rPr>
        <w:t xml:space="preserve"> Het spreekt natuur</w:t>
      </w:r>
      <w:r w:rsidR="00D2734C">
        <w:rPr>
          <w:kern w:val="0"/>
        </w:rPr>
        <w:t>-</w:t>
      </w:r>
      <w:r w:rsidRPr="00D147A7">
        <w:rPr>
          <w:kern w:val="0"/>
        </w:rPr>
        <w:t>lijk voor zich dat deze – op de openbaarheid van bestuur gebaseerde – norm geenszins van toepassing op patiëntendossiers</w:t>
      </w:r>
      <w:r w:rsidR="00D2734C">
        <w:rPr>
          <w:kern w:val="0"/>
        </w:rPr>
        <w:t xml:space="preserve"> kan worden geacht</w:t>
      </w:r>
      <w:r w:rsidRPr="00D147A7">
        <w:rPr>
          <w:kern w:val="0"/>
        </w:rPr>
        <w:t>. Een patiëntendossier is immers, ongeacht de juridische status van het ziekenhuis waarin het gevormd en bewaard werd, geen bestuurs</w:t>
      </w:r>
      <w:r w:rsidR="00D2734C">
        <w:rPr>
          <w:kern w:val="0"/>
        </w:rPr>
        <w:t>-</w:t>
      </w:r>
      <w:r w:rsidRPr="00D147A7">
        <w:rPr>
          <w:kern w:val="0"/>
        </w:rPr>
        <w:t>document. Omdat aan burgers geen inzage in patiëntendossiers verleend mag worden op basis van de ‘openbaarheid van bestuursregeling’, kwam het Algemeen Rijksarchief met de Orde der geneesheren overeen om patiëntendossiers pas 150 jaar na de geboortedatum van de be</w:t>
      </w:r>
      <w:r w:rsidR="00D2734C">
        <w:rPr>
          <w:kern w:val="0"/>
        </w:rPr>
        <w:t>-</w:t>
      </w:r>
      <w:r w:rsidRPr="00D147A7">
        <w:rPr>
          <w:kern w:val="0"/>
        </w:rPr>
        <w:t xml:space="preserve">trokken patiënten in de openbaarheid te stellen. De privacycommissie verklaarde zich akkoord met deze stelregel, al sluit zij de toepassing van de Privacywet na deze (veeleer lange) termijn niet automatisch uit. Terecht merkt zij op dat voor ieder patiëntendossier </w:t>
      </w:r>
      <w:r w:rsidR="00D2734C" w:rsidRPr="00D147A7">
        <w:rPr>
          <w:kern w:val="0"/>
        </w:rPr>
        <w:t xml:space="preserve">nagegaan </w:t>
      </w:r>
      <w:r w:rsidRPr="00D147A7">
        <w:rPr>
          <w:kern w:val="0"/>
        </w:rPr>
        <w:t>moet wor</w:t>
      </w:r>
      <w:r w:rsidR="00D2734C">
        <w:rPr>
          <w:kern w:val="0"/>
        </w:rPr>
        <w:t>-</w:t>
      </w:r>
      <w:r w:rsidRPr="00D147A7">
        <w:rPr>
          <w:kern w:val="0"/>
        </w:rPr>
        <w:t xml:space="preserve">den of er gegevens aanwezig zijn over nog in leven zijnde personen, zoals over de kinderen van de patiënt of over het medisch personeel. Bovendien kunnen nabestaanden zich op basis </w:t>
      </w:r>
      <w:r w:rsidRPr="00D147A7">
        <w:rPr>
          <w:kern w:val="0"/>
        </w:rPr>
        <w:lastRenderedPageBreak/>
        <w:t xml:space="preserve">van de grondwet en/of de Privacywet tegen de verwerking van gezondheidsgegevens kanten als deze </w:t>
      </w:r>
      <w:r w:rsidRPr="00D147A7">
        <w:rPr>
          <w:i/>
          <w:kern w:val="0"/>
        </w:rPr>
        <w:t>betrekking hebben op bepaalde erfelijke aandoeningen, de afstamming of aandoe</w:t>
      </w:r>
      <w:r w:rsidR="00D2734C">
        <w:rPr>
          <w:i/>
          <w:kern w:val="0"/>
        </w:rPr>
        <w:t>-</w:t>
      </w:r>
      <w:r w:rsidRPr="00D147A7">
        <w:rPr>
          <w:i/>
          <w:kern w:val="0"/>
        </w:rPr>
        <w:t>ningen waaraan een sociaal stigma kleeft</w:t>
      </w:r>
      <w:r w:rsidRPr="00D147A7">
        <w:rPr>
          <w:kern w:val="0"/>
        </w:rPr>
        <w:t>.</w:t>
      </w:r>
      <w:r w:rsidRPr="00D147A7">
        <w:rPr>
          <w:kern w:val="0"/>
          <w:vertAlign w:val="superscript"/>
        </w:rPr>
        <w:footnoteReference w:id="1281"/>
      </w:r>
    </w:p>
    <w:p w:rsidR="000F560E" w:rsidRPr="00D147A7" w:rsidRDefault="000F560E" w:rsidP="000F560E">
      <w:pPr>
        <w:widowControl/>
        <w:suppressAutoHyphens w:val="0"/>
        <w:jc w:val="both"/>
        <w:rPr>
          <w:kern w:val="0"/>
        </w:rPr>
      </w:pPr>
      <w:r w:rsidRPr="00D147A7">
        <w:rPr>
          <w:kern w:val="0"/>
        </w:rPr>
        <w:t>Is 150 jaar na de geboorte van de betrokken patiënten een redelijke termijn alvorens patiënt</w:t>
      </w:r>
      <w:r w:rsidR="00D2734C">
        <w:rPr>
          <w:kern w:val="0"/>
        </w:rPr>
        <w:t>-</w:t>
      </w:r>
      <w:r w:rsidRPr="00D147A7">
        <w:rPr>
          <w:kern w:val="0"/>
        </w:rPr>
        <w:t xml:space="preserve">endossiers in de openbaarheid </w:t>
      </w:r>
      <w:r w:rsidR="00D2734C">
        <w:rPr>
          <w:kern w:val="0"/>
        </w:rPr>
        <w:t xml:space="preserve">mogen </w:t>
      </w:r>
      <w:r w:rsidRPr="00D147A7">
        <w:rPr>
          <w:kern w:val="0"/>
        </w:rPr>
        <w:t>worden gebracht? In zijn inspectieverslag over de West-Vlaamse openbare ziekenhuizenarchieven was dr</w:t>
      </w:r>
      <w:r w:rsidR="00D2734C">
        <w:rPr>
          <w:kern w:val="0"/>
        </w:rPr>
        <w:t>.</w:t>
      </w:r>
      <w:r w:rsidRPr="00D147A7">
        <w:rPr>
          <w:kern w:val="0"/>
        </w:rPr>
        <w:t xml:space="preserve"> Michel Nuyttens van mening dat patiënten</w:t>
      </w:r>
      <w:r w:rsidR="00D2734C">
        <w:rPr>
          <w:kern w:val="0"/>
        </w:rPr>
        <w:t>-</w:t>
      </w:r>
      <w:r w:rsidRPr="00D147A7">
        <w:rPr>
          <w:kern w:val="0"/>
        </w:rPr>
        <w:t>dossiers minstens 125 jaar oud moeten zijn alvorens ze vrij geconsulteerd mogen worden.</w:t>
      </w:r>
      <w:r w:rsidRPr="00D147A7">
        <w:rPr>
          <w:kern w:val="0"/>
          <w:vertAlign w:val="superscript"/>
        </w:rPr>
        <w:footnoteReference w:id="1282"/>
      </w:r>
      <w:r w:rsidRPr="00D147A7">
        <w:rPr>
          <w:kern w:val="0"/>
        </w:rPr>
        <w:t xml:space="preserve"> Het is een goede zaak dat </w:t>
      </w:r>
      <w:r w:rsidR="00D2734C">
        <w:rPr>
          <w:kern w:val="0"/>
        </w:rPr>
        <w:t>het</w:t>
      </w:r>
      <w:r w:rsidRPr="00D147A7">
        <w:rPr>
          <w:kern w:val="0"/>
        </w:rPr>
        <w:t xml:space="preserve"> aanvang</w:t>
      </w:r>
      <w:r w:rsidR="00D2734C">
        <w:rPr>
          <w:kern w:val="0"/>
        </w:rPr>
        <w:t>spunt</w:t>
      </w:r>
      <w:r w:rsidRPr="00D147A7">
        <w:rPr>
          <w:kern w:val="0"/>
        </w:rPr>
        <w:t xml:space="preserve"> van deze termijn in het schrijven aan de privacy</w:t>
      </w:r>
      <w:r w:rsidR="00D2734C">
        <w:rPr>
          <w:kern w:val="0"/>
        </w:rPr>
        <w:t>-</w:t>
      </w:r>
      <w:r w:rsidRPr="00D147A7">
        <w:rPr>
          <w:kern w:val="0"/>
        </w:rPr>
        <w:t>commissie naar de geboortedatum van de patiënt verlegd werd. Dat de termijn met 25 jaar werd opgetrokken, gebeurde wellicht onder druk van de Orde der geneesheren. Onlangs ver</w:t>
      </w:r>
      <w:r w:rsidR="00D2734C">
        <w:rPr>
          <w:kern w:val="0"/>
        </w:rPr>
        <w:t>-</w:t>
      </w:r>
      <w:r w:rsidRPr="00D147A7">
        <w:rPr>
          <w:kern w:val="0"/>
        </w:rPr>
        <w:t>trouwde de heer Nuyttens mij immers toe dat deze tijdspanne inderdaad nog wat lang is.</w:t>
      </w:r>
      <w:r w:rsidRPr="00D147A7">
        <w:rPr>
          <w:kern w:val="0"/>
          <w:vertAlign w:val="superscript"/>
        </w:rPr>
        <w:footnoteReference w:id="1283"/>
      </w:r>
      <w:r w:rsidRPr="00D147A7">
        <w:rPr>
          <w:kern w:val="0"/>
        </w:rPr>
        <w:t xml:space="preserve"> Bovendien wordt het beroepsgeheim in medische kringen als heilig beschouwd</w:t>
      </w:r>
      <w:r w:rsidRPr="00D147A7">
        <w:rPr>
          <w:kern w:val="0"/>
          <w:vertAlign w:val="superscript"/>
        </w:rPr>
        <w:footnoteReference w:id="1284"/>
      </w:r>
      <w:r w:rsidRPr="00D147A7">
        <w:rPr>
          <w:kern w:val="0"/>
        </w:rPr>
        <w:t>, waaraan (historisch) onderzoek ondergeschikt is. Hiervan getuigt het feit dat de Nationale Raad van de Orde der geneesheren er in zijn vergadering van 21 september 2002 voorzichtig op wees dat de mogelijkheid om patiëntendossiers in het Algemeen Rijksarchief te bewaren nader onder</w:t>
      </w:r>
      <w:r w:rsidR="00967506">
        <w:rPr>
          <w:kern w:val="0"/>
        </w:rPr>
        <w:t>-</w:t>
      </w:r>
      <w:r w:rsidRPr="00D147A7">
        <w:rPr>
          <w:kern w:val="0"/>
        </w:rPr>
        <w:t>zocht moest worden. Dat zij zich anno 2012 nog steeds niet over deze kwestie heeft uitgespro</w:t>
      </w:r>
      <w:r w:rsidR="00967506">
        <w:rPr>
          <w:kern w:val="0"/>
        </w:rPr>
        <w:t>-</w:t>
      </w:r>
      <w:r w:rsidRPr="00D147A7">
        <w:rPr>
          <w:kern w:val="0"/>
        </w:rPr>
        <w:t xml:space="preserve">ken, wekt (althans bij mij) geen verwondering op. Enkele regels verder valt immers te lezen </w:t>
      </w:r>
      <w:r w:rsidRPr="00D147A7">
        <w:rPr>
          <w:i/>
          <w:kern w:val="0"/>
        </w:rPr>
        <w:t>dat het</w:t>
      </w:r>
      <w:r w:rsidRPr="00D147A7">
        <w:rPr>
          <w:kern w:val="0"/>
        </w:rPr>
        <w:t xml:space="preserve"> </w:t>
      </w:r>
      <w:r w:rsidRPr="00D147A7">
        <w:rPr>
          <w:i/>
          <w:kern w:val="0"/>
        </w:rPr>
        <w:t>logistieke stockeringsprobleem zich door de informatisering van het ziekenhuisdossier spontaan zal oplossen</w:t>
      </w:r>
      <w:r w:rsidRPr="00D147A7">
        <w:rPr>
          <w:kern w:val="0"/>
        </w:rPr>
        <w:t xml:space="preserve"> (…).</w:t>
      </w:r>
      <w:r w:rsidRPr="00D147A7">
        <w:rPr>
          <w:kern w:val="0"/>
          <w:vertAlign w:val="superscript"/>
        </w:rPr>
        <w:footnoteReference w:id="1285"/>
      </w:r>
      <w:r w:rsidRPr="00D147A7">
        <w:rPr>
          <w:kern w:val="0"/>
        </w:rPr>
        <w:t xml:space="preserve"> De mogelijkheid om patiëntendossiers in het Algemeen Rijks</w:t>
      </w:r>
      <w:r w:rsidR="00967506">
        <w:rPr>
          <w:kern w:val="0"/>
        </w:rPr>
        <w:t>-</w:t>
      </w:r>
      <w:r w:rsidRPr="00D147A7">
        <w:rPr>
          <w:kern w:val="0"/>
        </w:rPr>
        <w:t>archief te bewaren, heeft dus enkel en alleen betrekking op de feitelijke bewaring (en niet de ontsluiting, laat staan de terbeschikkingstelling aan onderzoekers). Dat ziekenhuizen zelf geen vragende partij waren, heeft wellicht te maken met het feit dat de Nationale Raad zich reeds akkoord verklaard had met de uitbesteding van de bewaring van patiëntendossiers aan com</w:t>
      </w:r>
      <w:r w:rsidR="00967506">
        <w:rPr>
          <w:kern w:val="0"/>
        </w:rPr>
        <w:t>-</w:t>
      </w:r>
      <w:r w:rsidRPr="00D147A7">
        <w:rPr>
          <w:kern w:val="0"/>
        </w:rPr>
        <w:t>merciële archiveringsbedrijven.</w:t>
      </w:r>
      <w:r w:rsidRPr="00D147A7">
        <w:rPr>
          <w:kern w:val="0"/>
          <w:vertAlign w:val="superscript"/>
        </w:rPr>
        <w:footnoteReference w:id="1286"/>
      </w:r>
      <w:r w:rsidRPr="00D147A7">
        <w:rPr>
          <w:kern w:val="0"/>
        </w:rPr>
        <w:t xml:space="preserve"> </w:t>
      </w:r>
    </w:p>
    <w:p w:rsidR="000F560E" w:rsidRPr="00D147A7" w:rsidRDefault="000F560E" w:rsidP="000F560E">
      <w:pPr>
        <w:widowControl/>
        <w:suppressAutoHyphens w:val="0"/>
        <w:jc w:val="both"/>
        <w:rPr>
          <w:kern w:val="0"/>
        </w:rPr>
      </w:pPr>
      <w:r w:rsidRPr="00D147A7">
        <w:rPr>
          <w:kern w:val="0"/>
        </w:rPr>
        <w:t>De voorgestelde openbaarheidstermijn van 150 jaar is m.i. veel te lang! De dertigjarige be</w:t>
      </w:r>
      <w:r w:rsidR="00967506">
        <w:rPr>
          <w:kern w:val="0"/>
        </w:rPr>
        <w:t>-</w:t>
      </w:r>
      <w:r w:rsidRPr="00D147A7">
        <w:rPr>
          <w:kern w:val="0"/>
        </w:rPr>
        <w:t>waartermijn van patiëntendossiers vangt bij het laatste contact aan, dat in het uiterste geval de overlijdensdatum van de patiënt is. Uit cijfers van de Wereldgezondheidsorganisatie blijkt dat de gemiddelde levensverwachting in België 80 jaar is</w:t>
      </w:r>
      <w:r w:rsidRPr="00D147A7">
        <w:rPr>
          <w:kern w:val="0"/>
          <w:vertAlign w:val="superscript"/>
        </w:rPr>
        <w:footnoteReference w:id="1287"/>
      </w:r>
      <w:r w:rsidRPr="00D147A7">
        <w:rPr>
          <w:kern w:val="0"/>
        </w:rPr>
        <w:t xml:space="preserve">; </w:t>
      </w:r>
      <w:r w:rsidR="00967506">
        <w:rPr>
          <w:kern w:val="0"/>
        </w:rPr>
        <w:t xml:space="preserve">terwijl </w:t>
      </w:r>
      <w:r w:rsidRPr="00D147A7">
        <w:rPr>
          <w:kern w:val="0"/>
        </w:rPr>
        <w:t xml:space="preserve">de maximale levensduur </w:t>
      </w:r>
      <w:r w:rsidR="00967506" w:rsidRPr="00D147A7">
        <w:rPr>
          <w:kern w:val="0"/>
        </w:rPr>
        <w:t xml:space="preserve">volgens wetenschappelijke studies </w:t>
      </w:r>
      <w:r w:rsidRPr="00D147A7">
        <w:rPr>
          <w:kern w:val="0"/>
        </w:rPr>
        <w:t>115 jaar</w:t>
      </w:r>
      <w:r w:rsidR="00967506" w:rsidRPr="00967506">
        <w:rPr>
          <w:kern w:val="0"/>
        </w:rPr>
        <w:t xml:space="preserve"> </w:t>
      </w:r>
      <w:r w:rsidR="00967506" w:rsidRPr="00D147A7">
        <w:rPr>
          <w:kern w:val="0"/>
        </w:rPr>
        <w:t>bedraagt</w:t>
      </w:r>
      <w:r w:rsidRPr="00D147A7">
        <w:rPr>
          <w:kern w:val="0"/>
        </w:rPr>
        <w:t>.</w:t>
      </w:r>
      <w:r w:rsidRPr="00D147A7">
        <w:rPr>
          <w:kern w:val="0"/>
          <w:vertAlign w:val="superscript"/>
        </w:rPr>
        <w:footnoteReference w:id="1288"/>
      </w:r>
      <w:r w:rsidRPr="00D147A7">
        <w:rPr>
          <w:kern w:val="0"/>
        </w:rPr>
        <w:t xml:space="preserve"> Patiëntendossiers zouden dus 110 (80 + 30) of 115 jaar na de geboorte van de patiënt in kwestie ter beschikking van onderzoe</w:t>
      </w:r>
      <w:r w:rsidR="00967506">
        <w:rPr>
          <w:kern w:val="0"/>
        </w:rPr>
        <w:t>-</w:t>
      </w:r>
      <w:r w:rsidRPr="00D147A7">
        <w:rPr>
          <w:kern w:val="0"/>
        </w:rPr>
        <w:t xml:space="preserve">kers gesteld moeten kunnen worden. Hoewel de </w:t>
      </w:r>
      <w:r w:rsidRPr="00D147A7">
        <w:rPr>
          <w:rFonts w:eastAsiaTheme="minorEastAsia"/>
          <w:kern w:val="0"/>
          <w:lang w:eastAsia="en-US" w:bidi="ar-SA"/>
        </w:rPr>
        <w:t>Algemene Verordening Gegevensbescher</w:t>
      </w:r>
      <w:r w:rsidR="00967506">
        <w:rPr>
          <w:rFonts w:eastAsiaTheme="minorEastAsia"/>
          <w:kern w:val="0"/>
          <w:lang w:eastAsia="en-US" w:bidi="ar-SA"/>
        </w:rPr>
        <w:t>-</w:t>
      </w:r>
      <w:r w:rsidRPr="00D147A7">
        <w:rPr>
          <w:rFonts w:eastAsiaTheme="minorEastAsia"/>
          <w:kern w:val="0"/>
          <w:lang w:eastAsia="en-US" w:bidi="ar-SA"/>
        </w:rPr>
        <w:t>ming</w:t>
      </w:r>
      <w:r w:rsidRPr="00D147A7">
        <w:rPr>
          <w:kern w:val="0"/>
        </w:rPr>
        <w:t xml:space="preserve"> ervoor pleit om verwerkingen van persoonsgegevens enkel mogelijk te maken als de ex</w:t>
      </w:r>
      <w:r w:rsidR="00967506">
        <w:rPr>
          <w:kern w:val="0"/>
        </w:rPr>
        <w:t>-</w:t>
      </w:r>
      <w:r w:rsidRPr="00D147A7">
        <w:rPr>
          <w:kern w:val="0"/>
        </w:rPr>
        <w:lastRenderedPageBreak/>
        <w:t>pliciete toestemming bekomen wordt</w:t>
      </w:r>
      <w:r w:rsidRPr="00D147A7">
        <w:rPr>
          <w:kern w:val="0"/>
          <w:vertAlign w:val="superscript"/>
        </w:rPr>
        <w:footnoteReference w:id="1289"/>
      </w:r>
      <w:r w:rsidRPr="00D147A7">
        <w:rPr>
          <w:kern w:val="0"/>
        </w:rPr>
        <w:t>, moet er m.i. een uitzondering gemaakt worden voor de toestemming van de nabestaanden van de betrokken patiënten bij de verdere verwerking van patiëntendossiers voor historische, wetenschappelijke en statistische doeleinden. Onder</w:t>
      </w:r>
      <w:r w:rsidR="00967506">
        <w:rPr>
          <w:kern w:val="0"/>
        </w:rPr>
        <w:t>-</w:t>
      </w:r>
      <w:r w:rsidRPr="00D147A7">
        <w:rPr>
          <w:kern w:val="0"/>
        </w:rPr>
        <w:t>zoekers die kunnen aantonen dat de patiënten (wiens dossier zij wensen te verwerken) over</w:t>
      </w:r>
      <w:r w:rsidR="00967506">
        <w:rPr>
          <w:kern w:val="0"/>
        </w:rPr>
        <w:t>-</w:t>
      </w:r>
      <w:r w:rsidRPr="00D147A7">
        <w:rPr>
          <w:kern w:val="0"/>
        </w:rPr>
        <w:t>leden zijn, worden immers ook van de voorafgaandelijke machtiging van de afdeling Gezond</w:t>
      </w:r>
      <w:r w:rsidR="00967506">
        <w:rPr>
          <w:kern w:val="0"/>
        </w:rPr>
        <w:t>-</w:t>
      </w:r>
      <w:r w:rsidRPr="00D147A7">
        <w:rPr>
          <w:kern w:val="0"/>
        </w:rPr>
        <w:t>heid van het Sectoraal Comité van de Sociale Zekerheid en van de Gezondheid vrijgesteld.</w:t>
      </w:r>
      <w:r w:rsidRPr="00D147A7">
        <w:rPr>
          <w:kern w:val="0"/>
          <w:vertAlign w:val="superscript"/>
        </w:rPr>
        <w:footnoteReference w:id="1290"/>
      </w:r>
      <w:r w:rsidRPr="00D147A7">
        <w:rPr>
          <w:kern w:val="0"/>
        </w:rPr>
        <w:t xml:space="preserve"> Aan de verplichting om gezondheidsgegevens onder de verantwoordelijkheid van een be</w:t>
      </w:r>
      <w:r w:rsidR="00967506">
        <w:rPr>
          <w:kern w:val="0"/>
        </w:rPr>
        <w:t>-</w:t>
      </w:r>
      <w:r w:rsidRPr="00D147A7">
        <w:rPr>
          <w:kern w:val="0"/>
        </w:rPr>
        <w:t>roepsbeoefenaar in de gezondheidszorg te verwerken</w:t>
      </w:r>
      <w:r w:rsidRPr="00D147A7">
        <w:rPr>
          <w:kern w:val="0"/>
          <w:vertAlign w:val="superscript"/>
        </w:rPr>
        <w:footnoteReference w:id="1291"/>
      </w:r>
      <w:r w:rsidRPr="00D147A7">
        <w:rPr>
          <w:kern w:val="0"/>
        </w:rPr>
        <w:t>, kan daarentegen niet ontkomen worden.</w:t>
      </w:r>
      <w:r w:rsidRPr="00D147A7">
        <w:rPr>
          <w:kern w:val="0"/>
          <w:vertAlign w:val="superscript"/>
        </w:rPr>
        <w:footnoteReference w:id="1292"/>
      </w:r>
      <w:r w:rsidRPr="00D147A7">
        <w:rPr>
          <w:kern w:val="0"/>
        </w:rPr>
        <w:t xml:space="preserve"> </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kern w:val="0"/>
        </w:rPr>
      </w:pPr>
      <w:r w:rsidRPr="00D147A7">
        <w:rPr>
          <w:kern w:val="0"/>
        </w:rPr>
        <w:t xml:space="preserve">In theorie is het mogelijk dat openbare ziekenhuizen de patiëntendossiers </w:t>
      </w:r>
      <w:r w:rsidRPr="00D147A7">
        <w:rPr>
          <w:i/>
          <w:kern w:val="0"/>
        </w:rPr>
        <w:t>die geen nut meer hebben voor de administratie</w:t>
      </w:r>
      <w:r w:rsidRPr="00D147A7">
        <w:rPr>
          <w:kern w:val="0"/>
        </w:rPr>
        <w:t xml:space="preserve"> reeds vóór het verstrijken van de overdrachtstermijn naar het Rijksarchief overbrengen.</w:t>
      </w:r>
      <w:r w:rsidRPr="00D147A7">
        <w:rPr>
          <w:kern w:val="0"/>
          <w:vertAlign w:val="superscript"/>
        </w:rPr>
        <w:footnoteReference w:id="1293"/>
      </w:r>
      <w:r w:rsidRPr="00D147A7">
        <w:rPr>
          <w:kern w:val="0"/>
        </w:rPr>
        <w:t xml:space="preserve"> Ondanks het feit dat alle ziekenhuizen – zeker tot voor kort – een chronisch gebrek aan opslagruimte hadden, heeft geen enkel openbaar ziekenhuis beroep op de archiefwet gedaan om patiëntendossiers aan het Rijksarchief over te dragen i.p.v. de bewaring aan een gespecialiseerd archiveringsbedrijf uit te besteden. Ziekenhuizen moeten immers gedurende dertig jaar na het laatste contact met de patiënt op ieder ogenblik diens dossier kunnen raadplegen. Private ondernemingen die patiëntendossiers bewaren, moeten dan ook voor goede en regelmatige verbindingskanalen met het ziekenhuis zorgen. Enkel openbare ziekenhuizen die in de nabijheid van een Rijksarchief gelegen zijn, zouden in prin</w:t>
      </w:r>
      <w:r w:rsidR="00967506">
        <w:rPr>
          <w:kern w:val="0"/>
        </w:rPr>
        <w:t>-</w:t>
      </w:r>
      <w:r w:rsidRPr="00D147A7">
        <w:rPr>
          <w:kern w:val="0"/>
        </w:rPr>
        <w:t>cipe hun patiëntendossiers vroegtijdig kunnen overbrengen. Een andere reden waarom open</w:t>
      </w:r>
      <w:r w:rsidR="00967506">
        <w:rPr>
          <w:kern w:val="0"/>
        </w:rPr>
        <w:t>-</w:t>
      </w:r>
      <w:r w:rsidRPr="00D147A7">
        <w:rPr>
          <w:kern w:val="0"/>
        </w:rPr>
        <w:t>bare ziekenhuizen nimmer tot de vroegtijdige overdracht overgingen, is mogelijk (deels) aan de weifelachtige houding van de Nationale Raad van de Orde der geneesheren te wijten.</w:t>
      </w:r>
      <w:r w:rsidRPr="00D147A7">
        <w:rPr>
          <w:kern w:val="0"/>
          <w:vertAlign w:val="superscript"/>
        </w:rPr>
        <w:footnoteReference w:id="1294"/>
      </w:r>
      <w:r w:rsidRPr="00D147A7">
        <w:rPr>
          <w:kern w:val="0"/>
        </w:rPr>
        <w:t xml:space="preserve"> Het Rijksarchief is vooralsnog </w:t>
      </w:r>
      <w:r w:rsidRPr="00D147A7">
        <w:rPr>
          <w:i/>
          <w:kern w:val="0"/>
        </w:rPr>
        <w:t>een nobele onbekende</w:t>
      </w:r>
      <w:r w:rsidRPr="00D147A7">
        <w:rPr>
          <w:kern w:val="0"/>
        </w:rPr>
        <w:t xml:space="preserve"> in het ziekenhuismilieu</w:t>
      </w:r>
      <w:r w:rsidRPr="00D147A7">
        <w:rPr>
          <w:kern w:val="0"/>
          <w:vertAlign w:val="superscript"/>
        </w:rPr>
        <w:footnoteReference w:id="1295"/>
      </w:r>
      <w:r w:rsidRPr="00D147A7">
        <w:rPr>
          <w:kern w:val="0"/>
        </w:rPr>
        <w:t xml:space="preserve"> en moet zich volgens Michel Nuyttens beter profileren en meer op zijn strepen staan – zeker m.b.t. </w:t>
      </w:r>
      <w:r w:rsidRPr="00D147A7">
        <w:rPr>
          <w:i/>
          <w:kern w:val="0"/>
        </w:rPr>
        <w:t>het be</w:t>
      </w:r>
      <w:r w:rsidR="00967506">
        <w:rPr>
          <w:i/>
          <w:kern w:val="0"/>
        </w:rPr>
        <w:t>-</w:t>
      </w:r>
      <w:r w:rsidRPr="00D147A7">
        <w:rPr>
          <w:i/>
          <w:kern w:val="0"/>
        </w:rPr>
        <w:t xml:space="preserve">heer van het </w:t>
      </w:r>
      <w:r w:rsidRPr="00D147A7">
        <w:rPr>
          <w:rFonts w:eastAsiaTheme="minorEastAsia"/>
          <w:i/>
          <w:kern w:val="0"/>
          <w:lang w:eastAsia="en-US" w:bidi="ar-SA"/>
        </w:rPr>
        <w:t>archief van openbare instellingen, in casu openbare ziekenhuizen</w:t>
      </w:r>
      <w:r w:rsidRPr="00D147A7">
        <w:rPr>
          <w:kern w:val="0"/>
        </w:rPr>
        <w:t>.</w:t>
      </w:r>
      <w:r w:rsidRPr="00D147A7">
        <w:rPr>
          <w:kern w:val="0"/>
          <w:vertAlign w:val="superscript"/>
        </w:rPr>
        <w:footnoteReference w:id="1296"/>
      </w:r>
      <w:r w:rsidRPr="00D147A7">
        <w:rPr>
          <w:kern w:val="0"/>
        </w:rPr>
        <w:t xml:space="preserve"> Dit valt m.i. af te raden. Het belangrijkste bezwaar is de uitgestrektheid van ziekenhuisarchieven. Zo</w:t>
      </w:r>
      <w:r w:rsidR="00967506">
        <w:rPr>
          <w:kern w:val="0"/>
        </w:rPr>
        <w:t>-</w:t>
      </w:r>
      <w:r w:rsidRPr="00D147A7">
        <w:rPr>
          <w:kern w:val="0"/>
        </w:rPr>
        <w:t xml:space="preserve">lang de dertigjarige bewaartermijn niet verstreken is, mogen medische dossiers immers niet vernietigd worden. En het kan niet de bedoeling zijn dat het Rijksarchief zich met de schoning van patiëntendossiers moet bezig houden. Daarom heeft de wetgever bepaald dat archieven reeds </w:t>
      </w:r>
      <w:r w:rsidRPr="00D147A7">
        <w:rPr>
          <w:rFonts w:eastAsiaTheme="minorEastAsia"/>
          <w:kern w:val="0"/>
          <w:lang w:eastAsia="en-US" w:bidi="ar-SA"/>
        </w:rPr>
        <w:t>vóór de overbrenging aan een selectie onderworpen moeten worden.</w:t>
      </w:r>
      <w:r w:rsidRPr="00D147A7">
        <w:rPr>
          <w:rFonts w:eastAsiaTheme="minorEastAsia"/>
          <w:kern w:val="0"/>
          <w:vertAlign w:val="superscript"/>
          <w:lang w:eastAsia="en-US" w:bidi="ar-SA"/>
        </w:rPr>
        <w:footnoteReference w:id="1297"/>
      </w:r>
      <w:r w:rsidRPr="00D147A7">
        <w:rPr>
          <w:rFonts w:eastAsiaTheme="minorEastAsia"/>
          <w:kern w:val="0"/>
          <w:lang w:eastAsia="en-US" w:bidi="ar-SA"/>
        </w:rPr>
        <w:t xml:space="preserve"> </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kern w:val="0"/>
        </w:rPr>
      </w:pPr>
      <w:r w:rsidRPr="006D443A">
        <w:rPr>
          <w:kern w:val="0"/>
        </w:rPr>
        <w:t>Verder kunnen ook</w:t>
      </w:r>
      <w:r w:rsidRPr="006D443A">
        <w:rPr>
          <w:i/>
          <w:kern w:val="0"/>
        </w:rPr>
        <w:t xml:space="preserve"> personen en </w:t>
      </w:r>
      <w:r w:rsidRPr="006D443A">
        <w:rPr>
          <w:rFonts w:eastAsiaTheme="minorEastAsia"/>
          <w:i/>
          <w:kern w:val="0"/>
          <w:lang w:eastAsia="en-US" w:bidi="ar-SA"/>
        </w:rPr>
        <w:t>privaatrechtelijke vennootschappen of verenigingen</w:t>
      </w:r>
      <w:r w:rsidRPr="006D443A">
        <w:rPr>
          <w:rFonts w:eastAsiaTheme="minorEastAsia"/>
          <w:kern w:val="0"/>
          <w:vertAlign w:val="superscript"/>
          <w:lang w:eastAsia="en-US" w:bidi="ar-SA"/>
        </w:rPr>
        <w:footnoteReference w:id="1298"/>
      </w:r>
      <w:r w:rsidRPr="006D443A">
        <w:rPr>
          <w:rFonts w:eastAsiaTheme="minorEastAsia"/>
          <w:kern w:val="0"/>
          <w:lang w:eastAsia="en-US" w:bidi="ar-SA"/>
        </w:rPr>
        <w:t xml:space="preserve"> hun archieven na een periode van dertig jaar naar het Rijksarchief overbrengen, </w:t>
      </w:r>
      <w:r w:rsidRPr="006D443A">
        <w:rPr>
          <w:rFonts w:eastAsiaTheme="minorEastAsia"/>
          <w:i/>
          <w:kern w:val="0"/>
          <w:lang w:eastAsia="en-US" w:bidi="ar-SA"/>
        </w:rPr>
        <w:t>op grond van een bewaargeving, schenking of legaat</w:t>
      </w:r>
      <w:r w:rsidRPr="006D443A">
        <w:rPr>
          <w:rFonts w:eastAsiaTheme="minorEastAsia"/>
          <w:kern w:val="0"/>
          <w:lang w:eastAsia="en-US" w:bidi="ar-SA"/>
        </w:rPr>
        <w:t>.</w:t>
      </w:r>
      <w:r w:rsidRPr="006D443A">
        <w:rPr>
          <w:rFonts w:eastAsiaTheme="minorEastAsia"/>
          <w:kern w:val="0"/>
          <w:vertAlign w:val="superscript"/>
          <w:lang w:eastAsia="en-US" w:bidi="ar-SA"/>
        </w:rPr>
        <w:footnoteReference w:id="1299"/>
      </w:r>
      <w:r w:rsidRPr="006D443A">
        <w:rPr>
          <w:rFonts w:eastAsiaTheme="minorEastAsia"/>
          <w:kern w:val="0"/>
          <w:lang w:eastAsia="en-US" w:bidi="ar-SA"/>
        </w:rPr>
        <w:t xml:space="preserve"> </w:t>
      </w:r>
      <w:r w:rsidRPr="006D443A">
        <w:rPr>
          <w:kern w:val="0"/>
        </w:rPr>
        <w:t>In het geval van zelfstandige zorgverleners en privaat</w:t>
      </w:r>
      <w:r w:rsidR="006D443A">
        <w:rPr>
          <w:kern w:val="0"/>
        </w:rPr>
        <w:t>-</w:t>
      </w:r>
      <w:r w:rsidRPr="006D443A">
        <w:rPr>
          <w:kern w:val="0"/>
        </w:rPr>
        <w:t>rechtelijke zieken</w:t>
      </w:r>
      <w:r w:rsidRPr="00D147A7">
        <w:rPr>
          <w:kern w:val="0"/>
        </w:rPr>
        <w:t>huizen komen enkel bewaargevingen en schenkingen in aanmerking. Hoe</w:t>
      </w:r>
      <w:r w:rsidR="006D443A">
        <w:rPr>
          <w:kern w:val="0"/>
        </w:rPr>
        <w:t>-</w:t>
      </w:r>
      <w:r w:rsidRPr="00D147A7">
        <w:rPr>
          <w:kern w:val="0"/>
        </w:rPr>
        <w:t xml:space="preserve">wel in bewaring gegeven archieven door toedoen en op kosten van het Rijksarchief worden </w:t>
      </w:r>
      <w:r w:rsidRPr="00D147A7">
        <w:rPr>
          <w:kern w:val="0"/>
        </w:rPr>
        <w:lastRenderedPageBreak/>
        <w:t>overgebracht</w:t>
      </w:r>
      <w:r w:rsidRPr="00D147A7">
        <w:rPr>
          <w:kern w:val="0"/>
          <w:vertAlign w:val="superscript"/>
        </w:rPr>
        <w:footnoteReference w:id="1300"/>
      </w:r>
      <w:r w:rsidRPr="00D147A7">
        <w:rPr>
          <w:kern w:val="0"/>
        </w:rPr>
        <w:t xml:space="preserve">, is het mogelijk dat de bewaargevers moeten opdraaien voor de </w:t>
      </w:r>
      <w:r w:rsidRPr="00D147A7">
        <w:rPr>
          <w:i/>
          <w:kern w:val="0"/>
        </w:rPr>
        <w:t xml:space="preserve">kosten voor instandhouding, inventarisatie en verpakking, alsook de beheerskosten die tijdens de periode van bewaargeving werden gemaakt </w:t>
      </w:r>
      <w:r w:rsidRPr="00D147A7">
        <w:rPr>
          <w:kern w:val="0"/>
        </w:rPr>
        <w:t>(…).</w:t>
      </w:r>
      <w:r w:rsidRPr="00D147A7">
        <w:rPr>
          <w:kern w:val="0"/>
          <w:vertAlign w:val="superscript"/>
        </w:rPr>
        <w:footnoteReference w:id="1301"/>
      </w:r>
      <w:r w:rsidRPr="00D147A7">
        <w:rPr>
          <w:kern w:val="0"/>
        </w:rPr>
        <w:t xml:space="preserve"> Dit moet voorkomen dat de overbrenging naar het Rijksarchief tot een goedkoop alternatief herleid wordt voor de uitbesteding aan een privé onderneming. Als een privaatrechtelijk ziekenhuis of een onafhankelijke zorg</w:t>
      </w:r>
      <w:r w:rsidR="00967506">
        <w:rPr>
          <w:kern w:val="0"/>
        </w:rPr>
        <w:t>v</w:t>
      </w:r>
      <w:r w:rsidR="006D443A">
        <w:rPr>
          <w:kern w:val="0"/>
        </w:rPr>
        <w:t>erlener besluit om patiëntendos</w:t>
      </w:r>
      <w:r w:rsidRPr="00D147A7">
        <w:rPr>
          <w:kern w:val="0"/>
        </w:rPr>
        <w:t>siers aan het Rijksarchief te schenken, kan dit enkel nadat de wettelijke be</w:t>
      </w:r>
      <w:r w:rsidR="006D443A">
        <w:rPr>
          <w:kern w:val="0"/>
        </w:rPr>
        <w:t>-</w:t>
      </w:r>
      <w:r w:rsidRPr="00D147A7">
        <w:rPr>
          <w:kern w:val="0"/>
        </w:rPr>
        <w:t>waartermijn verstreken is. Dit is een droomscenario, daar er naar hartenlust vernietigd kan worden. Bovendien kan het Rijksarchief, als zij hiervoor niet over de nodige plaats of mid</w:t>
      </w:r>
      <w:r w:rsidR="006D443A">
        <w:rPr>
          <w:kern w:val="0"/>
        </w:rPr>
        <w:t>-</w:t>
      </w:r>
      <w:r w:rsidRPr="00D147A7">
        <w:rPr>
          <w:kern w:val="0"/>
        </w:rPr>
        <w:t>delen beschikt, de schenking niet aanvaarden.</w:t>
      </w:r>
      <w:r w:rsidRPr="00D147A7">
        <w:rPr>
          <w:kern w:val="0"/>
          <w:vertAlign w:val="superscript"/>
        </w:rPr>
        <w:footnoteReference w:id="1302"/>
      </w:r>
      <w:r w:rsidRPr="00D147A7">
        <w:rPr>
          <w:kern w:val="0"/>
        </w:rPr>
        <w:t xml:space="preserve"> </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kern w:val="0"/>
        </w:rPr>
      </w:pPr>
      <w:r w:rsidRPr="00D147A7">
        <w:rPr>
          <w:kern w:val="0"/>
        </w:rPr>
        <w:t xml:space="preserve">Het huisartsenberoep is geen openbare ambt. Jammer genoeg heeft de Belgische wetgever geen mogelijkheid voorzien om artsen de mogelijkheid te bieden om hun patiëntendossiers aan het Rijksarchief te schenken (nadat de bewaartermijn verstreken is). Huisartsen vormen echter de spil van de zorgverlening en hun archieven bieden </w:t>
      </w:r>
      <w:r w:rsidRPr="00D147A7">
        <w:rPr>
          <w:i/>
          <w:kern w:val="0"/>
        </w:rPr>
        <w:t>de facto</w:t>
      </w:r>
      <w:r w:rsidRPr="00D147A7">
        <w:rPr>
          <w:kern w:val="0"/>
        </w:rPr>
        <w:t xml:space="preserve"> de basis voor een goede blik op de Volksgezondheid</w:t>
      </w:r>
      <w:r w:rsidR="00967506">
        <w:rPr>
          <w:kern w:val="0"/>
        </w:rPr>
        <w:t>,</w:t>
      </w:r>
      <w:r w:rsidR="00967506" w:rsidRPr="00967506">
        <w:rPr>
          <w:kern w:val="0"/>
        </w:rPr>
        <w:t xml:space="preserve"> </w:t>
      </w:r>
      <w:r w:rsidR="00967506" w:rsidRPr="00D147A7">
        <w:rPr>
          <w:kern w:val="0"/>
        </w:rPr>
        <w:t>ter verrijking van de historische onderzoeksmogelijkheden in de toekomst</w:t>
      </w:r>
      <w:r w:rsidRPr="00D147A7">
        <w:rPr>
          <w:kern w:val="0"/>
        </w:rPr>
        <w:t>. Er moet</w:t>
      </w:r>
      <w:r w:rsidR="00967506">
        <w:rPr>
          <w:kern w:val="0"/>
        </w:rPr>
        <w:t xml:space="preserve">en selectiecriteria </w:t>
      </w:r>
      <w:r w:rsidRPr="00D147A7">
        <w:rPr>
          <w:kern w:val="0"/>
        </w:rPr>
        <w:t xml:space="preserve">gezocht worden </w:t>
      </w:r>
      <w:r w:rsidR="004C516F">
        <w:rPr>
          <w:kern w:val="0"/>
        </w:rPr>
        <w:t>m.b.t.</w:t>
      </w:r>
      <w:r w:rsidR="00967506">
        <w:rPr>
          <w:kern w:val="0"/>
        </w:rPr>
        <w:t xml:space="preserve"> </w:t>
      </w:r>
      <w:r w:rsidR="004C516F">
        <w:rPr>
          <w:kern w:val="0"/>
        </w:rPr>
        <w:t xml:space="preserve">de archieven van </w:t>
      </w:r>
      <w:r w:rsidR="00967506">
        <w:rPr>
          <w:kern w:val="0"/>
        </w:rPr>
        <w:t>huisartsen</w:t>
      </w:r>
      <w:r w:rsidR="004C516F">
        <w:rPr>
          <w:kern w:val="0"/>
        </w:rPr>
        <w:t>. We-gens het grote aantal huisartsen enerzijds en de immense omvang die hun archieven aanne-men, blijkt dit geen sinecure te zijn.</w:t>
      </w:r>
      <w:r w:rsidRPr="00D147A7">
        <w:rPr>
          <w:bCs/>
          <w:vertAlign w:val="superscript"/>
        </w:rPr>
        <w:footnoteReference w:id="1303"/>
      </w:r>
      <w:r w:rsidRPr="00D147A7">
        <w:rPr>
          <w:kern w:val="0"/>
        </w:rPr>
        <w:t xml:space="preserve"> Misschien moet de oplossing op dit vraagstuk gezocht worden in het scenario waarin huisartsen hun praktijk stopzetten, niet opgevolgd worden en hun patiëntendossiers door de bevoegde Provinciale Raad van de Orde der geneesheren in bewaring genomen worden. Dit gebeurt niet op basis van de wetgeving, maar aan de hand van de C.G.P.</w:t>
      </w:r>
      <w:r w:rsidRPr="00D147A7">
        <w:rPr>
          <w:bCs/>
          <w:vertAlign w:val="superscript"/>
        </w:rPr>
        <w:footnoteReference w:id="1304"/>
      </w:r>
      <w:r w:rsidRPr="00D147A7">
        <w:rPr>
          <w:kern w:val="0"/>
        </w:rPr>
        <w:t xml:space="preserve"> </w:t>
      </w:r>
      <w:r w:rsidR="004C516F">
        <w:rPr>
          <w:kern w:val="0"/>
        </w:rPr>
        <w:t>H</w:t>
      </w:r>
      <w:r w:rsidRPr="00D147A7">
        <w:rPr>
          <w:kern w:val="0"/>
        </w:rPr>
        <w:t xml:space="preserve">et is </w:t>
      </w:r>
      <w:r w:rsidR="004C516F">
        <w:rPr>
          <w:kern w:val="0"/>
        </w:rPr>
        <w:t xml:space="preserve">dan ook </w:t>
      </w:r>
      <w:r w:rsidRPr="00D147A7">
        <w:rPr>
          <w:kern w:val="0"/>
        </w:rPr>
        <w:t>gissen naar de invloed die deze bewaargeving op het statuut van deze patiëntendossiers heeft. Vooralsnog werd deze vraag nergens ge</w:t>
      </w:r>
      <w:r w:rsidR="004C516F">
        <w:rPr>
          <w:kern w:val="0"/>
        </w:rPr>
        <w:t>poneerd</w:t>
      </w:r>
      <w:r w:rsidRPr="00D147A7">
        <w:rPr>
          <w:kern w:val="0"/>
        </w:rPr>
        <w:t>, noch in de wetgeving noch in de rechtsleer (</w:t>
      </w:r>
      <w:r w:rsidRPr="00D147A7">
        <w:rPr>
          <w:i/>
          <w:kern w:val="0"/>
        </w:rPr>
        <w:t xml:space="preserve">ergo </w:t>
      </w:r>
      <w:r w:rsidRPr="00D147A7">
        <w:rPr>
          <w:kern w:val="0"/>
        </w:rPr>
        <w:t>ook niet in de rechtspraak).</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ind w:firstLine="708"/>
        <w:jc w:val="both"/>
        <w:rPr>
          <w:b/>
          <w:bCs/>
        </w:rPr>
      </w:pPr>
      <w:r w:rsidRPr="00D147A7">
        <w:rPr>
          <w:b/>
          <w:bCs/>
        </w:rPr>
        <w:t xml:space="preserve">Hoofdstuk 3: Vernietiging </w:t>
      </w:r>
    </w:p>
    <w:p w:rsidR="000F560E" w:rsidRPr="00D147A7" w:rsidRDefault="000F560E" w:rsidP="000F560E">
      <w:pPr>
        <w:widowControl/>
        <w:suppressAutoHyphens w:val="0"/>
        <w:ind w:left="708" w:firstLine="708"/>
        <w:jc w:val="both"/>
        <w:rPr>
          <w:bCs/>
        </w:rPr>
      </w:pPr>
    </w:p>
    <w:p w:rsidR="000F560E" w:rsidRPr="00D147A7" w:rsidRDefault="000F560E" w:rsidP="000F560E">
      <w:pPr>
        <w:widowControl/>
        <w:suppressAutoHyphens w:val="0"/>
        <w:ind w:left="708" w:firstLine="708"/>
        <w:jc w:val="both"/>
        <w:rPr>
          <w:b/>
          <w:bCs/>
        </w:rPr>
      </w:pPr>
      <w:r w:rsidRPr="00D147A7">
        <w:rPr>
          <w:b/>
          <w:bCs/>
        </w:rPr>
        <w:t>1. Vóór beëindiging bewaartermijn</w:t>
      </w:r>
    </w:p>
    <w:p w:rsidR="000F560E" w:rsidRPr="00D147A7" w:rsidRDefault="000F560E" w:rsidP="000F560E">
      <w:pPr>
        <w:widowControl/>
        <w:suppressAutoHyphens w:val="0"/>
        <w:jc w:val="both"/>
        <w:rPr>
          <w:b/>
          <w:bCs/>
          <w:smallCaps/>
        </w:rPr>
      </w:pPr>
    </w:p>
    <w:p w:rsidR="000F560E" w:rsidRPr="00D147A7" w:rsidRDefault="000F560E" w:rsidP="000F560E">
      <w:pPr>
        <w:widowControl/>
        <w:suppressAutoHyphens w:val="0"/>
        <w:jc w:val="both"/>
      </w:pPr>
      <w:r w:rsidRPr="00D147A7">
        <w:t>Zorgverleners zijn wettelijk verplicht om voor iedere patiënt een dossier te vormen, zorgvul</w:t>
      </w:r>
      <w:r w:rsidR="004C516F">
        <w:t>-</w:t>
      </w:r>
      <w:r w:rsidRPr="00D147A7">
        <w:t>dig bij te houden en veilig te bewaren.</w:t>
      </w:r>
      <w:r w:rsidRPr="00D147A7">
        <w:rPr>
          <w:vertAlign w:val="superscript"/>
        </w:rPr>
        <w:footnoteReference w:id="1305"/>
      </w:r>
      <w:r w:rsidRPr="00D147A7">
        <w:rPr>
          <w:vertAlign w:val="superscript"/>
        </w:rPr>
        <w:t xml:space="preserve"> </w:t>
      </w:r>
      <w:r w:rsidRPr="00D147A7">
        <w:t>Toch heeft de wetgever geen enkele sanctie voor</w:t>
      </w:r>
      <w:r w:rsidR="004C516F">
        <w:t>-</w:t>
      </w:r>
      <w:r w:rsidRPr="00D147A7">
        <w:t>zien voor het geval hier geen gevolg aan gegeven wordt.</w:t>
      </w:r>
      <w:r w:rsidRPr="00D147A7">
        <w:rPr>
          <w:vertAlign w:val="superscript"/>
        </w:rPr>
        <w:footnoteReference w:id="1306"/>
      </w:r>
      <w:r w:rsidRPr="00D147A7">
        <w:rPr>
          <w:vertAlign w:val="superscript"/>
        </w:rPr>
        <w:t xml:space="preserve"> </w:t>
      </w:r>
      <w:r w:rsidRPr="00D147A7">
        <w:t>Als een patiëntendossier geheel of gedeeltelijk verloren gaat of vernietigd wordt</w:t>
      </w:r>
      <w:r w:rsidRPr="00D147A7">
        <w:rPr>
          <w:vertAlign w:val="superscript"/>
        </w:rPr>
        <w:footnoteReference w:id="1307"/>
      </w:r>
      <w:r w:rsidRPr="00D147A7">
        <w:t xml:space="preserve">, moet er een beroep gedaan </w:t>
      </w:r>
      <w:r w:rsidR="004C516F" w:rsidRPr="00D147A7">
        <w:t xml:space="preserve">worden </w:t>
      </w:r>
      <w:r w:rsidRPr="00D147A7">
        <w:t>op de algemene, burgerrechtelijke aansprakelijkheidsregels.</w:t>
      </w:r>
      <w:r w:rsidRPr="00D147A7">
        <w:rPr>
          <w:vertAlign w:val="superscript"/>
        </w:rPr>
        <w:footnoteReference w:id="1308"/>
      </w:r>
      <w:r w:rsidRPr="00D147A7">
        <w:t xml:space="preserve"> Een beroepsbeoefenaar die geen of een onvolledig patiëntendossier aanlegt en/of bewaart, handelt immers niet als een zorgvul</w:t>
      </w:r>
      <w:r w:rsidR="004C516F">
        <w:t>-</w:t>
      </w:r>
      <w:r w:rsidRPr="00D147A7">
        <w:lastRenderedPageBreak/>
        <w:t>dige zorgverlener</w:t>
      </w:r>
      <w:r w:rsidRPr="00D147A7">
        <w:rPr>
          <w:vertAlign w:val="superscript"/>
        </w:rPr>
        <w:footnoteReference w:id="1309"/>
      </w:r>
      <w:r w:rsidRPr="00D147A7">
        <w:rPr>
          <w:vertAlign w:val="superscript"/>
        </w:rPr>
        <w:t xml:space="preserve"> </w:t>
      </w:r>
      <w:r w:rsidRPr="00D147A7">
        <w:t>en begaat een fout door meerdere wettelijke verplichtingen niet na te ko</w:t>
      </w:r>
      <w:r w:rsidR="004C516F">
        <w:t>-</w:t>
      </w:r>
      <w:r w:rsidRPr="00D147A7">
        <w:t>men. De berokkende schade kan op de zorgverlener verhaald worden als de patiënt een cau</w:t>
      </w:r>
      <w:r w:rsidR="004C516F">
        <w:t>-</w:t>
      </w:r>
      <w:r w:rsidRPr="00D147A7">
        <w:t>saal verband tussen fout en schade kan aantonen.</w:t>
      </w:r>
      <w:r w:rsidRPr="00D147A7">
        <w:rPr>
          <w:vertAlign w:val="superscript"/>
        </w:rPr>
        <w:footnoteReference w:id="1310"/>
      </w:r>
      <w:r w:rsidRPr="00D147A7">
        <w:t xml:space="preserve"> Het niet (correct) bijhouden en/of bewa</w:t>
      </w:r>
      <w:r w:rsidR="004C516F">
        <w:t>-</w:t>
      </w:r>
      <w:r w:rsidRPr="00D147A7">
        <w:t>ren van het patiëntendossier kan een patiënt verschillende nade</w:t>
      </w:r>
      <w:r w:rsidR="004C516F">
        <w:t>len</w:t>
      </w:r>
      <w:r w:rsidRPr="00D147A7">
        <w:t xml:space="preserve"> berokkenen: zijn behande</w:t>
      </w:r>
      <w:r w:rsidR="004C516F">
        <w:t>-</w:t>
      </w:r>
      <w:r w:rsidRPr="00D147A7">
        <w:t>ling kan belemmerd worden</w:t>
      </w:r>
      <w:r w:rsidRPr="00D147A7">
        <w:rPr>
          <w:vertAlign w:val="superscript"/>
        </w:rPr>
        <w:footnoteReference w:id="1311"/>
      </w:r>
      <w:r w:rsidRPr="00D147A7">
        <w:t>, zijn recht op inzage in en afschrift van het patiëntendossier wordt bemoeilijkt of belet, bepaalde vermogensrechtelijke aanspraken van de patiënt of diens erfgena(a)m(en) worden verhinderd of gecompliceerd en potentiële aanspraken op schadever</w:t>
      </w:r>
      <w:r w:rsidR="004C516F">
        <w:t>-</w:t>
      </w:r>
      <w:r w:rsidRPr="00D147A7">
        <w:t>goeding wegens medische fouten worden ernstig in het gedrang gebracht (de zgn. verlies-van-een-kans-theorie</w:t>
      </w:r>
      <w:r w:rsidRPr="00D147A7">
        <w:rPr>
          <w:vertAlign w:val="superscript"/>
        </w:rPr>
        <w:footnoteReference w:id="1312"/>
      </w:r>
      <w:r w:rsidRPr="00D147A7">
        <w:t>).</w:t>
      </w:r>
      <w:r w:rsidRPr="00D147A7">
        <w:rPr>
          <w:vertAlign w:val="superscript"/>
        </w:rPr>
        <w:footnoteReference w:id="1313"/>
      </w:r>
      <w:r w:rsidRPr="00D147A7">
        <w:t xml:space="preserve"> Los van deze materiële schade kan de patiënt wiens patiëntendossier (gedeeltelijk) ontbreekt ook aanspraak maken op een morele schadevergoeding. Bovendien kan een arts die zijn dossierplicht niet nauw neemt ook nog tuchtrechtelijk veroordeeld wor</w:t>
      </w:r>
      <w:r w:rsidR="004C516F">
        <w:t>-</w:t>
      </w:r>
      <w:r w:rsidRPr="00D147A7">
        <w:t>den.</w:t>
      </w:r>
    </w:p>
    <w:p w:rsidR="000F560E" w:rsidRPr="00D147A7" w:rsidRDefault="000F560E" w:rsidP="000F560E">
      <w:pPr>
        <w:widowControl/>
        <w:suppressAutoHyphens w:val="0"/>
        <w:jc w:val="both"/>
        <w:rPr>
          <w:color w:val="00B050"/>
        </w:rPr>
      </w:pPr>
    </w:p>
    <w:p w:rsidR="000F560E" w:rsidRPr="00D147A7" w:rsidRDefault="000F560E" w:rsidP="000F560E">
      <w:pPr>
        <w:widowControl/>
        <w:suppressAutoHyphens w:val="0"/>
        <w:jc w:val="both"/>
      </w:pPr>
      <w:r w:rsidRPr="00D147A7">
        <w:t>Hoewel in de wetgeving niets over tussentijds vernietigingen van patiëntendossiers is opgeno</w:t>
      </w:r>
      <w:r w:rsidR="004C516F">
        <w:t>-</w:t>
      </w:r>
      <w:r w:rsidRPr="00D147A7">
        <w:t>men, acht de Nationale Raad van de Orde der geneesheren het niet onmogelijk dat zorgverle</w:t>
      </w:r>
      <w:r w:rsidR="004C516F">
        <w:t>-</w:t>
      </w:r>
      <w:r w:rsidRPr="00D147A7">
        <w:t>ners – zij het in samenwerking en in overleg met de medische raad van het ziekenhuis – na tien jaar patiëntendossiers ‘ventileren’.</w:t>
      </w:r>
      <w:r w:rsidRPr="00D147A7">
        <w:rPr>
          <w:vertAlign w:val="superscript"/>
        </w:rPr>
        <w:footnoteReference w:id="1314"/>
      </w:r>
      <w:r w:rsidRPr="00D147A7">
        <w:t xml:space="preserve"> Het moet opgemerkt worden dat het begrip ‘venti</w:t>
      </w:r>
      <w:r w:rsidR="004C516F">
        <w:t>-</w:t>
      </w:r>
      <w:r w:rsidRPr="00D147A7">
        <w:t>leren’ veelomvattender is dan de term ‘schonen’. Tijdens het ‘ventileren’ van een patiënten</w:t>
      </w:r>
      <w:r w:rsidR="004C516F">
        <w:t>-</w:t>
      </w:r>
      <w:r w:rsidRPr="00D147A7">
        <w:t>dossier worden niet enkel blanco papieren, versies en dubbels, maar alle door de behande</w:t>
      </w:r>
      <w:r w:rsidR="004C516F">
        <w:t>-</w:t>
      </w:r>
      <w:r w:rsidRPr="00D147A7">
        <w:t>lende arts opgestelde documenten verwijderd. Enkel het definitieve ontslagrapport – waarin alle nodige gegevens voor de verdere zorgverlening opgenomen zijn</w:t>
      </w:r>
      <w:r w:rsidRPr="00D147A7">
        <w:rPr>
          <w:vertAlign w:val="superscript"/>
        </w:rPr>
        <w:footnoteReference w:id="1315"/>
      </w:r>
      <w:r w:rsidRPr="00D147A7">
        <w:t xml:space="preserve"> – en de bescheiden die door andere raadgevende artsen werden opgesteld, moeten bewaard blijven.</w:t>
      </w:r>
      <w:r w:rsidRPr="00D147A7">
        <w:rPr>
          <w:vertAlign w:val="superscript"/>
        </w:rPr>
        <w:footnoteReference w:id="1316"/>
      </w:r>
      <w:r w:rsidRPr="00D147A7">
        <w:t xml:space="preserve"> Dat de Na</w:t>
      </w:r>
      <w:r w:rsidR="004C516F">
        <w:t>-</w:t>
      </w:r>
      <w:r w:rsidRPr="00D147A7">
        <w:t>tionale Raad op een ander tijdstip zorgverleners aanmaant om ook elektro-encefalografische tracés en röntgenfoto’s dertig jaar te bewaren</w:t>
      </w:r>
      <w:r w:rsidRPr="00D147A7">
        <w:rPr>
          <w:vertAlign w:val="superscript"/>
        </w:rPr>
        <w:footnoteReference w:id="1317"/>
      </w:r>
      <w:r w:rsidRPr="00D147A7">
        <w:t xml:space="preserve">, toont aan dat haar adviezen niet altijd even consistent zijn. </w:t>
      </w:r>
    </w:p>
    <w:p w:rsidR="000F560E" w:rsidRPr="00D147A7" w:rsidRDefault="000F560E" w:rsidP="000F560E">
      <w:pPr>
        <w:widowControl/>
        <w:suppressAutoHyphens w:val="0"/>
        <w:jc w:val="both"/>
        <w:rPr>
          <w:bCs/>
          <w:highlight w:val="green"/>
        </w:rPr>
      </w:pPr>
    </w:p>
    <w:p w:rsidR="000F560E" w:rsidRPr="00DE5D2F" w:rsidRDefault="000F560E" w:rsidP="000F560E">
      <w:pPr>
        <w:widowControl/>
        <w:suppressAutoHyphens w:val="0"/>
        <w:jc w:val="both"/>
      </w:pPr>
      <w:r w:rsidRPr="00D147A7">
        <w:rPr>
          <w:bCs/>
        </w:rPr>
        <w:t xml:space="preserve">Als een ziekenhuis </w:t>
      </w:r>
      <w:r w:rsidR="004C516F">
        <w:rPr>
          <w:bCs/>
        </w:rPr>
        <w:t>over de</w:t>
      </w:r>
      <w:r w:rsidRPr="00D147A7">
        <w:rPr>
          <w:bCs/>
        </w:rPr>
        <w:t xml:space="preserve"> nodige </w:t>
      </w:r>
      <w:r w:rsidR="004C516F">
        <w:rPr>
          <w:bCs/>
        </w:rPr>
        <w:t>financiële middelen</w:t>
      </w:r>
      <w:r w:rsidRPr="00D147A7">
        <w:rPr>
          <w:bCs/>
        </w:rPr>
        <w:t xml:space="preserve"> </w:t>
      </w:r>
      <w:r w:rsidR="004C516F">
        <w:rPr>
          <w:bCs/>
        </w:rPr>
        <w:t>beschikt</w:t>
      </w:r>
      <w:r w:rsidRPr="00D147A7">
        <w:rPr>
          <w:bCs/>
        </w:rPr>
        <w:t xml:space="preserve"> om patiëntendossiers daad</w:t>
      </w:r>
      <w:r w:rsidR="00DE5D2F">
        <w:rPr>
          <w:bCs/>
        </w:rPr>
        <w:t>-</w:t>
      </w:r>
      <w:r w:rsidRPr="00D147A7">
        <w:rPr>
          <w:bCs/>
        </w:rPr>
        <w:t xml:space="preserve">werkelijk te ventileren (wat weinig waarschijnlijk is), lijkt het aangewezen dat zij hiervoor </w:t>
      </w:r>
      <w:r w:rsidRPr="00D147A7">
        <w:rPr>
          <w:bCs/>
        </w:rPr>
        <w:lastRenderedPageBreak/>
        <w:t>eerst eenduidige regels vastleggen die het ‘ventilatieproces’ stroomlijnen. Daarbij zouden zorgverleners in samenspraak met de hoofdgeneesheer en de archiefbeheerders van het zie</w:t>
      </w:r>
      <w:r w:rsidR="00DE5D2F">
        <w:rPr>
          <w:bCs/>
        </w:rPr>
        <w:t>-</w:t>
      </w:r>
      <w:r w:rsidRPr="00D147A7">
        <w:rPr>
          <w:bCs/>
        </w:rPr>
        <w:t>kenhuis in kwestie alle documenten van het patiëntendossier die voor vroegtijdige vernieti</w:t>
      </w:r>
      <w:r w:rsidR="00DE5D2F">
        <w:rPr>
          <w:bCs/>
        </w:rPr>
        <w:t>-</w:t>
      </w:r>
      <w:r w:rsidRPr="00D147A7">
        <w:rPr>
          <w:bCs/>
        </w:rPr>
        <w:t>ging in aanmerking komen in een (preselectie)lijst op moeten nemen. Deze lijst kan dan als richtlijn dienen voor het archiefpersoneel bij het daadwerkelijk ventileren van de patiënten</w:t>
      </w:r>
      <w:r w:rsidR="00DE5D2F">
        <w:rPr>
          <w:bCs/>
        </w:rPr>
        <w:t>-</w:t>
      </w:r>
      <w:r w:rsidRPr="00D147A7">
        <w:rPr>
          <w:bCs/>
        </w:rPr>
        <w:t xml:space="preserve">dossiers. Dit zou de efficiëntie van het archiefbeheer van ziekenhuizen bevorderen, daar de verantwoordelijke geneesheer niet bij elke ventilatie zijn goedkeuring </w:t>
      </w:r>
      <w:r w:rsidR="00DE5D2F">
        <w:rPr>
          <w:bCs/>
        </w:rPr>
        <w:t xml:space="preserve">zou </w:t>
      </w:r>
      <w:r w:rsidRPr="00D147A7">
        <w:rPr>
          <w:bCs/>
        </w:rPr>
        <w:t>moet</w:t>
      </w:r>
      <w:r w:rsidR="00DE5D2F">
        <w:rPr>
          <w:bCs/>
        </w:rPr>
        <w:t>en</w:t>
      </w:r>
      <w:r w:rsidRPr="00D147A7">
        <w:rPr>
          <w:bCs/>
        </w:rPr>
        <w:t xml:space="preserve"> verle</w:t>
      </w:r>
      <w:r w:rsidR="00DE5D2F">
        <w:rPr>
          <w:bCs/>
        </w:rPr>
        <w:t>-</w:t>
      </w:r>
      <w:r w:rsidRPr="00D147A7">
        <w:rPr>
          <w:bCs/>
        </w:rPr>
        <w:t>nen.</w:t>
      </w:r>
      <w:r w:rsidRPr="00D147A7">
        <w:rPr>
          <w:bCs/>
          <w:vertAlign w:val="superscript"/>
        </w:rPr>
        <w:footnoteReference w:id="1318"/>
      </w:r>
      <w:r w:rsidRPr="00D147A7">
        <w:t xml:space="preserve"> Toch blijft het een zeer </w:t>
      </w:r>
      <w:r w:rsidR="00DE5D2F">
        <w:t>tijdrovend werk</w:t>
      </w:r>
      <w:r w:rsidRPr="00D147A7">
        <w:t>. Bij iedere gedeelteli</w:t>
      </w:r>
      <w:r w:rsidR="00DE5D2F">
        <w:t>jke vernietiging van een patiënt</w:t>
      </w:r>
      <w:r w:rsidRPr="00D147A7">
        <w:t>endossier moet de verantwoordelijke voor de verwerking (</w:t>
      </w:r>
      <w:r w:rsidRPr="00D147A7">
        <w:rPr>
          <w:i/>
          <w:iCs/>
        </w:rPr>
        <w:t xml:space="preserve">in casu </w:t>
      </w:r>
      <w:r w:rsidRPr="00D147A7">
        <w:t>de hoofdgeneesheer) de betrokke</w:t>
      </w:r>
      <w:r w:rsidR="00DE5D2F">
        <w:t>ne hiervan op de hoogte brengen</w:t>
      </w:r>
      <w:r w:rsidRPr="00D147A7">
        <w:t xml:space="preserve"> zodat deze de mogelijkheid heeft om zich hier</w:t>
      </w:r>
      <w:r w:rsidR="00DE5D2F">
        <w:t>-</w:t>
      </w:r>
      <w:r w:rsidRPr="00D147A7">
        <w:t>tegen te verzetten.</w:t>
      </w:r>
      <w:r w:rsidRPr="00D147A7">
        <w:rPr>
          <w:vertAlign w:val="superscript"/>
        </w:rPr>
        <w:footnoteReference w:id="1319"/>
      </w:r>
      <w:r w:rsidRPr="00D147A7">
        <w:t xml:space="preserve"> Als een patiënt zich effectief tegen dergelijke ventilatie kant, kunnen de bescheiden die voor vernietiging in aanmerking komen aan de patiënt worden overhan</w:t>
      </w:r>
      <w:r w:rsidR="00DE5D2F">
        <w:t>-</w:t>
      </w:r>
      <w:r w:rsidRPr="00D147A7">
        <w:t>digd.</w:t>
      </w:r>
      <w:r w:rsidRPr="00D147A7">
        <w:rPr>
          <w:vertAlign w:val="superscript"/>
        </w:rPr>
        <w:footnoteReference w:id="1320"/>
      </w:r>
      <w:r w:rsidRPr="00D147A7">
        <w:t xml:space="preserve"> Deze hypothese is evenwel niet realistisch zolang de (vroegtijdige) vernietiging niet automatisch kan gebeuren.</w:t>
      </w:r>
    </w:p>
    <w:p w:rsidR="000F560E" w:rsidRPr="00D147A7" w:rsidRDefault="000F560E" w:rsidP="000F560E">
      <w:pPr>
        <w:widowControl/>
        <w:suppressAutoHyphens w:val="0"/>
        <w:jc w:val="both"/>
        <w:rPr>
          <w:b/>
          <w:bCs/>
          <w:smallCaps/>
        </w:rPr>
      </w:pPr>
    </w:p>
    <w:p w:rsidR="000F560E" w:rsidRPr="00D147A7" w:rsidRDefault="000F560E" w:rsidP="000F560E">
      <w:pPr>
        <w:widowControl/>
        <w:suppressAutoHyphens w:val="0"/>
        <w:ind w:left="708" w:firstLine="708"/>
        <w:jc w:val="both"/>
        <w:rPr>
          <w:b/>
          <w:bCs/>
        </w:rPr>
      </w:pPr>
      <w:r w:rsidRPr="00D147A7">
        <w:rPr>
          <w:b/>
          <w:bCs/>
        </w:rPr>
        <w:t>2. Tijdens of na beëindiging bewaartermijn</w:t>
      </w:r>
    </w:p>
    <w:p w:rsidR="000F560E" w:rsidRPr="00D147A7" w:rsidRDefault="000F560E" w:rsidP="000F560E">
      <w:pPr>
        <w:widowControl/>
        <w:suppressAutoHyphens w:val="0"/>
        <w:jc w:val="both"/>
        <w:rPr>
          <w:b/>
          <w:bCs/>
          <w:smallCaps/>
        </w:rPr>
      </w:pPr>
    </w:p>
    <w:p w:rsidR="000F560E" w:rsidRPr="00D147A7" w:rsidRDefault="000F560E" w:rsidP="000F560E">
      <w:pPr>
        <w:widowControl/>
        <w:suppressAutoHyphens w:val="0"/>
        <w:jc w:val="both"/>
        <w:rPr>
          <w:bCs/>
        </w:rPr>
      </w:pPr>
      <w:r w:rsidRPr="000B0567">
        <w:t>Hoewel de wettelijke bewaartermijn in principe als minimumnorm moet doorgaan, fungeert deze in België voor patiëntendossiers in de praktijk veeleer als maximumtermijn. Zodra de bewaartermijn verstreken is, worden patiëntendossiers doorgaans gewoon vernietigd.</w:t>
      </w:r>
      <w:r w:rsidRPr="000B0567">
        <w:rPr>
          <w:vertAlign w:val="superscript"/>
        </w:rPr>
        <w:footnoteReference w:id="1321"/>
      </w:r>
      <w:r w:rsidRPr="000B0567">
        <w:t xml:space="preserve"> In navolging van de privacywet mogen persoonsgegevens, </w:t>
      </w:r>
      <w:r w:rsidRPr="000B0567">
        <w:rPr>
          <w:i/>
        </w:rPr>
        <w:t xml:space="preserve">in een vorm die het mogelijk maakt de betrokkenen te identificeren, niet langer </w:t>
      </w:r>
      <w:r w:rsidRPr="000B0567">
        <w:t>(…)</w:t>
      </w:r>
      <w:r w:rsidRPr="000B0567">
        <w:rPr>
          <w:i/>
        </w:rPr>
        <w:t xml:space="preserve"> worden bewaard dan voor de verwezenlijking van de doeleinden waarvoor zij worden verkregen of verder worden verwerkt, noodzakelijk is</w:t>
      </w:r>
      <w:r w:rsidRPr="000B0567">
        <w:t>.</w:t>
      </w:r>
      <w:r w:rsidRPr="000B0567">
        <w:rPr>
          <w:vertAlign w:val="superscript"/>
        </w:rPr>
        <w:footnoteReference w:id="1322"/>
      </w:r>
      <w:r w:rsidRPr="000B0567">
        <w:t xml:space="preserve"> Toch kunnen openbare ziekenhuizen niet zomaar tot vernietiging overgaan. </w:t>
      </w:r>
      <w:r w:rsidRPr="000B0567">
        <w:rPr>
          <w:bCs/>
        </w:rPr>
        <w:t>Zij moeten hier</w:t>
      </w:r>
      <w:r w:rsidR="000B0567">
        <w:rPr>
          <w:bCs/>
        </w:rPr>
        <w:t>voor</w:t>
      </w:r>
      <w:r w:rsidRPr="000B0567">
        <w:rPr>
          <w:bCs/>
        </w:rPr>
        <w:t xml:space="preserve"> eerst de schriftelijke toestemming van de Algemene Rijksarchivaris of diens gemach</w:t>
      </w:r>
      <w:r w:rsidR="000B0567">
        <w:rPr>
          <w:bCs/>
        </w:rPr>
        <w:t>-</w:t>
      </w:r>
      <w:r w:rsidRPr="000B0567">
        <w:rPr>
          <w:bCs/>
        </w:rPr>
        <w:t>tigde bekomen, ook als de administratieve bewaartermijn verstreken is en men op basis van de selectielijst vernietigt.</w:t>
      </w:r>
      <w:r w:rsidRPr="000B0567">
        <w:rPr>
          <w:bCs/>
          <w:vertAlign w:val="superscript"/>
        </w:rPr>
        <w:footnoteReference w:id="1323"/>
      </w:r>
      <w:r w:rsidRPr="000B0567">
        <w:rPr>
          <w:bCs/>
        </w:rPr>
        <w:t xml:space="preserve"> De enige uitzondering betreft het schonen van patiëntendossiers, waarbij blanco documenten, versies en kopieën vernietigd worden. In alle andere gevallen moet een verklaring van vernietiging opgesteld worden, waarin de goedkeuring van de Alge</w:t>
      </w:r>
      <w:r w:rsidR="000B0567">
        <w:rPr>
          <w:bCs/>
        </w:rPr>
        <w:t>-</w:t>
      </w:r>
      <w:r w:rsidRPr="000B0567">
        <w:rPr>
          <w:bCs/>
        </w:rPr>
        <w:t>mene Rijksarchivaris (of diens gemachtigde) opgenomen wordt en gespecifieerd wordt welke bescheiden, op welke wijze, op basis waarvan vernietigd werden.</w:t>
      </w:r>
      <w:r w:rsidRPr="000B0567">
        <w:rPr>
          <w:bCs/>
          <w:vertAlign w:val="superscript"/>
        </w:rPr>
        <w:footnoteReference w:id="1324"/>
      </w:r>
      <w:r w:rsidRPr="000B0567">
        <w:rPr>
          <w:bCs/>
        </w:rPr>
        <w:t xml:space="preserve"> Deze verklaringen wor</w:t>
      </w:r>
      <w:r w:rsidR="000B0567">
        <w:rPr>
          <w:bCs/>
        </w:rPr>
        <w:t>-</w:t>
      </w:r>
      <w:r w:rsidRPr="000B0567">
        <w:rPr>
          <w:bCs/>
        </w:rPr>
        <w:t xml:space="preserve">den mee overgedragen naar het Rijksarchief, daar ze </w:t>
      </w:r>
      <w:r w:rsidR="000B0567">
        <w:rPr>
          <w:bCs/>
        </w:rPr>
        <w:t>aantonen</w:t>
      </w:r>
      <w:r w:rsidRPr="000B0567">
        <w:rPr>
          <w:bCs/>
        </w:rPr>
        <w:t xml:space="preserve"> wat er ooit bestaan heeft.</w:t>
      </w:r>
      <w:r w:rsidRPr="000B0567">
        <w:rPr>
          <w:bCs/>
          <w:vertAlign w:val="superscript"/>
        </w:rPr>
        <w:footnoteReference w:id="1325"/>
      </w:r>
    </w:p>
    <w:p w:rsidR="000F560E" w:rsidRPr="00D147A7" w:rsidRDefault="000F560E" w:rsidP="000F560E">
      <w:pPr>
        <w:widowControl/>
        <w:suppressAutoHyphens w:val="0"/>
        <w:jc w:val="both"/>
        <w:rPr>
          <w:bCs/>
        </w:rPr>
      </w:pPr>
      <w:r w:rsidRPr="00D147A7">
        <w:rPr>
          <w:bCs/>
        </w:rPr>
        <w:t xml:space="preserve">Alvorens overgebrachte archiefbescheiden vernietigd mogen worden, moet het Rijksarchief </w:t>
      </w:r>
      <w:r w:rsidR="000B0567">
        <w:rPr>
          <w:bCs/>
        </w:rPr>
        <w:t xml:space="preserve">op zijn beurt </w:t>
      </w:r>
      <w:r w:rsidRPr="00D147A7">
        <w:rPr>
          <w:bCs/>
        </w:rPr>
        <w:t>de toestemming van de archiefvormende overheidsinstelling bekomen.</w:t>
      </w:r>
      <w:r w:rsidRPr="00D147A7">
        <w:rPr>
          <w:bCs/>
          <w:vertAlign w:val="superscript"/>
        </w:rPr>
        <w:footnoteReference w:id="1326"/>
      </w:r>
      <w:r w:rsidRPr="00D147A7">
        <w:rPr>
          <w:bCs/>
        </w:rPr>
        <w:t xml:space="preserve"> </w:t>
      </w:r>
    </w:p>
    <w:p w:rsidR="000F560E" w:rsidRPr="00D147A7" w:rsidRDefault="000F560E" w:rsidP="000F560E">
      <w:pPr>
        <w:widowControl/>
        <w:suppressAutoHyphens w:val="0"/>
        <w:jc w:val="both"/>
        <w:rPr>
          <w:bCs/>
        </w:rPr>
      </w:pPr>
    </w:p>
    <w:p w:rsidR="000F560E" w:rsidRPr="00D147A7" w:rsidRDefault="000F560E" w:rsidP="000F560E">
      <w:pPr>
        <w:widowControl/>
        <w:suppressAutoHyphens w:val="0"/>
        <w:spacing w:after="200" w:line="276" w:lineRule="auto"/>
        <w:jc w:val="center"/>
        <w:rPr>
          <w:rFonts w:eastAsiaTheme="minorEastAsia"/>
          <w:kern w:val="0"/>
          <w:sz w:val="22"/>
          <w:szCs w:val="22"/>
          <w:lang w:eastAsia="en-US" w:bidi="ar-SA"/>
        </w:rPr>
      </w:pPr>
      <w:r w:rsidRPr="00D147A7">
        <w:rPr>
          <w:rFonts w:eastAsiaTheme="minorEastAsia"/>
          <w:noProof/>
          <w:kern w:val="0"/>
          <w:sz w:val="22"/>
          <w:szCs w:val="22"/>
          <w:lang w:eastAsia="nl-BE" w:bidi="ar-SA"/>
        </w:rPr>
        <w:lastRenderedPageBreak/>
        <w:drawing>
          <wp:inline distT="0" distB="0" distL="0" distR="0" wp14:anchorId="6B3D516E" wp14:editId="2A69E797">
            <wp:extent cx="3943350" cy="2214832"/>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940098" cy="2213005"/>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25: Aanvraagformulier tot machtiging van het Rijksarchief om archiefbescheiden te vernietigen</w:t>
      </w:r>
      <w:r w:rsidRPr="00D147A7">
        <w:rPr>
          <w:rFonts w:eastAsiaTheme="minorEastAsia"/>
          <w:kern w:val="0"/>
          <w:vertAlign w:val="superscript"/>
          <w:lang w:eastAsia="en-US" w:bidi="ar-SA"/>
        </w:rPr>
        <w:footnoteReference w:id="1327"/>
      </w:r>
    </w:p>
    <w:p w:rsidR="000B0567" w:rsidRDefault="000B0567" w:rsidP="000F560E">
      <w:pPr>
        <w:widowControl/>
        <w:suppressAutoHyphens w:val="0"/>
        <w:jc w:val="both"/>
        <w:rPr>
          <w:bCs/>
        </w:rPr>
      </w:pPr>
    </w:p>
    <w:p w:rsidR="000F560E" w:rsidRPr="00D147A7" w:rsidRDefault="000F560E" w:rsidP="000F560E">
      <w:pPr>
        <w:widowControl/>
        <w:suppressAutoHyphens w:val="0"/>
        <w:jc w:val="both"/>
      </w:pPr>
      <w:r w:rsidRPr="00D147A7">
        <w:rPr>
          <w:bCs/>
        </w:rPr>
        <w:t>Het medisch beroepsgeheim heeft ook uitwerking op de vernietiging van gezondheidsgege</w:t>
      </w:r>
      <w:r w:rsidR="000B0567">
        <w:rPr>
          <w:bCs/>
        </w:rPr>
        <w:t>-</w:t>
      </w:r>
      <w:r w:rsidRPr="00D147A7">
        <w:rPr>
          <w:bCs/>
        </w:rPr>
        <w:t xml:space="preserve">vens. </w:t>
      </w:r>
      <w:r w:rsidRPr="00D147A7">
        <w:t>Omwille van hun delicate karakter moeten zorgverleners erop toezien dat patiëntendos</w:t>
      </w:r>
      <w:r w:rsidR="000B0567">
        <w:t>-</w:t>
      </w:r>
      <w:r w:rsidRPr="00D147A7">
        <w:t>siers op zorgvuldige wijze vernietigd worden.</w:t>
      </w:r>
      <w:r w:rsidRPr="00D147A7">
        <w:rPr>
          <w:vertAlign w:val="superscript"/>
        </w:rPr>
        <w:footnoteReference w:id="1328"/>
      </w:r>
      <w:r w:rsidRPr="00D147A7">
        <w:t xml:space="preserve"> Papier</w:t>
      </w:r>
      <w:r w:rsidR="00FF0BAB">
        <w:t>en</w:t>
      </w:r>
      <w:r w:rsidRPr="00D147A7">
        <w:t xml:space="preserve"> moet</w:t>
      </w:r>
      <w:r w:rsidR="00FF0BAB">
        <w:t>en</w:t>
      </w:r>
      <w:r w:rsidRPr="00D147A7">
        <w:t xml:space="preserve"> versnipperd (</w:t>
      </w:r>
      <w:r w:rsidRPr="00D147A7">
        <w:rPr>
          <w:i/>
          <w:iCs/>
        </w:rPr>
        <w:t>shredding</w:t>
      </w:r>
      <w:r w:rsidRPr="00D147A7">
        <w:t>), verbrand of gerecycleerd worden; optische schijven en geheugenkaarten verbrijzeld en mag</w:t>
      </w:r>
      <w:r w:rsidR="00FF0BAB">
        <w:t>-</w:t>
      </w:r>
      <w:r w:rsidRPr="00D147A7">
        <w:t>netische opslagmedia gedemagnetiseerd.</w:t>
      </w:r>
      <w:r w:rsidRPr="00D147A7">
        <w:rPr>
          <w:vertAlign w:val="superscript"/>
        </w:rPr>
        <w:footnoteReference w:id="1329"/>
      </w:r>
      <w:r w:rsidRPr="00D147A7">
        <w:t xml:space="preserve"> Ook alle schaduwarchieven (back-ups in de digi</w:t>
      </w:r>
      <w:r w:rsidR="00FF0BAB">
        <w:t>-</w:t>
      </w:r>
      <w:r w:rsidRPr="00D147A7">
        <w:t>tale wereld) moeten onherroepelijk teniet worden gedaan. De vernietiging van patiëntendos</w:t>
      </w:r>
      <w:r w:rsidR="00FF0BAB">
        <w:t>-</w:t>
      </w:r>
      <w:r w:rsidRPr="00D147A7">
        <w:t xml:space="preserve">siers wordt doorgaans aan gespecialiseerde bedrijven uitbesteedt, die </w:t>
      </w:r>
      <w:r w:rsidR="00FF0BAB">
        <w:t xml:space="preserve">hiervan </w:t>
      </w:r>
      <w:r w:rsidRPr="00D147A7">
        <w:t>na de vernietig</w:t>
      </w:r>
      <w:r w:rsidR="00FF0BAB">
        <w:t>-</w:t>
      </w:r>
      <w:r w:rsidRPr="00D147A7">
        <w:t>ing een (permanent te bewaren) attest afleveren.</w:t>
      </w:r>
      <w:r w:rsidRPr="00D147A7">
        <w:rPr>
          <w:vertAlign w:val="superscript"/>
        </w:rPr>
        <w:footnoteReference w:id="1330"/>
      </w:r>
      <w:r w:rsidRPr="00D147A7">
        <w:t xml:space="preserve"> </w:t>
      </w:r>
    </w:p>
    <w:p w:rsidR="000F560E" w:rsidRPr="00D147A7" w:rsidRDefault="000F560E" w:rsidP="000F560E">
      <w:pPr>
        <w:widowControl/>
        <w:suppressAutoHyphens w:val="0"/>
        <w:jc w:val="both"/>
        <w:rPr>
          <w:rFonts w:eastAsiaTheme="minorEastAsia"/>
          <w:kern w:val="0"/>
          <w:lang w:eastAsia="en-US" w:bidi="ar-SA"/>
        </w:rPr>
      </w:pPr>
      <w:r w:rsidRPr="00D147A7">
        <w:t>Dat patiëntendossiers op elektronische wijze bewaard mogen worden, kan niet in twijfel ge</w:t>
      </w:r>
      <w:r w:rsidR="00FF0BAB">
        <w:t>-</w:t>
      </w:r>
      <w:r w:rsidRPr="00D147A7">
        <w:t>trokken worden.</w:t>
      </w:r>
      <w:r w:rsidRPr="00D147A7">
        <w:rPr>
          <w:vertAlign w:val="superscript"/>
        </w:rPr>
        <w:footnoteReference w:id="1331"/>
      </w:r>
      <w:r w:rsidRPr="00D147A7">
        <w:t xml:space="preserve"> Of originele papieren bescheiden na substitutie vernietigd mogen worden, is minder duidelijk. Dat gegevens na omzetting even goed of zelfs beter leesbaar zijn, is hier</w:t>
      </w:r>
      <w:r w:rsidR="00FF0BAB">
        <w:t>-</w:t>
      </w:r>
      <w:r w:rsidRPr="00D147A7">
        <w:t>bij van geen belang. Wat wel van doorslaggevend belang is, is het antwoord op de vraag of re</w:t>
      </w:r>
      <w:r w:rsidR="00FF0BAB">
        <w:t>-</w:t>
      </w:r>
      <w:r w:rsidRPr="00D147A7">
        <w:t xml:space="preserve">producties dezelfde bewijswaarde hebben als de originele archiefbescheiden. </w:t>
      </w:r>
      <w:r w:rsidRPr="00D147A7">
        <w:rPr>
          <w:rFonts w:eastAsiaTheme="minorEastAsia"/>
          <w:kern w:val="0"/>
          <w:lang w:eastAsia="en-US" w:bidi="ar-SA"/>
        </w:rPr>
        <w:t>Papieren docu</w:t>
      </w:r>
      <w:r w:rsidR="00FF0BAB">
        <w:rPr>
          <w:rFonts w:eastAsiaTheme="minorEastAsia"/>
          <w:kern w:val="0"/>
          <w:lang w:eastAsia="en-US" w:bidi="ar-SA"/>
        </w:rPr>
        <w:t>-</w:t>
      </w:r>
      <w:r w:rsidRPr="00D147A7">
        <w:rPr>
          <w:rFonts w:eastAsiaTheme="minorEastAsia"/>
          <w:kern w:val="0"/>
          <w:lang w:eastAsia="en-US" w:bidi="ar-SA"/>
        </w:rPr>
        <w:t>menten zijn volwaardig bewijsmateriaal als ze door de archiefvormer ondertekend zijn. Aan de hand van de (handgeschreven) handtekening wordt immers de identiteit van de auteur, de integriteit van het document en de goedkeuring van de inhoud (door de auteur) gegaran</w:t>
      </w:r>
      <w:r w:rsidR="00FF0BAB">
        <w:rPr>
          <w:rFonts w:eastAsiaTheme="minorEastAsia"/>
          <w:kern w:val="0"/>
          <w:lang w:eastAsia="en-US" w:bidi="ar-SA"/>
        </w:rPr>
        <w:t>-</w:t>
      </w:r>
      <w:r w:rsidRPr="00D147A7">
        <w:rPr>
          <w:rFonts w:eastAsiaTheme="minorEastAsia"/>
          <w:kern w:val="0"/>
          <w:lang w:eastAsia="en-US" w:bidi="ar-SA"/>
        </w:rPr>
        <w:t>deerd.</w:t>
      </w:r>
      <w:r w:rsidRPr="00D147A7">
        <w:rPr>
          <w:rFonts w:eastAsiaTheme="minorEastAsia"/>
          <w:kern w:val="0"/>
          <w:vertAlign w:val="superscript"/>
          <w:lang w:eastAsia="en-US" w:bidi="ar-SA"/>
        </w:rPr>
        <w:footnoteReference w:id="1332"/>
      </w:r>
      <w:r w:rsidRPr="00D147A7">
        <w:rPr>
          <w:rFonts w:eastAsiaTheme="minorEastAsia"/>
          <w:kern w:val="0"/>
          <w:lang w:eastAsia="en-US" w:bidi="ar-SA"/>
        </w:rPr>
        <w:t xml:space="preserve"> Deze elementen blijven niet steeds behouden tijdens de digitalisering, waardoor ko</w:t>
      </w:r>
      <w:r w:rsidR="00FF0BAB">
        <w:rPr>
          <w:rFonts w:eastAsiaTheme="minorEastAsia"/>
          <w:kern w:val="0"/>
          <w:lang w:eastAsia="en-US" w:bidi="ar-SA"/>
        </w:rPr>
        <w:t>-</w:t>
      </w:r>
      <w:r w:rsidRPr="00D147A7">
        <w:rPr>
          <w:rFonts w:eastAsiaTheme="minorEastAsia"/>
          <w:kern w:val="0"/>
          <w:lang w:eastAsia="en-US" w:bidi="ar-SA"/>
        </w:rPr>
        <w:lastRenderedPageBreak/>
        <w:t>pieën niet over dezelfde bewijswaarde beschikken als de originele bescheiden.</w:t>
      </w:r>
      <w:r w:rsidRPr="00D147A7">
        <w:rPr>
          <w:rFonts w:eastAsiaTheme="minorEastAsia"/>
          <w:kern w:val="0"/>
          <w:vertAlign w:val="superscript"/>
          <w:lang w:eastAsia="en-US" w:bidi="ar-SA"/>
        </w:rPr>
        <w:footnoteReference w:id="1333"/>
      </w:r>
      <w:r w:rsidRPr="00D147A7">
        <w:rPr>
          <w:rFonts w:eastAsiaTheme="minorEastAsia"/>
          <w:kern w:val="0"/>
          <w:lang w:eastAsia="en-US" w:bidi="ar-SA"/>
        </w:rPr>
        <w:t xml:space="preserve"> Onder wel</w:t>
      </w:r>
      <w:r w:rsidR="00FF0BAB">
        <w:rPr>
          <w:rFonts w:eastAsiaTheme="minorEastAsia"/>
          <w:kern w:val="0"/>
          <w:lang w:eastAsia="en-US" w:bidi="ar-SA"/>
        </w:rPr>
        <w:t>-ke voorwaarden</w:t>
      </w:r>
      <w:r w:rsidRPr="00D147A7">
        <w:rPr>
          <w:rFonts w:eastAsiaTheme="minorEastAsia"/>
          <w:kern w:val="0"/>
          <w:lang w:eastAsia="en-US" w:bidi="ar-SA"/>
        </w:rPr>
        <w:t xml:space="preserve"> gedigitaliseerde bescheiden als volwaardig bewijsmateriaal aanvaard kunnen worden, heeft de wetgever niet verordend. Hiervoor wordt meestal een beroep gedaan op de algemene regeling uit het burgerlijk wetboek</w:t>
      </w:r>
      <w:r w:rsidRPr="00D147A7">
        <w:rPr>
          <w:rFonts w:eastAsiaTheme="minorEastAsia"/>
          <w:kern w:val="0"/>
          <w:vertAlign w:val="superscript"/>
          <w:lang w:eastAsia="en-US" w:bidi="ar-SA"/>
        </w:rPr>
        <w:footnoteReference w:id="1334"/>
      </w:r>
      <w:r w:rsidRPr="00D147A7">
        <w:rPr>
          <w:rFonts w:eastAsiaTheme="minorEastAsia"/>
          <w:kern w:val="0"/>
          <w:lang w:eastAsia="en-US" w:bidi="ar-SA"/>
        </w:rPr>
        <w:t xml:space="preserve"> en de wettelijke regeling voor de elektroni</w:t>
      </w:r>
      <w:r w:rsidR="00FF0BAB">
        <w:rPr>
          <w:rFonts w:eastAsiaTheme="minorEastAsia"/>
          <w:kern w:val="0"/>
          <w:lang w:eastAsia="en-US" w:bidi="ar-SA"/>
        </w:rPr>
        <w:t>-</w:t>
      </w:r>
      <w:r w:rsidRPr="00D147A7">
        <w:rPr>
          <w:rFonts w:eastAsiaTheme="minorEastAsia"/>
          <w:kern w:val="0"/>
          <w:lang w:eastAsia="en-US" w:bidi="ar-SA"/>
        </w:rPr>
        <w:t>sche handtekening.</w:t>
      </w:r>
      <w:r w:rsidRPr="00D147A7">
        <w:rPr>
          <w:rFonts w:eastAsiaTheme="minorEastAsia"/>
          <w:kern w:val="0"/>
          <w:vertAlign w:val="superscript"/>
          <w:lang w:eastAsia="en-US" w:bidi="ar-SA"/>
        </w:rPr>
        <w:footnoteReference w:id="1335"/>
      </w:r>
      <w:r w:rsidRPr="00D147A7">
        <w:rPr>
          <w:rFonts w:eastAsiaTheme="minorEastAsia"/>
          <w:kern w:val="0"/>
          <w:lang w:eastAsia="en-US" w:bidi="ar-SA"/>
        </w:rPr>
        <w:t xml:space="preserve"> Als de authenticiteit en integriteit – m.a.w. de context van de archief</w:t>
      </w:r>
      <w:r w:rsidR="00FF0BAB">
        <w:rPr>
          <w:rFonts w:eastAsiaTheme="minorEastAsia"/>
          <w:kern w:val="0"/>
          <w:lang w:eastAsia="en-US" w:bidi="ar-SA"/>
        </w:rPr>
        <w:t>-</w:t>
      </w:r>
      <w:r w:rsidRPr="00D147A7">
        <w:rPr>
          <w:rFonts w:eastAsiaTheme="minorEastAsia"/>
          <w:kern w:val="0"/>
          <w:lang w:eastAsia="en-US" w:bidi="ar-SA"/>
        </w:rPr>
        <w:t>bescheiden – tijdens het omzettingsproces bewaard blij</w:t>
      </w:r>
      <w:r w:rsidR="00FF0BAB">
        <w:rPr>
          <w:rFonts w:eastAsiaTheme="minorEastAsia"/>
          <w:kern w:val="0"/>
          <w:lang w:eastAsia="en-US" w:bidi="ar-SA"/>
        </w:rPr>
        <w:t>ven</w:t>
      </w:r>
      <w:r w:rsidRPr="00D147A7">
        <w:rPr>
          <w:rFonts w:eastAsiaTheme="minorEastAsia"/>
          <w:kern w:val="0"/>
          <w:lang w:eastAsia="en-US" w:bidi="ar-SA"/>
        </w:rPr>
        <w:t>, moeten ook reproducties als vol</w:t>
      </w:r>
      <w:r w:rsidR="00FF0BAB">
        <w:rPr>
          <w:rFonts w:eastAsiaTheme="minorEastAsia"/>
          <w:kern w:val="0"/>
          <w:lang w:eastAsia="en-US" w:bidi="ar-SA"/>
        </w:rPr>
        <w:t>-</w:t>
      </w:r>
      <w:r w:rsidRPr="00D147A7">
        <w:rPr>
          <w:rFonts w:eastAsiaTheme="minorEastAsia"/>
          <w:kern w:val="0"/>
          <w:lang w:eastAsia="en-US" w:bidi="ar-SA"/>
        </w:rPr>
        <w:t>waardig bewijs worden</w:t>
      </w:r>
      <w:r w:rsidR="00FF0BAB" w:rsidRPr="00FF0BAB">
        <w:rPr>
          <w:rFonts w:eastAsiaTheme="minorEastAsia"/>
          <w:kern w:val="0"/>
          <w:lang w:eastAsia="en-US" w:bidi="ar-SA"/>
        </w:rPr>
        <w:t xml:space="preserve"> </w:t>
      </w:r>
      <w:r w:rsidR="00FF0BAB" w:rsidRPr="00D147A7">
        <w:rPr>
          <w:rFonts w:eastAsiaTheme="minorEastAsia"/>
          <w:kern w:val="0"/>
          <w:lang w:eastAsia="en-US" w:bidi="ar-SA"/>
        </w:rPr>
        <w:t>aanvaard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36"/>
      </w:r>
      <w:r w:rsidRPr="00D147A7">
        <w:rPr>
          <w:rFonts w:eastAsiaTheme="minorEastAsia"/>
          <w:kern w:val="0"/>
          <w:lang w:eastAsia="en-US" w:bidi="ar-SA"/>
        </w:rPr>
        <w:t xml:space="preserve"> Als dat niet (met zekerheid) het geval is, moet</w:t>
      </w:r>
      <w:r w:rsidR="00FF0BAB">
        <w:rPr>
          <w:rFonts w:eastAsiaTheme="minorEastAsia"/>
          <w:kern w:val="0"/>
          <w:lang w:eastAsia="en-US" w:bidi="ar-SA"/>
        </w:rPr>
        <w:t>en</w:t>
      </w:r>
      <w:r w:rsidRPr="00D147A7">
        <w:rPr>
          <w:rFonts w:eastAsiaTheme="minorEastAsia"/>
          <w:kern w:val="0"/>
          <w:lang w:eastAsia="en-US" w:bidi="ar-SA"/>
        </w:rPr>
        <w:t xml:space="preserve"> de pa</w:t>
      </w:r>
      <w:r w:rsidR="00FF0BAB">
        <w:rPr>
          <w:rFonts w:eastAsiaTheme="minorEastAsia"/>
          <w:kern w:val="0"/>
          <w:lang w:eastAsia="en-US" w:bidi="ar-SA"/>
        </w:rPr>
        <w:t>-</w:t>
      </w:r>
      <w:r w:rsidRPr="00D147A7">
        <w:rPr>
          <w:rFonts w:eastAsiaTheme="minorEastAsia"/>
          <w:kern w:val="0"/>
          <w:lang w:eastAsia="en-US" w:bidi="ar-SA"/>
        </w:rPr>
        <w:t>pieren originelen naast de (digitale) kopieën bewaard worden.</w:t>
      </w:r>
      <w:r w:rsidRPr="00D147A7">
        <w:rPr>
          <w:rFonts w:eastAsiaTheme="minorEastAsia"/>
          <w:kern w:val="0"/>
          <w:vertAlign w:val="superscript"/>
          <w:lang w:eastAsia="en-US" w:bidi="ar-SA"/>
        </w:rPr>
        <w:footnoteReference w:id="1337"/>
      </w:r>
      <w:r w:rsidRPr="00D147A7">
        <w:rPr>
          <w:rFonts w:eastAsiaTheme="minorEastAsia"/>
          <w:kern w:val="0"/>
          <w:lang w:eastAsia="en-US" w:bidi="ar-SA"/>
        </w:rPr>
        <w:t xml:space="preserve"> Dat lijkt ook voor patiënten</w:t>
      </w:r>
      <w:r w:rsidR="00FF0BAB">
        <w:rPr>
          <w:rFonts w:eastAsiaTheme="minorEastAsia"/>
          <w:kern w:val="0"/>
          <w:lang w:eastAsia="en-US" w:bidi="ar-SA"/>
        </w:rPr>
        <w:t>-</w:t>
      </w:r>
      <w:r w:rsidRPr="00D147A7">
        <w:rPr>
          <w:rFonts w:eastAsiaTheme="minorEastAsia"/>
          <w:kern w:val="0"/>
          <w:lang w:eastAsia="en-US" w:bidi="ar-SA"/>
        </w:rPr>
        <w:t xml:space="preserve">dossiers de meest aangewezen praktijk, daar de gegevens </w:t>
      </w:r>
      <w:r w:rsidRPr="00D147A7">
        <w:rPr>
          <w:i/>
        </w:rPr>
        <w:t>die zijn opgeslagen of bewaard door middel van een elektronische, fotografische, optische of elke andere techniek, of die worden meegedeeld op een andere dan op een papieren drager, evenals hun weergave op papier of op elke andere leesbare drager, hebben bewijskracht tot bewijs van het tegendeel</w:t>
      </w:r>
      <w:r w:rsidRPr="00D147A7">
        <w:t>.</w:t>
      </w:r>
      <w:r w:rsidRPr="00D147A7">
        <w:rPr>
          <w:rFonts w:eastAsiaTheme="minorEastAsia"/>
          <w:kern w:val="0"/>
          <w:vertAlign w:val="superscript"/>
          <w:lang w:eastAsia="en-US" w:bidi="ar-SA"/>
        </w:rPr>
        <w:footnoteReference w:id="1338"/>
      </w:r>
      <w:r w:rsidRPr="00D147A7">
        <w:rPr>
          <w:rFonts w:eastAsiaTheme="minorEastAsia"/>
          <w:kern w:val="0"/>
          <w:lang w:eastAsia="en-US" w:bidi="ar-SA"/>
        </w:rPr>
        <w:t xml:space="preserve"> Omdat dit tegendeel enkel bewezen kan worden als de originele bescheiden nog voorhanden zijn, pleit Michel Nuyttens om</w:t>
      </w:r>
      <w:r w:rsidRPr="00D147A7">
        <w:t xml:space="preserve"> originele archiefstukken nog vijf jaar na de substitutie bij te houden.</w:t>
      </w:r>
      <w:r w:rsidRPr="00D147A7">
        <w:rPr>
          <w:vertAlign w:val="superscript"/>
        </w:rPr>
        <w:footnoteReference w:id="1339"/>
      </w:r>
      <w:r w:rsidRPr="00D147A7">
        <w:t xml:space="preserve"> </w:t>
      </w:r>
      <w:r w:rsidRPr="00D147A7">
        <w:rPr>
          <w:rFonts w:eastAsiaTheme="minorEastAsia"/>
          <w:kern w:val="0"/>
          <w:lang w:eastAsia="en-US" w:bidi="ar-SA"/>
        </w:rPr>
        <w:t>Of openbare ziekenhuizen de authenticiteit en de integriteit van gedigitaliseerde patiëntendos</w:t>
      </w:r>
      <w:r w:rsidR="00FF0BAB">
        <w:rPr>
          <w:rFonts w:eastAsiaTheme="minorEastAsia"/>
          <w:kern w:val="0"/>
          <w:lang w:eastAsia="en-US" w:bidi="ar-SA"/>
        </w:rPr>
        <w:t>-</w:t>
      </w:r>
      <w:r w:rsidRPr="00D147A7">
        <w:rPr>
          <w:rFonts w:eastAsiaTheme="minorEastAsia"/>
          <w:kern w:val="0"/>
          <w:lang w:eastAsia="en-US" w:bidi="ar-SA"/>
        </w:rPr>
        <w:t>siers in acht nemen, moet door de Algemene Rijksarchivaris of zijn gemachtigden gecontro</w:t>
      </w:r>
      <w:r w:rsidR="00FF0BAB">
        <w:rPr>
          <w:rFonts w:eastAsiaTheme="minorEastAsia"/>
          <w:kern w:val="0"/>
          <w:lang w:eastAsia="en-US" w:bidi="ar-SA"/>
        </w:rPr>
        <w:t>-</w:t>
      </w:r>
      <w:r w:rsidRPr="00D147A7">
        <w:rPr>
          <w:rFonts w:eastAsiaTheme="minorEastAsia"/>
          <w:kern w:val="0"/>
          <w:lang w:eastAsia="en-US" w:bidi="ar-SA"/>
        </w:rPr>
        <w:t>leerd worden.</w:t>
      </w:r>
      <w:r w:rsidRPr="00D147A7">
        <w:rPr>
          <w:rFonts w:eastAsiaTheme="minorEastAsia"/>
          <w:kern w:val="0"/>
          <w:vertAlign w:val="superscript"/>
          <w:lang w:eastAsia="en-US" w:bidi="ar-SA"/>
        </w:rPr>
        <w:footnoteReference w:id="1340"/>
      </w:r>
      <w:r w:rsidRPr="00D147A7">
        <w:rPr>
          <w:rFonts w:eastAsiaTheme="minorEastAsia"/>
          <w:kern w:val="0"/>
          <w:lang w:eastAsia="en-US" w:bidi="ar-SA"/>
        </w:rPr>
        <w:t xml:space="preserve"> </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jc w:val="both"/>
        <w:rPr>
          <w:smallCaps/>
          <w:kern w:val="0"/>
        </w:rPr>
      </w:pPr>
      <w:r w:rsidRPr="00D147A7">
        <w:rPr>
          <w:smallCaps/>
          <w:kern w:val="0"/>
        </w:rPr>
        <w:t>5.3 Nederland</w:t>
      </w:r>
    </w:p>
    <w:p w:rsidR="000F560E" w:rsidRPr="00D147A7" w:rsidRDefault="000F560E" w:rsidP="000F560E">
      <w:pPr>
        <w:widowControl/>
        <w:suppressAutoHyphens w:val="0"/>
        <w:jc w:val="both"/>
        <w:rPr>
          <w:kern w:val="0"/>
        </w:rPr>
      </w:pPr>
    </w:p>
    <w:p w:rsidR="000F560E" w:rsidRPr="00D147A7" w:rsidRDefault="000F560E" w:rsidP="000F560E">
      <w:pPr>
        <w:widowControl/>
        <w:suppressAutoHyphens w:val="0"/>
        <w:jc w:val="both"/>
        <w:rPr>
          <w:b/>
          <w:kern w:val="0"/>
        </w:rPr>
      </w:pPr>
      <w:r w:rsidRPr="00D147A7">
        <w:rPr>
          <w:kern w:val="0"/>
        </w:rPr>
        <w:tab/>
      </w:r>
      <w:r w:rsidRPr="00D147A7">
        <w:rPr>
          <w:b/>
          <w:kern w:val="0"/>
        </w:rPr>
        <w:t>Hoofdstuk 1: Inleiding</w:t>
      </w:r>
    </w:p>
    <w:p w:rsidR="000F560E" w:rsidRPr="00D147A7" w:rsidRDefault="000F560E" w:rsidP="000F560E">
      <w:pPr>
        <w:widowControl/>
        <w:suppressAutoHyphens w:val="0"/>
        <w:jc w:val="both"/>
        <w:rPr>
          <w:b/>
          <w:kern w:val="0"/>
        </w:rPr>
      </w:pPr>
    </w:p>
    <w:p w:rsidR="000F560E" w:rsidRPr="00D147A7" w:rsidRDefault="000F560E" w:rsidP="000F560E">
      <w:pPr>
        <w:widowControl/>
        <w:suppressAutoHyphens w:val="0"/>
        <w:jc w:val="both"/>
        <w:rPr>
          <w:kern w:val="0"/>
        </w:rPr>
      </w:pPr>
      <w:r w:rsidRPr="00D147A7">
        <w:rPr>
          <w:kern w:val="0"/>
        </w:rPr>
        <w:t xml:space="preserve">In Nederland zijn er slechts </w:t>
      </w:r>
      <w:r w:rsidR="00FF0BAB">
        <w:rPr>
          <w:kern w:val="0"/>
        </w:rPr>
        <w:t>een beperkt aantal</w:t>
      </w:r>
      <w:r w:rsidRPr="00D147A7">
        <w:rPr>
          <w:kern w:val="0"/>
        </w:rPr>
        <w:t xml:space="preserve"> openbare ziekenhuizen. Enkel de aan een Rijksuniversiteit</w:t>
      </w:r>
      <w:r w:rsidR="00FF0BAB">
        <w:rPr>
          <w:kern w:val="0"/>
        </w:rPr>
        <w:t>en</w:t>
      </w:r>
      <w:r w:rsidRPr="00D147A7">
        <w:rPr>
          <w:kern w:val="0"/>
        </w:rPr>
        <w:t xml:space="preserve"> verbonden Universitaire Medische Centra </w:t>
      </w:r>
      <w:r w:rsidR="00FF0BAB">
        <w:rPr>
          <w:kern w:val="0"/>
        </w:rPr>
        <w:t xml:space="preserve">en gemeentelijke en provinciale ziekenhuizen (deze laatsten waren tot in de jaren 1980 </w:t>
      </w:r>
      <w:r w:rsidR="00883F4D">
        <w:rPr>
          <w:kern w:val="0"/>
        </w:rPr>
        <w:t xml:space="preserve">door </w:t>
      </w:r>
      <w:r w:rsidR="00FF0BAB">
        <w:rPr>
          <w:kern w:val="0"/>
        </w:rPr>
        <w:t>de provincie Noord-Holland</w:t>
      </w:r>
      <w:r w:rsidR="00883F4D">
        <w:rPr>
          <w:kern w:val="0"/>
        </w:rPr>
        <w:t xml:space="preserve"> </w:t>
      </w:r>
      <w:r w:rsidR="00883F4D" w:rsidRPr="00883F4D">
        <w:rPr>
          <w:kern w:val="0"/>
        </w:rPr>
        <w:t>inge</w:t>
      </w:r>
      <w:r w:rsidR="00883F4D">
        <w:rPr>
          <w:kern w:val="0"/>
        </w:rPr>
        <w:t>-</w:t>
      </w:r>
      <w:r w:rsidR="00883F4D" w:rsidRPr="00883F4D">
        <w:rPr>
          <w:kern w:val="0"/>
        </w:rPr>
        <w:t xml:space="preserve">richte en bekostigde psychiatrische ziekenhuizen </w:t>
      </w:r>
      <w:r w:rsidR="00883F4D">
        <w:rPr>
          <w:kern w:val="0"/>
        </w:rPr>
        <w:t>te</w:t>
      </w:r>
      <w:r w:rsidR="00883F4D" w:rsidRPr="00883F4D">
        <w:rPr>
          <w:kern w:val="0"/>
        </w:rPr>
        <w:t xml:space="preserve"> Santpoort, Bakkum en Medemblik</w:t>
      </w:r>
      <w:r w:rsidR="00FF0BAB">
        <w:rPr>
          <w:rStyle w:val="Voetnootmarkering"/>
          <w:kern w:val="0"/>
        </w:rPr>
        <w:footnoteReference w:id="1341"/>
      </w:r>
      <w:r w:rsidR="00FF0BAB">
        <w:rPr>
          <w:kern w:val="0"/>
        </w:rPr>
        <w:t xml:space="preserve">) </w:t>
      </w:r>
      <w:r w:rsidRPr="00D147A7">
        <w:rPr>
          <w:kern w:val="0"/>
        </w:rPr>
        <w:t xml:space="preserve">hebben een publiekrechtelijk statuut. </w:t>
      </w:r>
      <w:r w:rsidR="00FF0BAB">
        <w:rPr>
          <w:kern w:val="0"/>
        </w:rPr>
        <w:t>De</w:t>
      </w:r>
      <w:r w:rsidRPr="00D147A7">
        <w:rPr>
          <w:kern w:val="0"/>
        </w:rPr>
        <w:t xml:space="preserve"> twee Universitaire Medische Centra die </w:t>
      </w:r>
      <w:r w:rsidR="00FF0BAB">
        <w:rPr>
          <w:kern w:val="0"/>
        </w:rPr>
        <w:t xml:space="preserve">aan </w:t>
      </w:r>
      <w:r w:rsidR="00883F4D">
        <w:rPr>
          <w:kern w:val="0"/>
        </w:rPr>
        <w:t xml:space="preserve">niet-Rijksuniversiteiten (m.n. de </w:t>
      </w:r>
      <w:r w:rsidR="00FF0BAB">
        <w:rPr>
          <w:rFonts w:eastAsiaTheme="minorEastAsia"/>
          <w:kern w:val="0"/>
          <w:lang w:eastAsia="en-US" w:bidi="ar-SA"/>
        </w:rPr>
        <w:t>Vrije Universiteit Amsterdam en de Radboud Universiteit Nijme</w:t>
      </w:r>
      <w:r w:rsidR="00883F4D">
        <w:rPr>
          <w:rFonts w:eastAsiaTheme="minorEastAsia"/>
          <w:kern w:val="0"/>
          <w:lang w:eastAsia="en-US" w:bidi="ar-SA"/>
        </w:rPr>
        <w:t>-</w:t>
      </w:r>
      <w:r w:rsidR="00FF0BAB">
        <w:rPr>
          <w:rFonts w:eastAsiaTheme="minorEastAsia"/>
          <w:kern w:val="0"/>
          <w:lang w:eastAsia="en-US" w:bidi="ar-SA"/>
        </w:rPr>
        <w:lastRenderedPageBreak/>
        <w:t>gen</w:t>
      </w:r>
      <w:r w:rsidR="00F450D5">
        <w:rPr>
          <w:rStyle w:val="Voetnootmarkering"/>
          <w:rFonts w:eastAsiaTheme="minorEastAsia"/>
          <w:kern w:val="0"/>
          <w:lang w:eastAsia="en-US" w:bidi="ar-SA"/>
        </w:rPr>
        <w:footnoteReference w:id="1342"/>
      </w:r>
      <w:r w:rsidR="00883F4D">
        <w:rPr>
          <w:rFonts w:eastAsiaTheme="minorEastAsia"/>
          <w:kern w:val="0"/>
          <w:lang w:eastAsia="en-US" w:bidi="ar-SA"/>
        </w:rPr>
        <w:t xml:space="preserve">) </w:t>
      </w:r>
      <w:r w:rsidRPr="00D147A7">
        <w:rPr>
          <w:kern w:val="0"/>
        </w:rPr>
        <w:t xml:space="preserve">gekoppeld zijn, </w:t>
      </w:r>
      <w:r w:rsidR="00883F4D">
        <w:rPr>
          <w:kern w:val="0"/>
        </w:rPr>
        <w:t xml:space="preserve">hebben een privaatrechtelijk statuut </w:t>
      </w:r>
      <w:r w:rsidRPr="00D147A7">
        <w:rPr>
          <w:kern w:val="0"/>
        </w:rPr>
        <w:t xml:space="preserve">maar </w:t>
      </w:r>
      <w:r w:rsidR="00883F4D">
        <w:rPr>
          <w:kern w:val="0"/>
        </w:rPr>
        <w:t>volgen</w:t>
      </w:r>
      <w:r w:rsidRPr="00D147A7">
        <w:rPr>
          <w:kern w:val="0"/>
        </w:rPr>
        <w:t xml:space="preserve"> in de praktijk </w:t>
      </w:r>
      <w:r w:rsidR="00883F4D">
        <w:rPr>
          <w:kern w:val="0"/>
        </w:rPr>
        <w:t xml:space="preserve">wel </w:t>
      </w:r>
      <w:r w:rsidRPr="00D147A7">
        <w:rPr>
          <w:kern w:val="0"/>
        </w:rPr>
        <w:t xml:space="preserve">dezelfde selectiepolitiek als de </w:t>
      </w:r>
      <w:r w:rsidR="00883F4D">
        <w:rPr>
          <w:kern w:val="0"/>
        </w:rPr>
        <w:t>overige Universitaire Medische Centra</w:t>
      </w:r>
      <w:r w:rsidRPr="00D147A7">
        <w:rPr>
          <w:kern w:val="0"/>
        </w:rPr>
        <w:t>. Hoewel er in Neder</w:t>
      </w:r>
      <w:r w:rsidR="00F450D5">
        <w:rPr>
          <w:kern w:val="0"/>
        </w:rPr>
        <w:t>-</w:t>
      </w:r>
      <w:r w:rsidRPr="00D147A7">
        <w:rPr>
          <w:kern w:val="0"/>
        </w:rPr>
        <w:t xml:space="preserve">land </w:t>
      </w:r>
      <w:r w:rsidR="00883F4D">
        <w:rPr>
          <w:kern w:val="0"/>
        </w:rPr>
        <w:t xml:space="preserve">dus </w:t>
      </w:r>
      <w:r w:rsidRPr="00D147A7">
        <w:rPr>
          <w:kern w:val="0"/>
        </w:rPr>
        <w:t xml:space="preserve">veel minder openbare ziekenhuizen </w:t>
      </w:r>
      <w:r w:rsidR="00883F4D">
        <w:rPr>
          <w:kern w:val="0"/>
        </w:rPr>
        <w:t xml:space="preserve">dan in België </w:t>
      </w:r>
      <w:r w:rsidRPr="00D147A7">
        <w:rPr>
          <w:kern w:val="0"/>
        </w:rPr>
        <w:t>zijn, zijn deze wel een vast gege</w:t>
      </w:r>
      <w:r w:rsidR="00F450D5">
        <w:rPr>
          <w:kern w:val="0"/>
        </w:rPr>
        <w:t>-</w:t>
      </w:r>
      <w:r w:rsidRPr="00D147A7">
        <w:rPr>
          <w:kern w:val="0"/>
        </w:rPr>
        <w:t>ven. Het is immers onwaarschijnlijk dat de universitaire ziekenhuizen met elkaar zullen fusio</w:t>
      </w:r>
      <w:r w:rsidR="00F450D5">
        <w:rPr>
          <w:kern w:val="0"/>
        </w:rPr>
        <w:t>-</w:t>
      </w:r>
      <w:r w:rsidRPr="00D147A7">
        <w:rPr>
          <w:kern w:val="0"/>
        </w:rPr>
        <w:t>neren.</w:t>
      </w:r>
    </w:p>
    <w:p w:rsidR="00F450D5" w:rsidRDefault="00F450D5" w:rsidP="000F560E">
      <w:pPr>
        <w:widowControl/>
        <w:suppressAutoHyphens w:val="0"/>
        <w:rPr>
          <w:rFonts w:eastAsiaTheme="minorEastAsia"/>
          <w:kern w:val="0"/>
          <w:sz w:val="22"/>
          <w:szCs w:val="22"/>
          <w:lang w:eastAsia="en-US" w:bidi="ar-SA"/>
        </w:rPr>
      </w:pPr>
    </w:p>
    <w:p w:rsidR="000F560E" w:rsidRPr="00D147A7" w:rsidRDefault="000F560E" w:rsidP="000F560E">
      <w:pPr>
        <w:widowControl/>
        <w:suppressAutoHyphens w:val="0"/>
        <w:rPr>
          <w:rFonts w:eastAsiaTheme="minorHAnsi"/>
          <w:kern w:val="0"/>
          <w:sz w:val="22"/>
          <w:szCs w:val="22"/>
          <w:lang w:eastAsia="en-US" w:bidi="ar-SA"/>
        </w:rPr>
      </w:pPr>
      <w:r w:rsidRPr="00D147A7">
        <w:rPr>
          <w:rFonts w:eastAsiaTheme="minorEastAsia"/>
          <w:kern w:val="0"/>
          <w:sz w:val="22"/>
          <w:szCs w:val="22"/>
          <w:lang w:eastAsia="en-US" w:bidi="ar-SA"/>
        </w:rPr>
        <w:fldChar w:fldCharType="begin"/>
      </w:r>
      <w:r w:rsidRPr="00D147A7">
        <w:rPr>
          <w:rFonts w:eastAsiaTheme="minorEastAsia"/>
          <w:kern w:val="0"/>
          <w:sz w:val="22"/>
          <w:szCs w:val="22"/>
          <w:lang w:eastAsia="en-US" w:bidi="ar-SA"/>
        </w:rPr>
        <w:instrText xml:space="preserve"> LINK Excel.Sheet.12 "H:\\6. Overdracht\\Opênbare ziekenhuizen - algemeen, universitair,....xlsx" Nederland!R4K2:R12K8 \a \f 4 \h  \* MERGEFORMAT </w:instrText>
      </w:r>
      <w:r w:rsidRPr="00D147A7">
        <w:rPr>
          <w:rFonts w:eastAsiaTheme="minorEastAsia"/>
          <w:kern w:val="0"/>
          <w:sz w:val="22"/>
          <w:szCs w:val="22"/>
          <w:lang w:eastAsia="en-US" w:bidi="ar-SA"/>
        </w:rPr>
        <w:fldChar w:fldCharType="separate"/>
      </w:r>
    </w:p>
    <w:tbl>
      <w:tblPr>
        <w:tblW w:w="10117" w:type="dxa"/>
        <w:tblInd w:w="-523" w:type="dxa"/>
        <w:tblCellMar>
          <w:left w:w="70" w:type="dxa"/>
          <w:right w:w="70" w:type="dxa"/>
        </w:tblCellMar>
        <w:tblLook w:val="04A0" w:firstRow="1" w:lastRow="0" w:firstColumn="1" w:lastColumn="0" w:noHBand="0" w:noVBand="1"/>
      </w:tblPr>
      <w:tblGrid>
        <w:gridCol w:w="1862"/>
        <w:gridCol w:w="1507"/>
        <w:gridCol w:w="1108"/>
        <w:gridCol w:w="1127"/>
        <w:gridCol w:w="1079"/>
        <w:gridCol w:w="1502"/>
        <w:gridCol w:w="1932"/>
      </w:tblGrid>
      <w:tr w:rsidR="000F560E" w:rsidRPr="00D147A7" w:rsidTr="004721B1">
        <w:trPr>
          <w:trHeight w:val="300"/>
        </w:trPr>
        <w:tc>
          <w:tcPr>
            <w:tcW w:w="186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Instelling</w:t>
            </w:r>
          </w:p>
        </w:tc>
        <w:tc>
          <w:tcPr>
            <w:tcW w:w="1507"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Adres</w:t>
            </w:r>
          </w:p>
        </w:tc>
        <w:tc>
          <w:tcPr>
            <w:tcW w:w="1108"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Gemeente</w:t>
            </w:r>
          </w:p>
        </w:tc>
        <w:tc>
          <w:tcPr>
            <w:tcW w:w="1127"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Postcode</w:t>
            </w:r>
          </w:p>
        </w:tc>
        <w:tc>
          <w:tcPr>
            <w:tcW w:w="1079"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Provincie</w:t>
            </w:r>
          </w:p>
        </w:tc>
        <w:tc>
          <w:tcPr>
            <w:tcW w:w="1502"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Verbonden aan een</w:t>
            </w:r>
          </w:p>
        </w:tc>
        <w:tc>
          <w:tcPr>
            <w:tcW w:w="1932"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smallCaps/>
                <w:color w:val="FFFFFF"/>
                <w:kern w:val="0"/>
                <w:sz w:val="20"/>
                <w:szCs w:val="20"/>
                <w:lang w:eastAsia="nl-BE" w:bidi="ar-SA"/>
              </w:rPr>
            </w:pPr>
            <w:r w:rsidRPr="00D147A7">
              <w:rPr>
                <w:rFonts w:eastAsia="Times New Roman"/>
                <w:smallCaps/>
                <w:color w:val="FFFFFF"/>
                <w:kern w:val="0"/>
                <w:sz w:val="20"/>
                <w:szCs w:val="20"/>
                <w:lang w:eastAsia="nl-BE" w:bidi="ar-SA"/>
              </w:rPr>
              <w:t>Beddencapaciteit</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Academisch Medisch Centrum (</w:t>
            </w:r>
            <w:r w:rsidRPr="00D147A7">
              <w:rPr>
                <w:rFonts w:eastAsia="Times New Roman"/>
                <w:color w:val="0000FF"/>
                <w:kern w:val="0"/>
                <w:sz w:val="20"/>
                <w:szCs w:val="20"/>
                <w:u w:val="single"/>
                <w:lang w:eastAsia="nl-BE" w:bidi="ar-SA"/>
              </w:rPr>
              <w:t>www.amc.nl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Meibergdreef 9</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Amsterdam</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1105AZ</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Noord-Holland</w:t>
            </w:r>
          </w:p>
        </w:tc>
        <w:tc>
          <w:tcPr>
            <w:tcW w:w="15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Rijksuniversiteit</w:t>
            </w: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930</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Academisch Ziekenhuis Maastricht (</w:t>
            </w:r>
            <w:r w:rsidRPr="00D147A7">
              <w:rPr>
                <w:rFonts w:eastAsia="Times New Roman"/>
                <w:color w:val="0000FF"/>
                <w:kern w:val="0"/>
                <w:sz w:val="20"/>
                <w:szCs w:val="20"/>
                <w:u w:val="single"/>
                <w:lang w:eastAsia="nl-BE" w:bidi="ar-SA"/>
              </w:rPr>
              <w:t>www.azm.nl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 Debijelaan 25</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Maastricht</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6229HX</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Limburg</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715</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Erasmus Medisch Centrum (</w:t>
            </w:r>
            <w:r w:rsidRPr="00D147A7">
              <w:rPr>
                <w:rFonts w:eastAsia="Times New Roman"/>
                <w:color w:val="0000FF"/>
                <w:kern w:val="0"/>
                <w:sz w:val="20"/>
                <w:szCs w:val="20"/>
                <w:u w:val="single"/>
                <w:lang w:eastAsia="nl-BE" w:bidi="ar-SA"/>
              </w:rPr>
              <w:t>www.erasmusmc.nl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Dr. Molenwaterplein 60</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Rotterdam</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3015GJ</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Zuid-Holland</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1221</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Leids Universitair Medisch Centrum (</w:t>
            </w:r>
            <w:r w:rsidRPr="00D147A7">
              <w:rPr>
                <w:rFonts w:eastAsia="Times New Roman"/>
                <w:color w:val="0000FF"/>
                <w:kern w:val="0"/>
                <w:sz w:val="20"/>
                <w:szCs w:val="20"/>
                <w:u w:val="single"/>
                <w:lang w:eastAsia="nl-BE" w:bidi="ar-SA"/>
              </w:rPr>
              <w:t>www.lumc.nl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Albinusdreef 2</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Leiden</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2333XZ</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Zuid-Holland</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882</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Universitair Medisch Centrum Groningen (</w:t>
            </w:r>
            <w:r w:rsidRPr="00D147A7">
              <w:rPr>
                <w:rFonts w:eastAsia="Times New Roman"/>
                <w:color w:val="0000FF"/>
                <w:kern w:val="0"/>
                <w:sz w:val="20"/>
                <w:szCs w:val="20"/>
                <w:u w:val="single"/>
                <w:lang w:eastAsia="nl-BE" w:bidi="ar-SA"/>
              </w:rPr>
              <w:t>www.umcg.nl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Hanzeplein 1</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Groningen</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9713GZ</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Groningen</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1339</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Universitair Medisch Centrum Utrecht (</w:t>
            </w:r>
            <w:r w:rsidRPr="00D147A7">
              <w:rPr>
                <w:rFonts w:eastAsia="Times New Roman"/>
                <w:color w:val="0000FF"/>
                <w:kern w:val="0"/>
                <w:sz w:val="20"/>
                <w:szCs w:val="20"/>
                <w:u w:val="single"/>
                <w:lang w:eastAsia="nl-BE" w:bidi="ar-SA"/>
              </w:rPr>
              <w:t>www.umcutrecht.nl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Lundlaan 6</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Utrecht</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3584EA</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Utrecht</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1000</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Universitair Medisch Centrum St. Radboud (</w:t>
            </w:r>
            <w:r w:rsidRPr="00D147A7">
              <w:rPr>
                <w:rFonts w:eastAsia="Times New Roman"/>
                <w:color w:val="0000FF"/>
                <w:kern w:val="0"/>
                <w:sz w:val="20"/>
                <w:szCs w:val="20"/>
                <w:u w:val="single"/>
                <w:lang w:eastAsia="nl-BE" w:bidi="ar-SA"/>
              </w:rPr>
              <w:t>www.umcn.nl</w:t>
            </w:r>
            <w:r w:rsidRPr="00D147A7">
              <w:rPr>
                <w:rFonts w:eastAsia="Times New Roman"/>
                <w:color w:val="000000"/>
                <w:kern w:val="0"/>
                <w:sz w:val="20"/>
                <w:szCs w:val="20"/>
                <w:lang w:eastAsia="nl-BE" w:bidi="ar-SA"/>
              </w:rPr>
              <w:t>)</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G. Grooteplein-Zuid 10</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Nijmegen</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6525GA</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Gelderland</w:t>
            </w:r>
          </w:p>
        </w:tc>
        <w:tc>
          <w:tcPr>
            <w:tcW w:w="15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Vrije universiteit</w:t>
            </w: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953</w:t>
            </w:r>
          </w:p>
        </w:tc>
      </w:tr>
      <w:tr w:rsidR="000F560E" w:rsidRPr="00D147A7" w:rsidTr="004721B1">
        <w:trPr>
          <w:trHeight w:val="30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VU medisch centrum (</w:t>
            </w:r>
            <w:r w:rsidRPr="00D147A7">
              <w:rPr>
                <w:rFonts w:eastAsia="Times New Roman"/>
                <w:color w:val="0000FF"/>
                <w:kern w:val="0"/>
                <w:sz w:val="20"/>
                <w:szCs w:val="20"/>
                <w:u w:val="single"/>
                <w:lang w:eastAsia="nl-BE" w:bidi="ar-SA"/>
              </w:rPr>
              <w:t>www.vumc.nl</w:t>
            </w:r>
            <w:r w:rsidRPr="00D147A7">
              <w:rPr>
                <w:rFonts w:eastAsia="Times New Roman"/>
                <w:color w:val="000000"/>
                <w:kern w:val="0"/>
                <w:sz w:val="20"/>
                <w:szCs w:val="20"/>
                <w:lang w:eastAsia="nl-BE" w:bidi="ar-SA"/>
              </w:rPr>
              <w:t xml:space="preserve">) </w:t>
            </w:r>
          </w:p>
        </w:tc>
        <w:tc>
          <w:tcPr>
            <w:tcW w:w="150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de Boelelaan 1117</w:t>
            </w:r>
          </w:p>
        </w:tc>
        <w:tc>
          <w:tcPr>
            <w:tcW w:w="110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Amsterdam</w:t>
            </w:r>
          </w:p>
        </w:tc>
        <w:tc>
          <w:tcPr>
            <w:tcW w:w="1127"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1081HV</w:t>
            </w:r>
          </w:p>
        </w:tc>
        <w:tc>
          <w:tcPr>
            <w:tcW w:w="1079"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Noord-Holland</w:t>
            </w:r>
          </w:p>
        </w:tc>
        <w:tc>
          <w:tcPr>
            <w:tcW w:w="1502" w:type="dxa"/>
            <w:vMerge/>
            <w:tcBorders>
              <w:top w:val="nil"/>
              <w:left w:val="single" w:sz="4" w:space="0" w:color="auto"/>
              <w:bottom w:val="single" w:sz="4" w:space="0" w:color="000000"/>
              <w:right w:val="single" w:sz="4" w:space="0" w:color="auto"/>
            </w:tcBorders>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p>
        </w:tc>
        <w:tc>
          <w:tcPr>
            <w:tcW w:w="1932"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713</w:t>
            </w:r>
          </w:p>
        </w:tc>
      </w:tr>
    </w:tbl>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sz w:val="22"/>
          <w:szCs w:val="22"/>
          <w:lang w:eastAsia="en-US" w:bidi="ar-SA"/>
        </w:rPr>
        <w:fldChar w:fldCharType="end"/>
      </w:r>
      <w:r w:rsidRPr="00D147A7">
        <w:rPr>
          <w:rFonts w:eastAsiaTheme="minorEastAsia"/>
          <w:kern w:val="0"/>
          <w:lang w:eastAsia="en-US" w:bidi="ar-SA"/>
        </w:rPr>
        <w:t>Tabel 20: Details van de verschillende Universitaire Medische Centra in Nederland</w:t>
      </w:r>
      <w:r w:rsidRPr="00D147A7">
        <w:rPr>
          <w:rFonts w:eastAsiaTheme="minorEastAsia"/>
          <w:kern w:val="0"/>
          <w:vertAlign w:val="superscript"/>
          <w:lang w:eastAsia="en-US" w:bidi="ar-SA"/>
        </w:rPr>
        <w:footnoteReference w:id="1343"/>
      </w:r>
    </w:p>
    <w:p w:rsidR="000F560E" w:rsidRPr="00D147A7" w:rsidRDefault="000F560E" w:rsidP="000F560E">
      <w:pPr>
        <w:widowControl/>
        <w:suppressAutoHyphens w:val="0"/>
        <w:rPr>
          <w:rFonts w:eastAsiaTheme="minorEastAsia"/>
          <w:kern w:val="0"/>
          <w:sz w:val="22"/>
          <w:szCs w:val="22"/>
          <w:lang w:eastAsia="en-US" w:bidi="ar-SA"/>
        </w:rPr>
      </w:pPr>
    </w:p>
    <w:p w:rsidR="000F560E" w:rsidRPr="00D147A7" w:rsidRDefault="000F560E" w:rsidP="000F560E">
      <w:pPr>
        <w:widowControl/>
        <w:suppressAutoHyphens w:val="0"/>
        <w:rPr>
          <w:rFonts w:eastAsiaTheme="minorEastAsia"/>
          <w:kern w:val="0"/>
          <w:sz w:val="22"/>
          <w:szCs w:val="22"/>
          <w:lang w:eastAsia="en-US" w:bidi="ar-SA"/>
        </w:rPr>
      </w:pPr>
    </w:p>
    <w:p w:rsidR="000F560E" w:rsidRPr="00D147A7" w:rsidRDefault="000F560E" w:rsidP="000F560E">
      <w:pPr>
        <w:widowControl/>
        <w:suppressAutoHyphens w:val="0"/>
        <w:jc w:val="center"/>
        <w:rPr>
          <w:rFonts w:eastAsiaTheme="minorEastAsia"/>
          <w:kern w:val="0"/>
          <w:sz w:val="22"/>
          <w:szCs w:val="22"/>
          <w:lang w:eastAsia="en-US" w:bidi="ar-SA"/>
        </w:rPr>
      </w:pPr>
      <w:r w:rsidRPr="00D147A7">
        <w:rPr>
          <w:rFonts w:eastAsiaTheme="minorEastAsia"/>
          <w:noProof/>
          <w:kern w:val="0"/>
          <w:sz w:val="22"/>
          <w:szCs w:val="22"/>
          <w:lang w:eastAsia="nl-BE" w:bidi="ar-SA"/>
        </w:rPr>
        <w:lastRenderedPageBreak/>
        <w:drawing>
          <wp:inline distT="0" distB="0" distL="0" distR="0" wp14:anchorId="2FFE1E5F" wp14:editId="42DFEDF7">
            <wp:extent cx="3942857" cy="3057143"/>
            <wp:effectExtent l="0" t="0" r="63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3942857" cy="3057143"/>
                    </a:xfrm>
                    <a:prstGeom prst="rect">
                      <a:avLst/>
                    </a:prstGeom>
                  </pic:spPr>
                </pic:pic>
              </a:graphicData>
            </a:graphic>
          </wp:inline>
        </w:drawing>
      </w:r>
    </w:p>
    <w:p w:rsidR="000F560E"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Kaart 4: Geografische spreiding van de acht Universitaire Medische Centra in Nederland</w:t>
      </w:r>
      <w:r w:rsidRPr="00D147A7">
        <w:rPr>
          <w:rFonts w:eastAsiaTheme="minorEastAsia"/>
          <w:kern w:val="0"/>
          <w:vertAlign w:val="superscript"/>
          <w:lang w:eastAsia="en-US" w:bidi="ar-SA"/>
        </w:rPr>
        <w:footnoteReference w:id="1344"/>
      </w:r>
    </w:p>
    <w:p w:rsidR="00883F4D" w:rsidRPr="00D147A7" w:rsidRDefault="00883F4D"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sz w:val="22"/>
          <w:szCs w:val="22"/>
          <w:lang w:eastAsia="en-US" w:bidi="ar-SA"/>
        </w:rPr>
      </w:pPr>
      <w:r w:rsidRPr="00D147A7">
        <w:rPr>
          <w:rFonts w:eastAsiaTheme="minorEastAsia"/>
          <w:noProof/>
          <w:kern w:val="0"/>
          <w:sz w:val="22"/>
          <w:szCs w:val="22"/>
          <w:lang w:eastAsia="nl-BE" w:bidi="ar-SA"/>
        </w:rPr>
        <w:drawing>
          <wp:inline distT="0" distB="0" distL="0" distR="0" wp14:anchorId="23B8F333" wp14:editId="0956B689">
            <wp:extent cx="2304762" cy="2266667"/>
            <wp:effectExtent l="0" t="0" r="635"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2304762" cy="2266667"/>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Grafiek 14: Capaciteit van Nederlandse ziekenhuizen</w:t>
      </w:r>
      <w:r w:rsidRPr="00D147A7">
        <w:rPr>
          <w:rFonts w:eastAsiaTheme="minorEastAsia"/>
          <w:kern w:val="0"/>
          <w:vertAlign w:val="superscript"/>
          <w:lang w:eastAsia="en-US" w:bidi="ar-SA"/>
        </w:rPr>
        <w:footnoteReference w:id="1345"/>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jc w:val="both"/>
        <w:rPr>
          <w:kern w:val="0"/>
        </w:rPr>
      </w:pPr>
      <w:r w:rsidRPr="00D147A7">
        <w:rPr>
          <w:kern w:val="0"/>
        </w:rPr>
        <w:t xml:space="preserve">De vraag of de archiefwet ook op openbare ziekenhuizen van toepassing is, was in Nederland reeds midden jaren 1980 het voorwerp van discussie. Deze discussie dook niet uit het niets op, maar was </w:t>
      </w:r>
      <w:r w:rsidR="00883F4D">
        <w:rPr>
          <w:kern w:val="0"/>
        </w:rPr>
        <w:t>een reactie op</w:t>
      </w:r>
      <w:r w:rsidRPr="00D147A7">
        <w:rPr>
          <w:kern w:val="0"/>
        </w:rPr>
        <w:t xml:space="preserve"> een wetgevend initiatief</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46"/>
      </w:r>
      <w:r w:rsidRPr="00D147A7">
        <w:rPr>
          <w:rFonts w:eastAsiaTheme="minorEastAsia"/>
          <w:kern w:val="0"/>
          <w:lang w:eastAsia="en-US" w:bidi="ar-SA"/>
        </w:rPr>
        <w:t xml:space="preserve"> De polemiek werd m.n. tussen </w:t>
      </w:r>
      <w:r w:rsidRPr="00D147A7">
        <w:rPr>
          <w:kern w:val="0"/>
        </w:rPr>
        <w:t>de he</w:t>
      </w:r>
      <w:r w:rsidR="00883F4D">
        <w:rPr>
          <w:kern w:val="0"/>
        </w:rPr>
        <w:t>ren</w:t>
      </w:r>
      <w:r w:rsidRPr="00D147A7">
        <w:rPr>
          <w:kern w:val="0"/>
        </w:rPr>
        <w:t xml:space="preserve"> Van Herten – een jurist – en Eric Ketelaar – de toenmalige Algemene Rijksarchivaris van Ne</w:t>
      </w:r>
      <w:r w:rsidR="00883F4D">
        <w:rPr>
          <w:kern w:val="0"/>
        </w:rPr>
        <w:t>-</w:t>
      </w:r>
      <w:r w:rsidRPr="00D147A7">
        <w:rPr>
          <w:kern w:val="0"/>
        </w:rPr>
        <w:t xml:space="preserve">derland – gevoerd. </w:t>
      </w:r>
      <w:r w:rsidRPr="00D147A7">
        <w:rPr>
          <w:rFonts w:eastAsiaTheme="minorEastAsia"/>
          <w:kern w:val="0"/>
          <w:lang w:eastAsia="en-US" w:bidi="ar-SA"/>
        </w:rPr>
        <w:t xml:space="preserve">Het moet opgemerkt worden dat op het moment van deze discussie de oude Archiefwet (uit 1962) nog in voege was en er nog geen sprake was van de WGBO (en dus evenmin van een wettelijke bewaartermijn voor patiëntendossiers).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In het eerste ontwerp van de (oude) Archiefwet, werd de term archiefbescheiden gedefinieerd als </w:t>
      </w:r>
      <w:r w:rsidRPr="00D147A7">
        <w:rPr>
          <w:rFonts w:eastAsiaTheme="minorEastAsia"/>
          <w:i/>
          <w:kern w:val="0"/>
          <w:lang w:eastAsia="en-US" w:bidi="ar-SA"/>
        </w:rPr>
        <w:t>bescheiden door de overheidsorganen ontvangen of opgemaakt, met de bestemming daar</w:t>
      </w:r>
      <w:r w:rsidR="00883F4D">
        <w:rPr>
          <w:rFonts w:eastAsiaTheme="minorEastAsia"/>
          <w:i/>
          <w:kern w:val="0"/>
          <w:lang w:eastAsia="en-US" w:bidi="ar-SA"/>
        </w:rPr>
        <w:t>-</w:t>
      </w:r>
      <w:r w:rsidRPr="00D147A7">
        <w:rPr>
          <w:rFonts w:eastAsiaTheme="minorEastAsia"/>
          <w:i/>
          <w:kern w:val="0"/>
          <w:lang w:eastAsia="en-US" w:bidi="ar-SA"/>
        </w:rPr>
        <w:t>onder te blijven berusten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47"/>
      </w:r>
      <w:r w:rsidRPr="00D147A7">
        <w:rPr>
          <w:rFonts w:eastAsiaTheme="minorEastAsia"/>
          <w:kern w:val="0"/>
          <w:lang w:eastAsia="en-US" w:bidi="ar-SA"/>
        </w:rPr>
        <w:t xml:space="preserve"> Volgens de definitie in het gewijzigde wetsontwerp – die in de Archiefwet uit 1962 </w:t>
      </w:r>
      <w:r w:rsidR="00883F4D" w:rsidRPr="00D147A7">
        <w:rPr>
          <w:rFonts w:eastAsiaTheme="minorEastAsia"/>
          <w:kern w:val="0"/>
          <w:lang w:eastAsia="en-US" w:bidi="ar-SA"/>
        </w:rPr>
        <w:t xml:space="preserve">overgenomen </w:t>
      </w:r>
      <w:r w:rsidRPr="00D147A7">
        <w:rPr>
          <w:rFonts w:eastAsiaTheme="minorEastAsia"/>
          <w:kern w:val="0"/>
          <w:lang w:eastAsia="en-US" w:bidi="ar-SA"/>
        </w:rPr>
        <w:t>werd – moeten archiefbescheiden nog steeds door over</w:t>
      </w:r>
      <w:r w:rsidR="00883F4D">
        <w:rPr>
          <w:rFonts w:eastAsiaTheme="minorEastAsia"/>
          <w:kern w:val="0"/>
          <w:lang w:eastAsia="en-US" w:bidi="ar-SA"/>
        </w:rPr>
        <w:t>-</w:t>
      </w:r>
      <w:r w:rsidRPr="00D147A7">
        <w:rPr>
          <w:rFonts w:eastAsiaTheme="minorEastAsia"/>
          <w:kern w:val="0"/>
          <w:lang w:eastAsia="en-US" w:bidi="ar-SA"/>
        </w:rPr>
        <w:lastRenderedPageBreak/>
        <w:t>heidsorganen opgemaakt of ontvangen worden, maar moeten ze ‘naar hun aard’ bestemd zijn om onder deze organen te berusten.</w:t>
      </w:r>
      <w:r w:rsidRPr="00D147A7">
        <w:rPr>
          <w:rFonts w:eastAsiaTheme="minorEastAsia"/>
          <w:kern w:val="0"/>
          <w:vertAlign w:val="superscript"/>
          <w:lang w:eastAsia="en-US" w:bidi="ar-SA"/>
        </w:rPr>
        <w:footnoteReference w:id="1348"/>
      </w:r>
      <w:r w:rsidRPr="00D147A7">
        <w:rPr>
          <w:rFonts w:eastAsiaTheme="minorEastAsia"/>
          <w:kern w:val="0"/>
          <w:lang w:eastAsia="en-US" w:bidi="ar-SA"/>
        </w:rPr>
        <w:t xml:space="preserve"> Van Herten interpreteert de toevoeging ‘naar hun aard’ restrictief. Voor de invulling doet Van Herten een beroep op de memorie van antwoord bij de Archiefwet. </w:t>
      </w:r>
      <w:r w:rsidRPr="00D147A7">
        <w:rPr>
          <w:rFonts w:eastAsiaTheme="minorEastAsia"/>
          <w:iCs/>
          <w:kern w:val="0"/>
          <w:lang w:eastAsia="en-US" w:bidi="ar-SA"/>
        </w:rPr>
        <w:t>(…)</w:t>
      </w:r>
      <w:r w:rsidRPr="00D147A7">
        <w:rPr>
          <w:rFonts w:eastAsiaTheme="minorEastAsia"/>
          <w:i/>
          <w:iCs/>
          <w:kern w:val="0"/>
          <w:lang w:eastAsia="en-US" w:bidi="ar-SA"/>
        </w:rPr>
        <w:t xml:space="preserve"> Hun bestemming om aldaar </w:t>
      </w:r>
      <w:r w:rsidRPr="00D147A7">
        <w:rPr>
          <w:rFonts w:eastAsiaTheme="minorEastAsia"/>
          <w:iCs/>
          <w:kern w:val="0"/>
          <w:lang w:eastAsia="en-US" w:bidi="ar-SA"/>
        </w:rPr>
        <w:t xml:space="preserve">[onder het overheidsorgaan] </w:t>
      </w:r>
      <w:r w:rsidRPr="00D147A7">
        <w:rPr>
          <w:rFonts w:eastAsiaTheme="minorEastAsia"/>
          <w:i/>
          <w:iCs/>
          <w:kern w:val="0"/>
          <w:lang w:eastAsia="en-US" w:bidi="ar-SA"/>
        </w:rPr>
        <w:t>te berusten is derhalve objectief bepaald en niet afhankelijk gesteld van het subjectief inzicht van degene, die de bescheiden ontvangt of opmaakt. Niemand zal dus bescheiden tot archiefbescheiden kunnen stempelen, indien zij dit niet uit hoofde van hun bijzondere aard zijn.</w:t>
      </w:r>
      <w:r w:rsidRPr="00D147A7">
        <w:rPr>
          <w:rFonts w:eastAsiaTheme="minorEastAsia"/>
          <w:kern w:val="0"/>
          <w:vertAlign w:val="superscript"/>
          <w:lang w:eastAsia="en-US" w:bidi="ar-SA"/>
        </w:rPr>
        <w:footnoteReference w:id="1349"/>
      </w:r>
      <w:r w:rsidRPr="00D147A7">
        <w:rPr>
          <w:rFonts w:eastAsiaTheme="minorEastAsia"/>
          <w:i/>
          <w:iCs/>
          <w:kern w:val="0"/>
          <w:lang w:eastAsia="en-US" w:bidi="ar-SA"/>
        </w:rPr>
        <w:t xml:space="preserve"> </w:t>
      </w:r>
      <w:r w:rsidRPr="00D147A7">
        <w:rPr>
          <w:rFonts w:eastAsiaTheme="minorEastAsia"/>
          <w:kern w:val="0"/>
          <w:lang w:eastAsia="en-US" w:bidi="ar-SA"/>
        </w:rPr>
        <w:t xml:space="preserve">De vraag of patiëntendossiers van </w:t>
      </w:r>
      <w:r w:rsidR="00883F4D">
        <w:rPr>
          <w:rFonts w:eastAsiaTheme="minorEastAsia"/>
          <w:kern w:val="0"/>
          <w:lang w:eastAsia="en-US" w:bidi="ar-SA"/>
        </w:rPr>
        <w:t xml:space="preserve">de publiekrechtelijke </w:t>
      </w:r>
      <w:r w:rsidRPr="00D147A7">
        <w:rPr>
          <w:rFonts w:eastAsiaTheme="minorEastAsia"/>
          <w:kern w:val="0"/>
          <w:lang w:eastAsia="en-US" w:bidi="ar-SA"/>
        </w:rPr>
        <w:t>Universitaire Medische Centra (die t.t.v. de dis</w:t>
      </w:r>
      <w:r w:rsidR="00883F4D">
        <w:rPr>
          <w:rFonts w:eastAsiaTheme="minorEastAsia"/>
          <w:kern w:val="0"/>
          <w:lang w:eastAsia="en-US" w:bidi="ar-SA"/>
        </w:rPr>
        <w:t>-</w:t>
      </w:r>
      <w:r w:rsidRPr="00D147A7">
        <w:rPr>
          <w:rFonts w:eastAsiaTheme="minorEastAsia"/>
          <w:kern w:val="0"/>
          <w:lang w:eastAsia="en-US" w:bidi="ar-SA"/>
        </w:rPr>
        <w:t>cussie nog academische ziekenhuizen genoemd werden) onder het toepassingsgebied van de Archiefwet ressorteren, laat Van Herten afhangen van de vraag of patiëntendossiers een ‘bij</w:t>
      </w:r>
      <w:r w:rsidR="00883F4D">
        <w:rPr>
          <w:rFonts w:eastAsiaTheme="minorEastAsia"/>
          <w:kern w:val="0"/>
          <w:lang w:eastAsia="en-US" w:bidi="ar-SA"/>
        </w:rPr>
        <w:t>-</w:t>
      </w:r>
      <w:r w:rsidRPr="00D147A7">
        <w:rPr>
          <w:rFonts w:eastAsiaTheme="minorEastAsia"/>
          <w:kern w:val="0"/>
          <w:lang w:eastAsia="en-US" w:bidi="ar-SA"/>
        </w:rPr>
        <w:t>zondere aard’ hebben. Dat is volgens hem niet het geval. Volgens Van Herten moeten docu</w:t>
      </w:r>
      <w:r w:rsidR="00883F4D">
        <w:rPr>
          <w:rFonts w:eastAsiaTheme="minorEastAsia"/>
          <w:kern w:val="0"/>
          <w:lang w:eastAsia="en-US" w:bidi="ar-SA"/>
        </w:rPr>
        <w:t>-</w:t>
      </w:r>
      <w:r w:rsidRPr="00D147A7">
        <w:rPr>
          <w:rFonts w:eastAsiaTheme="minorEastAsia"/>
          <w:kern w:val="0"/>
          <w:lang w:eastAsia="en-US" w:bidi="ar-SA"/>
        </w:rPr>
        <w:t>menten aan twee onafhankelijk criteria voldoen om onder het toepassingsgebied van de Ar</w:t>
      </w:r>
      <w:r w:rsidR="00883F4D">
        <w:rPr>
          <w:rFonts w:eastAsiaTheme="minorEastAsia"/>
          <w:kern w:val="0"/>
          <w:lang w:eastAsia="en-US" w:bidi="ar-SA"/>
        </w:rPr>
        <w:t>-</w:t>
      </w:r>
      <w:r w:rsidRPr="00D147A7">
        <w:rPr>
          <w:rFonts w:eastAsiaTheme="minorEastAsia"/>
          <w:kern w:val="0"/>
          <w:lang w:eastAsia="en-US" w:bidi="ar-SA"/>
        </w:rPr>
        <w:t>chiefwet te ressorteren.</w:t>
      </w:r>
      <w:r w:rsidRPr="00D147A7">
        <w:rPr>
          <w:rFonts w:eastAsiaTheme="minorEastAsia"/>
          <w:kern w:val="0"/>
          <w:vertAlign w:val="superscript"/>
          <w:lang w:eastAsia="en-US" w:bidi="ar-SA"/>
        </w:rPr>
        <w:footnoteReference w:id="1350"/>
      </w:r>
      <w:r w:rsidRPr="00D147A7">
        <w:rPr>
          <w:rFonts w:eastAsiaTheme="minorEastAsia"/>
          <w:kern w:val="0"/>
          <w:lang w:eastAsia="en-US" w:bidi="ar-SA"/>
        </w:rPr>
        <w:t xml:space="preserve"> Bescheiden moeten door een overheidsorgaan opgemaakt of ont</w:t>
      </w:r>
      <w:r w:rsidR="00883F4D">
        <w:rPr>
          <w:rFonts w:eastAsiaTheme="minorEastAsia"/>
          <w:kern w:val="0"/>
          <w:lang w:eastAsia="en-US" w:bidi="ar-SA"/>
        </w:rPr>
        <w:t>-</w:t>
      </w:r>
      <w:r w:rsidRPr="00D147A7">
        <w:rPr>
          <w:rFonts w:eastAsiaTheme="minorEastAsia"/>
          <w:kern w:val="0"/>
          <w:lang w:eastAsia="en-US" w:bidi="ar-SA"/>
        </w:rPr>
        <w:t xml:space="preserve">vangen worden én hun bestemming moet uit de ‘aard’ van de bescheiden zelf voortvloeien. De aard van patiëntendossiers, aldus Van Herten, </w:t>
      </w:r>
      <w:r w:rsidRPr="00D147A7">
        <w:rPr>
          <w:rFonts w:eastAsiaTheme="minorEastAsia"/>
          <w:i/>
          <w:kern w:val="0"/>
          <w:lang w:eastAsia="en-US" w:bidi="ar-SA"/>
        </w:rPr>
        <w:t>is hulpmiddel te zijn bij diagnostiek en the</w:t>
      </w:r>
      <w:r w:rsidR="00883F4D">
        <w:rPr>
          <w:rFonts w:eastAsiaTheme="minorEastAsia"/>
          <w:i/>
          <w:kern w:val="0"/>
          <w:lang w:eastAsia="en-US" w:bidi="ar-SA"/>
        </w:rPr>
        <w:t>-</w:t>
      </w:r>
      <w:r w:rsidRPr="00D147A7">
        <w:rPr>
          <w:rFonts w:eastAsiaTheme="minorEastAsia"/>
          <w:i/>
          <w:kern w:val="0"/>
          <w:lang w:eastAsia="en-US" w:bidi="ar-SA"/>
        </w:rPr>
        <w:t>rapie</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51"/>
      </w:r>
      <w:r w:rsidRPr="00D147A7">
        <w:rPr>
          <w:rFonts w:eastAsiaTheme="minorEastAsia"/>
          <w:kern w:val="0"/>
          <w:lang w:eastAsia="en-US" w:bidi="ar-SA"/>
        </w:rPr>
        <w:t xml:space="preserve"> Hieruit concludeert hij dat patiëntendossiers uit alle ziekenhuizen, ongeacht hun ju</w:t>
      </w:r>
      <w:r w:rsidR="00883F4D">
        <w:rPr>
          <w:rFonts w:eastAsiaTheme="minorEastAsia"/>
          <w:kern w:val="0"/>
          <w:lang w:eastAsia="en-US" w:bidi="ar-SA"/>
        </w:rPr>
        <w:t>-</w:t>
      </w:r>
      <w:r w:rsidRPr="00D147A7">
        <w:rPr>
          <w:rFonts w:eastAsiaTheme="minorEastAsia"/>
          <w:kern w:val="0"/>
          <w:lang w:eastAsia="en-US" w:bidi="ar-SA"/>
        </w:rPr>
        <w:t xml:space="preserve">ridisch statuut, bewaard moeten worden op een plaats waar ze te allen tijde door zorgverleners kunnen worden </w:t>
      </w:r>
      <w:r w:rsidR="00F450D5" w:rsidRPr="00D147A7">
        <w:rPr>
          <w:rFonts w:eastAsiaTheme="minorEastAsia"/>
          <w:kern w:val="0"/>
          <w:lang w:eastAsia="en-US" w:bidi="ar-SA"/>
        </w:rPr>
        <w:t xml:space="preserve">geraadpleegd </w:t>
      </w:r>
      <w:r w:rsidRPr="00D147A7">
        <w:rPr>
          <w:rFonts w:eastAsiaTheme="minorEastAsia"/>
          <w:kern w:val="0"/>
          <w:lang w:eastAsia="en-US" w:bidi="ar-SA"/>
        </w:rPr>
        <w:t xml:space="preserve">in functie van de zorgverlening. Van Herten benadrukt van in het begin dat zijn these enkel betrekking heeft op academische ziekenhuizen die aan een </w:t>
      </w:r>
      <w:r w:rsidR="00F450D5">
        <w:rPr>
          <w:rFonts w:eastAsiaTheme="minorEastAsia"/>
          <w:kern w:val="0"/>
          <w:lang w:eastAsia="en-US" w:bidi="ar-SA"/>
        </w:rPr>
        <w:t>r</w:t>
      </w:r>
      <w:r w:rsidRPr="00D147A7">
        <w:rPr>
          <w:rFonts w:eastAsiaTheme="minorEastAsia"/>
          <w:kern w:val="0"/>
          <w:lang w:eastAsia="en-US" w:bidi="ar-SA"/>
        </w:rPr>
        <w:t>ijks</w:t>
      </w:r>
      <w:r w:rsidR="00F450D5">
        <w:rPr>
          <w:rFonts w:eastAsiaTheme="minorEastAsia"/>
          <w:kern w:val="0"/>
          <w:lang w:eastAsia="en-US" w:bidi="ar-SA"/>
        </w:rPr>
        <w:t>-</w:t>
      </w:r>
      <w:r w:rsidRPr="00D147A7">
        <w:rPr>
          <w:rFonts w:eastAsiaTheme="minorEastAsia"/>
          <w:kern w:val="0"/>
          <w:lang w:eastAsia="en-US" w:bidi="ar-SA"/>
        </w:rPr>
        <w:t>universiteit verbonden zijn.</w:t>
      </w:r>
      <w:r w:rsidRPr="00D147A7">
        <w:rPr>
          <w:rFonts w:eastAsiaTheme="minorEastAsia"/>
          <w:kern w:val="0"/>
          <w:vertAlign w:val="superscript"/>
          <w:lang w:eastAsia="en-US" w:bidi="ar-SA"/>
        </w:rPr>
        <w:footnoteReference w:id="1352"/>
      </w:r>
      <w:r w:rsidRPr="00D147A7">
        <w:rPr>
          <w:rFonts w:eastAsiaTheme="minorEastAsia"/>
          <w:kern w:val="0"/>
          <w:lang w:eastAsia="en-US" w:bidi="ar-SA"/>
        </w:rPr>
        <w:t xml:space="preserve"> Dat patiëntendossiers volgens hem niet onder een overheids</w:t>
      </w:r>
      <w:r w:rsidR="00F450D5">
        <w:rPr>
          <w:rFonts w:eastAsiaTheme="minorEastAsia"/>
          <w:kern w:val="0"/>
          <w:lang w:eastAsia="en-US" w:bidi="ar-SA"/>
        </w:rPr>
        <w:t>-</w:t>
      </w:r>
      <w:r w:rsidRPr="00D147A7">
        <w:rPr>
          <w:rFonts w:eastAsiaTheme="minorEastAsia"/>
          <w:kern w:val="0"/>
          <w:lang w:eastAsia="en-US" w:bidi="ar-SA"/>
        </w:rPr>
        <w:t>orgaan kunnen berusten, heeft evenmin betrekking op keuringsgegevens en gegevens uit peni</w:t>
      </w:r>
      <w:r w:rsidR="00F450D5">
        <w:rPr>
          <w:rFonts w:eastAsiaTheme="minorEastAsia"/>
          <w:kern w:val="0"/>
          <w:lang w:eastAsia="en-US" w:bidi="ar-SA"/>
        </w:rPr>
        <w:t>-</w:t>
      </w:r>
      <w:r w:rsidRPr="00D147A7">
        <w:rPr>
          <w:rFonts w:eastAsiaTheme="minorEastAsia"/>
          <w:kern w:val="0"/>
          <w:lang w:eastAsia="en-US" w:bidi="ar-SA"/>
        </w:rPr>
        <w:t>tentiaire en militaire instellingen (die in afzonderlijke wet worden</w:t>
      </w:r>
      <w:r w:rsidR="00F450D5" w:rsidRPr="00F450D5">
        <w:rPr>
          <w:rFonts w:eastAsiaTheme="minorEastAsia"/>
          <w:kern w:val="0"/>
          <w:lang w:eastAsia="en-US" w:bidi="ar-SA"/>
        </w:rPr>
        <w:t xml:space="preserve"> </w:t>
      </w:r>
      <w:r w:rsidR="00F450D5" w:rsidRPr="00D147A7">
        <w:rPr>
          <w:rFonts w:eastAsiaTheme="minorEastAsia"/>
          <w:kern w:val="0"/>
          <w:lang w:eastAsia="en-US" w:bidi="ar-SA"/>
        </w:rPr>
        <w:t>behandeld</w:t>
      </w:r>
      <w:r w:rsidR="00F450D5">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Hiermee zette Van Herten de pennenstrijd in gang. Of patiëntendossiers van academische zie</w:t>
      </w:r>
      <w:r w:rsidR="00F450D5">
        <w:rPr>
          <w:rFonts w:eastAsiaTheme="minorEastAsia"/>
          <w:kern w:val="0"/>
          <w:lang w:eastAsia="en-US" w:bidi="ar-SA"/>
        </w:rPr>
        <w:t>-</w:t>
      </w:r>
      <w:r w:rsidRPr="00D147A7">
        <w:rPr>
          <w:rFonts w:eastAsiaTheme="minorEastAsia"/>
          <w:kern w:val="0"/>
          <w:lang w:eastAsia="en-US" w:bidi="ar-SA"/>
        </w:rPr>
        <w:t>kenhuizen onder het toepassingsgebied van de Archiefwet vallen, werd al vroeg in de discus</w:t>
      </w:r>
      <w:r w:rsidR="00F450D5">
        <w:rPr>
          <w:rFonts w:eastAsiaTheme="minorEastAsia"/>
          <w:kern w:val="0"/>
          <w:lang w:eastAsia="en-US" w:bidi="ar-SA"/>
        </w:rPr>
        <w:t>-</w:t>
      </w:r>
      <w:r w:rsidRPr="00D147A7">
        <w:rPr>
          <w:rFonts w:eastAsiaTheme="minorEastAsia"/>
          <w:kern w:val="0"/>
          <w:lang w:eastAsia="en-US" w:bidi="ar-SA"/>
        </w:rPr>
        <w:t>sie herleid tot de vraag hoe het woordje ‘aard’ in de definitie van archiefbescheiden (</w:t>
      </w:r>
      <w:r w:rsidRPr="00D147A7">
        <w:rPr>
          <w:rFonts w:eastAsiaTheme="minorEastAsia"/>
          <w:i/>
          <w:kern w:val="0"/>
          <w:lang w:eastAsia="en-US" w:bidi="ar-SA"/>
        </w:rPr>
        <w:t>beschei</w:t>
      </w:r>
      <w:r w:rsidR="00F450D5">
        <w:rPr>
          <w:rFonts w:eastAsiaTheme="minorEastAsia"/>
          <w:i/>
          <w:kern w:val="0"/>
          <w:lang w:eastAsia="en-US" w:bidi="ar-SA"/>
        </w:rPr>
        <w:t>-</w:t>
      </w:r>
      <w:r w:rsidRPr="00D147A7">
        <w:rPr>
          <w:rFonts w:eastAsiaTheme="minorEastAsia"/>
          <w:i/>
          <w:kern w:val="0"/>
          <w:lang w:eastAsia="en-US" w:bidi="ar-SA"/>
        </w:rPr>
        <w:t xml:space="preserve">den </w:t>
      </w:r>
      <w:r w:rsidRPr="00D147A7">
        <w:rPr>
          <w:rFonts w:eastAsiaTheme="minorEastAsia"/>
          <w:kern w:val="0"/>
          <w:lang w:eastAsia="en-US" w:bidi="ar-SA"/>
        </w:rPr>
        <w:t>(…)</w:t>
      </w:r>
      <w:r w:rsidRPr="00D147A7">
        <w:rPr>
          <w:rFonts w:eastAsiaTheme="minorEastAsia"/>
          <w:i/>
          <w:kern w:val="0"/>
          <w:lang w:eastAsia="en-US" w:bidi="ar-SA"/>
        </w:rPr>
        <w:t xml:space="preserve"> door de overheidsorganen ontvangen of opgemaakt en naar hun aard bestemd daar</w:t>
      </w:r>
      <w:r w:rsidR="00F450D5">
        <w:rPr>
          <w:rFonts w:eastAsiaTheme="minorEastAsia"/>
          <w:i/>
          <w:kern w:val="0"/>
          <w:lang w:eastAsia="en-US" w:bidi="ar-SA"/>
        </w:rPr>
        <w:t>-</w:t>
      </w:r>
      <w:r w:rsidRPr="00D147A7">
        <w:rPr>
          <w:rFonts w:eastAsiaTheme="minorEastAsia"/>
          <w:i/>
          <w:kern w:val="0"/>
          <w:lang w:eastAsia="en-US" w:bidi="ar-SA"/>
        </w:rPr>
        <w:t>onder te berusten</w:t>
      </w:r>
      <w:r w:rsidRPr="00D147A7">
        <w:rPr>
          <w:rFonts w:eastAsiaTheme="minorEastAsia"/>
          <w:kern w:val="0"/>
          <w:lang w:eastAsia="en-US" w:bidi="ar-SA"/>
        </w:rPr>
        <w:t>) geïnterpreteerd moet worden.</w:t>
      </w:r>
      <w:r w:rsidRPr="00D147A7">
        <w:rPr>
          <w:rFonts w:eastAsiaTheme="minorEastAsia"/>
          <w:kern w:val="0"/>
          <w:vertAlign w:val="superscript"/>
          <w:lang w:eastAsia="en-US" w:bidi="ar-SA"/>
        </w:rPr>
        <w:footnoteReference w:id="1353"/>
      </w:r>
      <w:r w:rsidRPr="00D147A7">
        <w:rPr>
          <w:rFonts w:eastAsiaTheme="minorEastAsia"/>
          <w:kern w:val="0"/>
          <w:lang w:eastAsia="en-US" w:bidi="ar-SA"/>
        </w:rPr>
        <w:t xml:space="preserve"> Het antwoord mag, aldus Ketelaar, niet in de memorie van toelichting bij de ontwerpversie van de Archiefwet gezocht worden omdat de bewijswaarde van archiefbescheiden daar</w:t>
      </w:r>
      <w:r w:rsidR="00F450D5">
        <w:rPr>
          <w:rFonts w:eastAsiaTheme="minorEastAsia"/>
          <w:kern w:val="0"/>
          <w:lang w:eastAsia="en-US" w:bidi="ar-SA"/>
        </w:rPr>
        <w:t>in</w:t>
      </w:r>
      <w:r w:rsidRPr="00D147A7">
        <w:rPr>
          <w:rFonts w:eastAsiaTheme="minorEastAsia"/>
          <w:kern w:val="0"/>
          <w:lang w:eastAsia="en-US" w:bidi="ar-SA"/>
        </w:rPr>
        <w:t xml:space="preserve"> onvoldoende aan bod komt. In plaats daarvan wijst hij Van Herten op de toelichting in de Nederlandse Archiefterminologie: </w:t>
      </w:r>
      <w:r w:rsidRPr="00D147A7">
        <w:rPr>
          <w:rFonts w:eastAsiaTheme="minorEastAsia"/>
          <w:i/>
          <w:kern w:val="0"/>
          <w:lang w:eastAsia="en-US" w:bidi="ar-SA"/>
        </w:rPr>
        <w:t xml:space="preserve"> </w:t>
      </w:r>
      <w:r w:rsidRPr="00D147A7">
        <w:rPr>
          <w:rFonts w:eastAsiaTheme="minorEastAsia"/>
          <w:kern w:val="0"/>
          <w:lang w:eastAsia="en-US" w:bidi="ar-SA"/>
        </w:rPr>
        <w:t xml:space="preserve">(…) </w:t>
      </w:r>
      <w:r w:rsidRPr="00D147A7">
        <w:rPr>
          <w:rFonts w:eastAsiaTheme="minorEastAsia"/>
          <w:i/>
          <w:iCs/>
          <w:kern w:val="0"/>
          <w:lang w:eastAsia="en-US" w:bidi="ar-SA"/>
        </w:rPr>
        <w:t>De geaardheid, waardoor archiefbescheiden worden bestemd, is hierin gelegen, dat het de origi</w:t>
      </w:r>
      <w:r w:rsidR="00F450D5">
        <w:rPr>
          <w:rFonts w:eastAsiaTheme="minorEastAsia"/>
          <w:i/>
          <w:iCs/>
          <w:kern w:val="0"/>
          <w:lang w:eastAsia="en-US" w:bidi="ar-SA"/>
        </w:rPr>
        <w:t>-</w:t>
      </w:r>
      <w:r w:rsidRPr="00D147A7">
        <w:rPr>
          <w:rFonts w:eastAsiaTheme="minorEastAsia"/>
          <w:i/>
          <w:iCs/>
          <w:kern w:val="0"/>
          <w:lang w:eastAsia="en-US" w:bidi="ar-SA"/>
        </w:rPr>
        <w:t>nele bewijsstukken zijn van specifieke handelingen van degene, die het archief vormt: uit dien hoofde moeten zij immers bestemd worden geacht om uitsluitend te berusten onder degene, die ze heeft ontvangen of opgemaakt</w:t>
      </w:r>
      <w:r w:rsidRPr="00D147A7">
        <w:rPr>
          <w:rFonts w:eastAsiaTheme="minorEastAsia"/>
          <w:iCs/>
          <w:kern w:val="0"/>
          <w:lang w:eastAsia="en-US" w:bidi="ar-SA"/>
        </w:rPr>
        <w:t>.</w:t>
      </w:r>
      <w:r w:rsidRPr="00D147A7">
        <w:rPr>
          <w:rFonts w:eastAsiaTheme="minorEastAsia"/>
          <w:iCs/>
          <w:kern w:val="0"/>
          <w:vertAlign w:val="superscript"/>
          <w:lang w:eastAsia="en-US" w:bidi="ar-SA"/>
        </w:rPr>
        <w:footnoteReference w:id="1354"/>
      </w:r>
      <w:r w:rsidRPr="00D147A7">
        <w:rPr>
          <w:rFonts w:eastAsiaTheme="minorEastAsia"/>
          <w:i/>
          <w:iCs/>
          <w:kern w:val="0"/>
          <w:lang w:eastAsia="en-US" w:bidi="ar-SA"/>
        </w:rPr>
        <w:t xml:space="preserve"> </w:t>
      </w:r>
      <w:r w:rsidRPr="00D147A7">
        <w:rPr>
          <w:rFonts w:eastAsiaTheme="minorEastAsia"/>
          <w:iCs/>
          <w:kern w:val="0"/>
          <w:lang w:eastAsia="en-US" w:bidi="ar-SA"/>
        </w:rPr>
        <w:t xml:space="preserve">Op basis van deze toelichting komt Ketelaar tot de volgende slotsom: </w:t>
      </w:r>
      <w:r w:rsidRPr="00D147A7">
        <w:rPr>
          <w:rFonts w:eastAsiaTheme="minorEastAsia"/>
          <w:i/>
          <w:iCs/>
          <w:kern w:val="0"/>
          <w:lang w:eastAsia="en-US" w:bidi="ar-SA"/>
        </w:rPr>
        <w:t>de door ziekenhuizen opgemaakte archiefbescheiden – inclusief patiënten</w:t>
      </w:r>
      <w:r w:rsidR="00F450D5">
        <w:rPr>
          <w:rFonts w:eastAsiaTheme="minorEastAsia"/>
          <w:i/>
          <w:iCs/>
          <w:kern w:val="0"/>
          <w:lang w:eastAsia="en-US" w:bidi="ar-SA"/>
        </w:rPr>
        <w:t>-</w:t>
      </w:r>
      <w:r w:rsidRPr="00D147A7">
        <w:rPr>
          <w:rFonts w:eastAsiaTheme="minorEastAsia"/>
          <w:i/>
          <w:iCs/>
          <w:kern w:val="0"/>
          <w:lang w:eastAsia="en-US" w:bidi="ar-SA"/>
        </w:rPr>
        <w:t>dossiers – vormen de schriftelijke neerslag van de handelingen van het ziekenhuis en zijn fun</w:t>
      </w:r>
      <w:r w:rsidR="00F450D5">
        <w:rPr>
          <w:rFonts w:eastAsiaTheme="minorEastAsia"/>
          <w:i/>
          <w:iCs/>
          <w:kern w:val="0"/>
          <w:lang w:eastAsia="en-US" w:bidi="ar-SA"/>
        </w:rPr>
        <w:t>-</w:t>
      </w:r>
      <w:r w:rsidRPr="00D147A7">
        <w:rPr>
          <w:rFonts w:eastAsiaTheme="minorEastAsia"/>
          <w:i/>
          <w:iCs/>
          <w:kern w:val="0"/>
          <w:lang w:eastAsia="en-US" w:bidi="ar-SA"/>
        </w:rPr>
        <w:t>ctionarissen</w:t>
      </w:r>
      <w:r w:rsidRPr="00D147A7">
        <w:rPr>
          <w:rFonts w:eastAsiaTheme="minorEastAsia"/>
          <w:iCs/>
          <w:kern w:val="0"/>
          <w:lang w:eastAsia="en-US" w:bidi="ar-SA"/>
        </w:rPr>
        <w:t xml:space="preserve">. </w:t>
      </w:r>
      <w:r w:rsidRPr="00D147A7">
        <w:rPr>
          <w:rFonts w:eastAsiaTheme="minorEastAsia"/>
          <w:i/>
          <w:iCs/>
          <w:kern w:val="0"/>
          <w:lang w:eastAsia="en-US" w:bidi="ar-SA"/>
        </w:rPr>
        <w:t>Het zijn ‘de originele bewijsstukken van specifieke handelingen’ van het zieken</w:t>
      </w:r>
      <w:r w:rsidR="00F450D5">
        <w:rPr>
          <w:rFonts w:eastAsiaTheme="minorEastAsia"/>
          <w:i/>
          <w:iCs/>
          <w:kern w:val="0"/>
          <w:lang w:eastAsia="en-US" w:bidi="ar-SA"/>
        </w:rPr>
        <w:t>-</w:t>
      </w:r>
      <w:r w:rsidRPr="00D147A7">
        <w:rPr>
          <w:rFonts w:eastAsiaTheme="minorEastAsia"/>
          <w:i/>
          <w:iCs/>
          <w:kern w:val="0"/>
          <w:lang w:eastAsia="en-US" w:bidi="ar-SA"/>
        </w:rPr>
        <w:lastRenderedPageBreak/>
        <w:t>huis</w:t>
      </w:r>
      <w:r w:rsidRPr="00D147A7">
        <w:rPr>
          <w:rFonts w:eastAsiaTheme="minorEastAsia"/>
          <w:iCs/>
          <w:kern w:val="0"/>
          <w:lang w:eastAsia="en-US" w:bidi="ar-SA"/>
        </w:rPr>
        <w:t>.</w:t>
      </w:r>
      <w:r w:rsidRPr="00D147A7">
        <w:rPr>
          <w:rFonts w:eastAsiaTheme="minorEastAsia"/>
          <w:iCs/>
          <w:kern w:val="0"/>
          <w:vertAlign w:val="superscript"/>
          <w:lang w:eastAsia="en-US" w:bidi="ar-SA"/>
        </w:rPr>
        <w:footnoteReference w:id="1355"/>
      </w:r>
      <w:r w:rsidRPr="00D147A7">
        <w:rPr>
          <w:rFonts w:eastAsiaTheme="minorEastAsia"/>
          <w:iCs/>
          <w:kern w:val="0"/>
          <w:lang w:eastAsia="en-US" w:bidi="ar-SA"/>
        </w:rPr>
        <w:t xml:space="preserve"> Het is niet omdat patiëntendossiers in de eerste plaats gevormd en bewaard worden om de zorgverlening aan de betrokken patiënten te ondersteunen (administratieve waarde), dat zij daardoor geen juridische bewijsfunctie kunnen vervullen. Integendeel, </w:t>
      </w:r>
      <w:r w:rsidR="00F450D5">
        <w:rPr>
          <w:rFonts w:eastAsiaTheme="minorEastAsia"/>
          <w:iCs/>
          <w:kern w:val="0"/>
          <w:lang w:eastAsia="en-US" w:bidi="ar-SA"/>
        </w:rPr>
        <w:t xml:space="preserve">aan </w:t>
      </w:r>
      <w:r w:rsidRPr="00D147A7">
        <w:rPr>
          <w:rFonts w:eastAsiaTheme="minorEastAsia"/>
          <w:iCs/>
          <w:kern w:val="0"/>
          <w:lang w:eastAsia="en-US" w:bidi="ar-SA"/>
        </w:rPr>
        <w:t>patiëntendos</w:t>
      </w:r>
      <w:r w:rsidR="00F450D5">
        <w:rPr>
          <w:rFonts w:eastAsiaTheme="minorEastAsia"/>
          <w:iCs/>
          <w:kern w:val="0"/>
          <w:lang w:eastAsia="en-US" w:bidi="ar-SA"/>
        </w:rPr>
        <w:t>-</w:t>
      </w:r>
      <w:r w:rsidRPr="00D147A7">
        <w:rPr>
          <w:rFonts w:eastAsiaTheme="minorEastAsia"/>
          <w:iCs/>
          <w:kern w:val="0"/>
          <w:lang w:eastAsia="en-US" w:bidi="ar-SA"/>
        </w:rPr>
        <w:t xml:space="preserve">siers </w:t>
      </w:r>
      <w:r w:rsidR="00F450D5">
        <w:rPr>
          <w:rFonts w:eastAsiaTheme="minorEastAsia"/>
          <w:iCs/>
          <w:kern w:val="0"/>
          <w:lang w:eastAsia="en-US" w:bidi="ar-SA"/>
        </w:rPr>
        <w:t>wordt</w:t>
      </w:r>
      <w:r w:rsidRPr="00D147A7">
        <w:rPr>
          <w:rFonts w:eastAsiaTheme="minorEastAsia"/>
          <w:iCs/>
          <w:kern w:val="0"/>
          <w:lang w:eastAsia="en-US" w:bidi="ar-SA"/>
        </w:rPr>
        <w:t xml:space="preserve"> een sleutelrol </w:t>
      </w:r>
      <w:r w:rsidR="00F450D5">
        <w:rPr>
          <w:rFonts w:eastAsiaTheme="minorEastAsia"/>
          <w:iCs/>
          <w:kern w:val="0"/>
          <w:lang w:eastAsia="en-US" w:bidi="ar-SA"/>
        </w:rPr>
        <w:t xml:space="preserve">toebedeeld </w:t>
      </w:r>
      <w:r w:rsidRPr="00D147A7">
        <w:rPr>
          <w:rFonts w:eastAsiaTheme="minorEastAsia"/>
          <w:iCs/>
          <w:kern w:val="0"/>
          <w:lang w:eastAsia="en-US" w:bidi="ar-SA"/>
        </w:rPr>
        <w:t xml:space="preserve">in aansprakelijkheidsvorderingen ten gevolge van een (vermeende) medische fout. Of zoals Ketelaar het verwoordde: </w:t>
      </w:r>
      <w:r w:rsidRPr="00D147A7">
        <w:rPr>
          <w:rFonts w:eastAsiaTheme="minorEastAsia"/>
          <w:i/>
          <w:kern w:val="0"/>
          <w:lang w:eastAsia="en-US" w:bidi="ar-SA"/>
        </w:rPr>
        <w:t>Al moge het doel van de vor</w:t>
      </w:r>
      <w:r w:rsidR="00F450D5">
        <w:rPr>
          <w:rFonts w:eastAsiaTheme="minorEastAsia"/>
          <w:i/>
          <w:kern w:val="0"/>
          <w:lang w:eastAsia="en-US" w:bidi="ar-SA"/>
        </w:rPr>
        <w:t>-</w:t>
      </w:r>
      <w:r w:rsidRPr="00D147A7">
        <w:rPr>
          <w:rFonts w:eastAsiaTheme="minorEastAsia"/>
          <w:i/>
          <w:kern w:val="0"/>
          <w:lang w:eastAsia="en-US" w:bidi="ar-SA"/>
        </w:rPr>
        <w:t>ming van medische dossiers gelegen zijn in de patiëntenzorg, dit geeft geen vrijbrief om de bewijsstukken van het handelen van het ziekenhuis en zijn functionarissen aan de voor de ge</w:t>
      </w:r>
      <w:r w:rsidR="00F450D5">
        <w:rPr>
          <w:rFonts w:eastAsiaTheme="minorEastAsia"/>
          <w:i/>
          <w:kern w:val="0"/>
          <w:lang w:eastAsia="en-US" w:bidi="ar-SA"/>
        </w:rPr>
        <w:t>-</w:t>
      </w:r>
      <w:r w:rsidRPr="00D147A7">
        <w:rPr>
          <w:rFonts w:eastAsiaTheme="minorEastAsia"/>
          <w:i/>
          <w:kern w:val="0"/>
          <w:lang w:eastAsia="en-US" w:bidi="ar-SA"/>
        </w:rPr>
        <w:t>hele overheid geldende wettelijke regels te onttrekken. Dat komt neer op verduistering van overheidsarchieven (een ambtsmisdrijf volgens artikel 361 van het Wetboek van Strafrecht). Laat Van Herten oppassen niet wegens uitlokking van zulk een misdrijf te kaak gesteld te wor</w:t>
      </w:r>
      <w:r w:rsidR="00F450D5">
        <w:rPr>
          <w:rFonts w:eastAsiaTheme="minorEastAsia"/>
          <w:i/>
          <w:kern w:val="0"/>
          <w:lang w:eastAsia="en-US" w:bidi="ar-SA"/>
        </w:rPr>
        <w:t>-</w:t>
      </w:r>
      <w:r w:rsidRPr="00D147A7">
        <w:rPr>
          <w:rFonts w:eastAsiaTheme="minorEastAsia"/>
          <w:i/>
          <w:kern w:val="0"/>
          <w:lang w:eastAsia="en-US" w:bidi="ar-SA"/>
        </w:rPr>
        <w:t xml:space="preserve">den: </w:t>
      </w:r>
      <w:r w:rsidRPr="00D147A7">
        <w:rPr>
          <w:rFonts w:eastAsiaTheme="minorEastAsia"/>
          <w:i/>
          <w:iCs/>
          <w:kern w:val="0"/>
          <w:lang w:eastAsia="en-US" w:bidi="ar-SA"/>
        </w:rPr>
        <w:t>ignorantia juris nocet</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56"/>
      </w:r>
    </w:p>
    <w:p w:rsidR="000F560E" w:rsidRPr="00D147A7" w:rsidRDefault="00F450D5" w:rsidP="000F560E">
      <w:pPr>
        <w:widowControl/>
        <w:suppressAutoHyphens w:val="0"/>
        <w:jc w:val="both"/>
        <w:rPr>
          <w:rFonts w:eastAsiaTheme="minorEastAsia"/>
          <w:kern w:val="0"/>
          <w:lang w:eastAsia="en-US" w:bidi="ar-SA"/>
        </w:rPr>
      </w:pPr>
      <w:r>
        <w:rPr>
          <w:rFonts w:eastAsiaTheme="minorEastAsia"/>
          <w:iCs/>
          <w:kern w:val="0"/>
          <w:lang w:eastAsia="en-US" w:bidi="ar-SA"/>
        </w:rPr>
        <w:t>Toch weigerde</w:t>
      </w:r>
      <w:r w:rsidR="000F560E" w:rsidRPr="00D147A7">
        <w:rPr>
          <w:rFonts w:eastAsiaTheme="minorEastAsia"/>
          <w:iCs/>
          <w:kern w:val="0"/>
          <w:lang w:eastAsia="en-US" w:bidi="ar-SA"/>
        </w:rPr>
        <w:t xml:space="preserve"> Van Herten de duimen te leggen voor zijn belager. In zijn repliek zoekt hij toevlucht </w:t>
      </w:r>
      <w:r w:rsidR="000F560E" w:rsidRPr="00D147A7">
        <w:rPr>
          <w:rFonts w:eastAsiaTheme="minorEastAsia"/>
          <w:kern w:val="0"/>
          <w:lang w:eastAsia="en-US" w:bidi="ar-SA"/>
        </w:rPr>
        <w:t>tot het woordenboek. Daarin wordt het woordje ‘aard’ uitgelegd als ‘kenmerkende eigenschap of kenmerk van iets of iemand’. Door de zaak van de taalkundige kant te bekijken, tracht hij Ketelaar alsnog van zijn gelijk te overtuigen. Maar in werkelijkheid valt hij in her</w:t>
      </w:r>
      <w:r>
        <w:rPr>
          <w:rFonts w:eastAsiaTheme="minorEastAsia"/>
          <w:kern w:val="0"/>
          <w:lang w:eastAsia="en-US" w:bidi="ar-SA"/>
        </w:rPr>
        <w:t>-</w:t>
      </w:r>
      <w:r w:rsidR="000F560E" w:rsidRPr="00D147A7">
        <w:rPr>
          <w:rFonts w:eastAsiaTheme="minorEastAsia"/>
          <w:kern w:val="0"/>
          <w:lang w:eastAsia="en-US" w:bidi="ar-SA"/>
        </w:rPr>
        <w:t>haling (</w:t>
      </w:r>
      <w:r w:rsidR="000F560E" w:rsidRPr="00D147A7">
        <w:rPr>
          <w:rFonts w:eastAsiaTheme="minorEastAsia"/>
          <w:i/>
          <w:kern w:val="0"/>
          <w:lang w:eastAsia="en-US" w:bidi="ar-SA"/>
        </w:rPr>
        <w:t xml:space="preserve">onmiskenbaar is dat de kenmerkende eigenschap van </w:t>
      </w:r>
      <w:r w:rsidR="000F560E" w:rsidRPr="00D147A7">
        <w:rPr>
          <w:rFonts w:eastAsiaTheme="minorEastAsia"/>
          <w:kern w:val="0"/>
          <w:lang w:eastAsia="en-US" w:bidi="ar-SA"/>
        </w:rPr>
        <w:t xml:space="preserve">[het] </w:t>
      </w:r>
      <w:r w:rsidR="000F560E" w:rsidRPr="00D147A7">
        <w:rPr>
          <w:rFonts w:eastAsiaTheme="minorEastAsia"/>
          <w:i/>
          <w:kern w:val="0"/>
          <w:lang w:eastAsia="en-US" w:bidi="ar-SA"/>
        </w:rPr>
        <w:t>medisch dossier onderdeel is van de hulpverlening aan de patiënt</w:t>
      </w:r>
      <w:r w:rsidR="000F560E" w:rsidRPr="00D147A7">
        <w:rPr>
          <w:rFonts w:eastAsiaTheme="minorEastAsia"/>
          <w:kern w:val="0"/>
          <w:vertAlign w:val="superscript"/>
          <w:lang w:eastAsia="en-US" w:bidi="ar-SA"/>
        </w:rPr>
        <w:footnoteReference w:id="1357"/>
      </w:r>
      <w:r w:rsidR="000F560E" w:rsidRPr="00D147A7">
        <w:rPr>
          <w:rFonts w:eastAsiaTheme="minorEastAsia"/>
          <w:kern w:val="0"/>
          <w:lang w:eastAsia="en-US" w:bidi="ar-SA"/>
        </w:rPr>
        <w:t xml:space="preserve">) en </w:t>
      </w:r>
      <w:r>
        <w:rPr>
          <w:rFonts w:eastAsiaTheme="minorEastAsia"/>
          <w:kern w:val="0"/>
          <w:lang w:eastAsia="en-US" w:bidi="ar-SA"/>
        </w:rPr>
        <w:t>zet hij</w:t>
      </w:r>
      <w:r w:rsidR="000F560E" w:rsidRPr="00D147A7">
        <w:rPr>
          <w:rFonts w:eastAsiaTheme="minorEastAsia"/>
          <w:kern w:val="0"/>
          <w:lang w:eastAsia="en-US" w:bidi="ar-SA"/>
        </w:rPr>
        <w:t xml:space="preserve"> zijn stelling geen enkele kracht bij. Het open einde van de discussie tussen Van Herten en Ketelaar </w:t>
      </w:r>
      <w:r>
        <w:rPr>
          <w:rFonts w:eastAsiaTheme="minorEastAsia"/>
          <w:kern w:val="0"/>
          <w:lang w:eastAsia="en-US" w:bidi="ar-SA"/>
        </w:rPr>
        <w:t>bleef niet zonder</w:t>
      </w:r>
      <w:r w:rsidR="000F560E" w:rsidRPr="00D147A7">
        <w:rPr>
          <w:rFonts w:eastAsiaTheme="minorEastAsia"/>
          <w:kern w:val="0"/>
          <w:lang w:eastAsia="en-US" w:bidi="ar-SA"/>
        </w:rPr>
        <w:t xml:space="preserve"> consequenties. Een jaar later (in 1987) heeft de Commissie Medische Archieven – ingesteld door het Me</w:t>
      </w:r>
      <w:r>
        <w:rPr>
          <w:rFonts w:eastAsiaTheme="minorEastAsia"/>
          <w:kern w:val="0"/>
          <w:lang w:eastAsia="en-US" w:bidi="ar-SA"/>
        </w:rPr>
        <w:t>-</w:t>
      </w:r>
      <w:r w:rsidR="000F560E" w:rsidRPr="00D147A7">
        <w:rPr>
          <w:rFonts w:eastAsiaTheme="minorEastAsia"/>
          <w:kern w:val="0"/>
          <w:lang w:eastAsia="en-US" w:bidi="ar-SA"/>
        </w:rPr>
        <w:t xml:space="preserve">disch-Verpleegkundig Directeuren Contact Academische Ziekenhuizen (MVDC) – immers verzaakt om de knoop in het rapport </w:t>
      </w:r>
      <w:r w:rsidR="000F560E" w:rsidRPr="00D147A7">
        <w:rPr>
          <w:rFonts w:eastAsiaTheme="minorEastAsia"/>
          <w:i/>
          <w:iCs/>
          <w:kern w:val="0"/>
          <w:lang w:eastAsia="en-US" w:bidi="ar-SA"/>
        </w:rPr>
        <w:t>Bewaar-/vernietigingsbeleid medische dossiers in acade</w:t>
      </w:r>
      <w:r>
        <w:rPr>
          <w:rFonts w:eastAsiaTheme="minorEastAsia"/>
          <w:i/>
          <w:iCs/>
          <w:kern w:val="0"/>
          <w:lang w:eastAsia="en-US" w:bidi="ar-SA"/>
        </w:rPr>
        <w:t>-</w:t>
      </w:r>
      <w:r w:rsidR="000F560E" w:rsidRPr="00D147A7">
        <w:rPr>
          <w:rFonts w:eastAsiaTheme="minorEastAsia"/>
          <w:i/>
          <w:iCs/>
          <w:kern w:val="0"/>
          <w:lang w:eastAsia="en-US" w:bidi="ar-SA"/>
        </w:rPr>
        <w:t>mische ziekenhuizen</w:t>
      </w:r>
      <w:r w:rsidR="000F560E" w:rsidRPr="00D147A7">
        <w:rPr>
          <w:rFonts w:eastAsiaTheme="minorEastAsia"/>
          <w:kern w:val="0"/>
          <w:lang w:eastAsia="en-US" w:bidi="ar-SA"/>
        </w:rPr>
        <w:t xml:space="preserve"> door te hakken omdat </w:t>
      </w:r>
      <w:r w:rsidR="000F560E" w:rsidRPr="00D147A7">
        <w:rPr>
          <w:rFonts w:eastAsiaTheme="minorEastAsia"/>
          <w:i/>
          <w:kern w:val="0"/>
          <w:lang w:eastAsia="en-US" w:bidi="ar-SA"/>
        </w:rPr>
        <w:t>de vraag naar de toepasselijkheid van de Archief</w:t>
      </w:r>
      <w:r>
        <w:rPr>
          <w:rFonts w:eastAsiaTheme="minorEastAsia"/>
          <w:i/>
          <w:kern w:val="0"/>
          <w:lang w:eastAsia="en-US" w:bidi="ar-SA"/>
        </w:rPr>
        <w:t>-</w:t>
      </w:r>
      <w:r w:rsidR="000F560E" w:rsidRPr="00D147A7">
        <w:rPr>
          <w:rFonts w:eastAsiaTheme="minorEastAsia"/>
          <w:i/>
          <w:kern w:val="0"/>
          <w:lang w:eastAsia="en-US" w:bidi="ar-SA"/>
        </w:rPr>
        <w:t>wet 1962 bij het ontwikkelen van een bewaar-/vernietigingsbeleid voor medische dossiers in de Academische Ziekenhuizen ruimte openlaat voor verschillende interpretaties</w:t>
      </w:r>
      <w:r w:rsidR="000F560E" w:rsidRPr="00D147A7">
        <w:rPr>
          <w:rFonts w:eastAsiaTheme="minorEastAsia"/>
          <w:kern w:val="0"/>
          <w:lang w:eastAsia="en-US" w:bidi="ar-SA"/>
        </w:rPr>
        <w:t>.</w:t>
      </w:r>
      <w:r w:rsidR="000F560E" w:rsidRPr="00D147A7">
        <w:rPr>
          <w:rFonts w:eastAsiaTheme="minorEastAsia"/>
          <w:kern w:val="0"/>
          <w:vertAlign w:val="superscript"/>
          <w:lang w:eastAsia="en-US" w:bidi="ar-SA"/>
        </w:rPr>
        <w:footnoteReference w:id="1358"/>
      </w:r>
      <w:r w:rsidR="000F560E" w:rsidRPr="00D147A7">
        <w:rPr>
          <w:rFonts w:eastAsiaTheme="minorEastAsia"/>
          <w:kern w:val="0"/>
          <w:lang w:eastAsia="en-US" w:bidi="ar-SA"/>
        </w:rPr>
        <w:t xml:space="preserve"> In plaats daarvan stelde de Commissie voor om, </w:t>
      </w:r>
      <w:r w:rsidR="000F560E" w:rsidRPr="00D147A7">
        <w:rPr>
          <w:rFonts w:eastAsiaTheme="minorEastAsia"/>
          <w:i/>
          <w:kern w:val="0"/>
          <w:lang w:eastAsia="en-US" w:bidi="ar-SA"/>
        </w:rPr>
        <w:t>de vernietiging van medische dossiers te regelen in een ministeriële beschikking</w:t>
      </w:r>
      <w:r w:rsidR="000F560E" w:rsidRPr="00D147A7">
        <w:rPr>
          <w:rFonts w:eastAsiaTheme="minorEastAsia"/>
          <w:kern w:val="0"/>
          <w:lang w:eastAsia="en-US" w:bidi="ar-SA"/>
        </w:rPr>
        <w:t xml:space="preserve"> [i.p.v. op basis van de Archiefwet]</w:t>
      </w:r>
      <w:r w:rsidR="000F560E" w:rsidRPr="00D147A7">
        <w:rPr>
          <w:rFonts w:eastAsiaTheme="minorEastAsia"/>
          <w:i/>
          <w:kern w:val="0"/>
          <w:lang w:eastAsia="en-US" w:bidi="ar-SA"/>
        </w:rPr>
        <w:t>, welke wordt ondertekend door de minister van Welzijn, Volksgezondheid en Cultuur (in overeenstemming met de mini</w:t>
      </w:r>
      <w:r>
        <w:rPr>
          <w:rFonts w:eastAsiaTheme="minorEastAsia"/>
          <w:i/>
          <w:kern w:val="0"/>
          <w:lang w:eastAsia="en-US" w:bidi="ar-SA"/>
        </w:rPr>
        <w:t>-</w:t>
      </w:r>
      <w:r w:rsidR="000F560E" w:rsidRPr="00D147A7">
        <w:rPr>
          <w:rFonts w:eastAsiaTheme="minorEastAsia"/>
          <w:i/>
          <w:kern w:val="0"/>
          <w:lang w:eastAsia="en-US" w:bidi="ar-SA"/>
        </w:rPr>
        <w:t>ster van Onderwijs en Wetenschappen) gehoord de Archiefraad</w:t>
      </w:r>
      <w:r w:rsidR="000F560E" w:rsidRPr="00D147A7">
        <w:rPr>
          <w:rFonts w:eastAsiaTheme="minorEastAsia"/>
          <w:kern w:val="0"/>
          <w:lang w:eastAsia="en-US" w:bidi="ar-SA"/>
        </w:rPr>
        <w:t>.</w:t>
      </w:r>
      <w:r w:rsidR="000F560E" w:rsidRPr="00D147A7">
        <w:rPr>
          <w:rFonts w:eastAsiaTheme="minorEastAsia"/>
          <w:kern w:val="0"/>
          <w:vertAlign w:val="superscript"/>
          <w:lang w:eastAsia="en-US" w:bidi="ar-SA"/>
        </w:rPr>
        <w:footnoteReference w:id="1359"/>
      </w:r>
      <w:r w:rsidR="000F560E"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Inmiddels is de stelling van Eric Ketelaar algemeen aanvaard. Er is immers een selectielijst voor de Universitaire Medische Centra van kracht</w:t>
      </w:r>
      <w:r w:rsidRPr="00D147A7">
        <w:rPr>
          <w:rFonts w:eastAsiaTheme="minorEastAsia"/>
          <w:kern w:val="0"/>
          <w:vertAlign w:val="superscript"/>
          <w:lang w:eastAsia="en-US" w:bidi="ar-SA"/>
        </w:rPr>
        <w:footnoteReference w:id="1360"/>
      </w:r>
      <w:r w:rsidRPr="00D147A7">
        <w:rPr>
          <w:rFonts w:eastAsiaTheme="minorEastAsia"/>
          <w:kern w:val="0"/>
          <w:lang w:eastAsia="en-US" w:bidi="ar-SA"/>
        </w:rPr>
        <w:t>, die op grond van een bepaling uit de ar</w:t>
      </w:r>
      <w:r w:rsidR="00F450D5">
        <w:rPr>
          <w:rFonts w:eastAsiaTheme="minorEastAsia"/>
          <w:kern w:val="0"/>
          <w:lang w:eastAsia="en-US" w:bidi="ar-SA"/>
        </w:rPr>
        <w:t>-</w:t>
      </w:r>
      <w:r w:rsidRPr="00D147A7">
        <w:rPr>
          <w:rFonts w:eastAsiaTheme="minorEastAsia"/>
          <w:kern w:val="0"/>
          <w:lang w:eastAsia="en-US" w:bidi="ar-SA"/>
        </w:rPr>
        <w:t>chiefwet tot stand kwam.</w:t>
      </w:r>
      <w:r w:rsidRPr="00D147A7">
        <w:rPr>
          <w:rFonts w:eastAsiaTheme="minorEastAsia"/>
          <w:kern w:val="0"/>
          <w:vertAlign w:val="superscript"/>
          <w:lang w:eastAsia="en-US" w:bidi="ar-SA"/>
        </w:rPr>
        <w:footnoteReference w:id="1361"/>
      </w:r>
      <w:r w:rsidRPr="00D147A7">
        <w:rPr>
          <w:rFonts w:eastAsiaTheme="minorEastAsia"/>
          <w:kern w:val="0"/>
          <w:lang w:eastAsia="en-US" w:bidi="ar-SA"/>
        </w:rPr>
        <w:t xml:space="preserve"> De twee Universitair Medische Centra met een privaatrechtelijk statuut kunnen juridisch gezien met ieder ander privaatrechtelijk ziekenhuis gelijkgesteld wor</w:t>
      </w:r>
      <w:r w:rsidR="00F450D5">
        <w:rPr>
          <w:rFonts w:eastAsiaTheme="minorEastAsia"/>
          <w:kern w:val="0"/>
          <w:lang w:eastAsia="en-US" w:bidi="ar-SA"/>
        </w:rPr>
        <w:t>-</w:t>
      </w:r>
      <w:r w:rsidRPr="00D147A7">
        <w:rPr>
          <w:rFonts w:eastAsiaTheme="minorEastAsia"/>
          <w:kern w:val="0"/>
          <w:lang w:eastAsia="en-US" w:bidi="ar-SA"/>
        </w:rPr>
        <w:t>den.</w:t>
      </w:r>
      <w:r w:rsidRPr="00D147A7">
        <w:rPr>
          <w:rFonts w:eastAsiaTheme="minorEastAsia"/>
          <w:kern w:val="0"/>
          <w:vertAlign w:val="superscript"/>
          <w:lang w:eastAsia="en-US" w:bidi="ar-SA"/>
        </w:rPr>
        <w:footnoteReference w:id="1362"/>
      </w:r>
      <w:r w:rsidRPr="00D147A7">
        <w:rPr>
          <w:rFonts w:eastAsiaTheme="minorEastAsia"/>
          <w:kern w:val="0"/>
          <w:lang w:eastAsia="en-US" w:bidi="ar-SA"/>
        </w:rPr>
        <w:t xml:space="preserve"> Toch blijkt uit de titel van de selectielijst – </w:t>
      </w:r>
      <w:r w:rsidRPr="00D147A7">
        <w:rPr>
          <w:rFonts w:eastAsiaTheme="minorEastAsia"/>
          <w:i/>
          <w:kern w:val="0"/>
          <w:lang w:eastAsia="en-US" w:bidi="ar-SA"/>
        </w:rPr>
        <w:t>Basisselectiedocument openbare en bij</w:t>
      </w:r>
      <w:r w:rsidR="00F450D5">
        <w:rPr>
          <w:rFonts w:eastAsiaTheme="minorEastAsia"/>
          <w:i/>
          <w:kern w:val="0"/>
          <w:lang w:eastAsia="en-US" w:bidi="ar-SA"/>
        </w:rPr>
        <w:t>-</w:t>
      </w:r>
      <w:r w:rsidRPr="00D147A7">
        <w:rPr>
          <w:rFonts w:eastAsiaTheme="minorEastAsia"/>
          <w:i/>
          <w:kern w:val="0"/>
          <w:lang w:eastAsia="en-US" w:bidi="ar-SA"/>
        </w:rPr>
        <w:t xml:space="preserve">zondere academische ziekenhuizen 1985- </w:t>
      </w:r>
      <w:r w:rsidRPr="00D147A7">
        <w:rPr>
          <w:rFonts w:eastAsiaTheme="minorEastAsia"/>
          <w:kern w:val="0"/>
          <w:lang w:eastAsia="en-US" w:bidi="ar-SA"/>
        </w:rPr>
        <w:t>– dat deze ook op de privaatrechtelijke Universitaire Medische Centra van toepassing is.</w:t>
      </w:r>
      <w:r w:rsidRPr="00D147A7">
        <w:rPr>
          <w:rFonts w:eastAsiaTheme="minorEastAsia"/>
          <w:kern w:val="0"/>
          <w:vertAlign w:val="superscript"/>
          <w:lang w:eastAsia="en-US" w:bidi="ar-SA"/>
        </w:rPr>
        <w:footnoteReference w:id="1363"/>
      </w:r>
      <w:r w:rsidRPr="00D147A7">
        <w:rPr>
          <w:rFonts w:eastAsiaTheme="minorEastAsia"/>
          <w:kern w:val="0"/>
          <w:lang w:eastAsia="en-US" w:bidi="ar-SA"/>
        </w:rPr>
        <w:t xml:space="preserve"> De bepalingen van de Nederlandse archiefwet zijn im</w:t>
      </w:r>
      <w:r w:rsidR="00F450D5">
        <w:rPr>
          <w:rFonts w:eastAsiaTheme="minorEastAsia"/>
          <w:kern w:val="0"/>
          <w:lang w:eastAsia="en-US" w:bidi="ar-SA"/>
        </w:rPr>
        <w:t>-</w:t>
      </w:r>
      <w:r w:rsidRPr="00D147A7">
        <w:rPr>
          <w:rFonts w:eastAsiaTheme="minorEastAsia"/>
          <w:kern w:val="0"/>
          <w:lang w:eastAsia="en-US" w:bidi="ar-SA"/>
        </w:rPr>
        <w:lastRenderedPageBreak/>
        <w:t>mers niet uitsluitend op openbare ziekenhuizen van toepassing, maar ook op privaatrechtelijke rechtspersonen met een publiekrechtelijke bevoegdheid.</w:t>
      </w:r>
      <w:r w:rsidRPr="00D147A7">
        <w:rPr>
          <w:rFonts w:eastAsiaTheme="minorEastAsia"/>
          <w:kern w:val="0"/>
          <w:vertAlign w:val="superscript"/>
          <w:lang w:eastAsia="en-US" w:bidi="ar-SA"/>
        </w:rPr>
        <w:footnoteReference w:id="1364"/>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kern w:val="0"/>
          <w:lang w:eastAsia="en-US" w:bidi="ar-SA"/>
        </w:rPr>
        <w:t>Hoofdstuk 2: Overdracht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wettelijke bepalingen m.b.t. de overdracht en vernietiging van openbare archiefbescheiden verschillen in wezen niet veel van deze in België.</w:t>
      </w:r>
      <w:r w:rsidRPr="00D147A7">
        <w:rPr>
          <w:rFonts w:eastAsiaTheme="minorEastAsia"/>
          <w:kern w:val="0"/>
          <w:vertAlign w:val="superscript"/>
          <w:lang w:eastAsia="en-US" w:bidi="ar-SA"/>
        </w:rPr>
        <w:footnoteReference w:id="1365"/>
      </w:r>
      <w:r w:rsidRPr="00D147A7">
        <w:rPr>
          <w:rFonts w:eastAsiaTheme="minorEastAsia"/>
          <w:kern w:val="0"/>
          <w:lang w:eastAsia="en-US" w:bidi="ar-SA"/>
        </w:rPr>
        <w:t xml:space="preserve"> Overheidsinstellingen moeten hun ar</w:t>
      </w:r>
      <w:r w:rsidR="00F450D5">
        <w:rPr>
          <w:rFonts w:eastAsiaTheme="minorEastAsia"/>
          <w:kern w:val="0"/>
          <w:lang w:eastAsia="en-US" w:bidi="ar-SA"/>
        </w:rPr>
        <w:t>-</w:t>
      </w:r>
      <w:r w:rsidRPr="00D147A7">
        <w:rPr>
          <w:rFonts w:eastAsiaTheme="minorEastAsia"/>
          <w:kern w:val="0"/>
          <w:lang w:eastAsia="en-US" w:bidi="ar-SA"/>
        </w:rPr>
        <w:t xml:space="preserve">chiefbescheiden die niet voor vernietiging in aanmerking komen na verloop van tijd naar een overheidsarchief overbrengen. Enkel de overdrachtstermijn </w:t>
      </w:r>
      <w:r w:rsidR="00F450D5">
        <w:rPr>
          <w:rFonts w:eastAsiaTheme="minorEastAsia"/>
          <w:kern w:val="0"/>
          <w:lang w:eastAsia="en-US" w:bidi="ar-SA"/>
        </w:rPr>
        <w:t xml:space="preserve">– die </w:t>
      </w:r>
      <w:r w:rsidRPr="00D147A7">
        <w:rPr>
          <w:rFonts w:eastAsiaTheme="minorEastAsia"/>
          <w:kern w:val="0"/>
          <w:lang w:eastAsia="en-US" w:bidi="ar-SA"/>
        </w:rPr>
        <w:t>in België dertig jaar be</w:t>
      </w:r>
      <w:r w:rsidR="00F450D5">
        <w:rPr>
          <w:rFonts w:eastAsiaTheme="minorEastAsia"/>
          <w:kern w:val="0"/>
          <w:lang w:eastAsia="en-US" w:bidi="ar-SA"/>
        </w:rPr>
        <w:t>-</w:t>
      </w:r>
      <w:r w:rsidRPr="00D147A7">
        <w:rPr>
          <w:rFonts w:eastAsiaTheme="minorEastAsia"/>
          <w:kern w:val="0"/>
          <w:lang w:eastAsia="en-US" w:bidi="ar-SA"/>
        </w:rPr>
        <w:t>draagt</w:t>
      </w:r>
      <w:r w:rsidR="00F450D5">
        <w:rPr>
          <w:rFonts w:eastAsiaTheme="minorEastAsia"/>
          <w:kern w:val="0"/>
          <w:lang w:eastAsia="en-US" w:bidi="ar-SA"/>
        </w:rPr>
        <w:t xml:space="preserve"> –</w:t>
      </w:r>
      <w:r w:rsidRPr="00D147A7">
        <w:rPr>
          <w:rFonts w:eastAsiaTheme="minorEastAsia"/>
          <w:kern w:val="0"/>
          <w:lang w:eastAsia="en-US" w:bidi="ar-SA"/>
        </w:rPr>
        <w:t xml:space="preserve"> </w:t>
      </w:r>
      <w:r w:rsidR="00F450D5">
        <w:rPr>
          <w:rFonts w:eastAsiaTheme="minorEastAsia"/>
          <w:kern w:val="0"/>
          <w:lang w:eastAsia="en-US" w:bidi="ar-SA"/>
        </w:rPr>
        <w:t>bedraagt in</w:t>
      </w:r>
      <w:r w:rsidRPr="00D147A7">
        <w:rPr>
          <w:rFonts w:eastAsiaTheme="minorEastAsia"/>
          <w:kern w:val="0"/>
          <w:lang w:eastAsia="en-US" w:bidi="ar-SA"/>
        </w:rPr>
        <w:t xml:space="preserve"> Nederla</w:t>
      </w:r>
      <w:r w:rsidR="00F450D5">
        <w:rPr>
          <w:rFonts w:eastAsiaTheme="minorEastAsia"/>
          <w:kern w:val="0"/>
          <w:lang w:eastAsia="en-US" w:bidi="ar-SA"/>
        </w:rPr>
        <w:t>nd</w:t>
      </w:r>
      <w:r w:rsidRPr="00D147A7">
        <w:rPr>
          <w:rFonts w:eastAsiaTheme="minorEastAsia"/>
          <w:kern w:val="0"/>
          <w:lang w:eastAsia="en-US" w:bidi="ar-SA"/>
        </w:rPr>
        <w:t xml:space="preserve"> </w:t>
      </w:r>
      <w:r w:rsidR="00F450D5">
        <w:rPr>
          <w:rFonts w:eastAsiaTheme="minorEastAsia"/>
          <w:kern w:val="0"/>
          <w:lang w:eastAsia="en-US" w:bidi="ar-SA"/>
        </w:rPr>
        <w:t>slechts</w:t>
      </w:r>
      <w:r w:rsidRPr="00D147A7">
        <w:rPr>
          <w:rFonts w:eastAsiaTheme="minorEastAsia"/>
          <w:kern w:val="0"/>
          <w:lang w:eastAsia="en-US" w:bidi="ar-SA"/>
        </w:rPr>
        <w:t xml:space="preserve"> twintig jaar.</w:t>
      </w:r>
      <w:r w:rsidRPr="00D147A7">
        <w:rPr>
          <w:rFonts w:eastAsiaTheme="minorEastAsia"/>
          <w:kern w:val="0"/>
          <w:vertAlign w:val="superscript"/>
          <w:lang w:eastAsia="en-US" w:bidi="ar-SA"/>
        </w:rPr>
        <w:footnoteReference w:id="1366"/>
      </w:r>
      <w:r w:rsidRPr="00D147A7">
        <w:rPr>
          <w:rFonts w:eastAsiaTheme="minorEastAsia"/>
          <w:kern w:val="0"/>
          <w:lang w:eastAsia="en-US" w:bidi="ar-SA"/>
        </w:rPr>
        <w:t xml:space="preserve"> Een ander verschil is dat openbare zie</w:t>
      </w:r>
      <w:r w:rsidR="00F450D5">
        <w:rPr>
          <w:rFonts w:eastAsiaTheme="minorEastAsia"/>
          <w:kern w:val="0"/>
          <w:lang w:eastAsia="en-US" w:bidi="ar-SA"/>
        </w:rPr>
        <w:t>-</w:t>
      </w:r>
      <w:r w:rsidRPr="00D147A7">
        <w:rPr>
          <w:rFonts w:eastAsiaTheme="minorEastAsia"/>
          <w:kern w:val="0"/>
          <w:lang w:eastAsia="en-US" w:bidi="ar-SA"/>
        </w:rPr>
        <w:t>kenhuizen in Nederland, i.t.t. in België, niet tot overdracht verplicht kunnen worden. Enkel permanent te bewaren archiefbescheiden moeten immers naar het Rijksarchief worden over</w:t>
      </w:r>
      <w:r w:rsidR="00857851">
        <w:rPr>
          <w:rFonts w:eastAsiaTheme="minorEastAsia"/>
          <w:kern w:val="0"/>
          <w:lang w:eastAsia="en-US" w:bidi="ar-SA"/>
        </w:rPr>
        <w:t>-</w:t>
      </w:r>
      <w:r w:rsidRPr="00D147A7">
        <w:rPr>
          <w:rFonts w:eastAsiaTheme="minorEastAsia"/>
          <w:kern w:val="0"/>
          <w:lang w:eastAsia="en-US" w:bidi="ar-SA"/>
        </w:rPr>
        <w:t>gebracht, terwijl alle patiëntendossiers op termijn vernietigd moeten worden.</w:t>
      </w:r>
      <w:r w:rsidRPr="00D147A7">
        <w:rPr>
          <w:rFonts w:eastAsiaTheme="minorEastAsia"/>
          <w:kern w:val="0"/>
          <w:vertAlign w:val="superscript"/>
          <w:lang w:eastAsia="en-US" w:bidi="ar-SA"/>
        </w:rPr>
        <w:footnoteReference w:id="1367"/>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sz w:val="22"/>
          <w:szCs w:val="22"/>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Een voorbeeld betreft het patiëntendossier van kunsthandelaar Theodorus (Theo) van Gogh, de jongere broer van Vincent en overgrootvader van Theo, de filmregisseur die op 2 novem</w:t>
      </w:r>
      <w:r w:rsidR="00857851">
        <w:rPr>
          <w:rFonts w:eastAsiaTheme="minorEastAsia"/>
          <w:kern w:val="0"/>
          <w:lang w:eastAsia="en-US" w:bidi="ar-SA"/>
        </w:rPr>
        <w:t>-</w:t>
      </w:r>
      <w:r w:rsidRPr="00D147A7">
        <w:rPr>
          <w:rFonts w:eastAsiaTheme="minorEastAsia"/>
          <w:kern w:val="0"/>
          <w:lang w:eastAsia="en-US" w:bidi="ar-SA"/>
        </w:rPr>
        <w:t>ber 2004 in Amsterdam vermoord werd. Hoewel zij zelden op dezelfde plaats vertoefden, waren de broers van Gogh elkaars steun en toeverlaat. Dat blijkt uit de rijke briefwisseling tussen de twee.</w:t>
      </w:r>
      <w:r w:rsidRPr="00D147A7">
        <w:rPr>
          <w:rFonts w:eastAsiaTheme="minorEastAsia"/>
          <w:kern w:val="0"/>
          <w:vertAlign w:val="superscript"/>
          <w:lang w:eastAsia="en-US" w:bidi="ar-SA"/>
        </w:rPr>
        <w:footnoteReference w:id="1368"/>
      </w:r>
      <w:r w:rsidRPr="00D147A7">
        <w:rPr>
          <w:rFonts w:eastAsiaTheme="minorEastAsia"/>
          <w:kern w:val="0"/>
          <w:lang w:eastAsia="en-US" w:bidi="ar-SA"/>
        </w:rPr>
        <w:t xml:space="preserve"> Het is frappant dat zowel Theo als zijn broer</w:t>
      </w:r>
      <w:r w:rsidRPr="00D147A7">
        <w:rPr>
          <w:rFonts w:eastAsiaTheme="minorEastAsia"/>
          <w:kern w:val="0"/>
          <w:vertAlign w:val="superscript"/>
          <w:lang w:eastAsia="en-US" w:bidi="ar-SA"/>
        </w:rPr>
        <w:footnoteReference w:id="1369"/>
      </w:r>
      <w:r w:rsidRPr="00D147A7">
        <w:rPr>
          <w:rFonts w:eastAsiaTheme="minorEastAsia"/>
          <w:kern w:val="0"/>
          <w:lang w:eastAsia="en-US" w:bidi="ar-SA"/>
        </w:rPr>
        <w:t xml:space="preserve"> een psychiatrische aan</w:t>
      </w:r>
      <w:r w:rsidR="00857851">
        <w:rPr>
          <w:rFonts w:eastAsiaTheme="minorEastAsia"/>
          <w:kern w:val="0"/>
          <w:lang w:eastAsia="en-US" w:bidi="ar-SA"/>
        </w:rPr>
        <w:t>-</w:t>
      </w:r>
      <w:r w:rsidRPr="00D147A7">
        <w:rPr>
          <w:rFonts w:eastAsiaTheme="minorEastAsia"/>
          <w:kern w:val="0"/>
          <w:lang w:eastAsia="en-US" w:bidi="ar-SA"/>
        </w:rPr>
        <w:t>doening hadden.</w:t>
      </w:r>
      <w:r w:rsidRPr="00D147A7">
        <w:rPr>
          <w:rFonts w:eastAsiaTheme="minorEastAsia"/>
          <w:kern w:val="0"/>
          <w:vertAlign w:val="superscript"/>
          <w:lang w:eastAsia="en-US" w:bidi="ar-SA"/>
        </w:rPr>
        <w:footnoteReference w:id="1370"/>
      </w:r>
      <w:r w:rsidRPr="00D147A7">
        <w:rPr>
          <w:rFonts w:eastAsiaTheme="minorEastAsia"/>
          <w:kern w:val="0"/>
          <w:lang w:eastAsia="en-US" w:bidi="ar-SA"/>
        </w:rPr>
        <w:t xml:space="preserve"> Theo leed m.n. aan </w:t>
      </w:r>
      <w:r w:rsidRPr="00857851">
        <w:rPr>
          <w:rFonts w:eastAsiaTheme="minorEastAsia"/>
          <w:i/>
          <w:kern w:val="0"/>
          <w:lang w:eastAsia="en-US" w:bidi="ar-SA"/>
        </w:rPr>
        <w:t>dementia paralytica</w:t>
      </w:r>
      <w:r w:rsidRPr="00D147A7">
        <w:rPr>
          <w:rFonts w:eastAsiaTheme="minorEastAsia"/>
          <w:kern w:val="0"/>
          <w:lang w:eastAsia="en-US" w:bidi="ar-SA"/>
        </w:rPr>
        <w:t xml:space="preserve"> ten gevolge van een syfilisin</w:t>
      </w:r>
      <w:r w:rsidR="00857851">
        <w:rPr>
          <w:rFonts w:eastAsiaTheme="minorEastAsia"/>
          <w:kern w:val="0"/>
          <w:lang w:eastAsia="en-US" w:bidi="ar-SA"/>
        </w:rPr>
        <w:t>-</w:t>
      </w:r>
      <w:r w:rsidRPr="00D147A7">
        <w:rPr>
          <w:rFonts w:eastAsiaTheme="minorEastAsia"/>
          <w:kern w:val="0"/>
          <w:lang w:eastAsia="en-US" w:bidi="ar-SA"/>
        </w:rPr>
        <w:t>fectie</w:t>
      </w:r>
      <w:r w:rsidRPr="00D147A7">
        <w:rPr>
          <w:rFonts w:eastAsiaTheme="minorEastAsia"/>
          <w:kern w:val="0"/>
          <w:vertAlign w:val="superscript"/>
          <w:lang w:eastAsia="en-US" w:bidi="ar-SA"/>
        </w:rPr>
        <w:footnoteReference w:id="1371"/>
      </w:r>
      <w:r w:rsidRPr="00D147A7">
        <w:rPr>
          <w:rFonts w:eastAsiaTheme="minorEastAsia"/>
          <w:kern w:val="0"/>
          <w:lang w:eastAsia="en-US" w:bidi="ar-SA"/>
        </w:rPr>
        <w:t xml:space="preserve">, waarvoor hij </w:t>
      </w:r>
      <w:r w:rsidRPr="00D147A7">
        <w:rPr>
          <w:rFonts w:eastAsiaTheme="minorEastAsia"/>
          <w:color w:val="000000"/>
          <w:kern w:val="0"/>
          <w:lang w:eastAsia="en-US" w:bidi="ar-SA"/>
        </w:rPr>
        <w:t xml:space="preserve">op 14 oktober 1890 in het Parijse </w:t>
      </w:r>
      <w:r w:rsidRPr="00D147A7">
        <w:rPr>
          <w:rFonts w:eastAsiaTheme="minorEastAsia"/>
          <w:i/>
          <w:color w:val="000000"/>
          <w:kern w:val="0"/>
          <w:lang w:eastAsia="en-US" w:bidi="ar-SA"/>
        </w:rPr>
        <w:t>Maison de Santé de Passy</w:t>
      </w:r>
      <w:r w:rsidRPr="00D147A7">
        <w:rPr>
          <w:rFonts w:eastAsiaTheme="minorEastAsia"/>
          <w:color w:val="000000"/>
          <w:kern w:val="0"/>
          <w:lang w:eastAsia="en-US" w:bidi="ar-SA"/>
        </w:rPr>
        <w:t xml:space="preserve"> opge</w:t>
      </w:r>
      <w:r w:rsidR="00857851">
        <w:rPr>
          <w:rFonts w:eastAsiaTheme="minorEastAsia"/>
          <w:color w:val="000000"/>
          <w:kern w:val="0"/>
          <w:lang w:eastAsia="en-US" w:bidi="ar-SA"/>
        </w:rPr>
        <w:t>-</w:t>
      </w:r>
      <w:r w:rsidRPr="00D147A7">
        <w:rPr>
          <w:rFonts w:eastAsiaTheme="minorEastAsia"/>
          <w:color w:val="000000"/>
          <w:kern w:val="0"/>
          <w:lang w:eastAsia="en-US" w:bidi="ar-SA"/>
        </w:rPr>
        <w:lastRenderedPageBreak/>
        <w:t xml:space="preserve">nomen </w:t>
      </w:r>
      <w:r w:rsidR="00857851" w:rsidRPr="00D147A7">
        <w:rPr>
          <w:rFonts w:eastAsiaTheme="minorEastAsia"/>
          <w:color w:val="000000"/>
          <w:kern w:val="0"/>
          <w:lang w:eastAsia="en-US" w:bidi="ar-SA"/>
        </w:rPr>
        <w:t xml:space="preserve">werd </w:t>
      </w:r>
      <w:r w:rsidRPr="00D147A7">
        <w:rPr>
          <w:rFonts w:eastAsiaTheme="minorEastAsia"/>
          <w:color w:val="000000"/>
          <w:kern w:val="0"/>
          <w:lang w:eastAsia="en-US" w:bidi="ar-SA"/>
        </w:rPr>
        <w:t xml:space="preserve">(waar ook andere grote namen uit de </w:t>
      </w:r>
      <w:r w:rsidRPr="00D147A7">
        <w:rPr>
          <w:rFonts w:eastAsiaTheme="minorEastAsia"/>
          <w:i/>
          <w:color w:val="000000"/>
          <w:kern w:val="0"/>
          <w:lang w:eastAsia="en-US" w:bidi="ar-SA"/>
        </w:rPr>
        <w:t xml:space="preserve">Salon des Artistes </w:t>
      </w:r>
      <w:r w:rsidR="00857851">
        <w:rPr>
          <w:rFonts w:eastAsiaTheme="minorEastAsia"/>
          <w:i/>
          <w:color w:val="000000"/>
          <w:kern w:val="0"/>
          <w:lang w:eastAsia="en-US" w:bidi="ar-SA"/>
        </w:rPr>
        <w:t>f</w:t>
      </w:r>
      <w:r w:rsidRPr="00D147A7">
        <w:rPr>
          <w:rFonts w:eastAsiaTheme="minorEastAsia"/>
          <w:i/>
          <w:color w:val="000000"/>
          <w:kern w:val="0"/>
          <w:lang w:eastAsia="en-US" w:bidi="ar-SA"/>
        </w:rPr>
        <w:t>rançais</w:t>
      </w:r>
      <w:r w:rsidR="00857851">
        <w:rPr>
          <w:rFonts w:eastAsiaTheme="minorEastAsia"/>
          <w:color w:val="000000"/>
          <w:kern w:val="0"/>
          <w:lang w:eastAsia="en-US" w:bidi="ar-SA"/>
        </w:rPr>
        <w:t xml:space="preserve"> –</w:t>
      </w:r>
      <w:r w:rsidRPr="00D147A7">
        <w:rPr>
          <w:rFonts w:eastAsiaTheme="minorEastAsia"/>
          <w:color w:val="000000"/>
          <w:kern w:val="0"/>
          <w:lang w:eastAsia="en-US" w:bidi="ar-SA"/>
        </w:rPr>
        <w:t xml:space="preserve"> zoals auteur Guy de Maupassant, actrice Virginie Déjazet en componist Charles Gounod</w:t>
      </w:r>
      <w:r w:rsidR="00857851">
        <w:rPr>
          <w:rFonts w:eastAsiaTheme="minorEastAsia"/>
          <w:color w:val="000000"/>
          <w:kern w:val="0"/>
          <w:lang w:eastAsia="en-US" w:bidi="ar-SA"/>
        </w:rPr>
        <w:t xml:space="preserve"> –</w:t>
      </w:r>
      <w:r w:rsidRPr="00D147A7">
        <w:rPr>
          <w:rFonts w:eastAsiaTheme="minorEastAsia"/>
          <w:color w:val="000000"/>
          <w:kern w:val="0"/>
          <w:lang w:eastAsia="en-US" w:bidi="ar-SA"/>
        </w:rPr>
        <w:t xml:space="preserve"> verbleven</w:t>
      </w:r>
      <w:r w:rsidR="00857851">
        <w:rPr>
          <w:rFonts w:eastAsiaTheme="minorEastAsia"/>
          <w:color w:val="000000"/>
          <w:kern w:val="0"/>
          <w:lang w:eastAsia="en-US" w:bidi="ar-SA"/>
        </w:rPr>
        <w:t xml:space="preserve"> heb-ben</w:t>
      </w:r>
      <w:r w:rsidRPr="00D147A7">
        <w:rPr>
          <w:rFonts w:eastAsiaTheme="minorEastAsia"/>
          <w:color w:val="000000"/>
          <w:kern w:val="0"/>
          <w:vertAlign w:val="superscript"/>
          <w:lang w:eastAsia="en-US" w:bidi="ar-SA"/>
        </w:rPr>
        <w:footnoteReference w:id="1372"/>
      </w:r>
      <w:r w:rsidRPr="00D147A7">
        <w:rPr>
          <w:rFonts w:eastAsiaTheme="minorEastAsia"/>
          <w:color w:val="000000"/>
          <w:kern w:val="0"/>
          <w:lang w:eastAsia="en-US" w:bidi="ar-SA"/>
        </w:rPr>
        <w:t>).</w:t>
      </w:r>
      <w:r w:rsidRPr="00D147A7">
        <w:rPr>
          <w:rFonts w:eastAsiaTheme="minorEastAsia"/>
          <w:color w:val="000000"/>
          <w:kern w:val="0"/>
          <w:vertAlign w:val="superscript"/>
          <w:lang w:eastAsia="en-US" w:bidi="ar-SA"/>
        </w:rPr>
        <w:footnoteReference w:id="1373"/>
      </w:r>
      <w:r w:rsidRPr="00D147A7">
        <w:rPr>
          <w:rFonts w:eastAsiaTheme="minorEastAsia"/>
          <w:color w:val="000000"/>
          <w:kern w:val="0"/>
          <w:lang w:eastAsia="en-US" w:bidi="ar-SA"/>
        </w:rPr>
        <w:t xml:space="preserve"> Op verzoek van zijn vrouw Johanna (Jo) Gesina van Gogh-Bonger werd Theo naar het Geneeskundig Gesticht voor Krankzinnigen in Utrecht overgeplaatst. Haar vader, Hendrik Christiaan, vroeg hiervoor de rechterlijke machtiging aan en de verwijsbrief werd op</w:t>
      </w:r>
      <w:r w:rsidR="00857851">
        <w:rPr>
          <w:rFonts w:eastAsiaTheme="minorEastAsia"/>
          <w:color w:val="000000"/>
          <w:kern w:val="0"/>
          <w:lang w:eastAsia="en-US" w:bidi="ar-SA"/>
        </w:rPr>
        <w:t>-</w:t>
      </w:r>
      <w:r w:rsidRPr="00D147A7">
        <w:rPr>
          <w:rFonts w:eastAsiaTheme="minorEastAsia"/>
          <w:color w:val="000000"/>
          <w:kern w:val="0"/>
          <w:lang w:eastAsia="en-US" w:bidi="ar-SA"/>
        </w:rPr>
        <w:t>gesteld door dokter Meuriot, de directeur van de psychiatrische instelling te Parijs, t.a.v. dok</w:t>
      </w:r>
      <w:r w:rsidR="00857851">
        <w:rPr>
          <w:rFonts w:eastAsiaTheme="minorEastAsia"/>
          <w:color w:val="000000"/>
          <w:kern w:val="0"/>
          <w:lang w:eastAsia="en-US" w:bidi="ar-SA"/>
        </w:rPr>
        <w:t>-</w:t>
      </w:r>
      <w:r w:rsidRPr="00D147A7">
        <w:rPr>
          <w:rFonts w:eastAsiaTheme="minorEastAsia"/>
          <w:color w:val="000000"/>
          <w:kern w:val="0"/>
          <w:lang w:eastAsia="en-US" w:bidi="ar-SA"/>
        </w:rPr>
        <w:t>ter Moll. Op 18 november werd Theo in de tweede klasse van het Utrechtse krankzinnigen</w:t>
      </w:r>
      <w:r w:rsidR="00857851">
        <w:rPr>
          <w:rFonts w:eastAsiaTheme="minorEastAsia"/>
          <w:color w:val="000000"/>
          <w:kern w:val="0"/>
          <w:lang w:eastAsia="en-US" w:bidi="ar-SA"/>
        </w:rPr>
        <w:t>-</w:t>
      </w:r>
      <w:r w:rsidRPr="00D147A7">
        <w:rPr>
          <w:rFonts w:eastAsiaTheme="minorEastAsia"/>
          <w:color w:val="000000"/>
          <w:kern w:val="0"/>
          <w:lang w:eastAsia="en-US" w:bidi="ar-SA"/>
        </w:rPr>
        <w:t>gesticht ingeschreven onder ‘volgnommer’ 1040 en ‘jaarnommer’ 84.</w:t>
      </w:r>
      <w:r w:rsidRPr="00D147A7">
        <w:rPr>
          <w:rFonts w:eastAsiaTheme="minorEastAsia"/>
          <w:kern w:val="0"/>
          <w:lang w:eastAsia="en-US" w:bidi="ar-SA"/>
        </w:rPr>
        <w:t>Het dossier van zijn ver</w:t>
      </w:r>
      <w:r w:rsidR="00857851">
        <w:rPr>
          <w:rFonts w:eastAsiaTheme="minorEastAsia"/>
          <w:kern w:val="0"/>
          <w:lang w:eastAsia="en-US" w:bidi="ar-SA"/>
        </w:rPr>
        <w:t>-</w:t>
      </w:r>
      <w:r w:rsidRPr="00D147A7">
        <w:rPr>
          <w:rFonts w:eastAsiaTheme="minorEastAsia"/>
          <w:kern w:val="0"/>
          <w:lang w:eastAsia="en-US" w:bidi="ar-SA"/>
        </w:rPr>
        <w:t>blijf in het Geneeskundig Gesticht voor Krankzinnigen te Utrecht werd in 1990 in het archief van het Willem Arntsz Huis teruggevonden</w:t>
      </w:r>
      <w:r w:rsidRPr="00D147A7">
        <w:rPr>
          <w:rFonts w:eastAsiaTheme="minorEastAsia"/>
          <w:kern w:val="0"/>
          <w:vertAlign w:val="superscript"/>
          <w:lang w:eastAsia="en-US" w:bidi="ar-SA"/>
        </w:rPr>
        <w:footnoteReference w:id="1374"/>
      </w:r>
      <w:r w:rsidRPr="00D147A7">
        <w:rPr>
          <w:rFonts w:eastAsiaTheme="minorEastAsia"/>
          <w:kern w:val="0"/>
          <w:lang w:eastAsia="en-US" w:bidi="ar-SA"/>
        </w:rPr>
        <w:t>, al werd in de jaren 1950 nog naar deze bron gerefereerd.</w:t>
      </w:r>
      <w:r w:rsidRPr="00D147A7">
        <w:rPr>
          <w:rFonts w:eastAsiaTheme="minorEastAsia"/>
          <w:kern w:val="0"/>
          <w:vertAlign w:val="superscript"/>
          <w:lang w:eastAsia="en-US" w:bidi="ar-SA"/>
        </w:rPr>
        <w:footnoteReference w:id="1375"/>
      </w:r>
      <w:r w:rsidR="00857851">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Omdat patiëntendossiers in Nederland doorgaans niet zo lang bewaard blijven, deed het pa</w:t>
      </w:r>
      <w:r w:rsidR="00857851">
        <w:rPr>
          <w:rFonts w:eastAsiaTheme="minorEastAsia"/>
          <w:kern w:val="0"/>
          <w:lang w:eastAsia="en-US" w:bidi="ar-SA"/>
        </w:rPr>
        <w:t>-</w:t>
      </w:r>
      <w:r w:rsidRPr="00D147A7">
        <w:rPr>
          <w:rFonts w:eastAsiaTheme="minorEastAsia"/>
          <w:kern w:val="0"/>
          <w:lang w:eastAsia="en-US" w:bidi="ar-SA"/>
        </w:rPr>
        <w:t xml:space="preserve">tiëntendossier van Theo van Gogh heel wat stof opwaaien. Meer dan vijf jaar na de discussie tussen Van Herten en Ketelaar </w:t>
      </w:r>
      <w:r w:rsidR="00857851">
        <w:rPr>
          <w:rFonts w:eastAsiaTheme="minorEastAsia"/>
          <w:kern w:val="0"/>
          <w:lang w:eastAsia="en-US" w:bidi="ar-SA"/>
        </w:rPr>
        <w:t>deed</w:t>
      </w:r>
      <w:r w:rsidRPr="00D147A7">
        <w:rPr>
          <w:rFonts w:eastAsiaTheme="minorEastAsia"/>
          <w:kern w:val="0"/>
          <w:lang w:eastAsia="en-US" w:bidi="ar-SA"/>
        </w:rPr>
        <w:t xml:space="preserve"> de bewaring van patiëntendossiers (na verloop van tijd) in een openbaar archief nog steeds </w:t>
      </w:r>
      <w:r w:rsidR="00857851">
        <w:rPr>
          <w:rFonts w:eastAsiaTheme="minorEastAsia"/>
          <w:kern w:val="0"/>
          <w:lang w:eastAsia="en-US" w:bidi="ar-SA"/>
        </w:rPr>
        <w:t>stof opwaaien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76"/>
      </w:r>
      <w:r w:rsidRPr="00D147A7">
        <w:rPr>
          <w:rFonts w:eastAsiaTheme="minorEastAsia"/>
          <w:kern w:val="0"/>
          <w:lang w:eastAsia="en-US" w:bidi="ar-SA"/>
        </w:rPr>
        <w:t xml:space="preserve"> Omdat in Nederland zeer veel belang aan de bescherming van de persoonlijke levenssfeer van patiënten </w:t>
      </w:r>
      <w:r w:rsidR="00857851">
        <w:rPr>
          <w:rFonts w:eastAsiaTheme="minorEastAsia"/>
          <w:kern w:val="0"/>
          <w:lang w:eastAsia="en-US" w:bidi="ar-SA"/>
        </w:rPr>
        <w:t>gehecht</w:t>
      </w:r>
      <w:r w:rsidRPr="00D147A7">
        <w:rPr>
          <w:rFonts w:eastAsiaTheme="minorEastAsia"/>
          <w:kern w:val="0"/>
          <w:lang w:eastAsia="en-US" w:bidi="ar-SA"/>
        </w:rPr>
        <w:t xml:space="preserve"> wordt</w:t>
      </w:r>
      <w:r w:rsidRPr="00D147A7">
        <w:rPr>
          <w:rFonts w:eastAsiaTheme="minorEastAsia"/>
          <w:kern w:val="0"/>
          <w:vertAlign w:val="superscript"/>
          <w:lang w:eastAsia="en-US" w:bidi="ar-SA"/>
        </w:rPr>
        <w:footnoteReference w:id="1377"/>
      </w:r>
      <w:r w:rsidRPr="00D147A7">
        <w:rPr>
          <w:rFonts w:eastAsiaTheme="minorEastAsia"/>
          <w:kern w:val="0"/>
          <w:lang w:eastAsia="en-US" w:bidi="ar-SA"/>
        </w:rPr>
        <w:t>, is het dossier van van Gogh eerder uitzondering dan regel. In hetzelfde archief en in Den Bosch</w:t>
      </w:r>
      <w:r w:rsidRPr="00D147A7">
        <w:rPr>
          <w:rFonts w:eastAsiaTheme="minorEastAsia"/>
          <w:kern w:val="0"/>
          <w:vertAlign w:val="superscript"/>
          <w:lang w:eastAsia="en-US" w:bidi="ar-SA"/>
        </w:rPr>
        <w:footnoteReference w:id="1378"/>
      </w:r>
      <w:r w:rsidRPr="00D147A7">
        <w:rPr>
          <w:rFonts w:eastAsiaTheme="minorEastAsia"/>
          <w:kern w:val="0"/>
          <w:lang w:eastAsia="en-US" w:bidi="ar-SA"/>
        </w:rPr>
        <w:t xml:space="preserve"> worden nog wel enkele andere (psychiatrische) patiëntendossiers </w:t>
      </w:r>
      <w:r w:rsidR="00857851">
        <w:rPr>
          <w:rFonts w:eastAsiaTheme="minorEastAsia"/>
          <w:kern w:val="0"/>
          <w:lang w:eastAsia="en-US" w:bidi="ar-SA"/>
        </w:rPr>
        <w:t xml:space="preserve">bewaard </w:t>
      </w:r>
      <w:r w:rsidRPr="00D147A7">
        <w:rPr>
          <w:rFonts w:eastAsiaTheme="minorEastAsia"/>
          <w:kern w:val="0"/>
          <w:lang w:eastAsia="en-US" w:bidi="ar-SA"/>
        </w:rPr>
        <w:t xml:space="preserve">en in Den Haag </w:t>
      </w:r>
      <w:r w:rsidR="00857851">
        <w:rPr>
          <w:rFonts w:eastAsiaTheme="minorEastAsia"/>
          <w:kern w:val="0"/>
          <w:lang w:eastAsia="en-US" w:bidi="ar-SA"/>
        </w:rPr>
        <w:t>bevindt zich</w:t>
      </w:r>
      <w:r w:rsidRPr="00D147A7">
        <w:rPr>
          <w:rFonts w:eastAsiaTheme="minorEastAsia"/>
          <w:kern w:val="0"/>
          <w:lang w:eastAsia="en-US" w:bidi="ar-SA"/>
        </w:rPr>
        <w:t xml:space="preserve"> het patiëntendossier van F. Duifhuize uit de jaren 1980.</w:t>
      </w:r>
      <w:r w:rsidRPr="00D147A7">
        <w:rPr>
          <w:rFonts w:eastAsiaTheme="minorEastAsia"/>
          <w:kern w:val="0"/>
          <w:vertAlign w:val="superscript"/>
          <w:lang w:eastAsia="en-US" w:bidi="ar-SA"/>
        </w:rPr>
        <w:footnoteReference w:id="1379"/>
      </w:r>
      <w:r w:rsidRPr="00D147A7">
        <w:rPr>
          <w:rFonts w:eastAsiaTheme="minorEastAsia"/>
          <w:kern w:val="0"/>
          <w:lang w:eastAsia="en-US" w:bidi="ar-SA"/>
        </w:rPr>
        <w:t xml:space="preserve"> Dit laatste dossier wordt 100 jaar na de geboorte van de betrokkene openbaar, terwijl de in Den Bosch bewaarde </w:t>
      </w:r>
      <w:r w:rsidR="00857851">
        <w:rPr>
          <w:rFonts w:eastAsiaTheme="minorEastAsia"/>
          <w:kern w:val="0"/>
          <w:lang w:eastAsia="en-US" w:bidi="ar-SA"/>
        </w:rPr>
        <w:t xml:space="preserve">(psychiatrische) </w:t>
      </w:r>
      <w:r w:rsidRPr="00D147A7">
        <w:rPr>
          <w:rFonts w:eastAsiaTheme="minorEastAsia"/>
          <w:kern w:val="0"/>
          <w:lang w:eastAsia="en-US" w:bidi="ar-SA"/>
        </w:rPr>
        <w:t>patiëntendossiers pas 110 jaar na de geboorte van de patiënten ter beschik</w:t>
      </w:r>
      <w:r w:rsidR="00857851">
        <w:rPr>
          <w:rFonts w:eastAsiaTheme="minorEastAsia"/>
          <w:kern w:val="0"/>
          <w:lang w:eastAsia="en-US" w:bidi="ar-SA"/>
        </w:rPr>
        <w:t>-</w:t>
      </w:r>
      <w:r w:rsidRPr="00D147A7">
        <w:rPr>
          <w:rFonts w:eastAsiaTheme="minorEastAsia"/>
          <w:kern w:val="0"/>
          <w:lang w:eastAsia="en-US" w:bidi="ar-SA"/>
        </w:rPr>
        <w:t>king worden gesteld.</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Nederland is men enkele jaren geleden tot het inzicht gekomen dat de er inderdaad onvol</w:t>
      </w:r>
      <w:r w:rsidR="00857851">
        <w:rPr>
          <w:rFonts w:eastAsiaTheme="minorEastAsia"/>
          <w:kern w:val="0"/>
          <w:lang w:eastAsia="en-US" w:bidi="ar-SA"/>
        </w:rPr>
        <w:t>-</w:t>
      </w:r>
      <w:r w:rsidRPr="00D147A7">
        <w:rPr>
          <w:rFonts w:eastAsiaTheme="minorEastAsia"/>
          <w:kern w:val="0"/>
          <w:lang w:eastAsia="en-US" w:bidi="ar-SA"/>
        </w:rPr>
        <w:t>doende aandacht aan archiefbescheiden uit de gezondheidszorg met cultuur-historische waar</w:t>
      </w:r>
      <w:r w:rsidR="00857851">
        <w:rPr>
          <w:rFonts w:eastAsiaTheme="minorEastAsia"/>
          <w:kern w:val="0"/>
          <w:lang w:eastAsia="en-US" w:bidi="ar-SA"/>
        </w:rPr>
        <w:t>-</w:t>
      </w:r>
      <w:r w:rsidRPr="00D147A7">
        <w:rPr>
          <w:rFonts w:eastAsiaTheme="minorEastAsia"/>
          <w:kern w:val="0"/>
          <w:lang w:eastAsia="en-US" w:bidi="ar-SA"/>
        </w:rPr>
        <w:t>de</w:t>
      </w:r>
      <w:r w:rsidR="00857851" w:rsidRPr="00857851">
        <w:rPr>
          <w:rFonts w:eastAsiaTheme="minorEastAsia"/>
          <w:kern w:val="0"/>
          <w:lang w:eastAsia="en-US" w:bidi="ar-SA"/>
        </w:rPr>
        <w:t xml:space="preserve"> </w:t>
      </w:r>
      <w:r w:rsidR="00857851" w:rsidRPr="00D147A7">
        <w:rPr>
          <w:rFonts w:eastAsiaTheme="minorEastAsia"/>
          <w:kern w:val="0"/>
          <w:lang w:eastAsia="en-US" w:bidi="ar-SA"/>
        </w:rPr>
        <w:t>wordt besteed</w:t>
      </w:r>
      <w:r w:rsidRPr="00D147A7">
        <w:rPr>
          <w:rFonts w:eastAsiaTheme="minorEastAsia"/>
          <w:kern w:val="0"/>
          <w:lang w:eastAsia="en-US" w:bidi="ar-SA"/>
        </w:rPr>
        <w:t>. Vóór 2000 was het niet ongebruikelijk dat verzorgingsinstellingen hun 19</w:t>
      </w:r>
      <w:r w:rsidRPr="00D147A7">
        <w:rPr>
          <w:rFonts w:eastAsiaTheme="minorEastAsia"/>
          <w:kern w:val="0"/>
          <w:vertAlign w:val="superscript"/>
          <w:lang w:eastAsia="en-US" w:bidi="ar-SA"/>
        </w:rPr>
        <w:t>de</w:t>
      </w:r>
      <w:r w:rsidRPr="00D147A7">
        <w:rPr>
          <w:rFonts w:eastAsiaTheme="minorEastAsia"/>
          <w:kern w:val="0"/>
          <w:lang w:eastAsia="en-US" w:bidi="ar-SA"/>
        </w:rPr>
        <w:t xml:space="preserve"> eeuwse archieven zonder schroom lieten vernietigen.</w:t>
      </w:r>
      <w:r w:rsidRPr="00D147A7">
        <w:rPr>
          <w:rFonts w:eastAsiaTheme="minorEastAsia"/>
          <w:kern w:val="0"/>
          <w:vertAlign w:val="superscript"/>
          <w:lang w:eastAsia="en-US" w:bidi="ar-SA"/>
        </w:rPr>
        <w:footnoteReference w:id="1380"/>
      </w:r>
      <w:r w:rsidRPr="00D147A7">
        <w:rPr>
          <w:rFonts w:eastAsiaTheme="minorEastAsia"/>
          <w:kern w:val="0"/>
          <w:lang w:eastAsia="en-US" w:bidi="ar-SA"/>
        </w:rPr>
        <w:t xml:space="preserve"> Om het historisch besef in de medi</w:t>
      </w:r>
      <w:r w:rsidR="00857851">
        <w:rPr>
          <w:rFonts w:eastAsiaTheme="minorEastAsia"/>
          <w:kern w:val="0"/>
          <w:lang w:eastAsia="en-US" w:bidi="ar-SA"/>
        </w:rPr>
        <w:t>-</w:t>
      </w:r>
      <w:r w:rsidRPr="00D147A7">
        <w:rPr>
          <w:rFonts w:eastAsiaTheme="minorEastAsia"/>
          <w:kern w:val="0"/>
          <w:lang w:eastAsia="en-US" w:bidi="ar-SA"/>
        </w:rPr>
        <w:t xml:space="preserve">sche sector aan te wakkeren, wordt sinds academiejaar 2004-2005 aan studenten geneeskunde, </w:t>
      </w:r>
      <w:r w:rsidRPr="00D147A7">
        <w:rPr>
          <w:rFonts w:eastAsiaTheme="minorEastAsia"/>
          <w:kern w:val="0"/>
          <w:lang w:eastAsia="en-US" w:bidi="ar-SA"/>
        </w:rPr>
        <w:lastRenderedPageBreak/>
        <w:t xml:space="preserve">gezondheids- en biomedische wetenschappen, letteren en sociale wetenschappen van de Vrije Universiteit van Amsterdam en van de Universiteit van Leiden een nagelnieuw mastertraject </w:t>
      </w:r>
      <w:r w:rsidR="00857851">
        <w:rPr>
          <w:rFonts w:eastAsiaTheme="minorEastAsia"/>
          <w:kern w:val="0"/>
          <w:lang w:eastAsia="en-US" w:bidi="ar-SA"/>
        </w:rPr>
        <w:t>‘M</w:t>
      </w:r>
      <w:r w:rsidRPr="00D147A7">
        <w:rPr>
          <w:rFonts w:eastAsiaTheme="minorEastAsia"/>
          <w:kern w:val="0"/>
          <w:lang w:eastAsia="en-US" w:bidi="ar-SA"/>
        </w:rPr>
        <w:t>edische geschiedenis</w:t>
      </w:r>
      <w:r w:rsidR="00857851">
        <w:rPr>
          <w:rFonts w:eastAsiaTheme="minorEastAsia"/>
          <w:kern w:val="0"/>
          <w:lang w:eastAsia="en-US" w:bidi="ar-SA"/>
        </w:rPr>
        <w:t>’</w:t>
      </w:r>
      <w:r w:rsidRPr="00D147A7">
        <w:rPr>
          <w:rFonts w:eastAsiaTheme="minorEastAsia"/>
          <w:kern w:val="0"/>
          <w:lang w:eastAsia="en-US" w:bidi="ar-SA"/>
        </w:rPr>
        <w:t xml:space="preserve"> aangeboden.</w:t>
      </w:r>
      <w:r w:rsidRPr="00D147A7">
        <w:rPr>
          <w:rFonts w:eastAsiaTheme="minorEastAsia"/>
          <w:kern w:val="0"/>
          <w:vertAlign w:val="superscript"/>
          <w:lang w:eastAsia="en-US" w:bidi="ar-SA"/>
        </w:rPr>
        <w:footnoteReference w:id="1381"/>
      </w:r>
      <w:r w:rsidRPr="00D147A7">
        <w:rPr>
          <w:rFonts w:eastAsiaTheme="minorEastAsia"/>
          <w:kern w:val="0"/>
          <w:lang w:eastAsia="en-US" w:bidi="ar-SA"/>
        </w:rPr>
        <w:t xml:space="preserve"> Deze studierichting, die op initiatief van de afdeling Metamedica van het VUmc en het Nederlands Tijdschrift voor Geneeskunde tot stand kwam, kan a</w:t>
      </w:r>
      <w:r w:rsidR="00724382" w:rsidRPr="00D147A7">
        <w:rPr>
          <w:rFonts w:eastAsiaTheme="minorEastAsia"/>
          <w:kern w:val="0"/>
          <w:lang w:eastAsia="en-US" w:bidi="ar-SA"/>
        </w:rPr>
        <w:t>lleen maar worden aangemoedigd.</w:t>
      </w:r>
    </w:p>
    <w:p w:rsidR="000F560E" w:rsidRPr="00D147A7" w:rsidRDefault="000F560E" w:rsidP="000F560E">
      <w:pPr>
        <w:widowControl/>
        <w:suppressAutoHyphens w:val="0"/>
        <w:spacing w:after="200" w:line="276" w:lineRule="auto"/>
        <w:jc w:val="center"/>
        <w:rPr>
          <w:rFonts w:eastAsiaTheme="minorEastAsia"/>
          <w:kern w:val="0"/>
          <w:lang w:eastAsia="en-US" w:bidi="ar-SA"/>
        </w:rPr>
      </w:pPr>
      <w:r w:rsidRPr="00D147A7">
        <w:rPr>
          <w:rFonts w:eastAsiaTheme="minorEastAsia"/>
          <w:noProof/>
          <w:kern w:val="0"/>
          <w:sz w:val="22"/>
          <w:szCs w:val="22"/>
          <w:lang w:eastAsia="nl-BE" w:bidi="ar-SA"/>
        </w:rPr>
        <w:drawing>
          <wp:inline distT="0" distB="0" distL="0" distR="0" wp14:anchorId="5EA5526D" wp14:editId="07580355">
            <wp:extent cx="2771775" cy="3680366"/>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775865" cy="3685797"/>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26: Ontslagbrief Theodorus van Gogh (</w:t>
      </w:r>
      <w:r w:rsidRPr="00D147A7">
        <w:rPr>
          <w:rFonts w:eastAsiaTheme="minorEastAsia"/>
          <w:color w:val="222222"/>
          <w:kern w:val="0"/>
          <w:shd w:val="clear" w:color="auto" w:fill="FFFFFF"/>
          <w:lang w:eastAsia="en-US" w:bidi="ar-SA"/>
        </w:rPr>
        <w:t>1 mei 1857 - 25 januari 1891</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82"/>
      </w:r>
    </w:p>
    <w:p w:rsidR="000F560E" w:rsidRPr="00D147A7" w:rsidRDefault="000F560E" w:rsidP="00857851">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[Transcriptie van figuur 26]</w:t>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GENEESKUNDIG GESTICHT VOOR KRANKZINNIGEN TE UTRECHT</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Volgnommer 1040</w:t>
      </w:r>
      <w:r w:rsidRPr="00D147A7">
        <w:rPr>
          <w:rFonts w:eastAsiaTheme="minorEastAsia"/>
          <w:kern w:val="0"/>
          <w:lang w:eastAsia="en-US" w:bidi="ar-SA"/>
        </w:rPr>
        <w:tab/>
        <w:t>2</w:t>
      </w:r>
      <w:r w:rsidRPr="00D147A7">
        <w:rPr>
          <w:rFonts w:eastAsiaTheme="minorEastAsia"/>
          <w:kern w:val="0"/>
          <w:vertAlign w:val="superscript"/>
          <w:lang w:eastAsia="en-US" w:bidi="ar-SA"/>
        </w:rPr>
        <w:t>e</w:t>
      </w:r>
      <w:r w:rsidRPr="00D147A7">
        <w:rPr>
          <w:rFonts w:eastAsiaTheme="minorEastAsia"/>
          <w:kern w:val="0"/>
          <w:lang w:eastAsia="en-US" w:bidi="ar-SA"/>
        </w:rPr>
        <w:t xml:space="preserve"> Klasse</w:t>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t>Jaarnommer 84</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Opgenomen den 18 Nove 1890</w:t>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van Gogh</w:t>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Theodorus</w:t>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Afgevoerd den 24 Januari 1891 als Overleden</w:t>
      </w: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ab/>
      </w:r>
      <w:r w:rsidRPr="00D147A7">
        <w:rPr>
          <w:rFonts w:eastAsiaTheme="minorEastAsia"/>
          <w:kern w:val="0"/>
          <w:lang w:eastAsia="en-US" w:bidi="ar-SA"/>
        </w:rPr>
        <w:tab/>
      </w: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t>Verpleegtijd ruim 2 maanden</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Jaarnommer der afgevoerden 3</w:t>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r>
      <w:r w:rsidRPr="00D147A7">
        <w:rPr>
          <w:rFonts w:eastAsiaTheme="minorEastAsia"/>
          <w:kern w:val="0"/>
          <w:lang w:eastAsia="en-US" w:bidi="ar-SA"/>
        </w:rPr>
        <w:tab/>
        <w:t>Jaarnommer der</w:t>
      </w:r>
    </w:p>
    <w:p w:rsidR="000F560E" w:rsidRPr="00D147A7" w:rsidRDefault="000F560E" w:rsidP="000F560E">
      <w:pPr>
        <w:widowControl/>
        <w:suppressAutoHyphens w:val="0"/>
        <w:spacing w:after="200" w:line="276" w:lineRule="auto"/>
        <w:jc w:val="center"/>
        <w:rPr>
          <w:rFonts w:eastAsiaTheme="minorEastAsia"/>
          <w:kern w:val="0"/>
          <w:lang w:eastAsia="en-US" w:bidi="ar-SA"/>
        </w:rPr>
      </w:pPr>
      <w:r w:rsidRPr="00D147A7">
        <w:rPr>
          <w:rFonts w:eastAsiaTheme="minorEastAsia"/>
          <w:noProof/>
          <w:kern w:val="0"/>
          <w:sz w:val="22"/>
          <w:szCs w:val="22"/>
          <w:lang w:eastAsia="nl-BE" w:bidi="ar-SA"/>
        </w:rPr>
        <w:lastRenderedPageBreak/>
        <w:drawing>
          <wp:inline distT="0" distB="0" distL="0" distR="0" wp14:anchorId="56847E4A" wp14:editId="33EDAF61">
            <wp:extent cx="4742296" cy="6241788"/>
            <wp:effectExtent l="0" t="0" r="1270" b="698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4742296" cy="6241788"/>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 xml:space="preserve">Figuur 27: Enquête ingevuld door </w:t>
      </w:r>
      <w:r w:rsidRPr="00D147A7">
        <w:rPr>
          <w:rFonts w:eastAsiaTheme="minorEastAsia"/>
          <w:color w:val="000000"/>
          <w:kern w:val="0"/>
          <w:lang w:eastAsia="en-US" w:bidi="ar-SA"/>
        </w:rPr>
        <w:t>Johanna Gesina van Gogh-Bonger</w:t>
      </w:r>
      <w:r w:rsidRPr="00D147A7">
        <w:rPr>
          <w:rFonts w:eastAsiaTheme="minorEastAsia"/>
          <w:kern w:val="0"/>
          <w:lang w:eastAsia="en-US" w:bidi="ar-SA"/>
        </w:rPr>
        <w:t xml:space="preserve">, de vrouw van Theo van Gogh, bij zijn opname in het </w:t>
      </w:r>
      <w:r w:rsidRPr="00D147A7">
        <w:rPr>
          <w:rFonts w:eastAsiaTheme="minorEastAsia"/>
          <w:color w:val="000000"/>
          <w:kern w:val="0"/>
          <w:lang w:eastAsia="en-US" w:bidi="ar-SA"/>
        </w:rPr>
        <w:t>Geneeskundig Gesticht voor Krankzinnigen te Utrecht op 18 november 1890</w:t>
      </w:r>
      <w:r w:rsidRPr="00D147A7">
        <w:rPr>
          <w:rFonts w:eastAsiaTheme="minorEastAsia"/>
          <w:kern w:val="0"/>
          <w:vertAlign w:val="superscript"/>
          <w:lang w:eastAsia="en-US" w:bidi="ar-SA"/>
        </w:rPr>
        <w:footnoteReference w:id="1383"/>
      </w:r>
      <w:r w:rsidRPr="00D147A7">
        <w:rPr>
          <w:rFonts w:eastAsiaTheme="minorEastAsia"/>
          <w:kern w:val="0"/>
          <w:lang w:eastAsia="en-US" w:bidi="ar-SA"/>
        </w:rPr>
        <w:t xml:space="preserve"> </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spacing w:after="200" w:line="276" w:lineRule="auto"/>
        <w:rPr>
          <w:rFonts w:eastAsiaTheme="minorEastAsia"/>
          <w:kern w:val="0"/>
          <w:lang w:eastAsia="en-US" w:bidi="ar-SA"/>
        </w:rPr>
      </w:pPr>
      <w:r w:rsidRPr="00D147A7">
        <w:rPr>
          <w:rFonts w:eastAsiaTheme="minorEastAsia"/>
          <w:kern w:val="0"/>
          <w:lang w:eastAsia="en-US" w:bidi="ar-SA"/>
        </w:rPr>
        <w:br w:type="page"/>
      </w: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lastRenderedPageBreak/>
        <w:t>[Transcriptie van figuur 27]</w:t>
      </w:r>
    </w:p>
    <w:p w:rsidR="000F560E" w:rsidRPr="00D147A7" w:rsidRDefault="000F560E" w:rsidP="000F560E">
      <w:pPr>
        <w:widowControl/>
        <w:suppressAutoHyphens w:val="0"/>
        <w:jc w:val="center"/>
        <w:rPr>
          <w:rFonts w:eastAsiaTheme="minorEastAsia"/>
          <w:kern w:val="0"/>
          <w:lang w:eastAsia="en-US" w:bidi="ar-SA"/>
        </w:rPr>
      </w:pPr>
    </w:p>
    <w:p w:rsidR="000F560E" w:rsidRPr="00D147A7" w:rsidRDefault="000F560E" w:rsidP="000F560E">
      <w:pPr>
        <w:widowControl/>
        <w:suppressAutoHyphens w:val="0"/>
        <w:rPr>
          <w:rFonts w:eastAsiaTheme="minorEastAsia"/>
          <w:kern w:val="0"/>
          <w:sz w:val="18"/>
          <w:szCs w:val="18"/>
          <w:lang w:eastAsia="en-US" w:bidi="ar-SA"/>
        </w:rPr>
      </w:pPr>
    </w:p>
    <w:p w:rsidR="000F560E" w:rsidRPr="00D147A7" w:rsidRDefault="000F560E" w:rsidP="000F560E">
      <w:pPr>
        <w:widowControl/>
        <w:suppressAutoHyphens w:val="0"/>
        <w:rPr>
          <w:rFonts w:eastAsia="Times New Roman"/>
          <w:kern w:val="0"/>
          <w:lang w:eastAsia="nl-BE" w:bidi="ar-SA"/>
        </w:rPr>
      </w:pPr>
      <w:r w:rsidRPr="00D147A7">
        <w:rPr>
          <w:rFonts w:eastAsiaTheme="minorEastAsia"/>
          <w:kern w:val="0"/>
          <w:sz w:val="18"/>
          <w:szCs w:val="18"/>
          <w:lang w:eastAsia="en-US" w:bidi="ar-SA"/>
        </w:rPr>
        <w:t>Nr. 1040</w:t>
      </w:r>
      <w:r w:rsidRPr="00D147A7">
        <w:rPr>
          <w:rFonts w:eastAsiaTheme="minorEastAsia"/>
          <w:kern w:val="0"/>
          <w:lang w:eastAsia="en-US" w:bidi="ar-SA"/>
        </w:rPr>
        <w:tab/>
      </w:r>
      <w:r w:rsidRPr="00D147A7">
        <w:rPr>
          <w:rFonts w:eastAsiaTheme="minorEastAsia"/>
          <w:kern w:val="0"/>
          <w:lang w:eastAsia="en-US" w:bidi="ar-SA"/>
        </w:rPr>
        <w:tab/>
      </w:r>
      <w:r w:rsidRPr="00D147A7">
        <w:rPr>
          <w:rFonts w:eastAsia="Times New Roman"/>
          <w:kern w:val="0"/>
          <w:lang w:eastAsia="nl-BE" w:bidi="ar-SA"/>
        </w:rPr>
        <w:t>VRAGEN, waarvan de zoveel mogelijk volledig en nauwkeurig beantwoording</w:t>
      </w:r>
    </w:p>
    <w:p w:rsidR="000F560E" w:rsidRPr="00D147A7" w:rsidRDefault="000F560E" w:rsidP="000F560E">
      <w:pPr>
        <w:widowControl/>
        <w:suppressAutoHyphens w:val="0"/>
        <w:rPr>
          <w:rFonts w:eastAsia="Times New Roman"/>
          <w:color w:val="000000"/>
          <w:kern w:val="0"/>
          <w:lang w:eastAsia="nl-BE" w:bidi="ar-SA"/>
        </w:rPr>
      </w:pPr>
      <w:r w:rsidRPr="00D147A7">
        <w:rPr>
          <w:rFonts w:eastAsiaTheme="minorEastAsia"/>
          <w:kern w:val="0"/>
          <w:sz w:val="18"/>
          <w:szCs w:val="18"/>
          <w:lang w:eastAsia="en-US" w:bidi="ar-SA"/>
        </w:rPr>
        <w:t>Van het Register</w:t>
      </w:r>
      <w:r w:rsidRPr="00D147A7">
        <w:rPr>
          <w:rFonts w:eastAsiaTheme="minorEastAsia"/>
          <w:kern w:val="0"/>
          <w:sz w:val="18"/>
          <w:szCs w:val="18"/>
          <w:lang w:eastAsia="en-US" w:bidi="ar-SA"/>
        </w:rPr>
        <w:tab/>
      </w:r>
      <w:r w:rsidRPr="00D147A7">
        <w:rPr>
          <w:rFonts w:eastAsia="Times New Roman"/>
          <w:color w:val="000000"/>
          <w:kern w:val="0"/>
          <w:lang w:eastAsia="nl-BE" w:bidi="ar-SA"/>
        </w:rPr>
        <w:t>door het bestuur van het GENEESKUNDIG GESTICHT VOOR KRANK-</w:t>
      </w:r>
    </w:p>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ab/>
      </w:r>
      <w:r w:rsidRPr="00D147A7">
        <w:rPr>
          <w:rFonts w:eastAsia="Times New Roman"/>
          <w:color w:val="000000"/>
          <w:kern w:val="0"/>
          <w:lang w:eastAsia="nl-BE" w:bidi="ar-SA"/>
        </w:rPr>
        <w:tab/>
        <w:t>ZINNIGEN te Utrecht verlangd wordt van de naaste betrekkingen van</w:t>
      </w:r>
    </w:p>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ab/>
      </w:r>
      <w:r w:rsidRPr="00D147A7">
        <w:rPr>
          <w:rFonts w:eastAsia="Times New Roman"/>
          <w:color w:val="000000"/>
          <w:kern w:val="0"/>
          <w:lang w:eastAsia="nl-BE" w:bidi="ar-SA"/>
        </w:rPr>
        <w:tab/>
      </w:r>
      <w:r w:rsidRPr="00D147A7">
        <w:rPr>
          <w:rFonts w:eastAsia="Times New Roman"/>
          <w:color w:val="000000"/>
          <w:kern w:val="0"/>
          <w:lang w:eastAsia="nl-BE" w:bidi="ar-SA"/>
        </w:rPr>
        <w:tab/>
      </w:r>
      <w:r w:rsidRPr="00D147A7">
        <w:rPr>
          <w:rFonts w:eastAsia="Times New Roman"/>
          <w:color w:val="000000"/>
          <w:kern w:val="0"/>
          <w:lang w:eastAsia="nl-BE" w:bidi="ar-SA"/>
        </w:rPr>
        <w:tab/>
        <w:t>Theodorus van Gogh</w:t>
      </w:r>
      <w:r w:rsidRPr="00D147A7">
        <w:rPr>
          <w:rFonts w:eastAsia="Times New Roman"/>
          <w:color w:val="000000"/>
          <w:kern w:val="0"/>
          <w:lang w:eastAsia="nl-BE" w:bidi="ar-SA"/>
        </w:rPr>
        <w:tab/>
      </w:r>
      <w:r w:rsidRPr="00D147A7">
        <w:rPr>
          <w:rFonts w:eastAsia="Times New Roman"/>
          <w:color w:val="000000"/>
          <w:kern w:val="0"/>
          <w:lang w:eastAsia="nl-BE" w:bidi="ar-SA"/>
        </w:rPr>
        <w:tab/>
      </w:r>
    </w:p>
    <w:tbl>
      <w:tblPr>
        <w:tblW w:w="9813" w:type="dxa"/>
        <w:tblCellMar>
          <w:left w:w="70" w:type="dxa"/>
          <w:right w:w="70" w:type="dxa"/>
        </w:tblCellMar>
        <w:tblLook w:val="04A0" w:firstRow="1" w:lastRow="0" w:firstColumn="1" w:lastColumn="0" w:noHBand="0" w:noVBand="1"/>
      </w:tblPr>
      <w:tblGrid>
        <w:gridCol w:w="565"/>
        <w:gridCol w:w="923"/>
        <w:gridCol w:w="700"/>
        <w:gridCol w:w="2418"/>
        <w:gridCol w:w="985"/>
        <w:gridCol w:w="1002"/>
        <w:gridCol w:w="1002"/>
        <w:gridCol w:w="1002"/>
        <w:gridCol w:w="1216"/>
      </w:tblGrid>
      <w:tr w:rsidR="000F560E" w:rsidRPr="00D147A7" w:rsidTr="004721B1">
        <w:trPr>
          <w:gridBefore w:val="2"/>
          <w:wBefore w:w="1488" w:type="dxa"/>
          <w:trHeight w:val="265"/>
        </w:trPr>
        <w:tc>
          <w:tcPr>
            <w:tcW w:w="700" w:type="dxa"/>
            <w:tcBorders>
              <w:top w:val="nil"/>
              <w:left w:val="nil"/>
              <w:bottom w:val="single" w:sz="4" w:space="0" w:color="auto"/>
              <w:right w:val="nil"/>
            </w:tcBorders>
            <w:shd w:val="clear" w:color="auto" w:fill="auto"/>
            <w:noWrap/>
            <w:vAlign w:val="bottom"/>
            <w:hideMark/>
          </w:tcPr>
          <w:p w:rsidR="000F560E" w:rsidRPr="00D147A7" w:rsidRDefault="000F560E" w:rsidP="000F560E">
            <w:pPr>
              <w:widowControl/>
              <w:suppressAutoHyphens w:val="0"/>
              <w:jc w:val="center"/>
              <w:rPr>
                <w:rFonts w:eastAsia="Times New Roman"/>
                <w:color w:val="000000"/>
                <w:kern w:val="0"/>
                <w:lang w:eastAsia="nl-BE" w:bidi="ar-SA"/>
              </w:rPr>
            </w:pPr>
            <w:r w:rsidRPr="00D147A7">
              <w:rPr>
                <w:rFonts w:eastAsia="Times New Roman"/>
                <w:color w:val="000000"/>
                <w:kern w:val="0"/>
                <w:lang w:eastAsia="nl-BE" w:bidi="ar-SA"/>
              </w:rPr>
              <w:t>wiens</w:t>
            </w:r>
          </w:p>
        </w:tc>
        <w:tc>
          <w:tcPr>
            <w:tcW w:w="7625" w:type="dxa"/>
            <w:gridSpan w:val="6"/>
            <w:vMerge w:val="restart"/>
            <w:tcBorders>
              <w:top w:val="nil"/>
              <w:left w:val="nil"/>
              <w:bottom w:val="nil"/>
              <w:right w:val="nil"/>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opneming aldaar, op de daardoor vastgestelde voorwaarden, begeerd wordt</w:t>
            </w:r>
          </w:p>
        </w:tc>
      </w:tr>
      <w:tr w:rsidR="000F560E" w:rsidRPr="00D147A7" w:rsidTr="004721B1">
        <w:trPr>
          <w:gridBefore w:val="2"/>
          <w:wBefore w:w="1488" w:type="dxa"/>
          <w:trHeight w:val="265"/>
        </w:trPr>
        <w:tc>
          <w:tcPr>
            <w:tcW w:w="700" w:type="dxa"/>
            <w:tcBorders>
              <w:top w:val="nil"/>
              <w:left w:val="nil"/>
              <w:bottom w:val="nil"/>
              <w:right w:val="nil"/>
            </w:tcBorders>
            <w:shd w:val="clear" w:color="auto" w:fill="auto"/>
            <w:noWrap/>
            <w:hideMark/>
          </w:tcPr>
          <w:p w:rsidR="000F560E" w:rsidRPr="00D147A7" w:rsidRDefault="000F560E" w:rsidP="000F560E">
            <w:pPr>
              <w:widowControl/>
              <w:suppressAutoHyphens w:val="0"/>
              <w:jc w:val="center"/>
              <w:rPr>
                <w:rFonts w:eastAsia="Times New Roman"/>
                <w:strike/>
                <w:color w:val="000000"/>
                <w:kern w:val="0"/>
                <w:lang w:eastAsia="nl-BE" w:bidi="ar-SA"/>
              </w:rPr>
            </w:pPr>
            <w:r w:rsidRPr="00D147A7">
              <w:rPr>
                <w:rFonts w:eastAsia="Times New Roman"/>
                <w:strike/>
                <w:color w:val="000000"/>
                <w:kern w:val="0"/>
                <w:lang w:eastAsia="nl-BE" w:bidi="ar-SA"/>
              </w:rPr>
              <w:t>wier</w:t>
            </w:r>
          </w:p>
        </w:tc>
        <w:tc>
          <w:tcPr>
            <w:tcW w:w="7625" w:type="dxa"/>
            <w:gridSpan w:val="6"/>
            <w:vMerge/>
            <w:tcBorders>
              <w:top w:val="nil"/>
              <w:left w:val="nil"/>
              <w:bottom w:val="nil"/>
              <w:right w:val="nil"/>
            </w:tcBorders>
            <w:vAlign w:val="center"/>
            <w:hideMark/>
          </w:tcPr>
          <w:p w:rsidR="000F560E" w:rsidRPr="00D147A7" w:rsidRDefault="000F560E" w:rsidP="000F560E">
            <w:pPr>
              <w:widowControl/>
              <w:suppressAutoHyphens w:val="0"/>
              <w:rPr>
                <w:rFonts w:eastAsia="Times New Roman"/>
                <w:color w:val="000000"/>
                <w:kern w:val="0"/>
                <w:lang w:eastAsia="nl-BE" w:bidi="ar-SA"/>
              </w:rPr>
            </w:pPr>
          </w:p>
        </w:tc>
      </w:tr>
      <w:tr w:rsidR="000F560E" w:rsidRPr="00D147A7" w:rsidTr="004721B1">
        <w:trPr>
          <w:gridAfter w:val="1"/>
          <w:wAfter w:w="1216" w:type="dxa"/>
          <w:trHeight w:val="265"/>
        </w:trPr>
        <w:tc>
          <w:tcPr>
            <w:tcW w:w="565" w:type="dxa"/>
            <w:tcBorders>
              <w:top w:val="nil"/>
              <w:left w:val="nil"/>
              <w:bottom w:val="nil"/>
              <w:right w:val="nil"/>
            </w:tcBorders>
            <w:shd w:val="clear" w:color="auto" w:fill="auto"/>
            <w:noWrap/>
            <w:vAlign w:val="bottom"/>
          </w:tcPr>
          <w:p w:rsidR="000F560E" w:rsidRPr="00D147A7" w:rsidRDefault="000F560E" w:rsidP="000F560E">
            <w:pPr>
              <w:widowControl/>
              <w:suppressAutoHyphens w:val="0"/>
              <w:spacing w:after="200" w:line="276" w:lineRule="auto"/>
              <w:rPr>
                <w:rFonts w:eastAsia="Times New Roman"/>
                <w:color w:val="000000"/>
                <w:kern w:val="0"/>
                <w:sz w:val="22"/>
                <w:szCs w:val="22"/>
                <w:lang w:eastAsia="nl-BE" w:bidi="ar-SA"/>
              </w:rPr>
            </w:pPr>
          </w:p>
        </w:tc>
        <w:tc>
          <w:tcPr>
            <w:tcW w:w="923" w:type="dxa"/>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sz w:val="22"/>
                <w:szCs w:val="22"/>
                <w:lang w:eastAsia="nl-BE" w:bidi="ar-SA"/>
              </w:rPr>
            </w:pPr>
          </w:p>
        </w:tc>
        <w:tc>
          <w:tcPr>
            <w:tcW w:w="3118" w:type="dxa"/>
            <w:gridSpan w:val="2"/>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door Zijne Echtgenoote</w:t>
            </w:r>
          </w:p>
          <w:p w:rsidR="000F560E" w:rsidRPr="00D147A7" w:rsidRDefault="000F560E" w:rsidP="000F560E">
            <w:pPr>
              <w:widowControl/>
              <w:suppressAutoHyphens w:val="0"/>
              <w:rPr>
                <w:rFonts w:eastAsia="Times New Roman"/>
                <w:color w:val="000000"/>
                <w:kern w:val="0"/>
                <w:sz w:val="22"/>
                <w:szCs w:val="22"/>
                <w:lang w:eastAsia="nl-BE" w:bidi="ar-SA"/>
              </w:rPr>
            </w:pPr>
          </w:p>
        </w:tc>
        <w:tc>
          <w:tcPr>
            <w:tcW w:w="985" w:type="dxa"/>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sz w:val="22"/>
                <w:szCs w:val="22"/>
                <w:lang w:eastAsia="nl-BE" w:bidi="ar-SA"/>
              </w:rPr>
            </w:pPr>
          </w:p>
        </w:tc>
        <w:tc>
          <w:tcPr>
            <w:tcW w:w="1002" w:type="dxa"/>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sz w:val="22"/>
                <w:szCs w:val="22"/>
                <w:lang w:eastAsia="nl-BE" w:bidi="ar-SA"/>
              </w:rPr>
            </w:pPr>
          </w:p>
        </w:tc>
        <w:tc>
          <w:tcPr>
            <w:tcW w:w="1002" w:type="dxa"/>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sz w:val="22"/>
                <w:szCs w:val="22"/>
                <w:lang w:eastAsia="nl-BE" w:bidi="ar-SA"/>
              </w:rPr>
            </w:pPr>
          </w:p>
        </w:tc>
        <w:tc>
          <w:tcPr>
            <w:tcW w:w="1002" w:type="dxa"/>
            <w:tcBorders>
              <w:top w:val="nil"/>
              <w:left w:val="nil"/>
              <w:bottom w:val="nil"/>
              <w:right w:val="nil"/>
            </w:tcBorders>
            <w:shd w:val="clear" w:color="auto" w:fill="auto"/>
            <w:noWrap/>
            <w:vAlign w:val="bottom"/>
          </w:tcPr>
          <w:p w:rsidR="000F560E" w:rsidRPr="00D147A7" w:rsidRDefault="000F560E" w:rsidP="000F560E">
            <w:pPr>
              <w:widowControl/>
              <w:suppressAutoHyphens w:val="0"/>
              <w:rPr>
                <w:rFonts w:eastAsia="Times New Roman"/>
                <w:color w:val="000000"/>
                <w:kern w:val="0"/>
                <w:sz w:val="22"/>
                <w:szCs w:val="22"/>
                <w:lang w:eastAsia="nl-BE" w:bidi="ar-SA"/>
              </w:rPr>
            </w:pPr>
          </w:p>
        </w:tc>
      </w:tr>
    </w:tbl>
    <w:tbl>
      <w:tblPr>
        <w:tblpPr w:leftFromText="141" w:rightFromText="141" w:vertAnchor="text" w:tblpY="186"/>
        <w:tblW w:w="9142" w:type="dxa"/>
        <w:tblCellMar>
          <w:left w:w="70" w:type="dxa"/>
          <w:right w:w="70" w:type="dxa"/>
        </w:tblCellMar>
        <w:tblLook w:val="04A0" w:firstRow="1" w:lastRow="0" w:firstColumn="1" w:lastColumn="0" w:noHBand="0" w:noVBand="1"/>
      </w:tblPr>
      <w:tblGrid>
        <w:gridCol w:w="4962"/>
        <w:gridCol w:w="4180"/>
      </w:tblGrid>
      <w:tr w:rsidR="000F560E" w:rsidRPr="00D147A7" w:rsidTr="004721B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VRAGEN</w:t>
            </w:r>
          </w:p>
        </w:tc>
        <w:tc>
          <w:tcPr>
            <w:tcW w:w="4180" w:type="dxa"/>
            <w:tcBorders>
              <w:top w:val="single" w:sz="4" w:space="0" w:color="auto"/>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ANTWOORDEN</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Naam en voornaam?</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Theodorus van Gogh</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Dagteekening en plaats van geboorte?</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i Mei 1857 te Groot Zundert (N</w:t>
            </w:r>
            <w:r w:rsidRPr="00D147A7">
              <w:rPr>
                <w:rFonts w:eastAsia="Times New Roman"/>
                <w:color w:val="000000"/>
                <w:kern w:val="0"/>
                <w:vertAlign w:val="superscript"/>
                <w:lang w:eastAsia="nl-BE" w:bidi="ar-SA"/>
              </w:rPr>
              <w:t>d</w:t>
            </w:r>
            <w:r w:rsidRPr="00D147A7">
              <w:rPr>
                <w:rFonts w:eastAsia="Times New Roman"/>
                <w:color w:val="000000"/>
                <w:kern w:val="0"/>
                <w:lang w:eastAsia="nl-BE" w:bidi="ar-SA"/>
              </w:rPr>
              <w:t xml:space="preserve"> Brab.)</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Woonplaats en beroep?</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Parijs; Kunsthandelaar</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Godsdienstige gezindte?</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Ned. Hervormd</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Ongehuwd of gehuwd met?</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Gehuwd met Johanne Gezina Bonger</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Waar en wanneer gehuwd?</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Te Amsterdam, den 18e April 1889</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Weduwenaar of weduwe van?</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 xml:space="preserve">Woonplaats en beroep van </w:t>
            </w:r>
            <w:r w:rsidRPr="00D147A7">
              <w:rPr>
                <w:rFonts w:eastAsia="Times New Roman"/>
                <w:strike/>
                <w:color w:val="000000"/>
                <w:kern w:val="0"/>
                <w:lang w:eastAsia="nl-BE" w:bidi="ar-SA"/>
              </w:rPr>
              <w:t>den</w:t>
            </w:r>
            <w:r w:rsidRPr="00D147A7">
              <w:rPr>
                <w:rFonts w:eastAsia="Times New Roman"/>
                <w:color w:val="000000"/>
                <w:kern w:val="0"/>
                <w:lang w:eastAsia="nl-BE" w:bidi="ar-SA"/>
              </w:rPr>
              <w:t xml:space="preserve"> (de) echtgenoot?</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tijdelijk te Amsterdam</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Getal kinderen en geslacht?</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Een; mannelijk</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Hunne jaren van geboorte?</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31 Januari 1890</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Bezit hij (zij) onroerende goederen?</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Neen</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Is hij (zij) gepensioneerd?</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Neen</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Naam en voornaam van den vader?</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Theodorus van Gogh (overleden)</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Woonplaats en beroep?</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Nunen [sic] (N</w:t>
            </w:r>
            <w:r w:rsidRPr="00D147A7">
              <w:rPr>
                <w:rFonts w:eastAsia="Times New Roman"/>
                <w:color w:val="000000"/>
                <w:kern w:val="0"/>
                <w:vertAlign w:val="superscript"/>
                <w:lang w:eastAsia="nl-BE" w:bidi="ar-SA"/>
              </w:rPr>
              <w:t>d</w:t>
            </w:r>
            <w:r w:rsidRPr="00D147A7">
              <w:rPr>
                <w:rFonts w:eastAsia="Times New Roman"/>
                <w:color w:val="000000"/>
                <w:kern w:val="0"/>
                <w:lang w:eastAsia="nl-BE" w:bidi="ar-SA"/>
              </w:rPr>
              <w:t xml:space="preserve"> Brab.). Predikant</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Naam en voornaam van de moeder?</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Anna Cornelia Carbentus</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Woonplaats en beroep?</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Leiden; zonder beroep</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Hunne ouderdom of waar en wanneer overleden?</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Vader overleden in 1885 te Nunen [sic]; moeder 71 jaar</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Naam en voornaam van de gene, die de rechter-lijke machtiging tot plaatsing heeft gevraagd?</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Hendrik Christiaan Bonger</w:t>
            </w:r>
          </w:p>
        </w:tc>
      </w:tr>
      <w:tr w:rsidR="000F560E" w:rsidRPr="00D147A7" w:rsidTr="004721B1">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Zijne woonplaats, beroep en betrekking tot den lijder (de lijderes)?</w:t>
            </w:r>
          </w:p>
        </w:tc>
        <w:tc>
          <w:tcPr>
            <w:tcW w:w="4180"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lang w:eastAsia="nl-BE" w:bidi="ar-SA"/>
              </w:rPr>
            </w:pPr>
            <w:r w:rsidRPr="00D147A7">
              <w:rPr>
                <w:rFonts w:eastAsia="Times New Roman"/>
                <w:color w:val="000000"/>
                <w:kern w:val="0"/>
                <w:lang w:eastAsia="nl-BE" w:bidi="ar-SA"/>
              </w:rPr>
              <w:t>Amsterdam; Assuradeur; Schoonvader van den lijder</w:t>
            </w:r>
          </w:p>
        </w:tc>
      </w:tr>
    </w:tbl>
    <w:p w:rsidR="000F560E" w:rsidRPr="00D147A7" w:rsidRDefault="000F560E" w:rsidP="000F560E">
      <w:pPr>
        <w:widowControl/>
        <w:suppressAutoHyphens w:val="0"/>
        <w:spacing w:after="200" w:line="276" w:lineRule="auto"/>
        <w:rPr>
          <w:rFonts w:eastAsiaTheme="minorEastAsia"/>
          <w:kern w:val="0"/>
          <w:sz w:val="22"/>
          <w:szCs w:val="22"/>
          <w:lang w:eastAsia="en-US" w:bidi="ar-SA"/>
        </w:rPr>
      </w:pPr>
      <w:r w:rsidRPr="00D147A7">
        <w:rPr>
          <w:rFonts w:eastAsiaTheme="minorEastAsia"/>
          <w:kern w:val="0"/>
          <w:sz w:val="22"/>
          <w:szCs w:val="22"/>
          <w:lang w:eastAsia="en-US" w:bidi="ar-SA"/>
        </w:rPr>
        <w:fldChar w:fldCharType="begin"/>
      </w:r>
      <w:r w:rsidRPr="00D147A7">
        <w:rPr>
          <w:rFonts w:eastAsiaTheme="minorEastAsia"/>
          <w:kern w:val="0"/>
          <w:sz w:val="22"/>
          <w:szCs w:val="22"/>
          <w:lang w:eastAsia="en-US" w:bidi="ar-SA"/>
        </w:rPr>
        <w:instrText xml:space="preserve"> LINK Excel.Sheet.12 "Map1" "Blad1!R21K14:R40K15" \a \f 4 \h  \* MERGEFORMAT </w:instrText>
      </w:r>
      <w:r w:rsidRPr="00D147A7">
        <w:rPr>
          <w:rFonts w:eastAsiaTheme="minorEastAsia"/>
          <w:kern w:val="0"/>
          <w:sz w:val="22"/>
          <w:szCs w:val="22"/>
          <w:lang w:eastAsia="en-US" w:bidi="ar-SA"/>
        </w:rPr>
        <w:fldChar w:fldCharType="separate"/>
      </w:r>
    </w:p>
    <w:p w:rsidR="000F560E" w:rsidRPr="00D147A7" w:rsidRDefault="000F560E" w:rsidP="000F560E">
      <w:pPr>
        <w:widowControl/>
        <w:suppressAutoHyphens w:val="0"/>
        <w:spacing w:after="200" w:line="276" w:lineRule="auto"/>
        <w:rPr>
          <w:rFonts w:eastAsiaTheme="minorEastAsia"/>
          <w:noProof/>
          <w:kern w:val="0"/>
          <w:sz w:val="22"/>
          <w:szCs w:val="22"/>
          <w:lang w:eastAsia="nl-BE" w:bidi="ar-SA"/>
        </w:rPr>
      </w:pPr>
      <w:r w:rsidRPr="00D147A7">
        <w:rPr>
          <w:rFonts w:eastAsiaTheme="minorEastAsia"/>
          <w:kern w:val="0"/>
          <w:sz w:val="22"/>
          <w:szCs w:val="22"/>
          <w:lang w:eastAsia="en-US" w:bidi="ar-SA"/>
        </w:rPr>
        <w:fldChar w:fldCharType="end"/>
      </w:r>
      <w:r w:rsidRPr="00D147A7">
        <w:rPr>
          <w:rFonts w:eastAsiaTheme="minorEastAsia"/>
          <w:kern w:val="0"/>
          <w:sz w:val="22"/>
          <w:szCs w:val="22"/>
          <w:lang w:eastAsia="en-US" w:bidi="ar-SA"/>
        </w:rPr>
        <w:br w:type="page"/>
      </w:r>
    </w:p>
    <w:p w:rsidR="000F560E" w:rsidRPr="00D147A7" w:rsidRDefault="000F560E" w:rsidP="000F560E">
      <w:pPr>
        <w:widowControl/>
        <w:suppressAutoHyphens w:val="0"/>
        <w:jc w:val="center"/>
        <w:rPr>
          <w:rFonts w:eastAsiaTheme="minorEastAsia"/>
          <w:kern w:val="0"/>
          <w:sz w:val="22"/>
          <w:szCs w:val="22"/>
          <w:lang w:eastAsia="en-US" w:bidi="ar-SA"/>
        </w:rPr>
      </w:pPr>
      <w:r w:rsidRPr="00D147A7">
        <w:rPr>
          <w:rFonts w:eastAsiaTheme="minorEastAsia"/>
          <w:noProof/>
          <w:kern w:val="0"/>
          <w:sz w:val="22"/>
          <w:szCs w:val="22"/>
          <w:lang w:eastAsia="nl-BE" w:bidi="ar-SA"/>
        </w:rPr>
        <w:lastRenderedPageBreak/>
        <w:drawing>
          <wp:inline distT="0" distB="0" distL="0" distR="0" wp14:anchorId="172F5A28" wp14:editId="0EA27578">
            <wp:extent cx="4919066" cy="6241788"/>
            <wp:effectExtent l="0" t="0" r="0" b="698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4919066" cy="6241788"/>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 xml:space="preserve">Figuur 28: Verwijsbrief van dokter Meuriot, </w:t>
      </w:r>
      <w:r w:rsidRPr="00D147A7">
        <w:rPr>
          <w:rFonts w:eastAsiaTheme="minorEastAsia"/>
          <w:color w:val="000000"/>
          <w:kern w:val="0"/>
          <w:lang w:eastAsia="en-US" w:bidi="ar-SA"/>
        </w:rPr>
        <w:t xml:space="preserve">directeur van het </w:t>
      </w:r>
      <w:r w:rsidRPr="00D147A7">
        <w:rPr>
          <w:rFonts w:eastAsiaTheme="minorEastAsia"/>
          <w:i/>
          <w:color w:val="000000"/>
          <w:kern w:val="0"/>
          <w:lang w:eastAsia="en-US" w:bidi="ar-SA"/>
        </w:rPr>
        <w:t>Maison de Santé de Passy</w:t>
      </w:r>
      <w:r w:rsidRPr="00D147A7">
        <w:rPr>
          <w:rFonts w:eastAsiaTheme="minorEastAsia"/>
          <w:color w:val="000000"/>
          <w:kern w:val="0"/>
          <w:lang w:eastAsia="en-US" w:bidi="ar-SA"/>
        </w:rPr>
        <w:t xml:space="preserve"> te Parijs, aan dokter Moll van het Utrechts Geneeskundig Gesticht voor Krankzinnigen d.d. 16 november 1890</w:t>
      </w:r>
      <w:r w:rsidRPr="00D147A7">
        <w:rPr>
          <w:rFonts w:eastAsiaTheme="minorEastAsia"/>
          <w:kern w:val="0"/>
          <w:vertAlign w:val="superscript"/>
          <w:lang w:eastAsia="en-US" w:bidi="ar-SA"/>
        </w:rPr>
        <w:footnoteReference w:id="1384"/>
      </w:r>
      <w:r w:rsidRPr="00D147A7">
        <w:rPr>
          <w:rFonts w:eastAsiaTheme="minorEastAsia"/>
          <w:kern w:val="0"/>
          <w:lang w:eastAsia="en-US" w:bidi="ar-SA"/>
        </w:rPr>
        <w:br w:type="page"/>
      </w:r>
    </w:p>
    <w:p w:rsidR="000F560E" w:rsidRPr="00D147A7" w:rsidRDefault="000F560E" w:rsidP="000F560E">
      <w:pPr>
        <w:widowControl/>
        <w:suppressAutoHyphens w:val="0"/>
        <w:rPr>
          <w:rFonts w:eastAsiaTheme="minorEastAsia"/>
          <w:kern w:val="0"/>
          <w:lang w:val="fr-BE" w:eastAsia="en-US" w:bidi="ar-SA"/>
        </w:rPr>
      </w:pPr>
      <w:r w:rsidRPr="00D147A7">
        <w:rPr>
          <w:rFonts w:eastAsiaTheme="minorEastAsia"/>
          <w:kern w:val="0"/>
          <w:lang w:val="fr-BE" w:eastAsia="en-US" w:bidi="ar-SA"/>
        </w:rPr>
        <w:lastRenderedPageBreak/>
        <w:t>[Transcriptie van figuur 28]</w:t>
      </w:r>
    </w:p>
    <w:p w:rsidR="000F560E" w:rsidRPr="00D147A7" w:rsidRDefault="000F560E" w:rsidP="000F560E">
      <w:pPr>
        <w:widowControl/>
        <w:suppressAutoHyphens w:val="0"/>
        <w:rPr>
          <w:rFonts w:eastAsiaTheme="minorEastAsia"/>
          <w:kern w:val="0"/>
          <w:lang w:val="fr-BE" w:eastAsia="en-US" w:bidi="ar-SA"/>
        </w:rPr>
      </w:pPr>
    </w:p>
    <w:p w:rsidR="000F560E" w:rsidRPr="00D147A7" w:rsidRDefault="000F560E" w:rsidP="000F560E">
      <w:pPr>
        <w:widowControl/>
        <w:suppressAutoHyphens w:val="0"/>
        <w:jc w:val="center"/>
        <w:rPr>
          <w:rFonts w:eastAsiaTheme="minorEastAsia"/>
          <w:kern w:val="0"/>
          <w:lang w:val="fr-BE" w:eastAsia="en-US" w:bidi="ar-SA"/>
        </w:rPr>
      </w:pPr>
    </w:p>
    <w:p w:rsidR="000F560E" w:rsidRPr="00D147A7" w:rsidRDefault="000F560E" w:rsidP="000F560E">
      <w:pPr>
        <w:widowControl/>
        <w:suppressAutoHyphens w:val="0"/>
        <w:rPr>
          <w:rFonts w:eastAsiaTheme="minorEastAsia"/>
          <w:kern w:val="0"/>
          <w:lang w:val="fr-BE" w:eastAsia="en-US" w:bidi="ar-SA"/>
        </w:rPr>
      </w:pPr>
      <w:r w:rsidRPr="00D147A7">
        <w:rPr>
          <w:rFonts w:eastAsiaTheme="minorEastAsia"/>
          <w:kern w:val="0"/>
          <w:lang w:val="fr-BE" w:eastAsia="en-US" w:bidi="ar-SA"/>
        </w:rPr>
        <w:t>Je soussigné, Docteur en médecine de</w:t>
      </w:r>
    </w:p>
    <w:p w:rsidR="000F560E" w:rsidRPr="00D147A7" w:rsidRDefault="000F560E" w:rsidP="000F560E">
      <w:pPr>
        <w:widowControl/>
        <w:suppressAutoHyphens w:val="0"/>
        <w:rPr>
          <w:rFonts w:eastAsiaTheme="minorEastAsia"/>
          <w:kern w:val="0"/>
          <w:lang w:val="fr-BE" w:eastAsia="en-US" w:bidi="ar-SA"/>
        </w:rPr>
      </w:pPr>
      <w:r w:rsidRPr="00D147A7">
        <w:rPr>
          <w:rFonts w:eastAsiaTheme="minorEastAsia"/>
          <w:kern w:val="0"/>
          <w:lang w:val="fr-BE" w:eastAsia="en-US" w:bidi="ar-SA"/>
        </w:rPr>
        <w:t>la faculté de Paris, Directeur de la</w:t>
      </w:r>
    </w:p>
    <w:p w:rsidR="000F560E" w:rsidRPr="00D147A7" w:rsidRDefault="000F560E" w:rsidP="000F560E">
      <w:pPr>
        <w:widowControl/>
        <w:suppressAutoHyphens w:val="0"/>
        <w:rPr>
          <w:rFonts w:eastAsiaTheme="minorEastAsia"/>
          <w:kern w:val="0"/>
          <w:lang w:val="fr-BE" w:eastAsia="en-US" w:bidi="ar-SA"/>
        </w:rPr>
      </w:pPr>
      <w:r w:rsidRPr="00D147A7">
        <w:rPr>
          <w:rFonts w:eastAsiaTheme="minorEastAsia"/>
          <w:kern w:val="0"/>
          <w:lang w:val="fr-BE" w:eastAsia="en-US" w:bidi="ar-SA"/>
        </w:rPr>
        <w:t>Maison de Santé consacrée aux traitements</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kern w:val="0"/>
          <w:lang w:val="fr-BE" w:eastAsia="en-US" w:bidi="ar-SA"/>
        </w:rPr>
        <w:t>des aliénés sise</w:t>
      </w:r>
      <w:r w:rsidRPr="00D147A7">
        <w:rPr>
          <w:rFonts w:eastAsiaTheme="minorEastAsia"/>
          <w:color w:val="000000"/>
          <w:kern w:val="0"/>
          <w:lang w:val="fr-BE" w:eastAsia="en-US" w:bidi="ar-SA"/>
        </w:rPr>
        <w:t xml:space="preserve"> à Paris Passy rue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 xml:space="preserve">Beriton n° 17, Chevalier de la légion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d’honneur, certifie que Monsieur</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Van Gogh, Theodore, né à Zandert</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(hollande) le 1</w:t>
      </w:r>
      <w:r w:rsidRPr="00D147A7">
        <w:rPr>
          <w:rFonts w:eastAsiaTheme="minorEastAsia"/>
          <w:color w:val="000000"/>
          <w:kern w:val="0"/>
          <w:vertAlign w:val="superscript"/>
          <w:lang w:val="fr-BE" w:eastAsia="en-US" w:bidi="ar-SA"/>
        </w:rPr>
        <w:t>er</w:t>
      </w:r>
      <w:r w:rsidRPr="00D147A7">
        <w:rPr>
          <w:rFonts w:eastAsiaTheme="minorEastAsia"/>
          <w:color w:val="000000"/>
          <w:kern w:val="0"/>
          <w:lang w:val="fr-BE" w:eastAsia="en-US" w:bidi="ar-SA"/>
        </w:rPr>
        <w:t xml:space="preserve"> mai 1856, marchand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 xml:space="preserve">de tableau, marié à madame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Joanne Bonger, demeurant à Paris</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Cité Pigalle n° 6</w:t>
      </w:r>
      <w:r w:rsidRPr="00D147A7">
        <w:rPr>
          <w:rFonts w:eastAsiaTheme="minorEastAsia"/>
          <w:color w:val="000000"/>
          <w:kern w:val="0"/>
          <w:vertAlign w:val="superscript"/>
          <w:lang w:eastAsia="en-US" w:bidi="ar-SA"/>
        </w:rPr>
        <w:footnoteReference w:id="1385"/>
      </w:r>
      <w:r w:rsidRPr="00D147A7">
        <w:rPr>
          <w:rFonts w:eastAsiaTheme="minorEastAsia"/>
          <w:color w:val="000000"/>
          <w:kern w:val="0"/>
          <w:lang w:val="fr-BE" w:eastAsia="en-US" w:bidi="ar-SA"/>
        </w:rPr>
        <w:t xml:space="preserve"> est atteint d’</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excitation maniaque aigue avec</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délire orgueilleux et paralyse</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 xml:space="preserve">générale progressive et que son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état exige impérieusement son</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maintien dans une Maison de</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Santé special.</w:t>
      </w:r>
    </w:p>
    <w:p w:rsidR="000F560E" w:rsidRPr="00D147A7" w:rsidRDefault="000F560E" w:rsidP="000F560E">
      <w:pPr>
        <w:widowControl/>
        <w:suppressAutoHyphens w:val="0"/>
        <w:rPr>
          <w:rFonts w:eastAsiaTheme="minorEastAsia"/>
          <w:color w:val="000000"/>
          <w:kern w:val="0"/>
          <w:lang w:val="fr-BE" w:eastAsia="en-US" w:bidi="ar-SA"/>
        </w:rPr>
      </w:pP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Monsieur Van Gogh est repatrié</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par mes soins et reconduit par</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deux de mes employés en hollande</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ou le doit sejourner dans la maison de santé du Docteur Moll à</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Utrecht.</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Paris, le 16 nov[embre] 1890</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Meuriot</w:t>
      </w:r>
    </w:p>
    <w:p w:rsidR="000F560E" w:rsidRPr="00D147A7" w:rsidRDefault="000F560E" w:rsidP="000F560E">
      <w:pPr>
        <w:widowControl/>
        <w:suppressAutoHyphens w:val="0"/>
        <w:rPr>
          <w:rFonts w:eastAsiaTheme="minorEastAsia"/>
          <w:color w:val="000000"/>
          <w:kern w:val="0"/>
          <w:lang w:val="fr-BE" w:eastAsia="en-US" w:bidi="ar-SA"/>
        </w:rPr>
      </w:pPr>
    </w:p>
    <w:p w:rsidR="000F560E" w:rsidRPr="00D147A7" w:rsidRDefault="000F560E" w:rsidP="000F560E">
      <w:pPr>
        <w:widowControl/>
        <w:suppressAutoHyphens w:val="0"/>
        <w:rPr>
          <w:rFonts w:eastAsiaTheme="minorEastAsia"/>
          <w:color w:val="000000"/>
          <w:kern w:val="0"/>
          <w:lang w:val="fr-BE" w:eastAsia="en-US" w:bidi="ar-SA"/>
        </w:rPr>
      </w:pP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 xml:space="preserve">[In de linkermarge:]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 xml:space="preserve">Vu pour certification matérielle de </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la signature de M</w:t>
      </w:r>
      <w:r w:rsidRPr="00D147A7">
        <w:rPr>
          <w:rFonts w:eastAsiaTheme="minorEastAsia"/>
          <w:color w:val="000000"/>
          <w:kern w:val="0"/>
          <w:vertAlign w:val="superscript"/>
          <w:lang w:val="fr-BE" w:eastAsia="en-US" w:bidi="ar-SA"/>
        </w:rPr>
        <w:t xml:space="preserve">r </w:t>
      </w:r>
      <w:r w:rsidRPr="00D147A7">
        <w:rPr>
          <w:rFonts w:eastAsiaTheme="minorEastAsia"/>
          <w:color w:val="000000"/>
          <w:kern w:val="0"/>
          <w:lang w:val="fr-BE" w:eastAsia="en-US" w:bidi="ar-SA"/>
        </w:rPr>
        <w:t>le D</w:t>
      </w:r>
      <w:r w:rsidRPr="00D147A7">
        <w:rPr>
          <w:rFonts w:eastAsiaTheme="minorEastAsia"/>
          <w:color w:val="000000"/>
          <w:kern w:val="0"/>
          <w:vertAlign w:val="superscript"/>
          <w:lang w:val="fr-BE" w:eastAsia="en-US" w:bidi="ar-SA"/>
        </w:rPr>
        <w:t>r</w:t>
      </w:r>
      <w:r w:rsidRPr="00D147A7">
        <w:rPr>
          <w:rFonts w:eastAsiaTheme="minorEastAsia"/>
          <w:color w:val="000000"/>
          <w:kern w:val="0"/>
          <w:lang w:val="fr-BE" w:eastAsia="en-US" w:bidi="ar-SA"/>
        </w:rPr>
        <w:t xml:space="preserve"> Meuriot apposé ci-dessous</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Paris, le 17 Novembre 1890</w:t>
      </w:r>
    </w:p>
    <w:p w:rsidR="000F560E" w:rsidRPr="00D147A7" w:rsidRDefault="000F560E" w:rsidP="000F560E">
      <w:pPr>
        <w:widowControl/>
        <w:suppressAutoHyphens w:val="0"/>
        <w:rPr>
          <w:rFonts w:eastAsiaTheme="minorEastAsia"/>
          <w:color w:val="000000"/>
          <w:kern w:val="0"/>
          <w:lang w:val="fr-BE" w:eastAsia="en-US" w:bidi="ar-SA"/>
        </w:rPr>
      </w:pPr>
      <w:r w:rsidRPr="00D147A7">
        <w:rPr>
          <w:rFonts w:eastAsiaTheme="minorEastAsia"/>
          <w:color w:val="000000"/>
          <w:kern w:val="0"/>
          <w:lang w:val="fr-BE" w:eastAsia="en-US" w:bidi="ar-SA"/>
        </w:rPr>
        <w:t>Le commissaire de police</w:t>
      </w:r>
    </w:p>
    <w:p w:rsidR="000F560E" w:rsidRPr="00D147A7" w:rsidRDefault="000F560E" w:rsidP="000F560E">
      <w:pPr>
        <w:widowControl/>
        <w:suppressAutoHyphens w:val="0"/>
        <w:rPr>
          <w:rFonts w:eastAsiaTheme="minorEastAsia"/>
          <w:color w:val="000000"/>
          <w:kern w:val="0"/>
          <w:lang w:eastAsia="en-US" w:bidi="ar-SA"/>
        </w:rPr>
      </w:pPr>
      <w:r w:rsidRPr="00D147A7">
        <w:rPr>
          <w:rFonts w:eastAsiaTheme="minorEastAsia"/>
          <w:color w:val="000000"/>
          <w:kern w:val="0"/>
          <w:lang w:eastAsia="en-US" w:bidi="ar-SA"/>
        </w:rPr>
        <w:t>C. Dupuy</w:t>
      </w:r>
    </w:p>
    <w:p w:rsidR="000F560E" w:rsidRPr="00D147A7" w:rsidRDefault="000F560E" w:rsidP="000F560E">
      <w:pPr>
        <w:widowControl/>
        <w:suppressAutoHyphens w:val="0"/>
        <w:rPr>
          <w:rFonts w:eastAsiaTheme="minorEastAsia"/>
          <w:kern w:val="0"/>
          <w:lang w:eastAsia="en-US" w:bidi="ar-SA"/>
        </w:rPr>
      </w:pPr>
      <w:r w:rsidRPr="00D147A7">
        <w:rPr>
          <w:rFonts w:eastAsiaTheme="minorEastAsia"/>
          <w:color w:val="000000"/>
          <w:kern w:val="0"/>
          <w:lang w:eastAsia="en-US" w:bidi="ar-SA"/>
        </w:rPr>
        <w:t xml:space="preserve"> </w:t>
      </w:r>
    </w:p>
    <w:p w:rsidR="000F560E" w:rsidRPr="00D147A7" w:rsidRDefault="000F560E" w:rsidP="000F560E">
      <w:pPr>
        <w:widowControl/>
        <w:suppressAutoHyphens w:val="0"/>
        <w:spacing w:after="200" w:line="276" w:lineRule="auto"/>
        <w:rPr>
          <w:rFonts w:eastAsiaTheme="minorEastAsia"/>
          <w:kern w:val="0"/>
          <w:lang w:eastAsia="en-US" w:bidi="ar-SA"/>
        </w:rPr>
      </w:pPr>
    </w:p>
    <w:p w:rsidR="000F560E" w:rsidRPr="00D147A7" w:rsidRDefault="000F560E" w:rsidP="000F560E">
      <w:pPr>
        <w:widowControl/>
        <w:suppressAutoHyphens w:val="0"/>
        <w:spacing w:after="200" w:line="276" w:lineRule="auto"/>
        <w:jc w:val="center"/>
        <w:rPr>
          <w:rFonts w:eastAsiaTheme="minorEastAsia"/>
          <w:noProof/>
          <w:kern w:val="0"/>
          <w:sz w:val="22"/>
          <w:szCs w:val="22"/>
          <w:lang w:eastAsia="nl-BE" w:bidi="ar-SA"/>
        </w:rPr>
      </w:pPr>
    </w:p>
    <w:p w:rsidR="000F560E" w:rsidRPr="00D147A7" w:rsidRDefault="000F560E" w:rsidP="000F560E">
      <w:pPr>
        <w:widowControl/>
        <w:suppressAutoHyphens w:val="0"/>
        <w:spacing w:after="200" w:line="276" w:lineRule="auto"/>
        <w:rPr>
          <w:rFonts w:eastAsiaTheme="minorEastAsia"/>
          <w:noProof/>
          <w:kern w:val="0"/>
          <w:sz w:val="22"/>
          <w:szCs w:val="22"/>
          <w:lang w:eastAsia="nl-BE" w:bidi="ar-SA"/>
        </w:rPr>
      </w:pPr>
      <w:r w:rsidRPr="00D147A7">
        <w:rPr>
          <w:rFonts w:eastAsiaTheme="minorEastAsia"/>
          <w:noProof/>
          <w:kern w:val="0"/>
          <w:sz w:val="22"/>
          <w:szCs w:val="22"/>
          <w:lang w:eastAsia="nl-BE" w:bidi="ar-SA"/>
        </w:rPr>
        <w:br w:type="page"/>
      </w:r>
    </w:p>
    <w:p w:rsidR="000F560E" w:rsidRPr="00D147A7" w:rsidRDefault="000F560E" w:rsidP="000F560E">
      <w:pPr>
        <w:widowControl/>
        <w:suppressAutoHyphens w:val="0"/>
        <w:ind w:firstLine="708"/>
        <w:rPr>
          <w:rFonts w:eastAsiaTheme="minorEastAsia"/>
          <w:b/>
          <w:kern w:val="0"/>
          <w:lang w:eastAsia="en-US" w:bidi="ar-SA"/>
        </w:rPr>
      </w:pPr>
      <w:r w:rsidRPr="00D147A7">
        <w:rPr>
          <w:rFonts w:eastAsiaTheme="minorEastAsia"/>
          <w:b/>
          <w:kern w:val="0"/>
          <w:lang w:eastAsia="en-US" w:bidi="ar-SA"/>
        </w:rPr>
        <w:lastRenderedPageBreak/>
        <w:t xml:space="preserve">Hoofdstuk 3: Vernietiging </w:t>
      </w:r>
    </w:p>
    <w:p w:rsidR="000F560E" w:rsidRPr="00D147A7" w:rsidRDefault="000F560E" w:rsidP="000F560E">
      <w:pPr>
        <w:widowControl/>
        <w:suppressAutoHyphens w:val="0"/>
        <w:ind w:firstLine="708"/>
        <w:rPr>
          <w:rFonts w:eastAsiaTheme="minorEastAsia"/>
          <w:kern w:val="0"/>
          <w:lang w:eastAsia="en-US" w:bidi="ar-SA"/>
        </w:rPr>
      </w:pPr>
    </w:p>
    <w:p w:rsidR="000F560E" w:rsidRPr="00D147A7" w:rsidRDefault="000F560E" w:rsidP="000F560E">
      <w:pPr>
        <w:widowControl/>
        <w:suppressAutoHyphens w:val="0"/>
        <w:ind w:left="708" w:firstLine="708"/>
        <w:rPr>
          <w:rFonts w:eastAsiaTheme="minorEastAsia"/>
          <w:b/>
          <w:kern w:val="0"/>
          <w:lang w:eastAsia="en-US" w:bidi="ar-SA"/>
        </w:rPr>
      </w:pPr>
      <w:r w:rsidRPr="00D147A7">
        <w:rPr>
          <w:rFonts w:eastAsiaTheme="minorEastAsia"/>
          <w:b/>
          <w:kern w:val="0"/>
          <w:lang w:eastAsia="en-US" w:bidi="ar-SA"/>
        </w:rPr>
        <w:t xml:space="preserve">1. Vóór beëindiging bewaartermijn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Los van het feit of het schonen van patiëntendossiers in de praktijk een haalbare zaak is, moet afgevraagd worden of er een wettelijke basis is waarop patiëntendossiers geschoond k</w:t>
      </w:r>
      <w:r w:rsidR="00857851">
        <w:rPr>
          <w:rFonts w:eastAsiaTheme="minorEastAsia"/>
          <w:kern w:val="0"/>
          <w:lang w:eastAsia="en-US" w:bidi="ar-SA"/>
        </w:rPr>
        <w:t>ú</w:t>
      </w:r>
      <w:r w:rsidRPr="00D147A7">
        <w:rPr>
          <w:rFonts w:eastAsiaTheme="minorEastAsia"/>
          <w:kern w:val="0"/>
          <w:lang w:eastAsia="en-US" w:bidi="ar-SA"/>
        </w:rPr>
        <w:t>nnen worden. Omdat zorgverleners er door de WGBO en het Wetsvoorstel cliëntenrechten zorg toe verplicht worden om de dossiers van de door hen behandelde patiënten integraal te bewaren, lijkt de schoning van patiëntendossiers op het eerste gezicht niet mogelijk. De twee (gelijk</w:t>
      </w:r>
      <w:r w:rsidR="00857851">
        <w:rPr>
          <w:rFonts w:eastAsiaTheme="minorEastAsia"/>
          <w:kern w:val="0"/>
          <w:lang w:eastAsia="en-US" w:bidi="ar-SA"/>
        </w:rPr>
        <w:t>-</w:t>
      </w:r>
      <w:r w:rsidRPr="00D147A7">
        <w:rPr>
          <w:rFonts w:eastAsiaTheme="minorEastAsia"/>
          <w:kern w:val="0"/>
          <w:lang w:eastAsia="en-US" w:bidi="ar-SA"/>
        </w:rPr>
        <w:t xml:space="preserve">luidende) wetteksten stellen wel duidelijk dat in patiëntendossiers enkel gegevens opgenomen </w:t>
      </w:r>
      <w:r w:rsidR="00857851">
        <w:rPr>
          <w:rFonts w:eastAsiaTheme="minorEastAsia"/>
          <w:kern w:val="0"/>
          <w:lang w:eastAsia="en-US" w:bidi="ar-SA"/>
        </w:rPr>
        <w:t>mog</w:t>
      </w:r>
      <w:r w:rsidRPr="00D147A7">
        <w:rPr>
          <w:rFonts w:eastAsiaTheme="minorEastAsia"/>
          <w:kern w:val="0"/>
          <w:lang w:eastAsia="en-US" w:bidi="ar-SA"/>
        </w:rPr>
        <w:t xml:space="preserve">en worden </w:t>
      </w:r>
      <w:r w:rsidRPr="00D147A7">
        <w:rPr>
          <w:rFonts w:eastAsiaTheme="minorEastAsia"/>
          <w:i/>
          <w:kern w:val="0"/>
          <w:lang w:eastAsia="en-US" w:bidi="ar-SA"/>
        </w:rPr>
        <w:t>een en ander voor zover dit voor een goede zorgverlening noodzakelijk is</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86"/>
      </w:r>
      <w:r w:rsidRPr="00D147A7">
        <w:rPr>
          <w:rFonts w:eastAsiaTheme="minorEastAsia"/>
          <w:kern w:val="0"/>
          <w:lang w:eastAsia="en-US" w:bidi="ar-SA"/>
        </w:rPr>
        <w:t xml:space="preserve"> Essentieel voor een goed archiefbeheer is dus een weldoordachte dossiervorming. Iedere ver</w:t>
      </w:r>
      <w:r w:rsidR="00857851">
        <w:rPr>
          <w:rFonts w:eastAsiaTheme="minorEastAsia"/>
          <w:kern w:val="0"/>
          <w:lang w:eastAsia="en-US" w:bidi="ar-SA"/>
        </w:rPr>
        <w:t>-</w:t>
      </w:r>
      <w:r w:rsidRPr="00D147A7">
        <w:rPr>
          <w:rFonts w:eastAsiaTheme="minorEastAsia"/>
          <w:kern w:val="0"/>
          <w:lang w:eastAsia="en-US" w:bidi="ar-SA"/>
        </w:rPr>
        <w:t>zorgingsinstelling en zelfstandige zorgverlener</w:t>
      </w:r>
      <w:r w:rsidR="00857851">
        <w:rPr>
          <w:rFonts w:eastAsiaTheme="minorEastAsia"/>
          <w:kern w:val="0"/>
          <w:lang w:eastAsia="en-US" w:bidi="ar-SA"/>
        </w:rPr>
        <w:t>s</w:t>
      </w:r>
      <w:r w:rsidRPr="00D147A7">
        <w:rPr>
          <w:rFonts w:eastAsiaTheme="minorEastAsia"/>
          <w:kern w:val="0"/>
          <w:lang w:eastAsia="en-US" w:bidi="ar-SA"/>
        </w:rPr>
        <w:t xml:space="preserve"> moet</w:t>
      </w:r>
      <w:r w:rsidR="00857851">
        <w:rPr>
          <w:rFonts w:eastAsiaTheme="minorEastAsia"/>
          <w:kern w:val="0"/>
          <w:lang w:eastAsia="en-US" w:bidi="ar-SA"/>
        </w:rPr>
        <w:t>en</w:t>
      </w:r>
      <w:r w:rsidRPr="00D147A7">
        <w:rPr>
          <w:rFonts w:eastAsiaTheme="minorEastAsia"/>
          <w:kern w:val="0"/>
          <w:lang w:eastAsia="en-US" w:bidi="ar-SA"/>
        </w:rPr>
        <w:t xml:space="preserve"> duidelijke interne afspraken maken over de bescheiden die in het patiëntendossier opgenomen moeten worden. Voorkomen is im</w:t>
      </w:r>
      <w:r w:rsidR="00857851">
        <w:rPr>
          <w:rFonts w:eastAsiaTheme="minorEastAsia"/>
          <w:kern w:val="0"/>
          <w:lang w:eastAsia="en-US" w:bidi="ar-SA"/>
        </w:rPr>
        <w:t>-</w:t>
      </w:r>
      <w:r w:rsidRPr="00D147A7">
        <w:rPr>
          <w:rFonts w:eastAsiaTheme="minorEastAsia"/>
          <w:kern w:val="0"/>
          <w:lang w:eastAsia="en-US" w:bidi="ar-SA"/>
        </w:rPr>
        <w:t>mers beter dan genezen.</w:t>
      </w:r>
    </w:p>
    <w:p w:rsidR="000B1446" w:rsidRDefault="000B1446"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Toch kan het schonen van patiëntendossiers op basis van de privacywetgeving gerechtvaar</w:t>
      </w:r>
      <w:r w:rsidR="00857851">
        <w:rPr>
          <w:rFonts w:eastAsiaTheme="minorEastAsia"/>
          <w:kern w:val="0"/>
          <w:lang w:eastAsia="en-US" w:bidi="ar-SA"/>
        </w:rPr>
        <w:t>-</w:t>
      </w:r>
      <w:r w:rsidRPr="00D147A7">
        <w:rPr>
          <w:rFonts w:eastAsiaTheme="minorEastAsia"/>
          <w:kern w:val="0"/>
          <w:lang w:eastAsia="en-US" w:bidi="ar-SA"/>
        </w:rPr>
        <w:t xml:space="preserve">digd worden. Die stelt immers: </w:t>
      </w:r>
      <w:r w:rsidRPr="00D147A7">
        <w:rPr>
          <w:rFonts w:eastAsiaTheme="minorEastAsia"/>
          <w:i/>
          <w:kern w:val="0"/>
          <w:lang w:eastAsia="en-US" w:bidi="ar-SA"/>
        </w:rPr>
        <w:t>persoonsgegevens worden niet langer bewaard in een vorm die het mogelijk maakt de betrokkene te identificeren, dan noodzakelijk is voor de verwerke</w:t>
      </w:r>
      <w:r w:rsidR="00857851">
        <w:rPr>
          <w:rFonts w:eastAsiaTheme="minorEastAsia"/>
          <w:i/>
          <w:kern w:val="0"/>
          <w:lang w:eastAsia="en-US" w:bidi="ar-SA"/>
        </w:rPr>
        <w:t>-</w:t>
      </w:r>
      <w:r w:rsidRPr="00D147A7">
        <w:rPr>
          <w:rFonts w:eastAsiaTheme="minorEastAsia"/>
          <w:i/>
          <w:kern w:val="0"/>
          <w:lang w:eastAsia="en-US" w:bidi="ar-SA"/>
        </w:rPr>
        <w:t xml:space="preserve">lijking van de doeleinden waarvoor zij worden verzameld of vervolgens worden verwerkt </w:t>
      </w:r>
      <w:r w:rsidRPr="00D147A7">
        <w:rPr>
          <w:rFonts w:eastAsiaTheme="minorEastAsia"/>
          <w:kern w:val="0"/>
          <w:lang w:eastAsia="en-US" w:bidi="ar-SA"/>
        </w:rPr>
        <w:t>[</w:t>
      </w:r>
      <w:r w:rsidRPr="00D147A7">
        <w:rPr>
          <w:rFonts w:eastAsiaTheme="minorEastAsia"/>
          <w:i/>
          <w:kern w:val="0"/>
          <w:lang w:eastAsia="en-US" w:bidi="ar-SA"/>
        </w:rPr>
        <w:t>in casu</w:t>
      </w:r>
      <w:r w:rsidRPr="00D147A7">
        <w:rPr>
          <w:rFonts w:eastAsiaTheme="minorEastAsia"/>
          <w:kern w:val="0"/>
          <w:lang w:eastAsia="en-US" w:bidi="ar-SA"/>
        </w:rPr>
        <w:t xml:space="preserve"> de zorgverlening].</w:t>
      </w:r>
      <w:r w:rsidRPr="00D147A7">
        <w:rPr>
          <w:rFonts w:eastAsiaTheme="minorEastAsia"/>
          <w:kern w:val="0"/>
          <w:vertAlign w:val="superscript"/>
          <w:lang w:eastAsia="en-US" w:bidi="ar-SA"/>
        </w:rPr>
        <w:footnoteReference w:id="1387"/>
      </w:r>
      <w:r w:rsidRPr="00D147A7">
        <w:rPr>
          <w:rFonts w:eastAsiaTheme="minorEastAsia"/>
          <w:kern w:val="0"/>
          <w:lang w:eastAsia="en-US" w:bidi="ar-SA"/>
        </w:rPr>
        <w:t xml:space="preserve"> Volstaat deze stelregel om documenten uit het patiëntendossier </w:t>
      </w:r>
      <w:r w:rsidR="00857851" w:rsidRPr="00D147A7">
        <w:rPr>
          <w:rFonts w:eastAsiaTheme="minorEastAsia"/>
          <w:kern w:val="0"/>
          <w:lang w:eastAsia="en-US" w:bidi="ar-SA"/>
        </w:rPr>
        <w:t xml:space="preserve">die hun waarde verloren (lijken te) hebben </w:t>
      </w:r>
      <w:r w:rsidRPr="00D147A7">
        <w:rPr>
          <w:rFonts w:eastAsiaTheme="minorEastAsia"/>
          <w:kern w:val="0"/>
          <w:lang w:eastAsia="en-US" w:bidi="ar-SA"/>
        </w:rPr>
        <w:t xml:space="preserve">te verwijderen en vernietigen? In deel 3 werd de vraag reeds gesteld in hoeverre de bewaring van patiëntendossiers de persoonlijke levenssfeer van patiënten effectief schade berokkent. </w:t>
      </w:r>
      <w:r w:rsidR="00857851">
        <w:rPr>
          <w:rFonts w:eastAsiaTheme="minorEastAsia"/>
          <w:kern w:val="0"/>
          <w:lang w:eastAsia="en-US" w:bidi="ar-SA"/>
        </w:rPr>
        <w:t>In de praktijk wordt h</w:t>
      </w:r>
      <w:r w:rsidRPr="00D147A7">
        <w:rPr>
          <w:rFonts w:eastAsiaTheme="minorEastAsia"/>
          <w:kern w:val="0"/>
          <w:lang w:eastAsia="en-US" w:bidi="ar-SA"/>
        </w:rPr>
        <w:t xml:space="preserve">et omgekeerde </w:t>
      </w:r>
      <w:r w:rsidR="00857851">
        <w:rPr>
          <w:rFonts w:eastAsiaTheme="minorEastAsia"/>
          <w:kern w:val="0"/>
          <w:lang w:eastAsia="en-US" w:bidi="ar-SA"/>
        </w:rPr>
        <w:t>–</w:t>
      </w:r>
      <w:r w:rsidRPr="00D147A7">
        <w:rPr>
          <w:rFonts w:eastAsiaTheme="minorEastAsia"/>
          <w:kern w:val="0"/>
          <w:lang w:eastAsia="en-US" w:bidi="ar-SA"/>
        </w:rPr>
        <w:t xml:space="preserve"> de vroegtijdige vernietiging van gezondheidsgegevens </w:t>
      </w:r>
      <w:r w:rsidR="00857851">
        <w:rPr>
          <w:rFonts w:eastAsiaTheme="minorEastAsia"/>
          <w:kern w:val="0"/>
          <w:lang w:eastAsia="en-US" w:bidi="ar-SA"/>
        </w:rPr>
        <w:t>– veeleer</w:t>
      </w:r>
      <w:r w:rsidRPr="00D147A7">
        <w:rPr>
          <w:rFonts w:eastAsiaTheme="minorEastAsia"/>
          <w:kern w:val="0"/>
          <w:lang w:eastAsia="en-US" w:bidi="ar-SA"/>
        </w:rPr>
        <w:t xml:space="preserve"> als inbreuk op de persoonlijke levenssfeer er</w:t>
      </w:r>
      <w:r w:rsidR="00857851">
        <w:rPr>
          <w:rFonts w:eastAsiaTheme="minorEastAsia"/>
          <w:kern w:val="0"/>
          <w:lang w:eastAsia="en-US" w:bidi="ar-SA"/>
        </w:rPr>
        <w:t>-</w:t>
      </w:r>
      <w:r w:rsidRPr="00D147A7">
        <w:rPr>
          <w:rFonts w:eastAsiaTheme="minorEastAsia"/>
          <w:kern w:val="0"/>
          <w:lang w:eastAsia="en-US" w:bidi="ar-SA"/>
        </w:rPr>
        <w:t>varen.</w:t>
      </w:r>
      <w:r w:rsidRPr="00D147A7">
        <w:rPr>
          <w:rFonts w:eastAsiaTheme="minorEastAsia"/>
          <w:kern w:val="0"/>
          <w:vertAlign w:val="superscript"/>
          <w:lang w:eastAsia="en-US" w:bidi="ar-SA"/>
        </w:rPr>
        <w:footnoteReference w:id="1388"/>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857851" w:rsidP="000F560E">
      <w:pPr>
        <w:widowControl/>
        <w:suppressAutoHyphens w:val="0"/>
        <w:jc w:val="both"/>
        <w:rPr>
          <w:rFonts w:eastAsiaTheme="minorEastAsia"/>
          <w:kern w:val="0"/>
          <w:lang w:eastAsia="en-US" w:bidi="ar-SA"/>
        </w:rPr>
      </w:pPr>
      <w:r>
        <w:rPr>
          <w:rFonts w:eastAsiaTheme="minorEastAsia"/>
          <w:kern w:val="0"/>
          <w:lang w:eastAsia="en-US" w:bidi="ar-SA"/>
        </w:rPr>
        <w:t>I</w:t>
      </w:r>
      <w:r w:rsidR="000F560E" w:rsidRPr="00D147A7">
        <w:rPr>
          <w:rFonts w:eastAsiaTheme="minorEastAsia"/>
          <w:kern w:val="0"/>
          <w:lang w:eastAsia="en-US" w:bidi="ar-SA"/>
        </w:rPr>
        <w:t xml:space="preserve">n Nederland </w:t>
      </w:r>
      <w:r>
        <w:rPr>
          <w:rFonts w:eastAsiaTheme="minorEastAsia"/>
          <w:kern w:val="0"/>
          <w:lang w:eastAsia="en-US" w:bidi="ar-SA"/>
        </w:rPr>
        <w:t xml:space="preserve">kan het </w:t>
      </w:r>
      <w:r w:rsidR="000F560E" w:rsidRPr="00D147A7">
        <w:rPr>
          <w:rFonts w:eastAsiaTheme="minorEastAsia"/>
          <w:kern w:val="0"/>
          <w:lang w:eastAsia="en-US" w:bidi="ar-SA"/>
        </w:rPr>
        <w:t xml:space="preserve">geoorloofd zijn om (delen van) patiëntendossiers te vernietigen alvorens de administratieve bewaartermijn verstreken is, m.n. als dit door de patiënten zelf </w:t>
      </w:r>
      <w:r w:rsidRPr="00D147A7">
        <w:rPr>
          <w:rFonts w:eastAsiaTheme="minorEastAsia"/>
          <w:kern w:val="0"/>
          <w:lang w:eastAsia="en-US" w:bidi="ar-SA"/>
        </w:rPr>
        <w:t xml:space="preserve">wordt </w:t>
      </w:r>
      <w:r w:rsidR="000F560E" w:rsidRPr="00D147A7">
        <w:rPr>
          <w:rFonts w:eastAsiaTheme="minorEastAsia"/>
          <w:kern w:val="0"/>
          <w:lang w:eastAsia="en-US" w:bidi="ar-SA"/>
        </w:rPr>
        <w:t>ver</w:t>
      </w:r>
      <w:r>
        <w:rPr>
          <w:rFonts w:eastAsiaTheme="minorEastAsia"/>
          <w:kern w:val="0"/>
          <w:lang w:eastAsia="en-US" w:bidi="ar-SA"/>
        </w:rPr>
        <w:t>-</w:t>
      </w:r>
      <w:r w:rsidR="000F560E" w:rsidRPr="00D147A7">
        <w:rPr>
          <w:rFonts w:eastAsiaTheme="minorEastAsia"/>
          <w:kern w:val="0"/>
          <w:lang w:eastAsia="en-US" w:bidi="ar-SA"/>
        </w:rPr>
        <w:t>zocht. Binnen de drie maanden na dergelijk verzoek moeten zorgverleners de gewenste be</w:t>
      </w:r>
      <w:r>
        <w:rPr>
          <w:rFonts w:eastAsiaTheme="minorEastAsia"/>
          <w:kern w:val="0"/>
          <w:lang w:eastAsia="en-US" w:bidi="ar-SA"/>
        </w:rPr>
        <w:t>-</w:t>
      </w:r>
      <w:r w:rsidR="000F560E" w:rsidRPr="00D147A7">
        <w:rPr>
          <w:rFonts w:eastAsiaTheme="minorEastAsia"/>
          <w:kern w:val="0"/>
          <w:lang w:eastAsia="en-US" w:bidi="ar-SA"/>
        </w:rPr>
        <w:t>scheiden vernietigen</w:t>
      </w:r>
      <w:r w:rsidR="000F560E" w:rsidRPr="00D147A7">
        <w:rPr>
          <w:rFonts w:eastAsiaTheme="minorEastAsia"/>
          <w:kern w:val="0"/>
          <w:vertAlign w:val="superscript"/>
          <w:lang w:eastAsia="en-US" w:bidi="ar-SA"/>
        </w:rPr>
        <w:footnoteReference w:id="1389"/>
      </w:r>
      <w:r w:rsidR="000F560E" w:rsidRPr="00D147A7">
        <w:rPr>
          <w:rFonts w:eastAsiaTheme="minorEastAsia"/>
          <w:kern w:val="0"/>
          <w:lang w:eastAsia="en-US" w:bidi="ar-SA"/>
        </w:rPr>
        <w:t xml:space="preserve">, tenzij deze stukken van beduidend belang zijn voor anderen dan de patiënt (zoals </w:t>
      </w:r>
      <w:r>
        <w:rPr>
          <w:rFonts w:eastAsiaTheme="minorEastAsia"/>
          <w:kern w:val="0"/>
          <w:lang w:eastAsia="en-US" w:bidi="ar-SA"/>
        </w:rPr>
        <w:t xml:space="preserve">voor </w:t>
      </w:r>
      <w:r w:rsidR="000F560E" w:rsidRPr="00D147A7">
        <w:rPr>
          <w:rFonts w:eastAsiaTheme="minorEastAsia"/>
          <w:kern w:val="0"/>
          <w:lang w:eastAsia="en-US" w:bidi="ar-SA"/>
        </w:rPr>
        <w:t xml:space="preserve">verwanten in het geval van erfelijke aandoeningen en </w:t>
      </w:r>
      <w:r>
        <w:rPr>
          <w:rFonts w:eastAsiaTheme="minorEastAsia"/>
          <w:kern w:val="0"/>
          <w:lang w:eastAsia="en-US" w:bidi="ar-SA"/>
        </w:rPr>
        <w:t xml:space="preserve">voor </w:t>
      </w:r>
      <w:r w:rsidR="000F560E" w:rsidRPr="00D147A7">
        <w:rPr>
          <w:rFonts w:eastAsiaTheme="minorEastAsia"/>
          <w:kern w:val="0"/>
          <w:lang w:eastAsia="en-US" w:bidi="ar-SA"/>
        </w:rPr>
        <w:t>zorgverleners zelf in het geval van een rechtszaak) of de wet</w:t>
      </w:r>
      <w:r w:rsidR="000B1446">
        <w:rPr>
          <w:rFonts w:eastAsiaTheme="minorEastAsia"/>
          <w:kern w:val="0"/>
          <w:lang w:eastAsia="en-US" w:bidi="ar-SA"/>
        </w:rPr>
        <w:t>gever</w:t>
      </w:r>
      <w:r w:rsidR="000F560E" w:rsidRPr="00D147A7">
        <w:rPr>
          <w:rFonts w:eastAsiaTheme="minorEastAsia"/>
          <w:kern w:val="0"/>
          <w:lang w:eastAsia="en-US" w:bidi="ar-SA"/>
        </w:rPr>
        <w:t xml:space="preserve"> zich </w:t>
      </w:r>
      <w:r w:rsidR="000B1446">
        <w:rPr>
          <w:rFonts w:eastAsiaTheme="minorEastAsia"/>
          <w:kern w:val="0"/>
          <w:lang w:eastAsia="en-US" w:bidi="ar-SA"/>
        </w:rPr>
        <w:t>hier uitdrukkelijk tegen</w:t>
      </w:r>
      <w:r w:rsidR="000F560E" w:rsidRPr="00D147A7">
        <w:rPr>
          <w:rFonts w:eastAsiaTheme="minorEastAsia"/>
          <w:kern w:val="0"/>
          <w:lang w:eastAsia="en-US" w:bidi="ar-SA"/>
        </w:rPr>
        <w:t xml:space="preserve"> verzet.</w:t>
      </w:r>
      <w:r w:rsidR="000F560E" w:rsidRPr="00D147A7">
        <w:rPr>
          <w:rFonts w:eastAsiaTheme="minorEastAsia"/>
          <w:kern w:val="0"/>
          <w:vertAlign w:val="superscript"/>
          <w:lang w:eastAsia="en-US" w:bidi="ar-SA"/>
        </w:rPr>
        <w:footnoteReference w:id="1390"/>
      </w:r>
      <w:r w:rsidR="000F560E" w:rsidRPr="00D147A7">
        <w:rPr>
          <w:rFonts w:eastAsiaTheme="minorEastAsia"/>
          <w:kern w:val="0"/>
          <w:lang w:eastAsia="en-US" w:bidi="ar-SA"/>
        </w:rPr>
        <w:t xml:space="preserve"> Hetzelfde geldt voor de dossiers van psychiatrische patiënten, al kan aan hun verzoek tot ver</w:t>
      </w:r>
      <w:r w:rsidR="000B1446">
        <w:rPr>
          <w:rFonts w:eastAsiaTheme="minorEastAsia"/>
          <w:kern w:val="0"/>
          <w:lang w:eastAsia="en-US" w:bidi="ar-SA"/>
        </w:rPr>
        <w:t>-</w:t>
      </w:r>
      <w:r w:rsidR="000F560E" w:rsidRPr="00D147A7">
        <w:rPr>
          <w:rFonts w:eastAsiaTheme="minorEastAsia"/>
          <w:kern w:val="0"/>
          <w:lang w:eastAsia="en-US" w:bidi="ar-SA"/>
        </w:rPr>
        <w:t>nietiging pas gevolg gegeven worden als de administratieve bewaartermijn (van vijf jaar) verstreken is.</w:t>
      </w:r>
      <w:r w:rsidR="000F560E" w:rsidRPr="00D147A7">
        <w:rPr>
          <w:rFonts w:eastAsiaTheme="minorEastAsia"/>
          <w:kern w:val="0"/>
          <w:vertAlign w:val="superscript"/>
          <w:lang w:eastAsia="en-US" w:bidi="ar-SA"/>
        </w:rPr>
        <w:footnoteReference w:id="1391"/>
      </w:r>
      <w:r w:rsidR="000F560E"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de Nederlandse archiefwetgeving werd de mogelijkheid ingebouwd om archiefbescheiden door reproducties te vervangen.</w:t>
      </w:r>
      <w:r w:rsidRPr="00D147A7">
        <w:rPr>
          <w:rFonts w:eastAsiaTheme="minorEastAsia"/>
          <w:kern w:val="0"/>
          <w:vertAlign w:val="superscript"/>
          <w:lang w:eastAsia="en-US" w:bidi="ar-SA"/>
        </w:rPr>
        <w:footnoteReference w:id="1392"/>
      </w:r>
      <w:r w:rsidRPr="00D147A7">
        <w:rPr>
          <w:rFonts w:eastAsiaTheme="minorEastAsia"/>
          <w:kern w:val="0"/>
          <w:lang w:eastAsia="en-US" w:bidi="ar-SA"/>
        </w:rPr>
        <w:t xml:space="preserve"> Wel moet voor iedere substitutie een machtiging van het Nationaal Archief bekomen worden, waarmee tevens het fiat verleend wordt om de originele bescheiden te vernietigen.</w:t>
      </w:r>
      <w:r w:rsidRPr="00D147A7">
        <w:rPr>
          <w:rFonts w:eastAsiaTheme="minorEastAsia"/>
          <w:kern w:val="0"/>
          <w:vertAlign w:val="superscript"/>
          <w:lang w:eastAsia="en-US" w:bidi="ar-SA"/>
        </w:rPr>
        <w:footnoteReference w:id="1393"/>
      </w:r>
      <w:r w:rsidRPr="00D147A7">
        <w:rPr>
          <w:rFonts w:eastAsiaTheme="minorEastAsia"/>
          <w:kern w:val="0"/>
          <w:lang w:eastAsia="en-US" w:bidi="ar-SA"/>
        </w:rPr>
        <w:t xml:space="preserve"> Als de originele bescheiden immers niet vernietigd worden, </w:t>
      </w:r>
      <w:r w:rsidR="000B1446">
        <w:rPr>
          <w:rFonts w:eastAsiaTheme="minorEastAsia"/>
          <w:kern w:val="0"/>
          <w:lang w:eastAsia="en-US" w:bidi="ar-SA"/>
        </w:rPr>
        <w:t xml:space="preserve">kan </w:t>
      </w:r>
      <w:r w:rsidR="000B1446">
        <w:rPr>
          <w:rFonts w:eastAsiaTheme="minorEastAsia"/>
          <w:kern w:val="0"/>
          <w:lang w:eastAsia="en-US" w:bidi="ar-SA"/>
        </w:rPr>
        <w:lastRenderedPageBreak/>
        <w:t>er niet</w:t>
      </w:r>
      <w:r w:rsidRPr="00D147A7">
        <w:rPr>
          <w:rFonts w:eastAsiaTheme="minorEastAsia"/>
          <w:kern w:val="0"/>
          <w:lang w:eastAsia="en-US" w:bidi="ar-SA"/>
        </w:rPr>
        <w:t xml:space="preserve"> van vervanging</w:t>
      </w:r>
      <w:r w:rsidR="000B1446">
        <w:rPr>
          <w:rFonts w:eastAsiaTheme="minorEastAsia"/>
          <w:kern w:val="0"/>
          <w:lang w:eastAsia="en-US" w:bidi="ar-SA"/>
        </w:rPr>
        <w:t xml:space="preserve"> gesproken worden</w:t>
      </w:r>
      <w:r w:rsidRPr="00D147A7">
        <w:rPr>
          <w:rFonts w:eastAsiaTheme="minorEastAsia"/>
          <w:kern w:val="0"/>
          <w:lang w:eastAsia="en-US" w:bidi="ar-SA"/>
        </w:rPr>
        <w:t>. De vernietiging moet op een uiterst zorgvuldige manier geschieden.</w:t>
      </w:r>
      <w:r w:rsidRPr="00D147A7">
        <w:rPr>
          <w:rFonts w:eastAsiaTheme="minorEastAsia"/>
          <w:kern w:val="0"/>
          <w:vertAlign w:val="superscript"/>
          <w:lang w:eastAsia="en-US" w:bidi="ar-SA"/>
        </w:rPr>
        <w:footnoteReference w:id="1394"/>
      </w:r>
      <w:r w:rsidRPr="00D147A7">
        <w:rPr>
          <w:rFonts w:eastAsiaTheme="minorEastAsia"/>
          <w:kern w:val="0"/>
          <w:lang w:eastAsia="en-US" w:bidi="ar-SA"/>
        </w:rPr>
        <w:t xml:space="preserve"> Enkel van bepaalde authentieke stukken – zoals schriftelijke wilsver</w:t>
      </w:r>
      <w:r w:rsidR="000B1446">
        <w:rPr>
          <w:rFonts w:eastAsiaTheme="minorEastAsia"/>
          <w:kern w:val="0"/>
          <w:lang w:eastAsia="en-US" w:bidi="ar-SA"/>
        </w:rPr>
        <w:t>-</w:t>
      </w:r>
      <w:r w:rsidRPr="00D147A7">
        <w:rPr>
          <w:rFonts w:eastAsiaTheme="minorEastAsia"/>
          <w:kern w:val="0"/>
          <w:lang w:eastAsia="en-US" w:bidi="ar-SA"/>
        </w:rPr>
        <w:t>klaringen – m</w:t>
      </w:r>
      <w:r w:rsidR="000B1446">
        <w:rPr>
          <w:rFonts w:eastAsiaTheme="minorEastAsia"/>
          <w:kern w:val="0"/>
          <w:lang w:eastAsia="en-US" w:bidi="ar-SA"/>
        </w:rPr>
        <w:t>ogen</w:t>
      </w:r>
      <w:r w:rsidRPr="00D147A7">
        <w:rPr>
          <w:rFonts w:eastAsiaTheme="minorEastAsia"/>
          <w:kern w:val="0"/>
          <w:lang w:eastAsia="en-US" w:bidi="ar-SA"/>
        </w:rPr>
        <w:t xml:space="preserve"> </w:t>
      </w:r>
      <w:r w:rsidR="000B1446">
        <w:rPr>
          <w:rFonts w:eastAsiaTheme="minorEastAsia"/>
          <w:kern w:val="0"/>
          <w:lang w:eastAsia="en-US" w:bidi="ar-SA"/>
        </w:rPr>
        <w:t>de</w:t>
      </w:r>
      <w:r w:rsidRPr="00D147A7">
        <w:rPr>
          <w:rFonts w:eastAsiaTheme="minorEastAsia"/>
          <w:kern w:val="0"/>
          <w:lang w:eastAsia="en-US" w:bidi="ar-SA"/>
        </w:rPr>
        <w:t xml:space="preserve"> originele</w:t>
      </w:r>
      <w:r w:rsidR="000B1446">
        <w:rPr>
          <w:rFonts w:eastAsiaTheme="minorEastAsia"/>
          <w:kern w:val="0"/>
          <w:lang w:eastAsia="en-US" w:bidi="ar-SA"/>
        </w:rPr>
        <w:t>n</w:t>
      </w:r>
      <w:r w:rsidRPr="00D147A7">
        <w:rPr>
          <w:rFonts w:eastAsiaTheme="minorEastAsia"/>
          <w:kern w:val="0"/>
          <w:lang w:eastAsia="en-US" w:bidi="ar-SA"/>
        </w:rPr>
        <w:t xml:space="preserve"> niet vroegtijdig worden</w:t>
      </w:r>
      <w:r w:rsidR="000B1446" w:rsidRPr="000B1446">
        <w:rPr>
          <w:rFonts w:eastAsiaTheme="minorEastAsia"/>
          <w:kern w:val="0"/>
          <w:lang w:eastAsia="en-US" w:bidi="ar-SA"/>
        </w:rPr>
        <w:t xml:space="preserve"> </w:t>
      </w:r>
      <w:r w:rsidR="000B1446" w:rsidRPr="00D147A7">
        <w:rPr>
          <w:rFonts w:eastAsiaTheme="minorEastAsia"/>
          <w:kern w:val="0"/>
          <w:lang w:eastAsia="en-US" w:bidi="ar-SA"/>
        </w:rPr>
        <w:t>vernietigd</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395"/>
      </w:r>
      <w:r w:rsidRPr="00D147A7">
        <w:rPr>
          <w:rFonts w:eastAsiaTheme="minorEastAsia"/>
          <w:kern w:val="0"/>
          <w:lang w:eastAsia="en-US" w:bidi="ar-SA"/>
        </w:rPr>
        <w:t xml:space="preserve"> De Erfgoedinspectie is belast met het toezicht op de uitvoering van de machtiging voor substitutie (en vernieti</w:t>
      </w:r>
      <w:r w:rsidR="000B1446">
        <w:rPr>
          <w:rFonts w:eastAsiaTheme="minorEastAsia"/>
          <w:kern w:val="0"/>
          <w:lang w:eastAsia="en-US" w:bidi="ar-SA"/>
        </w:rPr>
        <w:t>-</w:t>
      </w:r>
      <w:r w:rsidRPr="00D147A7">
        <w:rPr>
          <w:rFonts w:eastAsiaTheme="minorEastAsia"/>
          <w:kern w:val="0"/>
          <w:lang w:eastAsia="en-US" w:bidi="ar-SA"/>
        </w:rPr>
        <w:t>ging), die binnen dertien weken na de aanvraag verleend wordt.</w:t>
      </w:r>
      <w:r w:rsidRPr="00D147A7">
        <w:rPr>
          <w:rFonts w:eastAsiaTheme="minorEastAsia"/>
          <w:kern w:val="0"/>
          <w:vertAlign w:val="superscript"/>
          <w:lang w:eastAsia="en-US" w:bidi="ar-SA"/>
        </w:rPr>
        <w:footnoteReference w:id="1396"/>
      </w:r>
      <w:r w:rsidRPr="00D147A7">
        <w:rPr>
          <w:rFonts w:eastAsiaTheme="minorEastAsia"/>
          <w:kern w:val="0"/>
          <w:lang w:eastAsia="en-US" w:bidi="ar-SA"/>
        </w:rPr>
        <w:t xml:space="preserve"> Voor de vervanging van permanent te </w:t>
      </w:r>
      <w:r w:rsidR="000B1446">
        <w:rPr>
          <w:rFonts w:eastAsiaTheme="minorEastAsia"/>
          <w:kern w:val="0"/>
          <w:lang w:eastAsia="en-US" w:bidi="ar-SA"/>
        </w:rPr>
        <w:t>bewaren archiefbescheiden moet</w:t>
      </w:r>
      <w:r w:rsidRPr="00D147A7">
        <w:rPr>
          <w:rFonts w:eastAsiaTheme="minorEastAsia"/>
          <w:kern w:val="0"/>
          <w:lang w:eastAsia="en-US" w:bidi="ar-SA"/>
        </w:rPr>
        <w:t xml:space="preserve"> de bijkomende goedkeuring van de Minister van Onderwijs, Cultuur en Wetenschap </w:t>
      </w:r>
      <w:r w:rsidR="000B1446" w:rsidRPr="00D147A7">
        <w:rPr>
          <w:rFonts w:eastAsiaTheme="minorEastAsia"/>
          <w:kern w:val="0"/>
          <w:lang w:eastAsia="en-US" w:bidi="ar-SA"/>
        </w:rPr>
        <w:t xml:space="preserve">worden </w:t>
      </w:r>
      <w:r w:rsidRPr="00D147A7">
        <w:rPr>
          <w:rFonts w:eastAsiaTheme="minorEastAsia"/>
          <w:kern w:val="0"/>
          <w:lang w:eastAsia="en-US" w:bidi="ar-SA"/>
        </w:rPr>
        <w:t>bekomen.</w:t>
      </w:r>
      <w:r w:rsidRPr="00D147A7">
        <w:rPr>
          <w:rFonts w:eastAsiaTheme="minorEastAsia"/>
          <w:kern w:val="0"/>
          <w:vertAlign w:val="superscript"/>
          <w:lang w:eastAsia="en-US" w:bidi="ar-SA"/>
        </w:rPr>
        <w:footnoteReference w:id="1397"/>
      </w:r>
      <w:r w:rsidRPr="00D147A7">
        <w:rPr>
          <w:rFonts w:eastAsiaTheme="minorEastAsia"/>
          <w:kern w:val="0"/>
          <w:lang w:eastAsia="en-US" w:bidi="ar-SA"/>
        </w:rPr>
        <w:t xml:space="preserve"> Dat is echter niet van toepassing op patiëntendossiers, die immers allen </w:t>
      </w:r>
      <w:r w:rsidR="000B1446">
        <w:rPr>
          <w:rFonts w:eastAsiaTheme="minorEastAsia"/>
          <w:kern w:val="0"/>
          <w:lang w:eastAsia="en-US" w:bidi="ar-SA"/>
        </w:rPr>
        <w:t>op termijn moeten worden vernietigd</w:t>
      </w:r>
      <w:r w:rsidRPr="00D147A7">
        <w:rPr>
          <w:rFonts w:eastAsiaTheme="minorEastAsia"/>
          <w:kern w:val="0"/>
          <w:lang w:eastAsia="en-US" w:bidi="ar-SA"/>
        </w:rPr>
        <w:t>. Het principiële verbod om gezondheidsgegevens te verwerken</w:t>
      </w:r>
      <w:r w:rsidRPr="00D147A7">
        <w:rPr>
          <w:rFonts w:eastAsiaTheme="minorEastAsia"/>
          <w:kern w:val="0"/>
          <w:vertAlign w:val="superscript"/>
          <w:lang w:eastAsia="en-US" w:bidi="ar-SA"/>
        </w:rPr>
        <w:footnoteReference w:id="1398"/>
      </w:r>
      <w:r w:rsidRPr="00D147A7">
        <w:rPr>
          <w:rFonts w:eastAsiaTheme="minorEastAsia"/>
          <w:kern w:val="0"/>
          <w:lang w:eastAsia="en-US" w:bidi="ar-SA"/>
        </w:rPr>
        <w:t>, is dus niet van toepassing op de substitutie (en vernietiging van de originele exemplaren) van patiëntendossiers.</w:t>
      </w:r>
      <w:r w:rsidRPr="00D147A7">
        <w:rPr>
          <w:rFonts w:eastAsiaTheme="minorEastAsia"/>
          <w:kern w:val="0"/>
          <w:vertAlign w:val="superscript"/>
          <w:lang w:eastAsia="en-US" w:bidi="ar-SA"/>
        </w:rPr>
        <w:footnoteReference w:id="1399"/>
      </w:r>
      <w:r w:rsidR="000B1446">
        <w:rPr>
          <w:rFonts w:eastAsiaTheme="minorEastAsia"/>
          <w:kern w:val="0"/>
          <w:lang w:eastAsia="en-US" w:bidi="ar-SA"/>
        </w:rPr>
        <w:t xml:space="preserve"> </w:t>
      </w:r>
    </w:p>
    <w:p w:rsidR="000F560E" w:rsidRPr="00D147A7" w:rsidRDefault="000B1446" w:rsidP="000F560E">
      <w:pPr>
        <w:widowControl/>
        <w:suppressAutoHyphens w:val="0"/>
        <w:jc w:val="both"/>
        <w:rPr>
          <w:rFonts w:eastAsiaTheme="minorEastAsia"/>
          <w:kern w:val="0"/>
          <w:lang w:eastAsia="en-US" w:bidi="ar-SA"/>
        </w:rPr>
      </w:pPr>
      <w:r>
        <w:rPr>
          <w:rFonts w:eastAsiaTheme="minorEastAsia"/>
          <w:kern w:val="0"/>
          <w:lang w:eastAsia="en-US" w:bidi="ar-SA"/>
        </w:rPr>
        <w:t>Z</w:t>
      </w:r>
      <w:r w:rsidR="000F560E" w:rsidRPr="00D147A7">
        <w:rPr>
          <w:rFonts w:eastAsiaTheme="minorEastAsia"/>
          <w:kern w:val="0"/>
          <w:lang w:eastAsia="en-US" w:bidi="ar-SA"/>
        </w:rPr>
        <w:t>orgdrager</w:t>
      </w:r>
      <w:r>
        <w:rPr>
          <w:rFonts w:eastAsiaTheme="minorEastAsia"/>
          <w:kern w:val="0"/>
          <w:lang w:eastAsia="en-US" w:bidi="ar-SA"/>
        </w:rPr>
        <w:t>s</w:t>
      </w:r>
      <w:r w:rsidR="000F560E" w:rsidRPr="00D147A7">
        <w:rPr>
          <w:rFonts w:eastAsiaTheme="minorEastAsia"/>
          <w:kern w:val="0"/>
          <w:lang w:eastAsia="en-US" w:bidi="ar-SA"/>
        </w:rPr>
        <w:t xml:space="preserve"> moet</w:t>
      </w:r>
      <w:r>
        <w:rPr>
          <w:rFonts w:eastAsiaTheme="minorEastAsia"/>
          <w:kern w:val="0"/>
          <w:lang w:eastAsia="en-US" w:bidi="ar-SA"/>
        </w:rPr>
        <w:t>en</w:t>
      </w:r>
      <w:r w:rsidR="000F560E" w:rsidRPr="00D147A7">
        <w:rPr>
          <w:rFonts w:eastAsiaTheme="minorEastAsia"/>
          <w:kern w:val="0"/>
          <w:lang w:eastAsia="en-US" w:bidi="ar-SA"/>
        </w:rPr>
        <w:t xml:space="preserve"> wel van iedere vernietiging, vervanging, conversie of migratie een ver</w:t>
      </w:r>
      <w:r>
        <w:rPr>
          <w:rFonts w:eastAsiaTheme="minorEastAsia"/>
          <w:kern w:val="0"/>
          <w:lang w:eastAsia="en-US" w:bidi="ar-SA"/>
        </w:rPr>
        <w:t>-</w:t>
      </w:r>
      <w:r w:rsidR="000F560E" w:rsidRPr="00D147A7">
        <w:rPr>
          <w:rFonts w:eastAsiaTheme="minorEastAsia"/>
          <w:kern w:val="0"/>
          <w:lang w:eastAsia="en-US" w:bidi="ar-SA"/>
        </w:rPr>
        <w:t>klaring op</w:t>
      </w:r>
      <w:r>
        <w:rPr>
          <w:rFonts w:eastAsiaTheme="minorEastAsia"/>
          <w:kern w:val="0"/>
          <w:lang w:eastAsia="en-US" w:bidi="ar-SA"/>
        </w:rPr>
        <w:t>stellen</w:t>
      </w:r>
      <w:r w:rsidR="000F560E" w:rsidRPr="00D147A7">
        <w:rPr>
          <w:rFonts w:eastAsiaTheme="minorEastAsia"/>
          <w:kern w:val="0"/>
          <w:lang w:eastAsia="en-US" w:bidi="ar-SA"/>
        </w:rPr>
        <w:t>, waarin de vernietigde, vervangen, geconverteerde of gemigreerde archiefbe</w:t>
      </w:r>
      <w:r>
        <w:rPr>
          <w:rFonts w:eastAsiaTheme="minorEastAsia"/>
          <w:kern w:val="0"/>
          <w:lang w:eastAsia="en-US" w:bidi="ar-SA"/>
        </w:rPr>
        <w:t>-</w:t>
      </w:r>
      <w:r w:rsidR="000F560E" w:rsidRPr="00D147A7">
        <w:rPr>
          <w:rFonts w:eastAsiaTheme="minorEastAsia"/>
          <w:kern w:val="0"/>
          <w:lang w:eastAsia="en-US" w:bidi="ar-SA"/>
        </w:rPr>
        <w:t xml:space="preserve">scheiden beschreven worden. In het geval van vernietiging en vervanging </w:t>
      </w:r>
      <w:r>
        <w:rPr>
          <w:rFonts w:eastAsiaTheme="minorEastAsia"/>
          <w:kern w:val="0"/>
          <w:lang w:eastAsia="en-US" w:bidi="ar-SA"/>
        </w:rPr>
        <w:t xml:space="preserve">moet worden </w:t>
      </w:r>
      <w:r w:rsidR="000F560E" w:rsidRPr="00D147A7">
        <w:rPr>
          <w:rFonts w:eastAsiaTheme="minorEastAsia"/>
          <w:kern w:val="0"/>
          <w:lang w:eastAsia="en-US" w:bidi="ar-SA"/>
        </w:rPr>
        <w:t>aan</w:t>
      </w:r>
      <w:r>
        <w:rPr>
          <w:rFonts w:eastAsiaTheme="minorEastAsia"/>
          <w:kern w:val="0"/>
          <w:lang w:eastAsia="en-US" w:bidi="ar-SA"/>
        </w:rPr>
        <w:t>-</w:t>
      </w:r>
      <w:r w:rsidR="000F560E" w:rsidRPr="00D147A7">
        <w:rPr>
          <w:rFonts w:eastAsiaTheme="minorEastAsia"/>
          <w:kern w:val="0"/>
          <w:lang w:eastAsia="en-US" w:bidi="ar-SA"/>
        </w:rPr>
        <w:t xml:space="preserve">gegeven </w:t>
      </w:r>
      <w:r w:rsidR="000F560E" w:rsidRPr="00D147A7">
        <w:rPr>
          <w:rFonts w:eastAsiaTheme="minorEastAsia"/>
          <w:i/>
          <w:kern w:val="0"/>
          <w:lang w:eastAsia="en-US" w:bidi="ar-SA"/>
        </w:rPr>
        <w:t>op welke wijze de bescheiden vernietiging</w:t>
      </w:r>
      <w:r w:rsidR="000F560E" w:rsidRPr="00D147A7">
        <w:rPr>
          <w:rFonts w:eastAsiaTheme="minorEastAsia"/>
          <w:kern w:val="0"/>
          <w:lang w:eastAsia="en-US" w:bidi="ar-SA"/>
        </w:rPr>
        <w:t xml:space="preserve"> [of] </w:t>
      </w:r>
      <w:r w:rsidR="000F560E" w:rsidRPr="00D147A7">
        <w:rPr>
          <w:rFonts w:eastAsiaTheme="minorEastAsia"/>
          <w:i/>
          <w:kern w:val="0"/>
          <w:lang w:eastAsia="en-US" w:bidi="ar-SA"/>
        </w:rPr>
        <w:t>vervanging</w:t>
      </w:r>
      <w:r w:rsidR="000F560E" w:rsidRPr="00D147A7">
        <w:rPr>
          <w:rFonts w:eastAsiaTheme="minorEastAsia"/>
          <w:kern w:val="0"/>
          <w:lang w:eastAsia="en-US" w:bidi="ar-SA"/>
        </w:rPr>
        <w:t xml:space="preserve"> (…) </w:t>
      </w:r>
      <w:r w:rsidR="000F560E" w:rsidRPr="00D147A7">
        <w:rPr>
          <w:rFonts w:eastAsiaTheme="minorEastAsia"/>
          <w:i/>
          <w:kern w:val="0"/>
          <w:lang w:eastAsia="en-US" w:bidi="ar-SA"/>
        </w:rPr>
        <w:t>is geschiedt</w:t>
      </w:r>
      <w:r w:rsidR="000F560E" w:rsidRPr="00D147A7">
        <w:rPr>
          <w:rFonts w:eastAsiaTheme="minorEastAsia"/>
          <w:kern w:val="0"/>
          <w:vertAlign w:val="superscript"/>
          <w:lang w:eastAsia="en-US" w:bidi="ar-SA"/>
        </w:rPr>
        <w:footnoteReference w:id="1400"/>
      </w:r>
      <w:r>
        <w:rPr>
          <w:rFonts w:eastAsiaTheme="minorEastAsia"/>
          <w:kern w:val="0"/>
          <w:lang w:eastAsia="en-US" w:bidi="ar-SA"/>
        </w:rPr>
        <w:t xml:space="preserve"> en</w:t>
      </w:r>
      <w:r w:rsidR="000F560E" w:rsidRPr="00D147A7">
        <w:rPr>
          <w:rFonts w:eastAsiaTheme="minorEastAsia"/>
          <w:kern w:val="0"/>
          <w:lang w:eastAsia="en-US" w:bidi="ar-SA"/>
        </w:rPr>
        <w:t xml:space="preserve"> bij conversie en migratie </w:t>
      </w:r>
      <w:r w:rsidR="000F560E" w:rsidRPr="00D147A7">
        <w:rPr>
          <w:rFonts w:eastAsiaTheme="minorEastAsia"/>
          <w:i/>
          <w:kern w:val="0"/>
          <w:lang w:eastAsia="en-US" w:bidi="ar-SA"/>
        </w:rPr>
        <w:t>op welke wijze en met welk resultaat getoetst is of na de conversie of migratie aan de</w:t>
      </w:r>
      <w:r w:rsidR="000F560E" w:rsidRPr="00D147A7">
        <w:rPr>
          <w:rFonts w:eastAsiaTheme="minorEastAsia"/>
          <w:kern w:val="0"/>
          <w:lang w:eastAsia="en-US" w:bidi="ar-SA"/>
        </w:rPr>
        <w:t xml:space="preserve"> (…) </w:t>
      </w:r>
      <w:r w:rsidR="000F560E" w:rsidRPr="00D147A7">
        <w:rPr>
          <w:rFonts w:eastAsiaTheme="minorEastAsia"/>
          <w:i/>
          <w:kern w:val="0"/>
          <w:lang w:eastAsia="en-US" w:bidi="ar-SA"/>
        </w:rPr>
        <w:t>eisen ten aanzien van de geordende en toegankelijke staat is of kan wor</w:t>
      </w:r>
      <w:r>
        <w:rPr>
          <w:rFonts w:eastAsiaTheme="minorEastAsia"/>
          <w:i/>
          <w:kern w:val="0"/>
          <w:lang w:eastAsia="en-US" w:bidi="ar-SA"/>
        </w:rPr>
        <w:t>-</w:t>
      </w:r>
      <w:r w:rsidR="000F560E" w:rsidRPr="00D147A7">
        <w:rPr>
          <w:rFonts w:eastAsiaTheme="minorEastAsia"/>
          <w:i/>
          <w:kern w:val="0"/>
          <w:lang w:eastAsia="en-US" w:bidi="ar-SA"/>
        </w:rPr>
        <w:t>den voldaan</w:t>
      </w:r>
      <w:r w:rsidR="000F560E" w:rsidRPr="00D147A7">
        <w:rPr>
          <w:rFonts w:eastAsiaTheme="minorEastAsia"/>
          <w:kern w:val="0"/>
          <w:lang w:eastAsia="en-US" w:bidi="ar-SA"/>
        </w:rPr>
        <w:t>.</w:t>
      </w:r>
      <w:r w:rsidR="000F560E" w:rsidRPr="00D147A7">
        <w:rPr>
          <w:rFonts w:eastAsiaTheme="minorEastAsia"/>
          <w:kern w:val="0"/>
          <w:vertAlign w:val="superscript"/>
          <w:lang w:eastAsia="en-US" w:bidi="ar-SA"/>
        </w:rPr>
        <w:footnoteReference w:id="1401"/>
      </w:r>
      <w:r w:rsidR="000F560E" w:rsidRPr="00D147A7">
        <w:rPr>
          <w:rFonts w:eastAsiaTheme="minorEastAsia"/>
          <w:kern w:val="0"/>
          <w:lang w:eastAsia="en-US" w:bidi="ar-SA"/>
        </w:rPr>
        <w:t xml:space="preserve"> Als blijkt dat bij conversie of migratie de wettelijke eisen m.b.t. de georden</w:t>
      </w:r>
      <w:r>
        <w:rPr>
          <w:rFonts w:eastAsiaTheme="minorEastAsia"/>
          <w:kern w:val="0"/>
          <w:lang w:eastAsia="en-US" w:bidi="ar-SA"/>
        </w:rPr>
        <w:t>-</w:t>
      </w:r>
      <w:r w:rsidR="000F560E" w:rsidRPr="00D147A7">
        <w:rPr>
          <w:rFonts w:eastAsiaTheme="minorEastAsia"/>
          <w:kern w:val="0"/>
          <w:lang w:eastAsia="en-US" w:bidi="ar-SA"/>
        </w:rPr>
        <w:t>de en toegankelijke staat niet in acht</w:t>
      </w:r>
      <w:r>
        <w:rPr>
          <w:rFonts w:eastAsiaTheme="minorEastAsia"/>
          <w:kern w:val="0"/>
          <w:lang w:eastAsia="en-US" w:bidi="ar-SA"/>
        </w:rPr>
        <w:t xml:space="preserve"> genomen werd</w:t>
      </w:r>
      <w:r w:rsidR="000F560E" w:rsidRPr="00D147A7">
        <w:rPr>
          <w:rFonts w:eastAsiaTheme="minorEastAsia"/>
          <w:kern w:val="0"/>
          <w:lang w:eastAsia="en-US" w:bidi="ar-SA"/>
        </w:rPr>
        <w:t xml:space="preserve">, gaat het </w:t>
      </w:r>
      <w:r w:rsidR="000F560E" w:rsidRPr="00D147A7">
        <w:rPr>
          <w:rFonts w:eastAsiaTheme="minorEastAsia"/>
          <w:i/>
          <w:kern w:val="0"/>
          <w:lang w:eastAsia="en-US" w:bidi="ar-SA"/>
        </w:rPr>
        <w:t>de facto</w:t>
      </w:r>
      <w:r w:rsidR="000F560E" w:rsidRPr="00D147A7">
        <w:rPr>
          <w:rFonts w:eastAsiaTheme="minorEastAsia"/>
          <w:kern w:val="0"/>
          <w:lang w:eastAsia="en-US" w:bidi="ar-SA"/>
        </w:rPr>
        <w:t xml:space="preserve"> om een vorm van sub</w:t>
      </w:r>
      <w:r>
        <w:rPr>
          <w:rFonts w:eastAsiaTheme="minorEastAsia"/>
          <w:kern w:val="0"/>
          <w:lang w:eastAsia="en-US" w:bidi="ar-SA"/>
        </w:rPr>
        <w:t>-</w:t>
      </w:r>
      <w:r w:rsidR="000F560E" w:rsidRPr="00D147A7">
        <w:rPr>
          <w:rFonts w:eastAsiaTheme="minorEastAsia"/>
          <w:kern w:val="0"/>
          <w:lang w:eastAsia="en-US" w:bidi="ar-SA"/>
        </w:rPr>
        <w:t>stitutie.</w:t>
      </w:r>
      <w:r w:rsidR="000F560E" w:rsidRPr="00D147A7">
        <w:rPr>
          <w:rFonts w:eastAsiaTheme="minorEastAsia"/>
          <w:kern w:val="0"/>
          <w:vertAlign w:val="superscript"/>
          <w:lang w:eastAsia="en-US" w:bidi="ar-SA"/>
        </w:rPr>
        <w:footnoteReference w:id="1402"/>
      </w:r>
      <w:r w:rsidR="000F560E" w:rsidRPr="00D147A7">
        <w:rPr>
          <w:rFonts w:eastAsiaTheme="minorEastAsia"/>
          <w:kern w:val="0"/>
          <w:lang w:eastAsia="en-US" w:bidi="ar-SA"/>
        </w:rPr>
        <w:t xml:space="preserve"> </w:t>
      </w:r>
      <w:r w:rsidR="000F560E" w:rsidRPr="00D147A7">
        <w:rPr>
          <w:rFonts w:eastAsiaTheme="minorEastAsia"/>
          <w:bCs/>
          <w:kern w:val="0"/>
          <w:lang w:eastAsia="en-US" w:bidi="ar-SA"/>
        </w:rPr>
        <w:t>Omdat de reproducties archiefbescheiden in de zin van de Archiefwet zijn, moeten ze aan alle eisen van de archiefwetgeving voldoen.</w:t>
      </w:r>
      <w:r w:rsidR="000F560E" w:rsidRPr="00D147A7">
        <w:rPr>
          <w:rFonts w:eastAsiaTheme="minorEastAsia"/>
          <w:bCs/>
          <w:kern w:val="0"/>
          <w:vertAlign w:val="superscript"/>
          <w:lang w:eastAsia="en-US" w:bidi="ar-SA"/>
        </w:rPr>
        <w:footnoteReference w:id="1403"/>
      </w:r>
      <w:r w:rsidR="000F560E" w:rsidRPr="00D147A7">
        <w:rPr>
          <w:rFonts w:eastAsiaTheme="minorEastAsia"/>
          <w:bCs/>
          <w:kern w:val="0"/>
          <w:lang w:eastAsia="en-US" w:bidi="ar-SA"/>
        </w:rPr>
        <w:t xml:space="preserve"> </w:t>
      </w:r>
      <w:r w:rsidR="000F560E" w:rsidRPr="00D147A7">
        <w:rPr>
          <w:rFonts w:eastAsiaTheme="minorEastAsia"/>
          <w:kern w:val="0"/>
          <w:lang w:eastAsia="en-US" w:bidi="ar-SA"/>
        </w:rPr>
        <w:t>De reproducties moeten de gegevens uit de originele bescheiden juist en volledig worden weergeven</w:t>
      </w:r>
      <w:r w:rsidR="000F560E" w:rsidRPr="00D147A7">
        <w:rPr>
          <w:rFonts w:eastAsiaTheme="minorEastAsia"/>
          <w:kern w:val="0"/>
          <w:vertAlign w:val="superscript"/>
          <w:lang w:eastAsia="en-US" w:bidi="ar-SA"/>
        </w:rPr>
        <w:footnoteReference w:id="1404"/>
      </w:r>
      <w:r w:rsidR="000F560E" w:rsidRPr="00D147A7">
        <w:rPr>
          <w:rFonts w:eastAsiaTheme="minorEastAsia"/>
          <w:kern w:val="0"/>
          <w:lang w:eastAsia="en-US" w:bidi="ar-SA"/>
        </w:rPr>
        <w:t xml:space="preserve"> en moeten op hun beurt in goede, geordende en toegankelijke staat </w:t>
      </w:r>
      <w:r w:rsidRPr="00D147A7">
        <w:rPr>
          <w:rFonts w:eastAsiaTheme="minorEastAsia"/>
          <w:kern w:val="0"/>
          <w:lang w:eastAsia="en-US" w:bidi="ar-SA"/>
        </w:rPr>
        <w:t xml:space="preserve">worden </w:t>
      </w:r>
      <w:r w:rsidR="000F560E" w:rsidRPr="00D147A7">
        <w:rPr>
          <w:rFonts w:eastAsiaTheme="minorEastAsia"/>
          <w:kern w:val="0"/>
          <w:lang w:eastAsia="en-US" w:bidi="ar-SA"/>
        </w:rPr>
        <w:t>bewaard.</w:t>
      </w:r>
      <w:r w:rsidR="000F560E" w:rsidRPr="00D147A7">
        <w:rPr>
          <w:rFonts w:eastAsiaTheme="minorEastAsia"/>
          <w:kern w:val="0"/>
          <w:vertAlign w:val="superscript"/>
          <w:lang w:eastAsia="en-US" w:bidi="ar-SA"/>
        </w:rPr>
        <w:footnoteReference w:id="1405"/>
      </w:r>
    </w:p>
    <w:p w:rsidR="000F560E" w:rsidRPr="00D147A7" w:rsidRDefault="000B1446" w:rsidP="000F560E">
      <w:pPr>
        <w:widowControl/>
        <w:suppressAutoHyphens w:val="0"/>
        <w:jc w:val="both"/>
        <w:rPr>
          <w:rFonts w:eastAsiaTheme="minorEastAsia"/>
          <w:kern w:val="0"/>
          <w:lang w:eastAsia="en-US" w:bidi="ar-SA"/>
        </w:rPr>
      </w:pPr>
      <w:r>
        <w:rPr>
          <w:rFonts w:eastAsiaTheme="minorEastAsia"/>
          <w:kern w:val="0"/>
          <w:lang w:eastAsia="en-US" w:bidi="ar-SA"/>
        </w:rPr>
        <w:t>D</w:t>
      </w:r>
      <w:r w:rsidR="000F560E" w:rsidRPr="00D147A7">
        <w:rPr>
          <w:rFonts w:eastAsiaTheme="minorEastAsia"/>
          <w:kern w:val="0"/>
          <w:lang w:eastAsia="en-US" w:bidi="ar-SA"/>
        </w:rPr>
        <w:t>e wetgev</w:t>
      </w:r>
      <w:r>
        <w:rPr>
          <w:rFonts w:eastAsiaTheme="minorEastAsia"/>
          <w:kern w:val="0"/>
          <w:lang w:eastAsia="en-US" w:bidi="ar-SA"/>
        </w:rPr>
        <w:t>er</w:t>
      </w:r>
      <w:r w:rsidR="000F560E" w:rsidRPr="00D147A7">
        <w:rPr>
          <w:rFonts w:eastAsiaTheme="minorEastAsia"/>
          <w:kern w:val="0"/>
          <w:lang w:eastAsia="en-US" w:bidi="ar-SA"/>
        </w:rPr>
        <w:t xml:space="preserve"> </w:t>
      </w:r>
      <w:r>
        <w:rPr>
          <w:rFonts w:eastAsiaTheme="minorEastAsia"/>
          <w:kern w:val="0"/>
          <w:lang w:eastAsia="en-US" w:bidi="ar-SA"/>
        </w:rPr>
        <w:t>heeft</w:t>
      </w:r>
      <w:r w:rsidR="000F560E" w:rsidRPr="00D147A7">
        <w:rPr>
          <w:rFonts w:eastAsiaTheme="minorEastAsia"/>
          <w:kern w:val="0"/>
          <w:lang w:eastAsia="en-US" w:bidi="ar-SA"/>
        </w:rPr>
        <w:t xml:space="preserve"> geen redenen </w:t>
      </w:r>
      <w:r>
        <w:rPr>
          <w:rFonts w:eastAsiaTheme="minorEastAsia"/>
          <w:kern w:val="0"/>
          <w:lang w:eastAsia="en-US" w:bidi="ar-SA"/>
        </w:rPr>
        <w:t>verordend wanner</w:t>
      </w:r>
      <w:r w:rsidR="000F560E" w:rsidRPr="00D147A7">
        <w:rPr>
          <w:rFonts w:eastAsiaTheme="minorEastAsia"/>
          <w:kern w:val="0"/>
          <w:lang w:eastAsia="en-US" w:bidi="ar-SA"/>
        </w:rPr>
        <w:t xml:space="preserve"> de gegevensdrager van archiefbescheiden vervangen</w:t>
      </w:r>
      <w:r>
        <w:rPr>
          <w:rFonts w:eastAsiaTheme="minorEastAsia"/>
          <w:kern w:val="0"/>
          <w:lang w:eastAsia="en-US" w:bidi="ar-SA"/>
        </w:rPr>
        <w:t xml:space="preserve"> mogen worden</w:t>
      </w:r>
      <w:r w:rsidR="000F560E" w:rsidRPr="00D147A7">
        <w:rPr>
          <w:rFonts w:eastAsiaTheme="minorEastAsia"/>
          <w:kern w:val="0"/>
          <w:lang w:eastAsia="en-US" w:bidi="ar-SA"/>
        </w:rPr>
        <w:t>, maar stel</w:t>
      </w:r>
      <w:r>
        <w:rPr>
          <w:rFonts w:eastAsiaTheme="minorEastAsia"/>
          <w:kern w:val="0"/>
          <w:lang w:eastAsia="en-US" w:bidi="ar-SA"/>
        </w:rPr>
        <w:t>de</w:t>
      </w:r>
      <w:r w:rsidR="000F560E" w:rsidRPr="00D147A7">
        <w:rPr>
          <w:rFonts w:eastAsiaTheme="minorEastAsia"/>
          <w:kern w:val="0"/>
          <w:lang w:eastAsia="en-US" w:bidi="ar-SA"/>
        </w:rPr>
        <w:t xml:space="preserve"> enkel: </w:t>
      </w:r>
      <w:r w:rsidR="000F560E" w:rsidRPr="00D147A7">
        <w:rPr>
          <w:rFonts w:eastAsiaTheme="minorEastAsia"/>
          <w:i/>
          <w:kern w:val="0"/>
          <w:lang w:eastAsia="en-US" w:bidi="ar-SA"/>
        </w:rPr>
        <w:t>De</w:t>
      </w:r>
      <w:r w:rsidR="000F560E" w:rsidRPr="00D147A7">
        <w:rPr>
          <w:rFonts w:eastAsiaTheme="minorEastAsia"/>
          <w:kern w:val="0"/>
          <w:lang w:eastAsia="en-US" w:bidi="ar-SA"/>
        </w:rPr>
        <w:t xml:space="preserve"> </w:t>
      </w:r>
      <w:r w:rsidR="000F560E" w:rsidRPr="00D147A7">
        <w:rPr>
          <w:rFonts w:eastAsiaTheme="minorEastAsia"/>
          <w:i/>
          <w:kern w:val="0"/>
          <w:lang w:eastAsia="en-US" w:bidi="ar-SA"/>
        </w:rPr>
        <w:t>overheidsorganen zijn verplicht de onder hen berustende archiefbescheiden in goede, geordende en toegankelijke staat te brengen en te bewaren</w:t>
      </w:r>
      <w:r w:rsidR="000F560E" w:rsidRPr="00D147A7">
        <w:rPr>
          <w:rFonts w:eastAsiaTheme="minorEastAsia"/>
          <w:kern w:val="0"/>
          <w:lang w:eastAsia="en-US" w:bidi="ar-SA"/>
        </w:rPr>
        <w:t>.</w:t>
      </w:r>
      <w:r w:rsidR="000F560E" w:rsidRPr="00D147A7">
        <w:rPr>
          <w:rFonts w:eastAsiaTheme="minorEastAsia"/>
          <w:kern w:val="0"/>
          <w:vertAlign w:val="superscript"/>
          <w:lang w:eastAsia="en-US" w:bidi="ar-SA"/>
        </w:rPr>
        <w:footnoteReference w:id="1406"/>
      </w:r>
      <w:r w:rsidR="000F560E" w:rsidRPr="00D147A7">
        <w:rPr>
          <w:rFonts w:eastAsiaTheme="minorEastAsia"/>
          <w:kern w:val="0"/>
          <w:lang w:eastAsia="en-US" w:bidi="ar-SA"/>
        </w:rPr>
        <w:t xml:space="preserve"> Als een openbaar ziekenhuis </w:t>
      </w:r>
      <w:r>
        <w:rPr>
          <w:rFonts w:eastAsiaTheme="minorEastAsia"/>
          <w:kern w:val="0"/>
          <w:lang w:eastAsia="en-US" w:bidi="ar-SA"/>
        </w:rPr>
        <w:t xml:space="preserve">een </w:t>
      </w:r>
      <w:r w:rsidR="000F560E" w:rsidRPr="00D147A7">
        <w:rPr>
          <w:rFonts w:eastAsiaTheme="minorEastAsia"/>
          <w:kern w:val="0"/>
          <w:lang w:eastAsia="en-US" w:bidi="ar-SA"/>
        </w:rPr>
        <w:t>gebrek aan opslagruimte heeft en de toeganke</w:t>
      </w:r>
      <w:r>
        <w:rPr>
          <w:rFonts w:eastAsiaTheme="minorEastAsia"/>
          <w:kern w:val="0"/>
          <w:lang w:eastAsia="en-US" w:bidi="ar-SA"/>
        </w:rPr>
        <w:t>-</w:t>
      </w:r>
      <w:r w:rsidR="000F560E" w:rsidRPr="00D147A7">
        <w:rPr>
          <w:rFonts w:eastAsiaTheme="minorEastAsia"/>
          <w:kern w:val="0"/>
          <w:lang w:eastAsia="en-US" w:bidi="ar-SA"/>
        </w:rPr>
        <w:t>lijkheid van archiefbescheiden door substitutie bevorderd wordt, lijkt dit een goede, geoor</w:t>
      </w:r>
      <w:r>
        <w:rPr>
          <w:rFonts w:eastAsiaTheme="minorEastAsia"/>
          <w:kern w:val="0"/>
          <w:lang w:eastAsia="en-US" w:bidi="ar-SA"/>
        </w:rPr>
        <w:t>-</w:t>
      </w:r>
      <w:r w:rsidR="000F560E" w:rsidRPr="00D147A7">
        <w:rPr>
          <w:rFonts w:eastAsiaTheme="minorEastAsia"/>
          <w:kern w:val="0"/>
          <w:lang w:eastAsia="en-US" w:bidi="ar-SA"/>
        </w:rPr>
        <w:t>loofde reden. Als patiëntendossiers op een niet duurzame drager staa</w:t>
      </w:r>
      <w:r>
        <w:rPr>
          <w:rFonts w:eastAsiaTheme="minorEastAsia"/>
          <w:kern w:val="0"/>
          <w:lang w:eastAsia="en-US" w:bidi="ar-SA"/>
        </w:rPr>
        <w:t>n</w:t>
      </w:r>
      <w:r w:rsidR="000F560E" w:rsidRPr="00D147A7">
        <w:rPr>
          <w:rFonts w:eastAsiaTheme="minorEastAsia"/>
          <w:kern w:val="0"/>
          <w:lang w:eastAsia="en-US" w:bidi="ar-SA"/>
        </w:rPr>
        <w:t xml:space="preserve"> of als de archiefvor</w:t>
      </w:r>
      <w:r>
        <w:rPr>
          <w:rFonts w:eastAsiaTheme="minorEastAsia"/>
          <w:kern w:val="0"/>
          <w:lang w:eastAsia="en-US" w:bidi="ar-SA"/>
        </w:rPr>
        <w:t>-</w:t>
      </w:r>
      <w:r w:rsidR="000F560E" w:rsidRPr="00D147A7">
        <w:rPr>
          <w:rFonts w:eastAsiaTheme="minorEastAsia"/>
          <w:kern w:val="0"/>
          <w:lang w:eastAsia="en-US" w:bidi="ar-SA"/>
        </w:rPr>
        <w:t>mende instelling een nieuw, niet-compatibel informatiesysteem aanschaft, ontstaat zelfs de verplichting om de gegevensdrager van archiefbescheiden te vervangen.</w:t>
      </w:r>
      <w:r w:rsidR="000F560E" w:rsidRPr="00D147A7">
        <w:rPr>
          <w:rFonts w:eastAsiaTheme="minorEastAsia"/>
          <w:kern w:val="0"/>
          <w:vertAlign w:val="superscript"/>
          <w:lang w:eastAsia="en-US" w:bidi="ar-SA"/>
        </w:rPr>
        <w:footnoteReference w:id="1407"/>
      </w:r>
      <w:r w:rsidR="000F560E" w:rsidRPr="00D147A7">
        <w:rPr>
          <w:rFonts w:eastAsiaTheme="minorEastAsia"/>
          <w:kern w:val="0"/>
          <w:lang w:eastAsia="en-US" w:bidi="ar-SA"/>
        </w:rPr>
        <w:t xml:space="preserve"> Substitutie impli</w:t>
      </w:r>
      <w:r>
        <w:rPr>
          <w:rFonts w:eastAsiaTheme="minorEastAsia"/>
          <w:kern w:val="0"/>
          <w:lang w:eastAsia="en-US" w:bidi="ar-SA"/>
        </w:rPr>
        <w:t>-</w:t>
      </w:r>
      <w:r w:rsidR="000F560E" w:rsidRPr="00D147A7">
        <w:rPr>
          <w:rFonts w:eastAsiaTheme="minorEastAsia"/>
          <w:kern w:val="0"/>
          <w:lang w:eastAsia="en-US" w:bidi="ar-SA"/>
        </w:rPr>
        <w:t>ceert dus niet automatisch de overtreding van de bewaarplicht of de vernietiging van bewijs</w:t>
      </w:r>
      <w:r>
        <w:rPr>
          <w:rFonts w:eastAsiaTheme="minorEastAsia"/>
          <w:kern w:val="0"/>
          <w:lang w:eastAsia="en-US" w:bidi="ar-SA"/>
        </w:rPr>
        <w:t>-</w:t>
      </w:r>
      <w:r w:rsidR="000F560E" w:rsidRPr="00D147A7">
        <w:rPr>
          <w:rFonts w:eastAsiaTheme="minorEastAsia"/>
          <w:kern w:val="0"/>
          <w:lang w:eastAsia="en-US" w:bidi="ar-SA"/>
        </w:rPr>
        <w:t>materiaal. Integendeel, archiefbescheiden worden net bewijskrachtiger als hun gegevensdra</w:t>
      </w:r>
      <w:r>
        <w:rPr>
          <w:rFonts w:eastAsiaTheme="minorEastAsia"/>
          <w:kern w:val="0"/>
          <w:lang w:eastAsia="en-US" w:bidi="ar-SA"/>
        </w:rPr>
        <w:t>-</w:t>
      </w:r>
      <w:r w:rsidR="000F560E" w:rsidRPr="00D147A7">
        <w:rPr>
          <w:rFonts w:eastAsiaTheme="minorEastAsia"/>
          <w:kern w:val="0"/>
          <w:lang w:eastAsia="en-US" w:bidi="ar-SA"/>
        </w:rPr>
        <w:t>ger vervangen wordt alvorens er een juridisch geschil is ontstaan. Vaak zijn de gegevensdra</w:t>
      </w:r>
      <w:r>
        <w:rPr>
          <w:rFonts w:eastAsiaTheme="minorEastAsia"/>
          <w:kern w:val="0"/>
          <w:lang w:eastAsia="en-US" w:bidi="ar-SA"/>
        </w:rPr>
        <w:t>-</w:t>
      </w:r>
      <w:r w:rsidR="000F560E" w:rsidRPr="00D147A7">
        <w:rPr>
          <w:rFonts w:eastAsiaTheme="minorEastAsia"/>
          <w:kern w:val="0"/>
          <w:lang w:eastAsia="en-US" w:bidi="ar-SA"/>
        </w:rPr>
        <w:lastRenderedPageBreak/>
        <w:t>gers van originele archiefbescheiden immers makkelijker te vervalsen dan microfilms en niet herschrijfbare, digitale bestandsformaten (zoals PDF/A). Het behoud van bewijskracht wordt verder toegelicht in een ministeriële circulaire uit 1990.</w:t>
      </w:r>
      <w:r w:rsidR="000F560E" w:rsidRPr="00D147A7">
        <w:rPr>
          <w:rFonts w:eastAsiaTheme="minorEastAsia"/>
          <w:kern w:val="0"/>
          <w:vertAlign w:val="superscript"/>
          <w:lang w:eastAsia="en-US" w:bidi="ar-SA"/>
        </w:rPr>
        <w:footnoteReference w:id="1408"/>
      </w:r>
      <w:r w:rsidR="000F560E" w:rsidRPr="00D147A7">
        <w:rPr>
          <w:rFonts w:eastAsiaTheme="minorEastAsia"/>
          <w:kern w:val="0"/>
          <w:lang w:eastAsia="en-US" w:bidi="ar-SA"/>
        </w:rPr>
        <w:t xml:space="preserve"> Toch raadt de Erfgoedinspectie archiefvormers aan om voor iedere substitutie afzonderlijk juridisch advies in te winnen m.b.t. de bewijswaarde van (digitale) reproducties.</w:t>
      </w:r>
      <w:r w:rsidR="000F560E" w:rsidRPr="00D147A7">
        <w:rPr>
          <w:rFonts w:eastAsiaTheme="minorEastAsia"/>
          <w:kern w:val="0"/>
          <w:vertAlign w:val="superscript"/>
          <w:lang w:eastAsia="en-US" w:bidi="ar-SA"/>
        </w:rPr>
        <w:footnoteReference w:id="1409"/>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Wanneer een patiëntendossier in rechte als bewijsmiddel wordt aangewend, moet de rechter aan het dossier bewijskracht toekennen.</w:t>
      </w:r>
      <w:r w:rsidRPr="00D147A7">
        <w:rPr>
          <w:rFonts w:eastAsiaTheme="minorEastAsia"/>
          <w:kern w:val="0"/>
          <w:vertAlign w:val="superscript"/>
          <w:lang w:eastAsia="en-US" w:bidi="ar-SA"/>
        </w:rPr>
        <w:footnoteReference w:id="1410"/>
      </w:r>
      <w:r w:rsidRPr="00D147A7">
        <w:rPr>
          <w:rFonts w:eastAsiaTheme="minorEastAsia"/>
          <w:kern w:val="0"/>
          <w:lang w:eastAsia="en-US" w:bidi="ar-SA"/>
        </w:rPr>
        <w:t xml:space="preserve"> Doorgaans zullen rechters dezelfde bewijswaarde toekennen aan reproducties als aan originele (papieren) archiefbescheiden, althans als de be</w:t>
      </w:r>
      <w:r w:rsidR="000B1446">
        <w:rPr>
          <w:rFonts w:eastAsiaTheme="minorEastAsia"/>
          <w:kern w:val="0"/>
          <w:lang w:eastAsia="en-US" w:bidi="ar-SA"/>
        </w:rPr>
        <w:t>-</w:t>
      </w:r>
      <w:r w:rsidRPr="00D147A7">
        <w:rPr>
          <w:rFonts w:eastAsiaTheme="minorEastAsia"/>
          <w:kern w:val="0"/>
          <w:lang w:eastAsia="en-US" w:bidi="ar-SA"/>
        </w:rPr>
        <w:t>scheiden op kwalitatieve wijze gesubstitueerd werden en de authenticiteit niet in twijfel ge</w:t>
      </w:r>
      <w:r w:rsidR="000B1446">
        <w:rPr>
          <w:rFonts w:eastAsiaTheme="minorEastAsia"/>
          <w:kern w:val="0"/>
          <w:lang w:eastAsia="en-US" w:bidi="ar-SA"/>
        </w:rPr>
        <w:t>-</w:t>
      </w:r>
      <w:r w:rsidRPr="00D147A7">
        <w:rPr>
          <w:rFonts w:eastAsiaTheme="minorEastAsia"/>
          <w:kern w:val="0"/>
          <w:lang w:eastAsia="en-US" w:bidi="ar-SA"/>
        </w:rPr>
        <w:t xml:space="preserve">trokken wordt. Ziekenhuizen doen er verstandig aan om patiëntendossiers niet meteen na de substitutie te vernietigen, maar pas na een redelijke termijn (van </w:t>
      </w:r>
      <w:r w:rsidR="000B1446" w:rsidRPr="00D147A7">
        <w:rPr>
          <w:rFonts w:eastAsiaTheme="minorEastAsia"/>
          <w:kern w:val="0"/>
          <w:lang w:eastAsia="en-US" w:bidi="ar-SA"/>
        </w:rPr>
        <w:t xml:space="preserve">bijv. </w:t>
      </w:r>
      <w:r w:rsidRPr="00D147A7">
        <w:rPr>
          <w:rFonts w:eastAsiaTheme="minorEastAsia"/>
          <w:kern w:val="0"/>
          <w:lang w:eastAsia="en-US" w:bidi="ar-SA"/>
        </w:rPr>
        <w:t>vijf jaar</w:t>
      </w:r>
      <w:r w:rsidRPr="00D147A7">
        <w:rPr>
          <w:rFonts w:eastAsiaTheme="minorEastAsia"/>
          <w:kern w:val="0"/>
          <w:vertAlign w:val="superscript"/>
          <w:lang w:eastAsia="en-US" w:bidi="ar-SA"/>
        </w:rPr>
        <w:footnoteReference w:id="1411"/>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Om de authenticiteit en de integriteit van een archiefstuk tijdens het substitutieproces te bewa</w:t>
      </w:r>
      <w:r w:rsidR="000B1446">
        <w:rPr>
          <w:rFonts w:eastAsiaTheme="minorEastAsia"/>
          <w:kern w:val="0"/>
          <w:lang w:eastAsia="en-US" w:bidi="ar-SA"/>
        </w:rPr>
        <w:t>-</w:t>
      </w:r>
      <w:r w:rsidRPr="00D147A7">
        <w:rPr>
          <w:rFonts w:eastAsiaTheme="minorEastAsia"/>
          <w:kern w:val="0"/>
          <w:lang w:eastAsia="en-US" w:bidi="ar-SA"/>
        </w:rPr>
        <w:t>ren, moet de procedure beschreven worden én moeten technische metadata aan het digitale document worden toegevoegd.</w:t>
      </w:r>
      <w:r w:rsidRPr="00D147A7">
        <w:rPr>
          <w:rFonts w:eastAsiaTheme="minorEastAsia"/>
          <w:kern w:val="0"/>
          <w:vertAlign w:val="superscript"/>
          <w:lang w:eastAsia="en-US" w:bidi="ar-SA"/>
        </w:rPr>
        <w:footnoteReference w:id="1412"/>
      </w:r>
      <w:r w:rsidRPr="00D147A7">
        <w:rPr>
          <w:rFonts w:eastAsiaTheme="minorEastAsia"/>
          <w:kern w:val="0"/>
          <w:lang w:eastAsia="en-US" w:bidi="ar-SA"/>
        </w:rPr>
        <w:t xml:space="preserve"> De maatregelen die getroffen werden om de gegevensdra</w:t>
      </w:r>
      <w:r w:rsidR="000B1446">
        <w:rPr>
          <w:rFonts w:eastAsiaTheme="minorEastAsia"/>
          <w:kern w:val="0"/>
          <w:lang w:eastAsia="en-US" w:bidi="ar-SA"/>
        </w:rPr>
        <w:t>-</w:t>
      </w:r>
      <w:r w:rsidRPr="00D147A7">
        <w:rPr>
          <w:rFonts w:eastAsiaTheme="minorEastAsia"/>
          <w:kern w:val="0"/>
          <w:lang w:eastAsia="en-US" w:bidi="ar-SA"/>
        </w:rPr>
        <w:t>gers van archiefbescheiden op ‘behoorlijke wijze’ – i.e. zonder informatieverlies – te substitu</w:t>
      </w:r>
      <w:r w:rsidR="000B1446">
        <w:rPr>
          <w:rFonts w:eastAsiaTheme="minorEastAsia"/>
          <w:kern w:val="0"/>
          <w:lang w:eastAsia="en-US" w:bidi="ar-SA"/>
        </w:rPr>
        <w:t>-</w:t>
      </w:r>
      <w:r w:rsidRPr="00D147A7">
        <w:rPr>
          <w:rFonts w:eastAsiaTheme="minorEastAsia"/>
          <w:kern w:val="0"/>
          <w:lang w:eastAsia="en-US" w:bidi="ar-SA"/>
        </w:rPr>
        <w:t>eren, moeten in het bijzonder worden vastgelegd. Op die manier kunnen reproducties de ori</w:t>
      </w:r>
      <w:r w:rsidR="000B1446">
        <w:rPr>
          <w:rFonts w:eastAsiaTheme="minorEastAsia"/>
          <w:kern w:val="0"/>
          <w:lang w:eastAsia="en-US" w:bidi="ar-SA"/>
        </w:rPr>
        <w:t>-</w:t>
      </w:r>
      <w:r w:rsidRPr="00D147A7">
        <w:rPr>
          <w:rFonts w:eastAsiaTheme="minorEastAsia"/>
          <w:kern w:val="0"/>
          <w:lang w:eastAsia="en-US" w:bidi="ar-SA"/>
        </w:rPr>
        <w:t xml:space="preserve">ginelen één op één vervangen </w:t>
      </w:r>
      <w:r w:rsidR="000B1446">
        <w:rPr>
          <w:rFonts w:eastAsiaTheme="minorEastAsia"/>
          <w:kern w:val="0"/>
          <w:lang w:eastAsia="en-US" w:bidi="ar-SA"/>
        </w:rPr>
        <w:t xml:space="preserve">worden </w:t>
      </w:r>
      <w:r w:rsidRPr="00D147A7">
        <w:rPr>
          <w:rFonts w:eastAsiaTheme="minorEastAsia"/>
          <w:kern w:val="0"/>
          <w:lang w:eastAsia="en-US" w:bidi="ar-SA"/>
        </w:rPr>
        <w:t xml:space="preserve">en </w:t>
      </w:r>
      <w:r w:rsidR="000B1446">
        <w:rPr>
          <w:rFonts w:eastAsiaTheme="minorEastAsia"/>
          <w:kern w:val="0"/>
          <w:lang w:eastAsia="en-US" w:bidi="ar-SA"/>
        </w:rPr>
        <w:t>mogen</w:t>
      </w:r>
      <w:r w:rsidRPr="00D147A7">
        <w:rPr>
          <w:rFonts w:eastAsiaTheme="minorEastAsia"/>
          <w:kern w:val="0"/>
          <w:lang w:eastAsia="en-US" w:bidi="ar-SA"/>
        </w:rPr>
        <w:t xml:space="preserve"> de originele papieren bescheiden vernietigd worden. Omdat gescande documenten ‘statisch’ (en daarom niet altijd even makkelijk raad</w:t>
      </w:r>
      <w:r w:rsidR="000B1446">
        <w:rPr>
          <w:rFonts w:eastAsiaTheme="minorEastAsia"/>
          <w:kern w:val="0"/>
          <w:lang w:eastAsia="en-US" w:bidi="ar-SA"/>
        </w:rPr>
        <w:t>-</w:t>
      </w:r>
      <w:r w:rsidRPr="00D147A7">
        <w:rPr>
          <w:rFonts w:eastAsiaTheme="minorEastAsia"/>
          <w:kern w:val="0"/>
          <w:lang w:eastAsia="en-US" w:bidi="ar-SA"/>
        </w:rPr>
        <w:t xml:space="preserve">pleegbaar) zijn, is </w:t>
      </w:r>
      <w:r w:rsidR="000B1446">
        <w:rPr>
          <w:rFonts w:eastAsiaTheme="minorEastAsia"/>
          <w:kern w:val="0"/>
          <w:lang w:eastAsia="en-US" w:bidi="ar-SA"/>
        </w:rPr>
        <w:t xml:space="preserve">het </w:t>
      </w:r>
      <w:r w:rsidRPr="00D147A7">
        <w:rPr>
          <w:rFonts w:eastAsiaTheme="minorEastAsia"/>
          <w:kern w:val="0"/>
          <w:lang w:eastAsia="en-US" w:bidi="ar-SA"/>
        </w:rPr>
        <w:t>verder ook aangewezen om belangrijke informatie over de geschiedenis van het document (</w:t>
      </w:r>
      <w:r w:rsidRPr="00D147A7">
        <w:rPr>
          <w:rFonts w:eastAsiaTheme="minorEastAsia"/>
          <w:i/>
          <w:kern w:val="0"/>
          <w:lang w:eastAsia="en-US" w:bidi="ar-SA"/>
        </w:rPr>
        <w:t>event history</w:t>
      </w:r>
      <w:r w:rsidRPr="00D147A7">
        <w:rPr>
          <w:rFonts w:eastAsiaTheme="minorEastAsia"/>
          <w:kern w:val="0"/>
          <w:lang w:eastAsia="en-US" w:bidi="ar-SA"/>
        </w:rPr>
        <w:t>) in de vorm van technische metadata aan het elektronisch patiëntendossier toe te voegen. Er moet o.m. worden aangegeven wanneer het digitale docu</w:t>
      </w:r>
      <w:r w:rsidR="000B1446">
        <w:rPr>
          <w:rFonts w:eastAsiaTheme="minorEastAsia"/>
          <w:kern w:val="0"/>
          <w:lang w:eastAsia="en-US" w:bidi="ar-SA"/>
        </w:rPr>
        <w:t>-</w:t>
      </w:r>
      <w:r w:rsidRPr="00D147A7">
        <w:rPr>
          <w:rFonts w:eastAsiaTheme="minorEastAsia"/>
          <w:kern w:val="0"/>
          <w:lang w:eastAsia="en-US" w:bidi="ar-SA"/>
        </w:rPr>
        <w:t>ment ontstaan is (authenticiteit) en welke wijzigingen het document heeft ondergaan (integri</w:t>
      </w:r>
      <w:r w:rsidR="000B1446">
        <w:rPr>
          <w:rFonts w:eastAsiaTheme="minorEastAsia"/>
          <w:kern w:val="0"/>
          <w:lang w:eastAsia="en-US" w:bidi="ar-SA"/>
        </w:rPr>
        <w:t>-</w:t>
      </w:r>
      <w:r w:rsidRPr="00D147A7">
        <w:rPr>
          <w:rFonts w:eastAsiaTheme="minorEastAsia"/>
          <w:kern w:val="0"/>
          <w:lang w:eastAsia="en-US" w:bidi="ar-SA"/>
        </w:rPr>
        <w:t xml:space="preserve">teit). De combinatie van deze onderdelen biedt een zekere garantie van authenticiteit. Dat </w:t>
      </w:r>
      <w:r w:rsidRPr="00D147A7">
        <w:rPr>
          <w:rFonts w:eastAsiaTheme="minorEastAsia"/>
          <w:i/>
          <w:kern w:val="0"/>
          <w:lang w:eastAsia="en-US" w:bidi="ar-SA"/>
        </w:rPr>
        <w:t>het volstaat om de authenticiteit te vrijwaren als het digitaliseringsproces aan een externe onder</w:t>
      </w:r>
      <w:r w:rsidR="000B1446">
        <w:rPr>
          <w:rFonts w:eastAsiaTheme="minorEastAsia"/>
          <w:i/>
          <w:kern w:val="0"/>
          <w:lang w:eastAsia="en-US" w:bidi="ar-SA"/>
        </w:rPr>
        <w:t>-</w:t>
      </w:r>
      <w:r w:rsidRPr="00D147A7">
        <w:rPr>
          <w:rFonts w:eastAsiaTheme="minorEastAsia"/>
          <w:i/>
          <w:kern w:val="0"/>
          <w:lang w:eastAsia="en-US" w:bidi="ar-SA"/>
        </w:rPr>
        <w:t>neming uitbesteed wordt</w:t>
      </w:r>
      <w:r w:rsidRPr="00D147A7">
        <w:rPr>
          <w:rFonts w:eastAsiaTheme="minorEastAsia"/>
          <w:kern w:val="0"/>
          <w:vertAlign w:val="superscript"/>
          <w:lang w:eastAsia="en-US" w:bidi="ar-SA"/>
        </w:rPr>
        <w:footnoteReference w:id="1413"/>
      </w:r>
      <w:r w:rsidRPr="00D147A7">
        <w:rPr>
          <w:rFonts w:eastAsiaTheme="minorEastAsia"/>
          <w:kern w:val="0"/>
          <w:lang w:eastAsia="en-US" w:bidi="ar-SA"/>
        </w:rPr>
        <w:t xml:space="preserve">, biedt in de praktijk op zich geen voldoende waarborg. Het kan echter wel bijdragen aan de garantie van authenticiteit: van een in substitutie </w:t>
      </w:r>
      <w:r w:rsidR="009E735B" w:rsidRPr="00D147A7">
        <w:rPr>
          <w:rFonts w:eastAsiaTheme="minorEastAsia"/>
          <w:kern w:val="0"/>
          <w:lang w:eastAsia="en-US" w:bidi="ar-SA"/>
        </w:rPr>
        <w:t>gespecialiseerd</w:t>
      </w:r>
      <w:r w:rsidR="009E735B">
        <w:rPr>
          <w:rFonts w:eastAsiaTheme="minorEastAsia"/>
          <w:kern w:val="0"/>
          <w:lang w:eastAsia="en-US" w:bidi="ar-SA"/>
        </w:rPr>
        <w:t>e</w:t>
      </w:r>
      <w:r w:rsidR="009E735B" w:rsidRPr="00D147A7">
        <w:rPr>
          <w:rFonts w:eastAsiaTheme="minorEastAsia"/>
          <w:kern w:val="0"/>
          <w:lang w:eastAsia="en-US" w:bidi="ar-SA"/>
        </w:rPr>
        <w:t xml:space="preserve"> onderneming </w:t>
      </w:r>
      <w:r w:rsidRPr="00D147A7">
        <w:rPr>
          <w:rFonts w:eastAsiaTheme="minorEastAsia"/>
          <w:kern w:val="0"/>
          <w:lang w:eastAsia="en-US" w:bidi="ar-SA"/>
        </w:rPr>
        <w:t xml:space="preserve">kan </w:t>
      </w:r>
      <w:r w:rsidR="009E735B">
        <w:rPr>
          <w:rFonts w:eastAsiaTheme="minorEastAsia"/>
          <w:kern w:val="0"/>
          <w:lang w:eastAsia="en-US" w:bidi="ar-SA"/>
        </w:rPr>
        <w:t>immers verwacht worden</w:t>
      </w:r>
      <w:r w:rsidRPr="00D147A7">
        <w:rPr>
          <w:rFonts w:eastAsiaTheme="minorEastAsia"/>
          <w:kern w:val="0"/>
          <w:lang w:eastAsia="en-US" w:bidi="ar-SA"/>
        </w:rPr>
        <w:t xml:space="preserve"> dat zij weet hoe het substitutieproces moet wor</w:t>
      </w:r>
      <w:r w:rsidR="009E735B">
        <w:rPr>
          <w:rFonts w:eastAsiaTheme="minorEastAsia"/>
          <w:kern w:val="0"/>
          <w:lang w:eastAsia="en-US" w:bidi="ar-SA"/>
        </w:rPr>
        <w:t>-</w:t>
      </w:r>
      <w:r w:rsidRPr="00D147A7">
        <w:rPr>
          <w:rFonts w:eastAsiaTheme="minorEastAsia"/>
          <w:kern w:val="0"/>
          <w:lang w:eastAsia="en-US" w:bidi="ar-SA"/>
        </w:rPr>
        <w:t xml:space="preserve">den ingericht zodat er geen informatieverlies </w:t>
      </w:r>
      <w:r w:rsidR="009E735B">
        <w:rPr>
          <w:rFonts w:eastAsiaTheme="minorEastAsia"/>
          <w:kern w:val="0"/>
          <w:lang w:eastAsia="en-US" w:bidi="ar-SA"/>
        </w:rPr>
        <w:t>optreedt</w:t>
      </w:r>
      <w:r w:rsidRPr="00D147A7">
        <w:rPr>
          <w:rFonts w:eastAsiaTheme="minorEastAsia"/>
          <w:kern w:val="0"/>
          <w:lang w:eastAsia="en-US" w:bidi="ar-SA"/>
        </w:rPr>
        <w:t>.</w:t>
      </w:r>
    </w:p>
    <w:p w:rsidR="000F560E" w:rsidRPr="00D147A7" w:rsidRDefault="000F560E" w:rsidP="000F560E">
      <w:pPr>
        <w:widowControl/>
        <w:suppressAutoHyphens w:val="0"/>
        <w:autoSpaceDE w:val="0"/>
        <w:autoSpaceDN w:val="0"/>
        <w:adjustRightInd w:val="0"/>
        <w:jc w:val="both"/>
        <w:rPr>
          <w:rFonts w:eastAsiaTheme="minorEastAsia"/>
          <w:bCs/>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t>2. Tijdens of na beëindiging bewaartermijn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Alle ziekenhuizen doen er goed aan om de vernietiging van hun patiëntendossiers aan een ge</w:t>
      </w:r>
      <w:r w:rsidR="009E735B">
        <w:rPr>
          <w:rFonts w:eastAsiaTheme="minorEastAsia"/>
          <w:kern w:val="0"/>
          <w:lang w:eastAsia="en-US" w:bidi="ar-SA"/>
        </w:rPr>
        <w:t>-</w:t>
      </w:r>
      <w:r w:rsidRPr="00D147A7">
        <w:rPr>
          <w:rFonts w:eastAsiaTheme="minorEastAsia"/>
          <w:kern w:val="0"/>
          <w:lang w:eastAsia="en-US" w:bidi="ar-SA"/>
        </w:rPr>
        <w:t>specialiseerd archiefvernietigingsbedrijf uit te besteden. Deze bedrijven garanderen dat de be</w:t>
      </w:r>
      <w:r w:rsidR="009E735B">
        <w:rPr>
          <w:rFonts w:eastAsiaTheme="minorEastAsia"/>
          <w:kern w:val="0"/>
          <w:lang w:eastAsia="en-US" w:bidi="ar-SA"/>
        </w:rPr>
        <w:t>-</w:t>
      </w:r>
      <w:r w:rsidRPr="00D147A7">
        <w:rPr>
          <w:rFonts w:eastAsiaTheme="minorEastAsia"/>
          <w:kern w:val="0"/>
          <w:lang w:eastAsia="en-US" w:bidi="ar-SA"/>
        </w:rPr>
        <w:t xml:space="preserve">scheiden daadwerkelijk en met de nodige zorgvuldigheid </w:t>
      </w:r>
      <w:r w:rsidR="009E735B" w:rsidRPr="00D147A7">
        <w:rPr>
          <w:rFonts w:eastAsiaTheme="minorEastAsia"/>
          <w:kern w:val="0"/>
          <w:lang w:eastAsia="en-US" w:bidi="ar-SA"/>
        </w:rPr>
        <w:t xml:space="preserve">vernietigd </w:t>
      </w:r>
      <w:r w:rsidRPr="00D147A7">
        <w:rPr>
          <w:rFonts w:eastAsiaTheme="minorEastAsia"/>
          <w:kern w:val="0"/>
          <w:lang w:eastAsia="en-US" w:bidi="ar-SA"/>
        </w:rPr>
        <w:t>worden. Overheidsinstel</w:t>
      </w:r>
      <w:r w:rsidR="009E735B">
        <w:rPr>
          <w:rFonts w:eastAsiaTheme="minorEastAsia"/>
          <w:kern w:val="0"/>
          <w:lang w:eastAsia="en-US" w:bidi="ar-SA"/>
        </w:rPr>
        <w:t>-</w:t>
      </w:r>
      <w:r w:rsidRPr="00D147A7">
        <w:rPr>
          <w:rFonts w:eastAsiaTheme="minorEastAsia"/>
          <w:kern w:val="0"/>
          <w:lang w:eastAsia="en-US" w:bidi="ar-SA"/>
        </w:rPr>
        <w:t>lingen (</w:t>
      </w:r>
      <w:r w:rsidR="009E735B">
        <w:rPr>
          <w:rFonts w:eastAsiaTheme="minorEastAsia"/>
          <w:kern w:val="0"/>
          <w:lang w:eastAsia="en-US" w:bidi="ar-SA"/>
        </w:rPr>
        <w:t>met inbegrip van openbare ziekenhuizen</w:t>
      </w:r>
      <w:r w:rsidRPr="00D147A7">
        <w:rPr>
          <w:rFonts w:eastAsiaTheme="minorEastAsia"/>
          <w:kern w:val="0"/>
          <w:lang w:eastAsia="en-US" w:bidi="ar-SA"/>
        </w:rPr>
        <w:t>) zijn immers wettelijk verplicht om archief</w:t>
      </w:r>
      <w:r w:rsidR="009E735B">
        <w:rPr>
          <w:rFonts w:eastAsiaTheme="minorEastAsia"/>
          <w:kern w:val="0"/>
          <w:lang w:eastAsia="en-US" w:bidi="ar-SA"/>
        </w:rPr>
        <w:t>-</w:t>
      </w:r>
      <w:r w:rsidRPr="00D147A7">
        <w:rPr>
          <w:rFonts w:eastAsiaTheme="minorEastAsia"/>
          <w:kern w:val="0"/>
          <w:lang w:eastAsia="en-US" w:bidi="ar-SA"/>
        </w:rPr>
        <w:t>bescheiden aan het einde van hun (in de selectielijst vastgestelde) bewaartermijnen te vernieti</w:t>
      </w:r>
      <w:r w:rsidR="009E735B">
        <w:rPr>
          <w:rFonts w:eastAsiaTheme="minorEastAsia"/>
          <w:kern w:val="0"/>
          <w:lang w:eastAsia="en-US" w:bidi="ar-SA"/>
        </w:rPr>
        <w:t>-</w:t>
      </w:r>
      <w:r w:rsidRPr="00D147A7">
        <w:rPr>
          <w:rFonts w:eastAsiaTheme="minorEastAsia"/>
          <w:kern w:val="0"/>
          <w:lang w:eastAsia="en-US" w:bidi="ar-SA"/>
        </w:rPr>
        <w:lastRenderedPageBreak/>
        <w:t>gen.</w:t>
      </w:r>
      <w:r w:rsidRPr="00D147A7">
        <w:rPr>
          <w:rFonts w:eastAsiaTheme="minorEastAsia"/>
          <w:kern w:val="0"/>
          <w:vertAlign w:val="superscript"/>
          <w:lang w:eastAsia="en-US" w:bidi="ar-SA"/>
        </w:rPr>
        <w:footnoteReference w:id="1414"/>
      </w:r>
      <w:r w:rsidRPr="00D147A7">
        <w:rPr>
          <w:rFonts w:eastAsiaTheme="minorEastAsia"/>
          <w:kern w:val="0"/>
          <w:lang w:eastAsia="en-US" w:bidi="ar-SA"/>
        </w:rPr>
        <w:t xml:space="preserve"> Sinds 1 oktober 2010 besteden de meeste Nederlandse overheidsinstellingen de ver</w:t>
      </w:r>
      <w:r w:rsidR="009E735B">
        <w:rPr>
          <w:rFonts w:eastAsiaTheme="minorEastAsia"/>
          <w:kern w:val="0"/>
          <w:lang w:eastAsia="en-US" w:bidi="ar-SA"/>
        </w:rPr>
        <w:t>-</w:t>
      </w:r>
      <w:r w:rsidRPr="00D147A7">
        <w:rPr>
          <w:rFonts w:eastAsiaTheme="minorEastAsia"/>
          <w:kern w:val="0"/>
          <w:lang w:eastAsia="en-US" w:bidi="ar-SA"/>
        </w:rPr>
        <w:t>nietiging van papieren archieven aan Reisswolf Nederland BV uit</w:t>
      </w:r>
      <w:r w:rsidRPr="00D147A7">
        <w:rPr>
          <w:rFonts w:eastAsiaTheme="minorEastAsia"/>
          <w:kern w:val="0"/>
          <w:vertAlign w:val="superscript"/>
          <w:lang w:eastAsia="en-US" w:bidi="ar-SA"/>
        </w:rPr>
        <w:footnoteReference w:id="1415"/>
      </w:r>
      <w:r w:rsidRPr="00D147A7">
        <w:rPr>
          <w:rFonts w:eastAsiaTheme="minorEastAsia"/>
          <w:kern w:val="0"/>
          <w:lang w:eastAsia="en-US" w:bidi="ar-SA"/>
        </w:rPr>
        <w:t xml:space="preserve"> en worden digitale op</w:t>
      </w:r>
      <w:r w:rsidR="009E735B">
        <w:rPr>
          <w:rFonts w:eastAsiaTheme="minorEastAsia"/>
          <w:kern w:val="0"/>
          <w:lang w:eastAsia="en-US" w:bidi="ar-SA"/>
        </w:rPr>
        <w:t>-</w:t>
      </w:r>
      <w:r w:rsidRPr="00D147A7">
        <w:rPr>
          <w:rFonts w:eastAsiaTheme="minorEastAsia"/>
          <w:kern w:val="0"/>
          <w:lang w:eastAsia="en-US" w:bidi="ar-SA"/>
        </w:rPr>
        <w:t>slagmedia door de Dienst Domeinen vernietigd.</w:t>
      </w:r>
      <w:r w:rsidRPr="00D147A7">
        <w:rPr>
          <w:rFonts w:eastAsiaTheme="minorEastAsia"/>
          <w:kern w:val="0"/>
          <w:vertAlign w:val="superscript"/>
          <w:lang w:eastAsia="en-US" w:bidi="ar-SA"/>
        </w:rPr>
        <w:footnoteReference w:id="1416"/>
      </w:r>
      <w:r w:rsidRPr="00D147A7">
        <w:rPr>
          <w:rFonts w:eastAsiaTheme="minorEastAsia"/>
          <w:kern w:val="0"/>
          <w:lang w:eastAsia="en-US" w:bidi="ar-SA"/>
        </w:rPr>
        <w:t xml:space="preserve"> Toch hebben deze twee bedrijven geen monopolie. Zo </w:t>
      </w:r>
      <w:r w:rsidR="009E735B">
        <w:rPr>
          <w:rFonts w:eastAsiaTheme="minorEastAsia"/>
          <w:kern w:val="0"/>
          <w:lang w:eastAsia="en-US" w:bidi="ar-SA"/>
        </w:rPr>
        <w:t>prefereren</w:t>
      </w:r>
      <w:r w:rsidRPr="00D147A7">
        <w:rPr>
          <w:rFonts w:eastAsiaTheme="minorEastAsia"/>
          <w:kern w:val="0"/>
          <w:lang w:eastAsia="en-US" w:bidi="ar-SA"/>
        </w:rPr>
        <w:t xml:space="preserve"> de Ministeries van Defensie en van Algemene Zaken </w:t>
      </w:r>
      <w:r w:rsidR="009E735B" w:rsidRPr="00D147A7">
        <w:rPr>
          <w:rFonts w:eastAsiaTheme="minorEastAsia"/>
          <w:kern w:val="0"/>
          <w:lang w:eastAsia="en-US" w:bidi="ar-SA"/>
        </w:rPr>
        <w:t xml:space="preserve">bijvoorbeeld </w:t>
      </w:r>
      <w:r w:rsidRPr="00D147A7">
        <w:rPr>
          <w:rFonts w:eastAsiaTheme="minorEastAsia"/>
          <w:kern w:val="0"/>
          <w:lang w:eastAsia="en-US" w:bidi="ar-SA"/>
        </w:rPr>
        <w:t xml:space="preserve">om zelf hun archiefbescheiden te vernietigen.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vernietiging van archiefbescheiden houdt in dat de gegevensdragers een zodanige verwer</w:t>
      </w:r>
      <w:r w:rsidR="009E735B">
        <w:rPr>
          <w:rFonts w:eastAsiaTheme="minorEastAsia"/>
          <w:kern w:val="0"/>
          <w:lang w:eastAsia="en-US" w:bidi="ar-SA"/>
        </w:rPr>
        <w:t>-</w:t>
      </w:r>
      <w:r w:rsidRPr="00D147A7">
        <w:rPr>
          <w:rFonts w:eastAsiaTheme="minorEastAsia"/>
          <w:kern w:val="0"/>
          <w:lang w:eastAsia="en-US" w:bidi="ar-SA"/>
        </w:rPr>
        <w:t>king ondergaan, dat de informatie niet meer gelezen of gereconstrueerd kan worden.</w:t>
      </w:r>
      <w:r w:rsidRPr="00D147A7">
        <w:rPr>
          <w:rFonts w:eastAsiaTheme="minorEastAsia"/>
          <w:kern w:val="0"/>
          <w:vertAlign w:val="superscript"/>
          <w:lang w:eastAsia="en-US" w:bidi="ar-SA"/>
        </w:rPr>
        <w:footnoteReference w:id="1417"/>
      </w:r>
      <w:r w:rsidRPr="00D147A7">
        <w:rPr>
          <w:rFonts w:eastAsiaTheme="minorEastAsia"/>
          <w:kern w:val="0"/>
          <w:lang w:eastAsia="en-US" w:bidi="ar-SA"/>
        </w:rPr>
        <w:t xml:space="preserve"> Pa</w:t>
      </w:r>
      <w:r w:rsidR="009E735B">
        <w:rPr>
          <w:rFonts w:eastAsiaTheme="minorEastAsia"/>
          <w:kern w:val="0"/>
          <w:lang w:eastAsia="en-US" w:bidi="ar-SA"/>
        </w:rPr>
        <w:t>-</w:t>
      </w:r>
      <w:r w:rsidRPr="00D147A7">
        <w:rPr>
          <w:rFonts w:eastAsiaTheme="minorEastAsia"/>
          <w:kern w:val="0"/>
          <w:lang w:eastAsia="en-US" w:bidi="ar-SA"/>
        </w:rPr>
        <w:t xml:space="preserve">pieren archiefstukken worden meestal door verbranding of versnippering vernietigd. Om 100% zeker te zijn dat gegevens op digitale opslagmedia definitief worden vernietigd, moet de hardware fysiek vernietigd worden en het residu gerecycleerd worden. Daarom verkoopt de Dienst Domeinen sinds 1 juli 2010 geen geschoonde desk- en laptops meer, maar vernietigt </w:t>
      </w:r>
      <w:r w:rsidR="009E735B">
        <w:rPr>
          <w:rFonts w:eastAsiaTheme="minorEastAsia"/>
          <w:kern w:val="0"/>
          <w:lang w:eastAsia="en-US" w:bidi="ar-SA"/>
        </w:rPr>
        <w:t>de</w:t>
      </w:r>
      <w:r w:rsidRPr="00D147A7">
        <w:rPr>
          <w:rFonts w:eastAsiaTheme="minorEastAsia"/>
          <w:kern w:val="0"/>
          <w:lang w:eastAsia="en-US" w:bidi="ar-SA"/>
        </w:rPr>
        <w:t xml:space="preserve">ze via een </w:t>
      </w:r>
      <w:r w:rsidRPr="00D147A7">
        <w:rPr>
          <w:rFonts w:eastAsiaTheme="minorEastAsia"/>
          <w:i/>
          <w:kern w:val="0"/>
          <w:lang w:eastAsia="en-US" w:bidi="ar-SA"/>
        </w:rPr>
        <w:t>shredder</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18"/>
      </w:r>
      <w:r w:rsidRPr="00D147A7">
        <w:rPr>
          <w:rFonts w:eastAsiaTheme="minorEastAsia"/>
          <w:kern w:val="0"/>
          <w:lang w:eastAsia="en-US" w:bidi="ar-SA"/>
        </w:rPr>
        <w:t xml:space="preserve"> Hierboven werd reeds vermeld dat voor iedere vernietigingsopera</w:t>
      </w:r>
      <w:r w:rsidR="009E735B">
        <w:rPr>
          <w:rFonts w:eastAsiaTheme="minorEastAsia"/>
          <w:kern w:val="0"/>
          <w:lang w:eastAsia="en-US" w:bidi="ar-SA"/>
        </w:rPr>
        <w:t>-</w:t>
      </w:r>
      <w:r w:rsidRPr="00D147A7">
        <w:rPr>
          <w:rFonts w:eastAsiaTheme="minorEastAsia"/>
          <w:kern w:val="0"/>
          <w:lang w:eastAsia="en-US" w:bidi="ar-SA"/>
        </w:rPr>
        <w:t>tie een verklaring moet worden opgesteld, waarin de vernietigde bescheiden gespecifieerd worden, evenals de grond en de wijze waarop ze vernietigd werden.</w:t>
      </w:r>
      <w:r w:rsidRPr="00D147A7">
        <w:rPr>
          <w:rFonts w:eastAsiaTheme="minorEastAsia"/>
          <w:kern w:val="0"/>
          <w:vertAlign w:val="superscript"/>
          <w:lang w:eastAsia="en-US" w:bidi="ar-SA"/>
        </w:rPr>
        <w:footnoteReference w:id="1419"/>
      </w:r>
      <w:r w:rsidRPr="00D147A7">
        <w:rPr>
          <w:rFonts w:eastAsiaTheme="minorEastAsia"/>
          <w:kern w:val="0"/>
          <w:lang w:eastAsia="en-US" w:bidi="ar-SA"/>
        </w:rPr>
        <w:t xml:space="preserve"> </w:t>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jc w:val="both"/>
        <w:rPr>
          <w:rFonts w:eastAsiaTheme="minorEastAsia"/>
          <w:smallCaps/>
          <w:kern w:val="0"/>
          <w:lang w:eastAsia="en-US" w:bidi="ar-SA"/>
        </w:rPr>
      </w:pPr>
      <w:r w:rsidRPr="00D147A7">
        <w:rPr>
          <w:rFonts w:eastAsiaTheme="minorEastAsia"/>
          <w:smallCaps/>
          <w:kern w:val="0"/>
          <w:lang w:eastAsia="en-US" w:bidi="ar-SA"/>
        </w:rPr>
        <w:t>5.4 Frankrijk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firstLine="708"/>
        <w:jc w:val="both"/>
        <w:rPr>
          <w:rFonts w:eastAsiaTheme="minorEastAsia"/>
          <w:b/>
          <w:kern w:val="0"/>
          <w:lang w:eastAsia="en-US" w:bidi="ar-SA"/>
        </w:rPr>
      </w:pPr>
      <w:r w:rsidRPr="00D147A7">
        <w:rPr>
          <w:rFonts w:eastAsiaTheme="minorEastAsia"/>
          <w:b/>
          <w:kern w:val="0"/>
          <w:lang w:eastAsia="en-US" w:bidi="ar-SA"/>
        </w:rPr>
        <w:t>Hoofdstuk 1: Inleiding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vraag of openbare ziekenhuisarchieven onder het toepassingsgebied van de archiefwet res</w:t>
      </w:r>
      <w:r w:rsidR="009E735B">
        <w:rPr>
          <w:rFonts w:eastAsiaTheme="minorEastAsia"/>
          <w:kern w:val="0"/>
          <w:lang w:eastAsia="en-US" w:bidi="ar-SA"/>
        </w:rPr>
        <w:t>-</w:t>
      </w:r>
      <w:r w:rsidRPr="00D147A7">
        <w:rPr>
          <w:rFonts w:eastAsiaTheme="minorEastAsia"/>
          <w:kern w:val="0"/>
          <w:lang w:eastAsia="en-US" w:bidi="ar-SA"/>
        </w:rPr>
        <w:t>sorteren, is in Frankrijk niet aan de orde. Omdat openbare ziekenhuizen – en verzorgingsin</w:t>
      </w:r>
      <w:r w:rsidR="009E735B">
        <w:rPr>
          <w:rFonts w:eastAsiaTheme="minorEastAsia"/>
          <w:kern w:val="0"/>
          <w:lang w:eastAsia="en-US" w:bidi="ar-SA"/>
        </w:rPr>
        <w:t>-</w:t>
      </w:r>
      <w:r w:rsidRPr="00D147A7">
        <w:rPr>
          <w:rFonts w:eastAsiaTheme="minorEastAsia"/>
          <w:kern w:val="0"/>
          <w:lang w:eastAsia="en-US" w:bidi="ar-SA"/>
        </w:rPr>
        <w:t>stellingen in het algemeen</w:t>
      </w:r>
      <w:r w:rsidRPr="00D147A7">
        <w:rPr>
          <w:rFonts w:eastAsiaTheme="minorEastAsia"/>
          <w:kern w:val="0"/>
          <w:vertAlign w:val="superscript"/>
          <w:lang w:eastAsia="en-US" w:bidi="ar-SA"/>
        </w:rPr>
        <w:footnoteReference w:id="1420"/>
      </w:r>
      <w:r w:rsidRPr="00D147A7">
        <w:rPr>
          <w:rFonts w:eastAsiaTheme="minorEastAsia"/>
          <w:kern w:val="0"/>
          <w:lang w:eastAsia="en-US" w:bidi="ar-SA"/>
        </w:rPr>
        <w:t xml:space="preserve"> – </w:t>
      </w:r>
      <w:r w:rsidR="009E735B" w:rsidRPr="00D147A7">
        <w:rPr>
          <w:rFonts w:eastAsiaTheme="minorEastAsia"/>
          <w:kern w:val="0"/>
          <w:lang w:eastAsia="en-US" w:bidi="ar-SA"/>
        </w:rPr>
        <w:t xml:space="preserve">in Frankrijk </w:t>
      </w:r>
      <w:r w:rsidRPr="00D147A7">
        <w:rPr>
          <w:rFonts w:eastAsiaTheme="minorEastAsia"/>
          <w:kern w:val="0"/>
          <w:lang w:eastAsia="en-US" w:bidi="ar-SA"/>
        </w:rPr>
        <w:t xml:space="preserve">een veel groter aandeel hebben </w:t>
      </w:r>
      <w:r w:rsidR="009E735B">
        <w:rPr>
          <w:rFonts w:eastAsiaTheme="minorEastAsia"/>
          <w:kern w:val="0"/>
          <w:lang w:eastAsia="en-US" w:bidi="ar-SA"/>
        </w:rPr>
        <w:t>dan</w:t>
      </w:r>
      <w:r w:rsidRPr="00D147A7">
        <w:rPr>
          <w:rFonts w:eastAsiaTheme="minorEastAsia"/>
          <w:kern w:val="0"/>
          <w:lang w:eastAsia="en-US" w:bidi="ar-SA"/>
        </w:rPr>
        <w:t xml:space="preserve"> in België en Nederland, heeft de wetgever reeds in een zeer vroeg stadium een specifieke regeling voor deze archieven getroffen. In een bijlage van het besluit van 11 maart 1968 betreffende regle</w:t>
      </w:r>
      <w:r w:rsidR="009E735B">
        <w:rPr>
          <w:rFonts w:eastAsiaTheme="minorEastAsia"/>
          <w:kern w:val="0"/>
          <w:lang w:eastAsia="en-US" w:bidi="ar-SA"/>
        </w:rPr>
        <w:t>-</w:t>
      </w:r>
      <w:r w:rsidRPr="00D147A7">
        <w:rPr>
          <w:rFonts w:eastAsiaTheme="minorEastAsia"/>
          <w:kern w:val="0"/>
          <w:lang w:eastAsia="en-US" w:bidi="ar-SA"/>
        </w:rPr>
        <w:t>ment van ziekenhuisarchieven werd een selectielijst voor openbare ziekenhuizen</w:t>
      </w:r>
      <w:r w:rsidR="009E735B" w:rsidRPr="009E735B">
        <w:rPr>
          <w:rFonts w:eastAsiaTheme="minorEastAsia"/>
          <w:kern w:val="0"/>
          <w:lang w:eastAsia="en-US" w:bidi="ar-SA"/>
        </w:rPr>
        <w:t xml:space="preserve"> </w:t>
      </w:r>
      <w:r w:rsidR="009E735B" w:rsidRPr="00D147A7">
        <w:rPr>
          <w:rFonts w:eastAsiaTheme="minorEastAsia"/>
          <w:kern w:val="0"/>
          <w:lang w:eastAsia="en-US" w:bidi="ar-SA"/>
        </w:rPr>
        <w:t>opgenomen</w:t>
      </w:r>
      <w:r w:rsidRPr="00D147A7">
        <w:rPr>
          <w:rFonts w:eastAsiaTheme="minorEastAsia"/>
          <w:kern w:val="0"/>
          <w:lang w:eastAsia="en-US" w:bidi="ar-SA"/>
        </w:rPr>
        <w:t>. In verschillende rondzendbrieven werden voorstellen gedaan om deze selectielijst voor de ad</w:t>
      </w:r>
      <w:r w:rsidR="009E735B">
        <w:rPr>
          <w:rFonts w:eastAsiaTheme="minorEastAsia"/>
          <w:kern w:val="0"/>
          <w:lang w:eastAsia="en-US" w:bidi="ar-SA"/>
        </w:rPr>
        <w:t>-</w:t>
      </w:r>
      <w:r w:rsidRPr="00D147A7">
        <w:rPr>
          <w:rFonts w:eastAsiaTheme="minorEastAsia"/>
          <w:kern w:val="0"/>
          <w:lang w:eastAsia="en-US" w:bidi="ar-SA"/>
        </w:rPr>
        <w:t>ministratieve archieven van openbare ziekenhuizen te actualiseren.</w:t>
      </w:r>
      <w:r w:rsidRPr="00D147A7">
        <w:rPr>
          <w:rFonts w:eastAsiaTheme="minorEastAsia"/>
          <w:kern w:val="0"/>
          <w:vertAlign w:val="superscript"/>
          <w:lang w:eastAsia="en-US" w:bidi="ar-SA"/>
        </w:rPr>
        <w:footnoteReference w:id="1421"/>
      </w:r>
      <w:r w:rsidRPr="00D147A7">
        <w:rPr>
          <w:rFonts w:eastAsiaTheme="minorEastAsia"/>
          <w:kern w:val="0"/>
          <w:lang w:eastAsia="en-US" w:bidi="ar-SA"/>
        </w:rPr>
        <w:t xml:space="preserve"> Omdat deze rondzen</w:t>
      </w:r>
      <w:r w:rsidR="009E735B">
        <w:rPr>
          <w:rFonts w:eastAsiaTheme="minorEastAsia"/>
          <w:kern w:val="0"/>
          <w:lang w:eastAsia="en-US" w:bidi="ar-SA"/>
        </w:rPr>
        <w:t>d-</w:t>
      </w:r>
      <w:r w:rsidRPr="00D147A7">
        <w:rPr>
          <w:rFonts w:eastAsiaTheme="minorEastAsia"/>
          <w:kern w:val="0"/>
          <w:lang w:eastAsia="en-US" w:bidi="ar-SA"/>
        </w:rPr>
        <w:t xml:space="preserve">brieven evenwel niet alle ziekenhuisactiviteiten dekken, zou een nieuwe selectielijst opgesteld </w:t>
      </w:r>
      <w:r w:rsidR="009E735B" w:rsidRPr="00D147A7">
        <w:rPr>
          <w:rFonts w:eastAsiaTheme="minorEastAsia"/>
          <w:kern w:val="0"/>
          <w:lang w:eastAsia="en-US" w:bidi="ar-SA"/>
        </w:rPr>
        <w:t xml:space="preserve">moeten worden </w:t>
      </w:r>
      <w:r w:rsidRPr="00D147A7">
        <w:rPr>
          <w:rFonts w:eastAsiaTheme="minorEastAsia"/>
          <w:kern w:val="0"/>
          <w:lang w:eastAsia="en-US" w:bidi="ar-SA"/>
        </w:rPr>
        <w:t xml:space="preserve">om deze leemte op te vullen. </w:t>
      </w:r>
    </w:p>
    <w:p w:rsidR="000F560E" w:rsidRPr="00D147A7" w:rsidRDefault="000F560E" w:rsidP="000F560E">
      <w:pPr>
        <w:widowControl/>
        <w:suppressAutoHyphens w:val="0"/>
        <w:jc w:val="both"/>
        <w:rPr>
          <w:rFonts w:eastAsiaTheme="minorEastAsia"/>
          <w:i/>
          <w:kern w:val="0"/>
          <w:lang w:eastAsia="en-US" w:bidi="ar-SA"/>
        </w:rPr>
      </w:pPr>
    </w:p>
    <w:p w:rsidR="000F560E" w:rsidRPr="00D147A7" w:rsidRDefault="000F560E" w:rsidP="000F560E">
      <w:pPr>
        <w:widowControl/>
        <w:suppressAutoHyphens w:val="0"/>
        <w:jc w:val="both"/>
        <w:rPr>
          <w:rFonts w:eastAsiaTheme="minorEastAsia"/>
          <w:i/>
          <w:kern w:val="0"/>
          <w:lang w:eastAsia="en-US" w:bidi="ar-SA"/>
        </w:rPr>
      </w:pPr>
      <w:r w:rsidRPr="00D147A7">
        <w:rPr>
          <w:rFonts w:eastAsiaTheme="minorEastAsia"/>
          <w:kern w:val="0"/>
          <w:lang w:eastAsia="en-US" w:bidi="ar-SA"/>
        </w:rPr>
        <w:lastRenderedPageBreak/>
        <w:t>Beslissingen m.b.t. de selectie van openbare ziekenhuisarchieven worden geval door het zie</w:t>
      </w:r>
      <w:r w:rsidR="009E735B">
        <w:rPr>
          <w:rFonts w:eastAsiaTheme="minorEastAsia"/>
          <w:kern w:val="0"/>
          <w:lang w:eastAsia="en-US" w:bidi="ar-SA"/>
        </w:rPr>
        <w:t>-</w:t>
      </w:r>
      <w:r w:rsidRPr="00D147A7">
        <w:rPr>
          <w:rFonts w:eastAsiaTheme="minorEastAsia"/>
          <w:kern w:val="0"/>
          <w:lang w:eastAsia="en-US" w:bidi="ar-SA"/>
        </w:rPr>
        <w:t xml:space="preserve">kenhuis en het Franse Rijksarchief </w:t>
      </w:r>
      <w:r w:rsidR="009E735B">
        <w:rPr>
          <w:rFonts w:eastAsiaTheme="minorEastAsia"/>
          <w:kern w:val="0"/>
          <w:lang w:eastAsia="en-US" w:bidi="ar-SA"/>
        </w:rPr>
        <w:t>getroffen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22"/>
      </w:r>
      <w:r w:rsidRPr="00D147A7">
        <w:rPr>
          <w:rFonts w:eastAsiaTheme="minorEastAsia"/>
          <w:kern w:val="0"/>
          <w:lang w:eastAsia="en-US" w:bidi="ar-SA"/>
        </w:rPr>
        <w:t xml:space="preserve"> </w:t>
      </w:r>
      <w:r w:rsidRPr="00D147A7">
        <w:rPr>
          <w:rFonts w:eastAsiaTheme="minorEastAsia"/>
          <w:i/>
          <w:kern w:val="0"/>
          <w:lang w:eastAsia="en-US" w:bidi="ar-SA"/>
        </w:rPr>
        <w:t xml:space="preserve">Worden nader bepaald door de betrokken administratie in samenspraak met de Direction des Archives de France: </w:t>
      </w:r>
      <w:r w:rsidRPr="00D147A7">
        <w:rPr>
          <w:rFonts w:eastAsiaTheme="minorEastAsia"/>
          <w:kern w:val="0"/>
          <w:lang w:eastAsia="en-US" w:bidi="ar-SA"/>
        </w:rPr>
        <w:t>(...)</w:t>
      </w:r>
      <w:r w:rsidRPr="00D147A7">
        <w:rPr>
          <w:rFonts w:eastAsiaTheme="minorEastAsia"/>
          <w:i/>
          <w:kern w:val="0"/>
          <w:lang w:eastAsia="en-US" w:bidi="ar-SA"/>
        </w:rPr>
        <w:t xml:space="preserve"> de definitieve bestemming aan het einde van de bewaartermijn, met name:</w:t>
      </w:r>
    </w:p>
    <w:p w:rsidR="000F560E" w:rsidRPr="00D147A7" w:rsidRDefault="000F560E" w:rsidP="000F560E">
      <w:pPr>
        <w:widowControl/>
        <w:suppressAutoHyphens w:val="0"/>
        <w:jc w:val="both"/>
        <w:rPr>
          <w:rFonts w:eastAsiaTheme="minorEastAsia"/>
          <w:i/>
          <w:kern w:val="0"/>
          <w:lang w:eastAsia="en-US" w:bidi="ar-SA"/>
        </w:rPr>
      </w:pPr>
      <w:r w:rsidRPr="00D147A7">
        <w:rPr>
          <w:rFonts w:eastAsiaTheme="minorEastAsia"/>
          <w:i/>
          <w:kern w:val="0"/>
          <w:lang w:eastAsia="en-US" w:bidi="ar-SA"/>
        </w:rPr>
        <w:t>a) Onmiddellijke vernietiging of op termijn, integraal of gedeeltelijk, met of zonder selectie;</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b) Overdracht, als statisch archief naar een archiefbewaarplaats onder de Direction des Ar</w:t>
      </w:r>
      <w:r w:rsidR="009E735B">
        <w:rPr>
          <w:rFonts w:eastAsiaTheme="minorEastAsia"/>
          <w:i/>
          <w:kern w:val="0"/>
          <w:lang w:eastAsia="en-US" w:bidi="ar-SA"/>
        </w:rPr>
        <w:t>-</w:t>
      </w:r>
      <w:r w:rsidRPr="00D147A7">
        <w:rPr>
          <w:rFonts w:eastAsiaTheme="minorEastAsia"/>
          <w:i/>
          <w:kern w:val="0"/>
          <w:lang w:eastAsia="en-US" w:bidi="ar-SA"/>
        </w:rPr>
        <w:t>chives de France of aan diens controle onderworpen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23"/>
      </w:r>
    </w:p>
    <w:tbl>
      <w:tblPr>
        <w:tblpPr w:leftFromText="141" w:rightFromText="141" w:vertAnchor="text" w:horzAnchor="margin" w:tblpY="170"/>
        <w:tblW w:w="9568" w:type="dxa"/>
        <w:tblCellMar>
          <w:left w:w="70" w:type="dxa"/>
          <w:right w:w="70" w:type="dxa"/>
        </w:tblCellMar>
        <w:tblLook w:val="04A0" w:firstRow="1" w:lastRow="0" w:firstColumn="1" w:lastColumn="0" w:noHBand="0" w:noVBand="1"/>
      </w:tblPr>
      <w:tblGrid>
        <w:gridCol w:w="383"/>
        <w:gridCol w:w="3656"/>
        <w:gridCol w:w="845"/>
        <w:gridCol w:w="2416"/>
        <w:gridCol w:w="2268"/>
      </w:tblGrid>
      <w:tr w:rsidR="000F560E" w:rsidRPr="00D147A7" w:rsidTr="004721B1">
        <w:trPr>
          <w:trHeight w:val="300"/>
        </w:trPr>
        <w:tc>
          <w:tcPr>
            <w:tcW w:w="383"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 </w:t>
            </w:r>
          </w:p>
        </w:tc>
        <w:tc>
          <w:tcPr>
            <w:tcW w:w="3656"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Soort instelling</w:t>
            </w:r>
          </w:p>
        </w:tc>
        <w:tc>
          <w:tcPr>
            <w:tcW w:w="845"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Aantal</w:t>
            </w:r>
          </w:p>
        </w:tc>
        <w:tc>
          <w:tcPr>
            <w:tcW w:w="2416"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Bedden (hospitalisatie-capaciteit)</w:t>
            </w:r>
          </w:p>
        </w:tc>
        <w:tc>
          <w:tcPr>
            <w:tcW w:w="2268"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Plaatsen (ambulante capaciteit)</w:t>
            </w:r>
          </w:p>
        </w:tc>
      </w:tr>
      <w:tr w:rsidR="000F560E" w:rsidRPr="00D147A7" w:rsidTr="004721B1">
        <w:trPr>
          <w:trHeight w:val="300"/>
        </w:trPr>
        <w:tc>
          <w:tcPr>
            <w:tcW w:w="383" w:type="dxa"/>
            <w:vMerge w:val="restart"/>
            <w:tcBorders>
              <w:top w:val="nil"/>
              <w:left w:val="single" w:sz="4" w:space="0" w:color="auto"/>
              <w:bottom w:val="single" w:sz="4" w:space="0" w:color="auto"/>
              <w:right w:val="single" w:sz="4" w:space="0" w:color="auto"/>
            </w:tcBorders>
            <w:shd w:val="clear" w:color="000000" w:fill="000000"/>
            <w:textDirection w:val="btLr"/>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r w:rsidRPr="00D147A7">
              <w:rPr>
                <w:rFonts w:eastAsia="Times New Roman"/>
                <w:b/>
                <w:smallCaps/>
                <w:color w:val="FFFFFF"/>
                <w:kern w:val="0"/>
                <w:sz w:val="20"/>
                <w:szCs w:val="20"/>
                <w:lang w:eastAsia="nl-BE" w:bidi="ar-SA"/>
              </w:rPr>
              <w:t>Openbaar</w:t>
            </w: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val="fr-BE" w:eastAsia="nl-BE" w:bidi="ar-SA"/>
              </w:rPr>
            </w:pPr>
            <w:r w:rsidRPr="00D147A7">
              <w:rPr>
                <w:rFonts w:eastAsia="Times New Roman"/>
                <w:i/>
                <w:color w:val="000000"/>
                <w:kern w:val="0"/>
                <w:sz w:val="20"/>
                <w:szCs w:val="20"/>
                <w:lang w:val="fr-BE" w:eastAsia="nl-BE" w:bidi="ar-SA"/>
              </w:rPr>
              <w:t>Centre hospitalier régional</w:t>
            </w:r>
            <w:r w:rsidRPr="00D147A7">
              <w:rPr>
                <w:rFonts w:eastAsia="Times New Roman"/>
                <w:color w:val="000000"/>
                <w:kern w:val="0"/>
                <w:sz w:val="20"/>
                <w:szCs w:val="20"/>
                <w:lang w:val="fr-BE" w:eastAsia="nl-BE" w:bidi="ar-SA"/>
              </w:rPr>
              <w:t xml:space="preserve"> (CHR) en </w:t>
            </w:r>
            <w:r w:rsidRPr="00D147A7">
              <w:rPr>
                <w:rFonts w:eastAsia="Times New Roman"/>
                <w:i/>
                <w:color w:val="000000"/>
                <w:kern w:val="0"/>
                <w:sz w:val="20"/>
                <w:szCs w:val="20"/>
                <w:lang w:val="fr-BE" w:eastAsia="nl-BE" w:bidi="ar-SA"/>
              </w:rPr>
              <w:t>Hôpital dépendant d'un Centre hospitalier regional universitaire</w:t>
            </w:r>
            <w:r w:rsidRPr="00D147A7">
              <w:rPr>
                <w:rFonts w:eastAsia="Times New Roman"/>
                <w:color w:val="000000"/>
                <w:kern w:val="0"/>
                <w:sz w:val="20"/>
                <w:szCs w:val="20"/>
                <w:lang w:val="fr-BE" w:eastAsia="nl-BE" w:bidi="ar-SA"/>
              </w:rPr>
              <w:t xml:space="preserve"> (CHU)</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31</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79154</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7720</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i/>
                <w:color w:val="000000"/>
                <w:kern w:val="0"/>
                <w:sz w:val="20"/>
                <w:szCs w:val="20"/>
                <w:lang w:eastAsia="nl-BE" w:bidi="ar-SA"/>
              </w:rPr>
              <w:t>Centre hospitalier</w:t>
            </w:r>
            <w:r w:rsidRPr="00D147A7">
              <w:rPr>
                <w:rFonts w:eastAsia="Times New Roman"/>
                <w:color w:val="000000"/>
                <w:kern w:val="0"/>
                <w:sz w:val="20"/>
                <w:szCs w:val="20"/>
                <w:lang w:eastAsia="nl-BE" w:bidi="ar-SA"/>
              </w:rPr>
              <w:t xml:space="preserve"> (CH)</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511</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155713</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13233</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Centre hospitalier spécialisé en psychiatrie</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90</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28019</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14369</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eastAsia="nl-BE" w:bidi="ar-SA"/>
              </w:rPr>
            </w:pPr>
            <w:r w:rsidRPr="00D147A7">
              <w:rPr>
                <w:rFonts w:eastAsia="Times New Roman"/>
                <w:i/>
                <w:color w:val="000000"/>
                <w:kern w:val="0"/>
                <w:sz w:val="20"/>
                <w:szCs w:val="20"/>
                <w:lang w:eastAsia="nl-BE" w:bidi="ar-SA"/>
              </w:rPr>
              <w:t>Hôpital local</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334</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19610</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220</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Andere openbare verzorgingsinstellingen</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17</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1644</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163</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Totaal</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983</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284140</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35705</w:t>
            </w:r>
          </w:p>
        </w:tc>
      </w:tr>
      <w:tr w:rsidR="000F560E" w:rsidRPr="00D147A7" w:rsidTr="004721B1">
        <w:trPr>
          <w:trHeight w:val="300"/>
        </w:trPr>
        <w:tc>
          <w:tcPr>
            <w:tcW w:w="383" w:type="dxa"/>
            <w:tcBorders>
              <w:top w:val="nil"/>
              <w:left w:val="single" w:sz="4" w:space="0" w:color="auto"/>
              <w:bottom w:val="single" w:sz="4" w:space="0" w:color="auto"/>
              <w:right w:val="single" w:sz="4" w:space="0" w:color="auto"/>
            </w:tcBorders>
            <w:shd w:val="clear" w:color="000000" w:fill="000000"/>
            <w:noWrap/>
            <w:textDirection w:val="btLr"/>
            <w:vAlign w:val="bottom"/>
            <w:hideMark/>
          </w:tcPr>
          <w:p w:rsidR="000F560E" w:rsidRPr="00D147A7" w:rsidRDefault="000F560E" w:rsidP="000F560E">
            <w:pPr>
              <w:widowControl/>
              <w:suppressAutoHyphens w:val="0"/>
              <w:jc w:val="center"/>
              <w:rPr>
                <w:rFonts w:eastAsia="Times New Roman"/>
                <w:b/>
                <w:smallCaps/>
                <w:color w:val="000000"/>
                <w:kern w:val="0"/>
                <w:sz w:val="20"/>
                <w:szCs w:val="20"/>
                <w:lang w:eastAsia="nl-BE" w:bidi="ar-SA"/>
              </w:rPr>
            </w:pPr>
          </w:p>
        </w:tc>
        <w:tc>
          <w:tcPr>
            <w:tcW w:w="3656" w:type="dxa"/>
            <w:tcBorders>
              <w:top w:val="nil"/>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 </w:t>
            </w:r>
          </w:p>
        </w:tc>
        <w:tc>
          <w:tcPr>
            <w:tcW w:w="845" w:type="dxa"/>
            <w:tcBorders>
              <w:top w:val="nil"/>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p>
        </w:tc>
        <w:tc>
          <w:tcPr>
            <w:tcW w:w="2416" w:type="dxa"/>
            <w:tcBorders>
              <w:top w:val="nil"/>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p>
        </w:tc>
        <w:tc>
          <w:tcPr>
            <w:tcW w:w="2268" w:type="dxa"/>
            <w:tcBorders>
              <w:top w:val="nil"/>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p>
        </w:tc>
      </w:tr>
      <w:tr w:rsidR="000F560E" w:rsidRPr="00D147A7" w:rsidTr="004721B1">
        <w:trPr>
          <w:trHeight w:val="300"/>
        </w:trPr>
        <w:tc>
          <w:tcPr>
            <w:tcW w:w="383" w:type="dxa"/>
            <w:vMerge w:val="restart"/>
            <w:tcBorders>
              <w:top w:val="nil"/>
              <w:left w:val="single" w:sz="4" w:space="0" w:color="auto"/>
              <w:bottom w:val="single" w:sz="4" w:space="0" w:color="auto"/>
              <w:right w:val="single" w:sz="4" w:space="0" w:color="auto"/>
            </w:tcBorders>
            <w:shd w:val="clear" w:color="000000" w:fill="000000"/>
            <w:textDirection w:val="btLr"/>
            <w:vAlign w:val="center"/>
            <w:hideMark/>
          </w:tcPr>
          <w:p w:rsidR="000F560E" w:rsidRPr="00D147A7" w:rsidRDefault="000F560E" w:rsidP="000F560E">
            <w:pPr>
              <w:widowControl/>
              <w:suppressAutoHyphens w:val="0"/>
              <w:jc w:val="center"/>
              <w:rPr>
                <w:rFonts w:eastAsia="Times New Roman"/>
                <w:b/>
                <w:smallCaps/>
                <w:color w:val="FFFFFF"/>
                <w:kern w:val="0"/>
                <w:sz w:val="20"/>
                <w:szCs w:val="20"/>
                <w:lang w:eastAsia="nl-BE" w:bidi="ar-SA"/>
              </w:rPr>
            </w:pPr>
            <w:r w:rsidRPr="00D147A7">
              <w:rPr>
                <w:rFonts w:eastAsia="Times New Roman"/>
                <w:b/>
                <w:smallCaps/>
                <w:color w:val="FFFFFF"/>
                <w:kern w:val="0"/>
                <w:sz w:val="20"/>
                <w:szCs w:val="20"/>
                <w:lang w:eastAsia="nl-BE" w:bidi="ar-SA"/>
              </w:rPr>
              <w:t>Privé</w:t>
            </w: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Etablissements de soins de courte durée ou pluridisciplinaire</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750</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80807</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11992</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Centre de lutte contre le cancer</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20</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2846</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678</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Etablissement de lutte contre les maladies mentales</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237</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17822</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5145</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Etablissements de soins de suite et de réadaptation</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674</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47959</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4732</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i/>
                <w:color w:val="000000"/>
                <w:kern w:val="0"/>
                <w:sz w:val="20"/>
                <w:szCs w:val="20"/>
                <w:lang w:val="fr-BE" w:eastAsia="nl-BE" w:bidi="ar-SA"/>
              </w:rPr>
            </w:pPr>
            <w:r w:rsidRPr="00D147A7">
              <w:rPr>
                <w:rFonts w:eastAsia="Times New Roman"/>
                <w:i/>
                <w:color w:val="000000"/>
                <w:kern w:val="0"/>
                <w:sz w:val="20"/>
                <w:szCs w:val="20"/>
                <w:lang w:val="fr-BE" w:eastAsia="nl-BE" w:bidi="ar-SA"/>
              </w:rPr>
              <w:t>Etablissements de soins de longue durée</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84</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5181</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25</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Autre établissements privé</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36</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1672</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252</w:t>
            </w:r>
          </w:p>
        </w:tc>
      </w:tr>
      <w:tr w:rsidR="000F560E" w:rsidRPr="00D147A7" w:rsidTr="004721B1">
        <w:trPr>
          <w:trHeight w:val="300"/>
        </w:trPr>
        <w:tc>
          <w:tcPr>
            <w:tcW w:w="383" w:type="dxa"/>
            <w:vMerge/>
            <w:tcBorders>
              <w:top w:val="nil"/>
              <w:left w:val="single" w:sz="4" w:space="0" w:color="auto"/>
              <w:bottom w:val="single" w:sz="4" w:space="0" w:color="auto"/>
              <w:right w:val="single" w:sz="4" w:space="0" w:color="auto"/>
            </w:tcBorders>
            <w:vAlign w:val="center"/>
            <w:hideMark/>
          </w:tcPr>
          <w:p w:rsidR="000F560E" w:rsidRPr="00D147A7" w:rsidRDefault="000F560E" w:rsidP="000F560E">
            <w:pPr>
              <w:widowControl/>
              <w:suppressAutoHyphens w:val="0"/>
              <w:rPr>
                <w:rFonts w:eastAsia="Times New Roman"/>
                <w:color w:val="FFFFFF"/>
                <w:kern w:val="0"/>
                <w:sz w:val="20"/>
                <w:szCs w:val="20"/>
                <w:lang w:eastAsia="nl-BE" w:bidi="ar-SA"/>
              </w:rPr>
            </w:pPr>
          </w:p>
        </w:tc>
        <w:tc>
          <w:tcPr>
            <w:tcW w:w="365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Totaal</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1801</w:t>
            </w:r>
          </w:p>
        </w:tc>
        <w:tc>
          <w:tcPr>
            <w:tcW w:w="24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156287</w:t>
            </w:r>
          </w:p>
        </w:tc>
        <w:tc>
          <w:tcPr>
            <w:tcW w:w="2268"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22824</w:t>
            </w:r>
          </w:p>
        </w:tc>
      </w:tr>
    </w:tbl>
    <w:p w:rsidR="000F560E" w:rsidRDefault="000F560E" w:rsidP="009E735B">
      <w:pPr>
        <w:widowControl/>
        <w:suppressAutoHyphens w:val="0"/>
        <w:jc w:val="center"/>
        <w:rPr>
          <w:rFonts w:eastAsiaTheme="minorEastAsia"/>
          <w:kern w:val="0"/>
          <w:lang w:eastAsia="en-US" w:bidi="ar-SA"/>
        </w:rPr>
      </w:pPr>
      <w:r w:rsidRPr="00D147A7">
        <w:rPr>
          <w:rFonts w:eastAsiaTheme="minorEastAsia"/>
          <w:kern w:val="0"/>
          <w:lang w:eastAsia="en-US" w:bidi="ar-SA"/>
        </w:rPr>
        <w:t>Tabel 21: Capaciteit van de verschillende soorten verzorgingsinstellingen in Frankrijk anno 2008</w:t>
      </w:r>
      <w:r w:rsidRPr="00D147A7">
        <w:rPr>
          <w:rFonts w:eastAsiaTheme="minorEastAsia"/>
          <w:kern w:val="0"/>
          <w:vertAlign w:val="superscript"/>
          <w:lang w:eastAsia="en-US" w:bidi="ar-SA"/>
        </w:rPr>
        <w:footnoteReference w:id="1424"/>
      </w:r>
    </w:p>
    <w:p w:rsidR="009E735B" w:rsidRPr="00D147A7" w:rsidRDefault="009E735B" w:rsidP="009E735B">
      <w:pPr>
        <w:widowControl/>
        <w:suppressAutoHyphens w:val="0"/>
        <w:jc w:val="center"/>
        <w:rPr>
          <w:rFonts w:eastAsiaTheme="minorEastAsia"/>
          <w:kern w:val="0"/>
          <w:lang w:eastAsia="en-US" w:bidi="ar-SA"/>
        </w:rPr>
      </w:pPr>
    </w:p>
    <w:p w:rsidR="009E735B" w:rsidRDefault="009E735B">
      <w:r>
        <w:br w:type="page"/>
      </w:r>
    </w:p>
    <w:tbl>
      <w:tblPr>
        <w:tblpPr w:leftFromText="141" w:rightFromText="141" w:vertAnchor="text" w:horzAnchor="margin" w:tblpY="25"/>
        <w:tblW w:w="9372" w:type="dxa"/>
        <w:tblCellMar>
          <w:left w:w="70" w:type="dxa"/>
          <w:right w:w="70" w:type="dxa"/>
        </w:tblCellMar>
        <w:tblLook w:val="04A0" w:firstRow="1" w:lastRow="0" w:firstColumn="1" w:lastColumn="0" w:noHBand="0" w:noVBand="1"/>
      </w:tblPr>
      <w:tblGrid>
        <w:gridCol w:w="3660"/>
        <w:gridCol w:w="845"/>
        <w:gridCol w:w="2516"/>
        <w:gridCol w:w="2351"/>
      </w:tblGrid>
      <w:tr w:rsidR="000F560E" w:rsidRPr="00D147A7" w:rsidTr="004721B1">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p>
        </w:tc>
        <w:tc>
          <w:tcPr>
            <w:tcW w:w="845"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Aantal</w:t>
            </w:r>
          </w:p>
        </w:tc>
        <w:tc>
          <w:tcPr>
            <w:tcW w:w="2516"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Bedden (hospitalisatie-capaciteit)</w:t>
            </w:r>
          </w:p>
        </w:tc>
        <w:tc>
          <w:tcPr>
            <w:tcW w:w="2351" w:type="dxa"/>
            <w:tcBorders>
              <w:top w:val="single" w:sz="4" w:space="0" w:color="auto"/>
              <w:left w:val="nil"/>
              <w:bottom w:val="single" w:sz="4" w:space="0" w:color="auto"/>
              <w:right w:val="single" w:sz="4" w:space="0" w:color="auto"/>
            </w:tcBorders>
            <w:shd w:val="clear" w:color="000000" w:fill="000000"/>
            <w:noWrap/>
            <w:vAlign w:val="center"/>
            <w:hideMark/>
          </w:tcPr>
          <w:p w:rsidR="000F560E" w:rsidRPr="00D147A7" w:rsidRDefault="000F560E" w:rsidP="000F560E">
            <w:pPr>
              <w:widowControl/>
              <w:suppressAutoHyphens w:val="0"/>
              <w:jc w:val="center"/>
              <w:rPr>
                <w:rFonts w:eastAsia="Times New Roman"/>
                <w:b/>
                <w:bCs/>
                <w:smallCaps/>
                <w:color w:val="FFFFFF"/>
                <w:kern w:val="0"/>
                <w:sz w:val="20"/>
                <w:szCs w:val="20"/>
                <w:lang w:eastAsia="nl-BE" w:bidi="ar-SA"/>
              </w:rPr>
            </w:pPr>
            <w:r w:rsidRPr="00D147A7">
              <w:rPr>
                <w:rFonts w:eastAsia="Times New Roman"/>
                <w:b/>
                <w:bCs/>
                <w:smallCaps/>
                <w:color w:val="FFFFFF"/>
                <w:kern w:val="0"/>
                <w:sz w:val="20"/>
                <w:szCs w:val="20"/>
                <w:lang w:eastAsia="nl-BE" w:bidi="ar-SA"/>
              </w:rPr>
              <w:t>Plaatsen (ambulante capaciteit)</w:t>
            </w:r>
          </w:p>
        </w:tc>
      </w:tr>
      <w:tr w:rsidR="000F560E" w:rsidRPr="00D147A7" w:rsidTr="004721B1">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Openbare verzorgingsinstellingen</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983</w:t>
            </w:r>
          </w:p>
        </w:tc>
        <w:tc>
          <w:tcPr>
            <w:tcW w:w="25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284140</w:t>
            </w:r>
          </w:p>
        </w:tc>
        <w:tc>
          <w:tcPr>
            <w:tcW w:w="2351"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35705</w:t>
            </w:r>
          </w:p>
        </w:tc>
      </w:tr>
      <w:tr w:rsidR="000F560E" w:rsidRPr="00D147A7" w:rsidTr="004721B1">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Privaatrechtelijke verzorgingsinstellingen zonder winstoogmerk die openbare ziekenhuisdiensten verlenen (PSPH)</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539</w:t>
            </w:r>
          </w:p>
        </w:tc>
        <w:tc>
          <w:tcPr>
            <w:tcW w:w="25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49961</w:t>
            </w:r>
          </w:p>
        </w:tc>
        <w:tc>
          <w:tcPr>
            <w:tcW w:w="2351"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8177</w:t>
            </w:r>
          </w:p>
        </w:tc>
      </w:tr>
      <w:tr w:rsidR="000F560E" w:rsidRPr="00D147A7" w:rsidTr="004721B1">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Privaatrechtelijke verzorgingsinstellingen zonder winstoogmerk die geen openbare ziekenhuisdiensten verlenen</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215</w:t>
            </w:r>
          </w:p>
        </w:tc>
        <w:tc>
          <w:tcPr>
            <w:tcW w:w="25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11471</w:t>
            </w:r>
          </w:p>
        </w:tc>
        <w:tc>
          <w:tcPr>
            <w:tcW w:w="2351"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2334</w:t>
            </w:r>
          </w:p>
        </w:tc>
      </w:tr>
      <w:tr w:rsidR="000F560E" w:rsidRPr="00D147A7" w:rsidTr="004721B1">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Privaatrechtelijke verzorgingsinstellingen met winstoogmerk</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1047</w:t>
            </w:r>
          </w:p>
        </w:tc>
        <w:tc>
          <w:tcPr>
            <w:tcW w:w="25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94855</w:t>
            </w:r>
          </w:p>
        </w:tc>
        <w:tc>
          <w:tcPr>
            <w:tcW w:w="2351"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12313</w:t>
            </w:r>
          </w:p>
        </w:tc>
      </w:tr>
      <w:tr w:rsidR="000F560E" w:rsidRPr="00D147A7" w:rsidTr="004721B1">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Totaal</w:t>
            </w:r>
          </w:p>
        </w:tc>
        <w:tc>
          <w:tcPr>
            <w:tcW w:w="845"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2784</w:t>
            </w:r>
          </w:p>
        </w:tc>
        <w:tc>
          <w:tcPr>
            <w:tcW w:w="2516"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440427</w:t>
            </w:r>
          </w:p>
        </w:tc>
        <w:tc>
          <w:tcPr>
            <w:tcW w:w="2351" w:type="dxa"/>
            <w:tcBorders>
              <w:top w:val="nil"/>
              <w:left w:val="nil"/>
              <w:bottom w:val="single" w:sz="4" w:space="0" w:color="auto"/>
              <w:right w:val="single" w:sz="4" w:space="0" w:color="auto"/>
            </w:tcBorders>
            <w:shd w:val="clear" w:color="auto" w:fill="auto"/>
            <w:noWrap/>
            <w:vAlign w:val="center"/>
            <w:hideMark/>
          </w:tcPr>
          <w:p w:rsidR="000F560E" w:rsidRPr="00D147A7" w:rsidRDefault="000F560E" w:rsidP="000F560E">
            <w:pPr>
              <w:widowControl/>
              <w:suppressAutoHyphens w:val="0"/>
              <w:jc w:val="center"/>
              <w:rPr>
                <w:rFonts w:eastAsia="Times New Roman"/>
                <w:color w:val="000000"/>
                <w:kern w:val="0"/>
                <w:sz w:val="20"/>
                <w:szCs w:val="20"/>
                <w:lang w:eastAsia="nl-BE" w:bidi="ar-SA"/>
              </w:rPr>
            </w:pPr>
            <w:r w:rsidRPr="00D147A7">
              <w:rPr>
                <w:rFonts w:eastAsia="Times New Roman"/>
                <w:color w:val="000000"/>
                <w:kern w:val="0"/>
                <w:sz w:val="20"/>
                <w:szCs w:val="20"/>
                <w:lang w:eastAsia="nl-BE" w:bidi="ar-SA"/>
              </w:rPr>
              <w:t>58529</w:t>
            </w:r>
          </w:p>
        </w:tc>
      </w:tr>
    </w:tbl>
    <w:p w:rsidR="000F560E" w:rsidRPr="00D147A7" w:rsidRDefault="000F560E" w:rsidP="000F560E">
      <w:pPr>
        <w:widowControl/>
        <w:suppressAutoHyphens w:val="0"/>
        <w:jc w:val="center"/>
        <w:rPr>
          <w:rFonts w:eastAsiaTheme="minorHAnsi"/>
          <w:kern w:val="0"/>
          <w:lang w:eastAsia="en-US" w:bidi="ar-SA"/>
        </w:rPr>
      </w:pPr>
      <w:r w:rsidRPr="00D147A7">
        <w:rPr>
          <w:rFonts w:eastAsiaTheme="minorEastAsia"/>
          <w:kern w:val="0"/>
          <w:lang w:eastAsia="en-US" w:bidi="ar-SA"/>
        </w:rPr>
        <w:t>Tabel 22: Capaciteit van de verzorgingsinstellingen in Frankrijk per juridisch statuut en deelname aan de openbare ziekenhuisdienstverlening anno 2008</w:t>
      </w:r>
      <w:r w:rsidRPr="00D147A7">
        <w:rPr>
          <w:rFonts w:eastAsiaTheme="minorEastAsia"/>
          <w:kern w:val="0"/>
          <w:vertAlign w:val="superscript"/>
          <w:lang w:eastAsia="en-US" w:bidi="ar-SA"/>
        </w:rPr>
        <w:footnoteReference w:id="1425"/>
      </w:r>
      <w:r w:rsidRPr="00D147A7">
        <w:rPr>
          <w:rFonts w:eastAsiaTheme="minorEastAsia"/>
          <w:kern w:val="0"/>
          <w:lang w:eastAsia="en-US" w:bidi="ar-SA"/>
        </w:rPr>
        <w:fldChar w:fldCharType="begin"/>
      </w:r>
      <w:r w:rsidRPr="00D147A7">
        <w:rPr>
          <w:rFonts w:eastAsiaTheme="minorEastAsia"/>
          <w:kern w:val="0"/>
          <w:lang w:eastAsia="en-US" w:bidi="ar-SA"/>
        </w:rPr>
        <w:instrText xml:space="preserve"> LINK Excel.Sheet.12 "H:\\6. Overdracht\\Opênbare ziekenhuizen -Frankrijk.xlsx" Blad2!R19K3:R24K6 \a \f 4 \h  \* MERGEFORMAT </w:instrText>
      </w:r>
      <w:r w:rsidRPr="00D147A7">
        <w:rPr>
          <w:rFonts w:eastAsiaTheme="minorEastAsia"/>
          <w:kern w:val="0"/>
          <w:lang w:eastAsia="en-US" w:bidi="ar-SA"/>
        </w:rPr>
        <w:fldChar w:fldCharType="separate"/>
      </w:r>
    </w:p>
    <w:p w:rsidR="000F560E" w:rsidRPr="00D147A7" w:rsidRDefault="000F560E" w:rsidP="000F560E">
      <w:pPr>
        <w:widowControl/>
        <w:suppressAutoHyphens w:val="0"/>
        <w:rPr>
          <w:rFonts w:eastAsiaTheme="minorEastAsia"/>
          <w:kern w:val="0"/>
          <w:lang w:eastAsia="en-US" w:bidi="ar-SA"/>
        </w:rPr>
      </w:pPr>
      <w:r w:rsidRPr="00D147A7">
        <w:rPr>
          <w:rFonts w:eastAsiaTheme="minorEastAsia"/>
          <w:kern w:val="0"/>
          <w:lang w:eastAsia="en-US" w:bidi="ar-SA"/>
        </w:rPr>
        <w:t xml:space="preserve"> </w:t>
      </w:r>
      <w:r w:rsidRPr="00D147A7">
        <w:rPr>
          <w:rFonts w:eastAsiaTheme="minorEastAsia"/>
          <w:kern w:val="0"/>
          <w:lang w:eastAsia="en-US" w:bidi="ar-SA"/>
        </w:rPr>
        <w:fldChar w:fldCharType="end"/>
      </w:r>
    </w:p>
    <w:p w:rsidR="000F560E" w:rsidRPr="00D147A7" w:rsidRDefault="000F560E" w:rsidP="000F560E">
      <w:pPr>
        <w:widowControl/>
        <w:suppressAutoHyphens w:val="0"/>
        <w:ind w:firstLine="708"/>
        <w:rPr>
          <w:rFonts w:eastAsiaTheme="minorEastAsia"/>
          <w:b/>
          <w:kern w:val="0"/>
          <w:lang w:eastAsia="en-US" w:bidi="ar-SA"/>
        </w:rPr>
      </w:pPr>
      <w:r w:rsidRPr="00D147A7">
        <w:rPr>
          <w:rFonts w:eastAsiaTheme="minorEastAsia"/>
          <w:b/>
          <w:kern w:val="0"/>
          <w:lang w:eastAsia="en-US" w:bidi="ar-SA"/>
        </w:rPr>
        <w:t>Hoofdstuk 2: Overdracht</w:t>
      </w:r>
    </w:p>
    <w:p w:rsidR="000F560E" w:rsidRPr="00D147A7" w:rsidRDefault="000F560E" w:rsidP="000F560E">
      <w:pPr>
        <w:widowControl/>
        <w:suppressAutoHyphens w:val="0"/>
        <w:jc w:val="both"/>
        <w:rPr>
          <w:rFonts w:eastAsiaTheme="minorEastAsia"/>
          <w:kern w:val="0"/>
          <w:lang w:eastAsia="en-US" w:bidi="ar-SA"/>
        </w:rPr>
      </w:pPr>
    </w:p>
    <w:p w:rsidR="001624FB"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overdracht is een fysiek proces waarbij documenten overgedragen worden van de archief</w:t>
      </w:r>
      <w:r w:rsidR="009E735B">
        <w:rPr>
          <w:rFonts w:eastAsiaTheme="minorEastAsia"/>
          <w:kern w:val="0"/>
          <w:lang w:eastAsia="en-US" w:bidi="ar-SA"/>
        </w:rPr>
        <w:t>-</w:t>
      </w:r>
      <w:r w:rsidRPr="00D147A7">
        <w:rPr>
          <w:rFonts w:eastAsiaTheme="minorEastAsia"/>
          <w:kern w:val="0"/>
          <w:lang w:eastAsia="en-US" w:bidi="ar-SA"/>
        </w:rPr>
        <w:t>vormende dienst naar de archiefdienst die verantwoordelijk is voor de bewaring en ontslui</w:t>
      </w:r>
      <w:r w:rsidR="009E735B">
        <w:rPr>
          <w:rFonts w:eastAsiaTheme="minorEastAsia"/>
          <w:kern w:val="0"/>
          <w:lang w:eastAsia="en-US" w:bidi="ar-SA"/>
        </w:rPr>
        <w:t>-</w:t>
      </w:r>
      <w:r w:rsidRPr="00D147A7">
        <w:rPr>
          <w:rFonts w:eastAsiaTheme="minorEastAsia"/>
          <w:kern w:val="0"/>
          <w:lang w:eastAsia="en-US" w:bidi="ar-SA"/>
        </w:rPr>
        <w:t>ting. In deel 3 werd reeds besproken dat de bewaartermijnen van patiëntendossiers in het be</w:t>
      </w:r>
      <w:r w:rsidR="009E735B">
        <w:rPr>
          <w:rFonts w:eastAsiaTheme="minorEastAsia"/>
          <w:kern w:val="0"/>
          <w:lang w:eastAsia="en-US" w:bidi="ar-SA"/>
        </w:rPr>
        <w:t>-</w:t>
      </w:r>
      <w:r w:rsidRPr="00D147A7">
        <w:rPr>
          <w:rFonts w:eastAsiaTheme="minorEastAsia"/>
          <w:kern w:val="0"/>
          <w:lang w:eastAsia="en-US" w:bidi="ar-SA"/>
        </w:rPr>
        <w:t>sluit van 11 maart 1968 betreffende reglement van ziekenhuisarchieven in functie staan van de pathologieën (20 jaar, 70 jaar en permanent).</w:t>
      </w:r>
      <w:r w:rsidRPr="00D147A7">
        <w:rPr>
          <w:rFonts w:eastAsiaTheme="minorEastAsia"/>
          <w:kern w:val="0"/>
          <w:vertAlign w:val="superscript"/>
          <w:lang w:eastAsia="en-US" w:bidi="ar-SA"/>
        </w:rPr>
        <w:footnoteReference w:id="1426"/>
      </w:r>
      <w:r w:rsidRPr="00D147A7">
        <w:rPr>
          <w:rFonts w:eastAsiaTheme="minorEastAsia"/>
          <w:kern w:val="0"/>
          <w:lang w:eastAsia="en-US" w:bidi="ar-SA"/>
        </w:rPr>
        <w:t xml:space="preserve"> Alvorens de dossiers na deze bewaarter</w:t>
      </w:r>
      <w:r w:rsidR="009E735B">
        <w:rPr>
          <w:rFonts w:eastAsiaTheme="minorEastAsia"/>
          <w:kern w:val="0"/>
          <w:lang w:eastAsia="en-US" w:bidi="ar-SA"/>
        </w:rPr>
        <w:t>-</w:t>
      </w:r>
      <w:r w:rsidRPr="00D147A7">
        <w:rPr>
          <w:rFonts w:eastAsiaTheme="minorEastAsia"/>
          <w:kern w:val="0"/>
          <w:lang w:eastAsia="en-US" w:bidi="ar-SA"/>
        </w:rPr>
        <w:t>mijn vernietigd mo</w:t>
      </w:r>
      <w:r w:rsidR="001624FB">
        <w:rPr>
          <w:rFonts w:eastAsiaTheme="minorEastAsia"/>
          <w:kern w:val="0"/>
          <w:lang w:eastAsia="en-US" w:bidi="ar-SA"/>
        </w:rPr>
        <w:t>cht</w:t>
      </w:r>
      <w:r w:rsidRPr="00D147A7">
        <w:rPr>
          <w:rFonts w:eastAsiaTheme="minorEastAsia"/>
          <w:kern w:val="0"/>
          <w:lang w:eastAsia="en-US" w:bidi="ar-SA"/>
        </w:rPr>
        <w:t>en worden, w</w:t>
      </w:r>
      <w:r w:rsidR="001624FB">
        <w:rPr>
          <w:rFonts w:eastAsiaTheme="minorEastAsia"/>
          <w:kern w:val="0"/>
          <w:lang w:eastAsia="en-US" w:bidi="ar-SA"/>
        </w:rPr>
        <w:t>e</w:t>
      </w:r>
      <w:r w:rsidRPr="00D147A7">
        <w:rPr>
          <w:rFonts w:eastAsiaTheme="minorEastAsia"/>
          <w:kern w:val="0"/>
          <w:lang w:eastAsia="en-US" w:bidi="ar-SA"/>
        </w:rPr>
        <w:t>rd een chronologische selectie (d.m.v. steekproeven) uit</w:t>
      </w:r>
      <w:r w:rsidR="009E735B">
        <w:rPr>
          <w:rFonts w:eastAsiaTheme="minorEastAsia"/>
          <w:kern w:val="0"/>
          <w:lang w:eastAsia="en-US" w:bidi="ar-SA"/>
        </w:rPr>
        <w:t>-</w:t>
      </w:r>
      <w:r w:rsidRPr="00D147A7">
        <w:rPr>
          <w:rFonts w:eastAsiaTheme="minorEastAsia"/>
          <w:kern w:val="0"/>
          <w:lang w:eastAsia="en-US" w:bidi="ar-SA"/>
        </w:rPr>
        <w:t>gevoerd zodat een aantal bescheiden permanent voor historische, wetenschappelijke en/of sta</w:t>
      </w:r>
      <w:r w:rsidR="009E735B">
        <w:rPr>
          <w:rFonts w:eastAsiaTheme="minorEastAsia"/>
          <w:kern w:val="0"/>
          <w:lang w:eastAsia="en-US" w:bidi="ar-SA"/>
        </w:rPr>
        <w:t>-</w:t>
      </w:r>
      <w:r w:rsidRPr="00D147A7">
        <w:rPr>
          <w:rFonts w:eastAsiaTheme="minorEastAsia"/>
          <w:kern w:val="0"/>
          <w:lang w:eastAsia="en-US" w:bidi="ar-SA"/>
        </w:rPr>
        <w:t>tistische onderzoeksdoeleinden</w:t>
      </w:r>
      <w:r w:rsidR="009E735B" w:rsidRPr="009E735B">
        <w:rPr>
          <w:rFonts w:eastAsiaTheme="minorEastAsia"/>
          <w:kern w:val="0"/>
          <w:lang w:eastAsia="en-US" w:bidi="ar-SA"/>
        </w:rPr>
        <w:t xml:space="preserve"> </w:t>
      </w:r>
      <w:r w:rsidR="001624FB" w:rsidRPr="00D147A7">
        <w:rPr>
          <w:rFonts w:eastAsiaTheme="minorEastAsia"/>
          <w:kern w:val="0"/>
          <w:lang w:eastAsia="en-US" w:bidi="ar-SA"/>
        </w:rPr>
        <w:t>w</w:t>
      </w:r>
      <w:r w:rsidR="001624FB">
        <w:rPr>
          <w:rFonts w:eastAsiaTheme="minorEastAsia"/>
          <w:kern w:val="0"/>
          <w:lang w:eastAsia="en-US" w:bidi="ar-SA"/>
        </w:rPr>
        <w:t>e</w:t>
      </w:r>
      <w:r w:rsidR="001624FB" w:rsidRPr="00D147A7">
        <w:rPr>
          <w:rFonts w:eastAsiaTheme="minorEastAsia"/>
          <w:kern w:val="0"/>
          <w:lang w:eastAsia="en-US" w:bidi="ar-SA"/>
        </w:rPr>
        <w:t xml:space="preserve">rden </w:t>
      </w:r>
      <w:r w:rsidR="009E735B" w:rsidRPr="00D147A7">
        <w:rPr>
          <w:rFonts w:eastAsiaTheme="minorEastAsia"/>
          <w:kern w:val="0"/>
          <w:lang w:eastAsia="en-US" w:bidi="ar-SA"/>
        </w:rPr>
        <w:t>bewaard</w:t>
      </w:r>
      <w:r w:rsidRPr="00D147A7">
        <w:rPr>
          <w:rFonts w:eastAsiaTheme="minorEastAsia"/>
          <w:kern w:val="0"/>
          <w:lang w:eastAsia="en-US" w:bidi="ar-SA"/>
        </w:rPr>
        <w:t>. Aan de hand van de chronologische selec</w:t>
      </w:r>
      <w:r w:rsidR="009E735B">
        <w:rPr>
          <w:rFonts w:eastAsiaTheme="minorEastAsia"/>
          <w:kern w:val="0"/>
          <w:lang w:eastAsia="en-US" w:bidi="ar-SA"/>
        </w:rPr>
        <w:t>-</w:t>
      </w:r>
      <w:r w:rsidRPr="00D147A7">
        <w:rPr>
          <w:rFonts w:eastAsiaTheme="minorEastAsia"/>
          <w:kern w:val="0"/>
          <w:lang w:eastAsia="en-US" w:bidi="ar-SA"/>
        </w:rPr>
        <w:t>tiemethode w</w:t>
      </w:r>
      <w:r w:rsidR="001624FB">
        <w:rPr>
          <w:rFonts w:eastAsiaTheme="minorEastAsia"/>
          <w:kern w:val="0"/>
          <w:lang w:eastAsia="en-US" w:bidi="ar-SA"/>
        </w:rPr>
        <w:t>e</w:t>
      </w:r>
      <w:r w:rsidRPr="00D147A7">
        <w:rPr>
          <w:rFonts w:eastAsiaTheme="minorEastAsia"/>
          <w:kern w:val="0"/>
          <w:lang w:eastAsia="en-US" w:bidi="ar-SA"/>
        </w:rPr>
        <w:t xml:space="preserve">rden de patiëntendossiers bewaard die x aantal jaar geopend/afgesloten </w:t>
      </w:r>
      <w:r w:rsidR="001624FB">
        <w:rPr>
          <w:rFonts w:eastAsiaTheme="minorEastAsia"/>
          <w:kern w:val="0"/>
          <w:lang w:eastAsia="en-US" w:bidi="ar-SA"/>
        </w:rPr>
        <w:t>waren</w:t>
      </w:r>
      <w:r w:rsidRPr="00D147A7">
        <w:rPr>
          <w:rFonts w:eastAsiaTheme="minorEastAsia"/>
          <w:kern w:val="0"/>
          <w:lang w:eastAsia="en-US" w:bidi="ar-SA"/>
        </w:rPr>
        <w:t>. In theorie moe</w:t>
      </w:r>
      <w:r w:rsidR="001624FB">
        <w:rPr>
          <w:rFonts w:eastAsiaTheme="minorEastAsia"/>
          <w:kern w:val="0"/>
          <w:lang w:eastAsia="en-US" w:bidi="ar-SA"/>
        </w:rPr>
        <w:t>s</w:t>
      </w:r>
      <w:r w:rsidRPr="00D147A7">
        <w:rPr>
          <w:rFonts w:eastAsiaTheme="minorEastAsia"/>
          <w:kern w:val="0"/>
          <w:lang w:eastAsia="en-US" w:bidi="ar-SA"/>
        </w:rPr>
        <w:t>t één patiëntendossier op 250 bijgehouden</w:t>
      </w:r>
      <w:r w:rsidR="009E735B" w:rsidRPr="009E735B">
        <w:rPr>
          <w:rFonts w:eastAsiaTheme="minorEastAsia"/>
          <w:kern w:val="0"/>
          <w:lang w:eastAsia="en-US" w:bidi="ar-SA"/>
        </w:rPr>
        <w:t xml:space="preserve"> </w:t>
      </w:r>
      <w:r w:rsidR="009E735B" w:rsidRPr="00D147A7">
        <w:rPr>
          <w:rFonts w:eastAsiaTheme="minorEastAsia"/>
          <w:kern w:val="0"/>
          <w:lang w:eastAsia="en-US" w:bidi="ar-SA"/>
        </w:rPr>
        <w:t>worden</w:t>
      </w:r>
      <w:r w:rsidRPr="00D147A7">
        <w:rPr>
          <w:rFonts w:eastAsiaTheme="minorEastAsia"/>
          <w:kern w:val="0"/>
          <w:lang w:eastAsia="en-US" w:bidi="ar-SA"/>
        </w:rPr>
        <w:t xml:space="preserve">, al </w:t>
      </w:r>
      <w:r w:rsidR="009E735B">
        <w:rPr>
          <w:rFonts w:eastAsiaTheme="minorEastAsia"/>
          <w:kern w:val="0"/>
          <w:lang w:eastAsia="en-US" w:bidi="ar-SA"/>
        </w:rPr>
        <w:t>kr</w:t>
      </w:r>
      <w:r w:rsidR="00BF67CD">
        <w:rPr>
          <w:rFonts w:eastAsiaTheme="minorEastAsia"/>
          <w:kern w:val="0"/>
          <w:lang w:eastAsia="en-US" w:bidi="ar-SA"/>
        </w:rPr>
        <w:t>ee</w:t>
      </w:r>
      <w:r w:rsidR="009E735B">
        <w:rPr>
          <w:rFonts w:eastAsiaTheme="minorEastAsia"/>
          <w:kern w:val="0"/>
          <w:lang w:eastAsia="en-US" w:bidi="ar-SA"/>
        </w:rPr>
        <w:t>g</w:t>
      </w:r>
      <w:r w:rsidRPr="00D147A7">
        <w:rPr>
          <w:rFonts w:eastAsiaTheme="minorEastAsia"/>
          <w:kern w:val="0"/>
          <w:lang w:eastAsia="en-US" w:bidi="ar-SA"/>
        </w:rPr>
        <w:t xml:space="preserve"> d</w:t>
      </w:r>
      <w:r w:rsidR="009E735B">
        <w:rPr>
          <w:rFonts w:eastAsiaTheme="minorEastAsia"/>
          <w:kern w:val="0"/>
          <w:lang w:eastAsia="en-US" w:bidi="ar-SA"/>
        </w:rPr>
        <w:t>eze</w:t>
      </w:r>
      <w:r w:rsidRPr="00D147A7">
        <w:rPr>
          <w:rFonts w:eastAsiaTheme="minorEastAsia"/>
          <w:kern w:val="0"/>
          <w:lang w:eastAsia="en-US" w:bidi="ar-SA"/>
        </w:rPr>
        <w:t xml:space="preserve"> </w:t>
      </w:r>
      <w:r w:rsidR="009E735B">
        <w:rPr>
          <w:rFonts w:eastAsiaTheme="minorEastAsia"/>
          <w:kern w:val="0"/>
          <w:lang w:eastAsia="en-US" w:bidi="ar-SA"/>
        </w:rPr>
        <w:t xml:space="preserve">richtlijn </w:t>
      </w:r>
      <w:r w:rsidRPr="00D147A7">
        <w:rPr>
          <w:rFonts w:eastAsiaTheme="minorEastAsia"/>
          <w:kern w:val="0"/>
          <w:lang w:eastAsia="en-US" w:bidi="ar-SA"/>
        </w:rPr>
        <w:t xml:space="preserve">in de praktijk </w:t>
      </w:r>
      <w:r w:rsidR="009E735B">
        <w:rPr>
          <w:rFonts w:eastAsiaTheme="minorEastAsia"/>
          <w:kern w:val="0"/>
          <w:lang w:eastAsia="en-US" w:bidi="ar-SA"/>
        </w:rPr>
        <w:t>weinig tot geen navolging</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27"/>
      </w:r>
      <w:r w:rsidRPr="00D147A7">
        <w:rPr>
          <w:rFonts w:eastAsiaTheme="minorEastAsia"/>
          <w:kern w:val="0"/>
          <w:lang w:eastAsia="en-US" w:bidi="ar-SA"/>
        </w:rPr>
        <w:t xml:space="preserve"> Verder moe</w:t>
      </w:r>
      <w:r w:rsidR="00BF67CD">
        <w:rPr>
          <w:rFonts w:eastAsiaTheme="minorEastAsia"/>
          <w:kern w:val="0"/>
          <w:lang w:eastAsia="en-US" w:bidi="ar-SA"/>
        </w:rPr>
        <w:t>s</w:t>
      </w:r>
      <w:r w:rsidRPr="00D147A7">
        <w:rPr>
          <w:rFonts w:eastAsiaTheme="minorEastAsia"/>
          <w:kern w:val="0"/>
          <w:lang w:eastAsia="en-US" w:bidi="ar-SA"/>
        </w:rPr>
        <w:t xml:space="preserve">ten ook alle ziekenhuisarchieven ouder dan 100 jaar </w:t>
      </w:r>
      <w:r w:rsidR="00BF67CD">
        <w:rPr>
          <w:rFonts w:eastAsiaTheme="minorEastAsia"/>
          <w:kern w:val="0"/>
          <w:lang w:eastAsia="en-US" w:bidi="ar-SA"/>
        </w:rPr>
        <w:t xml:space="preserve">en </w:t>
      </w:r>
      <w:r w:rsidRPr="00D147A7">
        <w:rPr>
          <w:rFonts w:eastAsiaTheme="minorEastAsia"/>
          <w:kern w:val="0"/>
          <w:lang w:eastAsia="en-US" w:bidi="ar-SA"/>
        </w:rPr>
        <w:t>archieven die in een ziekenhuisarchiefdienst in gevaar verk</w:t>
      </w:r>
      <w:r w:rsidR="00BF67CD">
        <w:rPr>
          <w:rFonts w:eastAsiaTheme="minorEastAsia"/>
          <w:kern w:val="0"/>
          <w:lang w:eastAsia="en-US" w:bidi="ar-SA"/>
        </w:rPr>
        <w:t>e</w:t>
      </w:r>
      <w:r w:rsidRPr="00D147A7">
        <w:rPr>
          <w:rFonts w:eastAsiaTheme="minorEastAsia"/>
          <w:kern w:val="0"/>
          <w:lang w:eastAsia="en-US" w:bidi="ar-SA"/>
        </w:rPr>
        <w:t>er</w:t>
      </w:r>
      <w:r w:rsidR="00BF67CD">
        <w:rPr>
          <w:rFonts w:eastAsiaTheme="minorEastAsia"/>
          <w:kern w:val="0"/>
          <w:lang w:eastAsia="en-US" w:bidi="ar-SA"/>
        </w:rPr>
        <w:t>d</w:t>
      </w:r>
      <w:r w:rsidRPr="00D147A7">
        <w:rPr>
          <w:rFonts w:eastAsiaTheme="minorEastAsia"/>
          <w:kern w:val="0"/>
          <w:lang w:eastAsia="en-US" w:bidi="ar-SA"/>
        </w:rPr>
        <w:t>en</w:t>
      </w:r>
      <w:r w:rsidRPr="00D147A7">
        <w:rPr>
          <w:rFonts w:eastAsiaTheme="minorEastAsia"/>
          <w:kern w:val="0"/>
          <w:vertAlign w:val="superscript"/>
          <w:lang w:eastAsia="en-US" w:bidi="ar-SA"/>
        </w:rPr>
        <w:footnoteReference w:id="1428"/>
      </w:r>
      <w:r w:rsidRPr="00D147A7">
        <w:rPr>
          <w:rFonts w:eastAsiaTheme="minorEastAsia"/>
          <w:kern w:val="0"/>
          <w:lang w:eastAsia="en-US" w:bidi="ar-SA"/>
        </w:rPr>
        <w:t xml:space="preserve"> </w:t>
      </w:r>
      <w:r w:rsidR="009E735B">
        <w:rPr>
          <w:rFonts w:eastAsiaTheme="minorEastAsia"/>
          <w:kern w:val="0"/>
          <w:lang w:eastAsia="en-US" w:bidi="ar-SA"/>
        </w:rPr>
        <w:t>aan</w:t>
      </w:r>
      <w:r w:rsidRPr="00D147A7">
        <w:rPr>
          <w:rFonts w:eastAsiaTheme="minorEastAsia"/>
          <w:kern w:val="0"/>
          <w:lang w:eastAsia="en-US" w:bidi="ar-SA"/>
        </w:rPr>
        <w:t xml:space="preserve"> een Rijksarchief</w:t>
      </w:r>
      <w:r w:rsidR="009E735B">
        <w:rPr>
          <w:rFonts w:eastAsiaTheme="minorEastAsia"/>
          <w:kern w:val="0"/>
          <w:lang w:eastAsia="en-US" w:bidi="ar-SA"/>
        </w:rPr>
        <w:t>dienst</w:t>
      </w:r>
      <w:r w:rsidRPr="00D147A7">
        <w:rPr>
          <w:rFonts w:eastAsiaTheme="minorEastAsia"/>
          <w:kern w:val="0"/>
          <w:lang w:eastAsia="en-US" w:bidi="ar-SA"/>
        </w:rPr>
        <w:t xml:space="preserve"> </w:t>
      </w:r>
      <w:r w:rsidR="00BF67CD" w:rsidRPr="00D147A7">
        <w:rPr>
          <w:rFonts w:eastAsiaTheme="minorEastAsia"/>
          <w:kern w:val="0"/>
          <w:lang w:eastAsia="en-US" w:bidi="ar-SA"/>
        </w:rPr>
        <w:t xml:space="preserve">worden </w:t>
      </w:r>
      <w:r w:rsidRPr="00D147A7">
        <w:rPr>
          <w:rFonts w:eastAsiaTheme="minorEastAsia"/>
          <w:kern w:val="0"/>
          <w:lang w:eastAsia="en-US" w:bidi="ar-SA"/>
        </w:rPr>
        <w:t xml:space="preserve">overgedragen. Als het ziekenhuis een provinciale instelling </w:t>
      </w:r>
      <w:r w:rsidR="00BF67CD">
        <w:rPr>
          <w:rFonts w:eastAsiaTheme="minorEastAsia"/>
          <w:kern w:val="0"/>
          <w:lang w:eastAsia="en-US" w:bidi="ar-SA"/>
        </w:rPr>
        <w:t>wa</w:t>
      </w:r>
      <w:r w:rsidRPr="00D147A7">
        <w:rPr>
          <w:rFonts w:eastAsiaTheme="minorEastAsia"/>
          <w:kern w:val="0"/>
          <w:lang w:eastAsia="en-US" w:bidi="ar-SA"/>
        </w:rPr>
        <w:t>s, moe</w:t>
      </w:r>
      <w:r w:rsidR="00BF67CD">
        <w:rPr>
          <w:rFonts w:eastAsiaTheme="minorEastAsia"/>
          <w:kern w:val="0"/>
          <w:lang w:eastAsia="en-US" w:bidi="ar-SA"/>
        </w:rPr>
        <w:t>s</w:t>
      </w:r>
      <w:r w:rsidRPr="00D147A7">
        <w:rPr>
          <w:rFonts w:eastAsiaTheme="minorEastAsia"/>
          <w:kern w:val="0"/>
          <w:lang w:eastAsia="en-US" w:bidi="ar-SA"/>
        </w:rPr>
        <w:t xml:space="preserve">t het archief naar het plaatselijke </w:t>
      </w:r>
      <w:r w:rsidRPr="00D147A7">
        <w:rPr>
          <w:rFonts w:eastAsiaTheme="minorEastAsia"/>
          <w:i/>
          <w:kern w:val="0"/>
          <w:lang w:eastAsia="en-US" w:bidi="ar-SA"/>
        </w:rPr>
        <w:t>archive départementale</w:t>
      </w:r>
      <w:r w:rsidRPr="00D147A7">
        <w:rPr>
          <w:rFonts w:eastAsiaTheme="minorEastAsia"/>
          <w:kern w:val="0"/>
          <w:lang w:eastAsia="en-US" w:bidi="ar-SA"/>
        </w:rPr>
        <w:t xml:space="preserve"> </w:t>
      </w:r>
      <w:r w:rsidR="00BF67CD" w:rsidRPr="00D147A7">
        <w:rPr>
          <w:rFonts w:eastAsiaTheme="minorEastAsia"/>
          <w:kern w:val="0"/>
          <w:lang w:eastAsia="en-US" w:bidi="ar-SA"/>
        </w:rPr>
        <w:t xml:space="preserve">worden </w:t>
      </w:r>
      <w:r w:rsidRPr="00D147A7">
        <w:rPr>
          <w:rFonts w:eastAsiaTheme="minorEastAsia"/>
          <w:kern w:val="0"/>
          <w:lang w:eastAsia="en-US" w:bidi="ar-SA"/>
        </w:rPr>
        <w:t>overgebracht</w:t>
      </w:r>
      <w:r w:rsidR="001624FB">
        <w:rPr>
          <w:rFonts w:eastAsiaTheme="minorEastAsia"/>
          <w:kern w:val="0"/>
          <w:lang w:eastAsia="en-US" w:bidi="ar-SA"/>
        </w:rPr>
        <w:t>, terwijl</w:t>
      </w:r>
      <w:r w:rsidRPr="00D147A7">
        <w:rPr>
          <w:rFonts w:eastAsiaTheme="minorEastAsia"/>
          <w:kern w:val="0"/>
          <w:lang w:eastAsia="en-US" w:bidi="ar-SA"/>
        </w:rPr>
        <w:t xml:space="preserve"> gemeentelijke instellingen hun archieven aan het </w:t>
      </w:r>
      <w:r w:rsidR="00BF67CD">
        <w:rPr>
          <w:rFonts w:eastAsiaTheme="minorEastAsia"/>
          <w:kern w:val="0"/>
          <w:lang w:eastAsia="en-US" w:bidi="ar-SA"/>
        </w:rPr>
        <w:t xml:space="preserve">bevoegde </w:t>
      </w:r>
      <w:r w:rsidRPr="00D147A7">
        <w:rPr>
          <w:rFonts w:eastAsiaTheme="minorEastAsia"/>
          <w:i/>
          <w:kern w:val="0"/>
          <w:lang w:eastAsia="en-US" w:bidi="ar-SA"/>
        </w:rPr>
        <w:t>archive communale</w:t>
      </w:r>
      <w:r w:rsidRPr="00D147A7">
        <w:rPr>
          <w:rFonts w:eastAsiaTheme="minorEastAsia"/>
          <w:kern w:val="0"/>
          <w:lang w:eastAsia="en-US" w:bidi="ar-SA"/>
        </w:rPr>
        <w:t xml:space="preserve"> </w:t>
      </w:r>
      <w:r w:rsidR="001624FB" w:rsidRPr="00D147A7">
        <w:rPr>
          <w:rFonts w:eastAsiaTheme="minorEastAsia"/>
          <w:kern w:val="0"/>
          <w:lang w:eastAsia="en-US" w:bidi="ar-SA"/>
        </w:rPr>
        <w:t>moe</w:t>
      </w:r>
      <w:r w:rsidR="00BF67CD">
        <w:rPr>
          <w:rFonts w:eastAsiaTheme="minorEastAsia"/>
          <w:kern w:val="0"/>
          <w:lang w:eastAsia="en-US" w:bidi="ar-SA"/>
        </w:rPr>
        <w:t>s</w:t>
      </w:r>
      <w:r w:rsidR="001624FB" w:rsidRPr="00D147A7">
        <w:rPr>
          <w:rFonts w:eastAsiaTheme="minorEastAsia"/>
          <w:kern w:val="0"/>
          <w:lang w:eastAsia="en-US" w:bidi="ar-SA"/>
        </w:rPr>
        <w:t>ten over</w:t>
      </w:r>
      <w:r w:rsidR="00BF67CD">
        <w:rPr>
          <w:rFonts w:eastAsiaTheme="minorEastAsia"/>
          <w:kern w:val="0"/>
          <w:lang w:eastAsia="en-US" w:bidi="ar-SA"/>
        </w:rPr>
        <w:t>-</w:t>
      </w:r>
      <w:r w:rsidR="001624FB" w:rsidRPr="00D147A7">
        <w:rPr>
          <w:rFonts w:eastAsiaTheme="minorEastAsia"/>
          <w:kern w:val="0"/>
          <w:lang w:eastAsia="en-US" w:bidi="ar-SA"/>
        </w:rPr>
        <w:t>dragen</w:t>
      </w:r>
      <w:r w:rsidRPr="00D147A7">
        <w:rPr>
          <w:rFonts w:eastAsiaTheme="minorEastAsia"/>
          <w:kern w:val="0"/>
          <w:lang w:eastAsia="en-US" w:bidi="ar-SA"/>
        </w:rPr>
        <w:t>. In de departementale archieven w</w:t>
      </w:r>
      <w:r w:rsidR="00BF67CD">
        <w:rPr>
          <w:rFonts w:eastAsiaTheme="minorEastAsia"/>
          <w:kern w:val="0"/>
          <w:lang w:eastAsia="en-US" w:bidi="ar-SA"/>
        </w:rPr>
        <w:t>erd</w:t>
      </w:r>
      <w:r w:rsidRPr="00D147A7">
        <w:rPr>
          <w:rFonts w:eastAsiaTheme="minorEastAsia"/>
          <w:kern w:val="0"/>
          <w:lang w:eastAsia="en-US" w:bidi="ar-SA"/>
        </w:rPr>
        <w:t xml:space="preserve"> elk archieffonds aangeduid met een nummer in de deelverzameling Depot H (</w:t>
      </w:r>
      <w:r w:rsidRPr="00D147A7">
        <w:rPr>
          <w:rFonts w:eastAsiaTheme="minorEastAsia"/>
          <w:i/>
          <w:kern w:val="0"/>
          <w:lang w:eastAsia="en-US" w:bidi="ar-SA"/>
        </w:rPr>
        <w:t>Hôpital</w:t>
      </w:r>
      <w:r w:rsidRPr="00D147A7">
        <w:rPr>
          <w:rFonts w:eastAsiaTheme="minorEastAsia"/>
          <w:kern w:val="0"/>
          <w:lang w:eastAsia="en-US" w:bidi="ar-SA"/>
        </w:rPr>
        <w:t>) of HD (</w:t>
      </w:r>
      <w:r w:rsidRPr="00D147A7">
        <w:rPr>
          <w:rFonts w:eastAsiaTheme="minorEastAsia"/>
          <w:i/>
          <w:kern w:val="0"/>
          <w:lang w:eastAsia="en-US" w:bidi="ar-SA"/>
        </w:rPr>
        <w:t>Hôtel-Dieu</w:t>
      </w:r>
      <w:r w:rsidRPr="00D147A7">
        <w:rPr>
          <w:rFonts w:eastAsiaTheme="minorEastAsia"/>
          <w:kern w:val="0"/>
          <w:lang w:eastAsia="en-US" w:bidi="ar-SA"/>
        </w:rPr>
        <w:t>). Overgebrachte archieffondsen w</w:t>
      </w:r>
      <w:r w:rsidR="00BF67CD">
        <w:rPr>
          <w:rFonts w:eastAsiaTheme="minorEastAsia"/>
          <w:kern w:val="0"/>
          <w:lang w:eastAsia="en-US" w:bidi="ar-SA"/>
        </w:rPr>
        <w:t>e</w:t>
      </w:r>
      <w:r w:rsidRPr="00D147A7">
        <w:rPr>
          <w:rFonts w:eastAsiaTheme="minorEastAsia"/>
          <w:kern w:val="0"/>
          <w:lang w:eastAsia="en-US" w:bidi="ar-SA"/>
        </w:rPr>
        <w:t>rden in de juiste serie geplaatst en daarbinnen alfabetisch geordend.</w:t>
      </w:r>
      <w:r w:rsidRPr="00D147A7">
        <w:rPr>
          <w:rFonts w:eastAsiaTheme="minorEastAsia"/>
          <w:kern w:val="0"/>
          <w:vertAlign w:val="superscript"/>
          <w:lang w:eastAsia="en-US" w:bidi="ar-SA"/>
        </w:rPr>
        <w:footnoteReference w:id="1429"/>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Het oude bewaarregime – waarbij de bewaartermijn in functie van de pathologie stond – </w:t>
      </w:r>
      <w:r w:rsidR="001624FB">
        <w:rPr>
          <w:rFonts w:eastAsiaTheme="minorEastAsia"/>
          <w:kern w:val="0"/>
          <w:lang w:eastAsia="en-US" w:bidi="ar-SA"/>
        </w:rPr>
        <w:t>is</w:t>
      </w:r>
      <w:r w:rsidRPr="00D147A7">
        <w:rPr>
          <w:rFonts w:eastAsiaTheme="minorEastAsia"/>
          <w:kern w:val="0"/>
          <w:lang w:eastAsia="en-US" w:bidi="ar-SA"/>
        </w:rPr>
        <w:t xml:space="preserve"> sinds 4 januari 2007 niet meer </w:t>
      </w:r>
      <w:r w:rsidR="001624FB">
        <w:rPr>
          <w:rFonts w:eastAsiaTheme="minorEastAsia"/>
          <w:kern w:val="0"/>
          <w:lang w:eastAsia="en-US" w:bidi="ar-SA"/>
        </w:rPr>
        <w:t>in voege</w:t>
      </w:r>
      <w:r w:rsidRPr="00D147A7">
        <w:rPr>
          <w:rFonts w:eastAsiaTheme="minorEastAsia"/>
          <w:kern w:val="0"/>
          <w:lang w:eastAsia="en-US" w:bidi="ar-SA"/>
        </w:rPr>
        <w:t>. Nog steeds wordt een steekproef uitgevoerd op de pa</w:t>
      </w:r>
      <w:r w:rsidR="00BF67CD">
        <w:rPr>
          <w:rFonts w:eastAsiaTheme="minorEastAsia"/>
          <w:kern w:val="0"/>
          <w:lang w:eastAsia="en-US" w:bidi="ar-SA"/>
        </w:rPr>
        <w:t>-</w:t>
      </w:r>
      <w:r w:rsidRPr="00D147A7">
        <w:rPr>
          <w:rFonts w:eastAsiaTheme="minorEastAsia"/>
          <w:kern w:val="0"/>
          <w:lang w:eastAsia="en-US" w:bidi="ar-SA"/>
        </w:rPr>
        <w:t>tiëntendossiers waarvan de bewaartermijnen (10 jaar, 20 jaar en 28 jaar) verstreken zijn</w:t>
      </w:r>
      <w:r w:rsidR="00BF67CD">
        <w:rPr>
          <w:rFonts w:eastAsiaTheme="minorEastAsia"/>
          <w:kern w:val="0"/>
          <w:lang w:eastAsia="en-US" w:bidi="ar-SA"/>
        </w:rPr>
        <w:t>.</w:t>
      </w:r>
      <w:r w:rsidRPr="00D147A7">
        <w:rPr>
          <w:rFonts w:eastAsiaTheme="minorEastAsia"/>
          <w:kern w:val="0"/>
          <w:lang w:eastAsia="en-US" w:bidi="ar-SA"/>
        </w:rPr>
        <w:t xml:space="preserve"> </w:t>
      </w:r>
      <w:r w:rsidR="00BF67CD">
        <w:rPr>
          <w:rFonts w:eastAsiaTheme="minorEastAsia"/>
          <w:kern w:val="0"/>
          <w:lang w:eastAsia="en-US" w:bidi="ar-SA"/>
        </w:rPr>
        <w:t>De</w:t>
      </w:r>
      <w:r w:rsidRPr="00D147A7">
        <w:rPr>
          <w:rFonts w:eastAsiaTheme="minorEastAsia"/>
          <w:kern w:val="0"/>
          <w:lang w:eastAsia="en-US" w:bidi="ar-SA"/>
        </w:rPr>
        <w:t xml:space="preserve"> result</w:t>
      </w:r>
      <w:r w:rsidR="00BF67CD">
        <w:rPr>
          <w:rFonts w:eastAsiaTheme="minorEastAsia"/>
          <w:kern w:val="0"/>
          <w:lang w:eastAsia="en-US" w:bidi="ar-SA"/>
        </w:rPr>
        <w:t xml:space="preserve">aten van deze steekproef worden </w:t>
      </w:r>
      <w:r w:rsidRPr="00D147A7">
        <w:rPr>
          <w:rFonts w:eastAsiaTheme="minorEastAsia"/>
          <w:kern w:val="0"/>
          <w:lang w:eastAsia="en-US" w:bidi="ar-SA"/>
        </w:rPr>
        <w:t>voor dezelfde onderzoeksdoeleinden permanent be</w:t>
      </w:r>
      <w:r w:rsidR="00BF67CD">
        <w:rPr>
          <w:rFonts w:eastAsiaTheme="minorEastAsia"/>
          <w:kern w:val="0"/>
          <w:lang w:eastAsia="en-US" w:bidi="ar-SA"/>
        </w:rPr>
        <w:t>-</w:t>
      </w:r>
      <w:r w:rsidRPr="00D147A7">
        <w:rPr>
          <w:rFonts w:eastAsiaTheme="minorEastAsia"/>
          <w:kern w:val="0"/>
          <w:lang w:eastAsia="en-US" w:bidi="ar-SA"/>
        </w:rPr>
        <w:t xml:space="preserve">waard. De criteria van deze steekproeven moeten nu echter door de </w:t>
      </w:r>
      <w:r w:rsidRPr="00D147A7">
        <w:rPr>
          <w:rFonts w:eastAsiaTheme="minorEastAsia"/>
          <w:i/>
          <w:kern w:val="0"/>
          <w:lang w:eastAsia="en-US" w:bidi="ar-SA"/>
        </w:rPr>
        <w:t>Direction des Archives de France</w:t>
      </w:r>
      <w:r w:rsidRPr="00D147A7">
        <w:rPr>
          <w:rFonts w:eastAsiaTheme="minorEastAsia"/>
          <w:kern w:val="0"/>
          <w:lang w:eastAsia="en-US" w:bidi="ar-SA"/>
        </w:rPr>
        <w:t xml:space="preserve"> (DAF)</w:t>
      </w:r>
      <w:r w:rsidR="00BF67CD" w:rsidRPr="00BF67CD">
        <w:rPr>
          <w:rFonts w:eastAsiaTheme="minorEastAsia"/>
          <w:kern w:val="0"/>
          <w:lang w:eastAsia="en-US" w:bidi="ar-SA"/>
        </w:rPr>
        <w:t xml:space="preserve"> </w:t>
      </w:r>
      <w:r w:rsidR="00BF67CD" w:rsidRPr="00D147A7">
        <w:rPr>
          <w:rFonts w:eastAsiaTheme="minorEastAsia"/>
          <w:kern w:val="0"/>
          <w:lang w:eastAsia="en-US" w:bidi="ar-SA"/>
        </w:rPr>
        <w:t>worden goedgekeurd</w:t>
      </w:r>
      <w:r w:rsidRPr="00D147A7">
        <w:rPr>
          <w:rFonts w:eastAsiaTheme="minorEastAsia"/>
          <w:kern w:val="0"/>
          <w:lang w:eastAsia="en-US" w:bidi="ar-SA"/>
        </w:rPr>
        <w:t>. Naast de chronologische selectiemethode kan men ook alfabetische (</w:t>
      </w:r>
      <w:r w:rsidR="00BF67CD">
        <w:rPr>
          <w:rFonts w:eastAsiaTheme="minorEastAsia"/>
          <w:kern w:val="0"/>
          <w:lang w:eastAsia="en-US" w:bidi="ar-SA"/>
        </w:rPr>
        <w:t xml:space="preserve">enkel de </w:t>
      </w:r>
      <w:r w:rsidRPr="00D147A7">
        <w:rPr>
          <w:rFonts w:eastAsiaTheme="minorEastAsia"/>
          <w:kern w:val="0"/>
          <w:lang w:eastAsia="en-US" w:bidi="ar-SA"/>
        </w:rPr>
        <w:t>dossiers van patiënten wiens achternaam met een bepaalde letter begint</w:t>
      </w:r>
      <w:r w:rsidR="00BF67CD" w:rsidRPr="00BF67CD">
        <w:rPr>
          <w:rFonts w:eastAsiaTheme="minorEastAsia"/>
          <w:kern w:val="0"/>
          <w:lang w:eastAsia="en-US" w:bidi="ar-SA"/>
        </w:rPr>
        <w:t xml:space="preserve"> </w:t>
      </w:r>
      <w:r w:rsidR="00BF67CD" w:rsidRPr="00D147A7">
        <w:rPr>
          <w:rFonts w:eastAsiaTheme="minorEastAsia"/>
          <w:kern w:val="0"/>
          <w:lang w:eastAsia="en-US" w:bidi="ar-SA"/>
        </w:rPr>
        <w:t>bewaren</w:t>
      </w:r>
      <w:r w:rsidRPr="00D147A7">
        <w:rPr>
          <w:rFonts w:eastAsiaTheme="minorEastAsia"/>
          <w:kern w:val="0"/>
          <w:lang w:eastAsia="en-US" w:bidi="ar-SA"/>
        </w:rPr>
        <w:t>)</w:t>
      </w:r>
      <w:r w:rsidR="00BF67CD">
        <w:rPr>
          <w:rFonts w:eastAsiaTheme="minorEastAsia"/>
          <w:kern w:val="0"/>
          <w:lang w:eastAsia="en-US" w:bidi="ar-SA"/>
        </w:rPr>
        <w:t>,</w:t>
      </w:r>
      <w:r w:rsidRPr="00D147A7">
        <w:rPr>
          <w:rFonts w:eastAsiaTheme="minorEastAsia"/>
          <w:kern w:val="0"/>
          <w:lang w:eastAsia="en-US" w:bidi="ar-SA"/>
        </w:rPr>
        <w:t xml:space="preserve"> kwalitatieve (op basis van de inhoud) </w:t>
      </w:r>
      <w:r w:rsidR="00BF67CD">
        <w:rPr>
          <w:rFonts w:eastAsiaTheme="minorEastAsia"/>
          <w:kern w:val="0"/>
          <w:lang w:eastAsia="en-US" w:bidi="ar-SA"/>
        </w:rPr>
        <w:t>of</w:t>
      </w:r>
      <w:r w:rsidRPr="00D147A7">
        <w:rPr>
          <w:rFonts w:eastAsiaTheme="minorEastAsia"/>
          <w:kern w:val="0"/>
          <w:lang w:eastAsia="en-US" w:bidi="ar-SA"/>
        </w:rPr>
        <w:t xml:space="preserve"> aselecte (</w:t>
      </w:r>
      <w:r w:rsidRPr="00D147A7">
        <w:rPr>
          <w:rFonts w:eastAsiaTheme="minorEastAsia"/>
          <w:i/>
          <w:kern w:val="0"/>
          <w:lang w:eastAsia="en-US" w:bidi="ar-SA"/>
        </w:rPr>
        <w:t>ergo</w:t>
      </w:r>
      <w:r w:rsidRPr="00D147A7">
        <w:rPr>
          <w:rFonts w:eastAsiaTheme="minorEastAsia"/>
          <w:kern w:val="0"/>
          <w:lang w:eastAsia="en-US" w:bidi="ar-SA"/>
        </w:rPr>
        <w:t xml:space="preserve"> willekeurige) steekproe</w:t>
      </w:r>
      <w:r w:rsidR="00BF67CD">
        <w:rPr>
          <w:rFonts w:eastAsiaTheme="minorEastAsia"/>
          <w:kern w:val="0"/>
          <w:lang w:eastAsia="en-US" w:bidi="ar-SA"/>
        </w:rPr>
        <w:t>ven</w:t>
      </w:r>
      <w:r w:rsidRPr="00D147A7">
        <w:rPr>
          <w:rFonts w:eastAsiaTheme="minorEastAsia"/>
          <w:kern w:val="0"/>
          <w:lang w:eastAsia="en-US" w:bidi="ar-SA"/>
        </w:rPr>
        <w:t xml:space="preserve"> uitvoeren of enkele stalen bewaren. De beste resultaten worden bekomen wanneer een kwali</w:t>
      </w:r>
      <w:r w:rsidR="00BF67CD">
        <w:rPr>
          <w:rFonts w:eastAsiaTheme="minorEastAsia"/>
          <w:kern w:val="0"/>
          <w:lang w:eastAsia="en-US" w:bidi="ar-SA"/>
        </w:rPr>
        <w:t>-</w:t>
      </w:r>
      <w:r w:rsidRPr="00D147A7">
        <w:rPr>
          <w:rFonts w:eastAsiaTheme="minorEastAsia"/>
          <w:kern w:val="0"/>
          <w:lang w:eastAsia="en-US" w:bidi="ar-SA"/>
        </w:rPr>
        <w:t>tatieve selectie uitgevoerd</w:t>
      </w:r>
      <w:r w:rsidR="00BF67CD" w:rsidRPr="00BF67CD">
        <w:rPr>
          <w:rFonts w:eastAsiaTheme="minorEastAsia"/>
          <w:kern w:val="0"/>
          <w:lang w:eastAsia="en-US" w:bidi="ar-SA"/>
        </w:rPr>
        <w:t xml:space="preserve"> </w:t>
      </w:r>
      <w:r w:rsidR="00BF67CD" w:rsidRPr="00D147A7">
        <w:rPr>
          <w:rFonts w:eastAsiaTheme="minorEastAsia"/>
          <w:kern w:val="0"/>
          <w:lang w:eastAsia="en-US" w:bidi="ar-SA"/>
        </w:rPr>
        <w:t>wordt</w:t>
      </w:r>
      <w:r w:rsidRPr="00D147A7">
        <w:rPr>
          <w:rFonts w:eastAsiaTheme="minorEastAsia"/>
          <w:kern w:val="0"/>
          <w:lang w:eastAsia="en-US" w:bidi="ar-SA"/>
        </w:rPr>
        <w:t xml:space="preserve">. Enkel dan zullen </w:t>
      </w:r>
      <w:r w:rsidR="00BF67CD">
        <w:rPr>
          <w:rFonts w:eastAsiaTheme="minorEastAsia"/>
          <w:kern w:val="0"/>
          <w:lang w:eastAsia="en-US" w:bidi="ar-SA"/>
        </w:rPr>
        <w:t xml:space="preserve">in </w:t>
      </w:r>
      <w:r w:rsidRPr="00D147A7">
        <w:rPr>
          <w:rFonts w:eastAsiaTheme="minorEastAsia"/>
          <w:kern w:val="0"/>
          <w:lang w:eastAsia="en-US" w:bidi="ar-SA"/>
        </w:rPr>
        <w:t xml:space="preserve">de permanent te bewaren bescheiden </w:t>
      </w:r>
      <w:r w:rsidRPr="00D147A7">
        <w:rPr>
          <w:rFonts w:eastAsiaTheme="minorEastAsia"/>
          <w:kern w:val="0"/>
          <w:lang w:eastAsia="en-US" w:bidi="ar-SA"/>
        </w:rPr>
        <w:lastRenderedPageBreak/>
        <w:t xml:space="preserve">met zekerheid geen afwijkingen opgenomen worden die </w:t>
      </w:r>
      <w:r w:rsidR="00BF67CD">
        <w:rPr>
          <w:rFonts w:eastAsiaTheme="minorEastAsia"/>
          <w:kern w:val="0"/>
          <w:lang w:eastAsia="en-US" w:bidi="ar-SA"/>
        </w:rPr>
        <w:t>het</w:t>
      </w:r>
      <w:r w:rsidRPr="00D147A7">
        <w:rPr>
          <w:rFonts w:eastAsiaTheme="minorEastAsia"/>
          <w:kern w:val="0"/>
          <w:lang w:eastAsia="en-US" w:bidi="ar-SA"/>
        </w:rPr>
        <w:t xml:space="preserve"> beeld van de werkelijkheid </w:t>
      </w:r>
      <w:r w:rsidR="00BF67CD">
        <w:rPr>
          <w:rFonts w:eastAsiaTheme="minorEastAsia"/>
          <w:kern w:val="0"/>
          <w:lang w:eastAsia="en-US" w:bidi="ar-SA"/>
        </w:rPr>
        <w:t>zou-den vertekenen</w:t>
      </w:r>
      <w:r w:rsidRPr="00D147A7">
        <w:rPr>
          <w:rFonts w:eastAsiaTheme="minorEastAsia"/>
          <w:kern w:val="0"/>
          <w:lang w:eastAsia="en-US" w:bidi="ar-SA"/>
        </w:rPr>
        <w:t xml:space="preserve">. In de praktijk is deze methode – zeker in ziekenhuisarchieven – het moeilijkst te implementeren omdat het veel tijd vergt en de selectiecriteria subjectief lijken. </w:t>
      </w:r>
      <w:r w:rsidR="00BF67CD">
        <w:rPr>
          <w:rFonts w:eastAsiaTheme="minorEastAsia"/>
          <w:kern w:val="0"/>
          <w:lang w:eastAsia="en-US" w:bidi="ar-SA"/>
        </w:rPr>
        <w:t xml:space="preserve">De gulden middenweg is </w:t>
      </w:r>
      <w:r w:rsidRPr="00D147A7">
        <w:rPr>
          <w:rFonts w:eastAsiaTheme="minorEastAsia"/>
          <w:kern w:val="0"/>
          <w:lang w:eastAsia="en-US" w:bidi="ar-SA"/>
        </w:rPr>
        <w:t>een combinatie van al deze selectiecriteria.</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Alvorens archieven naar een departementaal archief </w:t>
      </w:r>
      <w:r w:rsidR="00BF67CD" w:rsidRPr="00D147A7">
        <w:rPr>
          <w:rFonts w:eastAsiaTheme="minorEastAsia"/>
          <w:kern w:val="0"/>
          <w:lang w:eastAsia="en-US" w:bidi="ar-SA"/>
        </w:rPr>
        <w:t xml:space="preserve">mogen worden </w:t>
      </w:r>
      <w:r w:rsidRPr="00D147A7">
        <w:rPr>
          <w:rFonts w:eastAsiaTheme="minorEastAsia"/>
          <w:kern w:val="0"/>
          <w:lang w:eastAsia="en-US" w:bidi="ar-SA"/>
        </w:rPr>
        <w:t>overgebracht, moeten ze op thema en op dienst geordend zijn. Patiëntendossiers moeten ook eerst geschoond worden. Alle documenten waarvoor geen goedkeuring voor vernietiging vereist is – m.n. dubbels en handgeschreven notities zonder administratieve en juridische waarde, kopieën (één exemplaar – bij voorkeur het origineel – bewaren) en blanco formulieren – moeten verwijderd en vernie</w:t>
      </w:r>
      <w:r w:rsidR="005A1C51">
        <w:rPr>
          <w:rFonts w:eastAsiaTheme="minorEastAsia"/>
          <w:kern w:val="0"/>
          <w:lang w:eastAsia="en-US" w:bidi="ar-SA"/>
        </w:rPr>
        <w:t>-</w:t>
      </w:r>
      <w:r w:rsidRPr="00D147A7">
        <w:rPr>
          <w:rFonts w:eastAsiaTheme="minorEastAsia"/>
          <w:kern w:val="0"/>
          <w:lang w:eastAsia="en-US" w:bidi="ar-SA"/>
        </w:rPr>
        <w:t>tigd worden. Bij iedere overdracht moet</w:t>
      </w:r>
      <w:r w:rsidR="005A1C51">
        <w:rPr>
          <w:rFonts w:eastAsiaTheme="minorEastAsia"/>
          <w:kern w:val="0"/>
          <w:lang w:eastAsia="en-US" w:bidi="ar-SA"/>
        </w:rPr>
        <w:t>en</w:t>
      </w:r>
      <w:r w:rsidRPr="00D147A7">
        <w:rPr>
          <w:rFonts w:eastAsiaTheme="minorEastAsia"/>
          <w:kern w:val="0"/>
          <w:lang w:eastAsia="en-US" w:bidi="ar-SA"/>
        </w:rPr>
        <w:t xml:space="preserve"> ook de data meegedeeld worden waarop geselec</w:t>
      </w:r>
      <w:r w:rsidR="005A1C51">
        <w:rPr>
          <w:rFonts w:eastAsiaTheme="minorEastAsia"/>
          <w:kern w:val="0"/>
          <w:lang w:eastAsia="en-US" w:bidi="ar-SA"/>
        </w:rPr>
        <w:t>-</w:t>
      </w:r>
      <w:r w:rsidRPr="00D147A7">
        <w:rPr>
          <w:rFonts w:eastAsiaTheme="minorEastAsia"/>
          <w:kern w:val="0"/>
          <w:lang w:eastAsia="en-US" w:bidi="ar-SA"/>
        </w:rPr>
        <w:t>teerd, geschoond en/of verwijderd werd, met uitzondering van vernietigingen van bescheiden die hiervoor bestemd waren.</w:t>
      </w:r>
    </w:p>
    <w:p w:rsidR="00CB3C3E" w:rsidRDefault="00CB3C3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Patiëntendossiers moeten in dozen geplaatst worden, bij voorkeur het standaardformaat. Deze dozen worden voor iedere overdracht van 1 tot n genummerd. Naast deze volgnummers wor</w:t>
      </w:r>
      <w:r w:rsidR="00CB3C3E">
        <w:rPr>
          <w:rFonts w:eastAsiaTheme="minorEastAsia"/>
          <w:kern w:val="0"/>
          <w:lang w:eastAsia="en-US" w:bidi="ar-SA"/>
        </w:rPr>
        <w:t>-</w:t>
      </w:r>
      <w:r w:rsidRPr="00D147A7">
        <w:rPr>
          <w:rFonts w:eastAsiaTheme="minorEastAsia"/>
          <w:kern w:val="0"/>
          <w:lang w:eastAsia="en-US" w:bidi="ar-SA"/>
        </w:rPr>
        <w:t>den ook de verwijzingen aangebracht die door de departemen</w:t>
      </w:r>
      <w:r w:rsidR="00CB3C3E">
        <w:rPr>
          <w:rFonts w:eastAsiaTheme="minorEastAsia"/>
          <w:kern w:val="0"/>
          <w:lang w:eastAsia="en-US" w:bidi="ar-SA"/>
        </w:rPr>
        <w:t>tale archieven gevraagd werden.</w:t>
      </w:r>
    </w:p>
    <w:p w:rsidR="00CB3C3E" w:rsidRDefault="00CB3C3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Voor iedere overdracht moet ook een overdrachtslijst ingevuld worden, die bij de departemen</w:t>
      </w:r>
      <w:r w:rsidR="00CB3C3E">
        <w:rPr>
          <w:rFonts w:eastAsiaTheme="minorEastAsia"/>
          <w:kern w:val="0"/>
          <w:lang w:eastAsia="en-US" w:bidi="ar-SA"/>
        </w:rPr>
        <w:t>-</w:t>
      </w:r>
      <w:r w:rsidRPr="00D147A7">
        <w:rPr>
          <w:rFonts w:eastAsiaTheme="minorEastAsia"/>
          <w:kern w:val="0"/>
          <w:lang w:eastAsia="en-US" w:bidi="ar-SA"/>
        </w:rPr>
        <w:t>tale archieven verkregen kunnen worden. De vorm en de inhoud van deze lijsten worden dus door deze archie</w:t>
      </w:r>
      <w:r w:rsidR="00CB3C3E">
        <w:rPr>
          <w:rFonts w:eastAsiaTheme="minorEastAsia"/>
          <w:kern w:val="0"/>
          <w:lang w:eastAsia="en-US" w:bidi="ar-SA"/>
        </w:rPr>
        <w:t>fdienst</w:t>
      </w:r>
      <w:r w:rsidRPr="00D147A7">
        <w:rPr>
          <w:rFonts w:eastAsiaTheme="minorEastAsia"/>
          <w:kern w:val="0"/>
          <w:lang w:eastAsia="en-US" w:bidi="ar-SA"/>
        </w:rPr>
        <w:t>en bepaald. De overdrachtslijst is een gedetailleerd overzicht van do</w:t>
      </w:r>
      <w:r w:rsidR="00CB3C3E">
        <w:rPr>
          <w:rFonts w:eastAsiaTheme="minorEastAsia"/>
          <w:kern w:val="0"/>
          <w:lang w:eastAsia="en-US" w:bidi="ar-SA"/>
        </w:rPr>
        <w:t>-</w:t>
      </w:r>
      <w:r w:rsidRPr="00D147A7">
        <w:rPr>
          <w:rFonts w:eastAsiaTheme="minorEastAsia"/>
          <w:kern w:val="0"/>
          <w:lang w:eastAsia="en-US" w:bidi="ar-SA"/>
        </w:rPr>
        <w:t xml:space="preserve">cumenten </w:t>
      </w:r>
      <w:r w:rsidR="00CB3C3E">
        <w:rPr>
          <w:rFonts w:eastAsiaTheme="minorEastAsia"/>
          <w:kern w:val="0"/>
          <w:lang w:eastAsia="en-US" w:bidi="ar-SA"/>
        </w:rPr>
        <w:t>en</w:t>
      </w:r>
      <w:r w:rsidRPr="00D147A7">
        <w:rPr>
          <w:rFonts w:eastAsiaTheme="minorEastAsia"/>
          <w:kern w:val="0"/>
          <w:lang w:eastAsia="en-US" w:bidi="ar-SA"/>
        </w:rPr>
        <w:t xml:space="preserve"> dossiers die overgedragen worden, aan de hand waarvan de bescheiden kunnen worden opgespoord. Zonder overdrachtslijst kan de overdracht in theorie geweigerd worden. De overdrachtslijst wordt gebruikt als middel om de overdracht te identificeren en de werk</w:t>
      </w:r>
      <w:r w:rsidR="00CB3C3E">
        <w:rPr>
          <w:rFonts w:eastAsiaTheme="minorEastAsia"/>
          <w:kern w:val="0"/>
          <w:lang w:eastAsia="en-US" w:bidi="ar-SA"/>
        </w:rPr>
        <w:t>-</w:t>
      </w:r>
      <w:r w:rsidRPr="00D147A7">
        <w:rPr>
          <w:rFonts w:eastAsiaTheme="minorEastAsia"/>
          <w:kern w:val="0"/>
          <w:lang w:eastAsia="en-US" w:bidi="ar-SA"/>
        </w:rPr>
        <w:t>zaamheden van de archivaris (ordenen en beschrijven) te ondersteunen. Oorspronkelijk vorm</w:t>
      </w:r>
      <w:r w:rsidR="00CB3C3E">
        <w:rPr>
          <w:rFonts w:eastAsiaTheme="minorEastAsia"/>
          <w:kern w:val="0"/>
          <w:lang w:eastAsia="en-US" w:bidi="ar-SA"/>
        </w:rPr>
        <w:t>-</w:t>
      </w:r>
      <w:r w:rsidRPr="00D147A7">
        <w:rPr>
          <w:rFonts w:eastAsiaTheme="minorEastAsia"/>
          <w:kern w:val="0"/>
          <w:lang w:eastAsia="en-US" w:bidi="ar-SA"/>
        </w:rPr>
        <w:t>den deze lijsten het bewijs van de overdracht, maar mogen sinds 1979 ook als onderzoeksin</w:t>
      </w:r>
      <w:r w:rsidR="00CB3C3E">
        <w:rPr>
          <w:rFonts w:eastAsiaTheme="minorEastAsia"/>
          <w:kern w:val="0"/>
          <w:lang w:eastAsia="en-US" w:bidi="ar-SA"/>
        </w:rPr>
        <w:t>-</w:t>
      </w:r>
      <w:r w:rsidRPr="00D147A7">
        <w:rPr>
          <w:rFonts w:eastAsiaTheme="minorEastAsia"/>
          <w:kern w:val="0"/>
          <w:lang w:eastAsia="en-US" w:bidi="ar-SA"/>
        </w:rPr>
        <w:t>strument gebruikt worden zodra de bescheiden openbaar worden.</w:t>
      </w:r>
      <w:r w:rsidRPr="00D147A7">
        <w:rPr>
          <w:rFonts w:eastAsiaTheme="minorEastAsia"/>
          <w:kern w:val="0"/>
          <w:vertAlign w:val="superscript"/>
          <w:lang w:eastAsia="en-US" w:bidi="ar-SA"/>
        </w:rPr>
        <w:footnoteReference w:id="1430"/>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overdrachtslijst moet in drievoud worden</w:t>
      </w:r>
      <w:r w:rsidR="00CB3C3E" w:rsidRPr="00CB3C3E">
        <w:rPr>
          <w:rFonts w:eastAsiaTheme="minorEastAsia"/>
          <w:kern w:val="0"/>
          <w:lang w:eastAsia="en-US" w:bidi="ar-SA"/>
        </w:rPr>
        <w:t xml:space="preserve"> </w:t>
      </w:r>
      <w:r w:rsidR="00CB3C3E" w:rsidRPr="00D147A7">
        <w:rPr>
          <w:rFonts w:eastAsiaTheme="minorEastAsia"/>
          <w:kern w:val="0"/>
          <w:lang w:eastAsia="en-US" w:bidi="ar-SA"/>
        </w:rPr>
        <w:t>opgesteld</w:t>
      </w:r>
      <w:r w:rsidRPr="00D147A7">
        <w:rPr>
          <w:rFonts w:eastAsiaTheme="minorEastAsia"/>
          <w:kern w:val="0"/>
          <w:lang w:eastAsia="en-US" w:bidi="ar-SA"/>
        </w:rPr>
        <w:t>. Elk exemplaar wordt gedateerd en on</w:t>
      </w:r>
      <w:r w:rsidR="00CB3C3E">
        <w:rPr>
          <w:rFonts w:eastAsiaTheme="minorEastAsia"/>
          <w:kern w:val="0"/>
          <w:lang w:eastAsia="en-US" w:bidi="ar-SA"/>
        </w:rPr>
        <w:t>-</w:t>
      </w:r>
      <w:r w:rsidRPr="00D147A7">
        <w:rPr>
          <w:rFonts w:eastAsiaTheme="minorEastAsia"/>
          <w:kern w:val="0"/>
          <w:lang w:eastAsia="en-US" w:bidi="ar-SA"/>
        </w:rPr>
        <w:t>dertekend door het diensthoofd of de directeur van de instelling. Vervolgens worden twee ex</w:t>
      </w:r>
      <w:r w:rsidR="00CB3C3E">
        <w:rPr>
          <w:rFonts w:eastAsiaTheme="minorEastAsia"/>
          <w:kern w:val="0"/>
          <w:lang w:eastAsia="en-US" w:bidi="ar-SA"/>
        </w:rPr>
        <w:t>-</w:t>
      </w:r>
      <w:r w:rsidRPr="00D147A7">
        <w:rPr>
          <w:rFonts w:eastAsiaTheme="minorEastAsia"/>
          <w:kern w:val="0"/>
          <w:lang w:eastAsia="en-US" w:bidi="ar-SA"/>
        </w:rPr>
        <w:t xml:space="preserve">emplaren naar de directeur van het bevoegde departementale archief opgestuurd, waar ze eerst op naam van de archiefvormende diensten (alfabetisch) en vervolgens chronologisch </w:t>
      </w:r>
      <w:r w:rsidR="00CB3C3E" w:rsidRPr="00D147A7">
        <w:rPr>
          <w:rFonts w:eastAsiaTheme="minorEastAsia"/>
          <w:kern w:val="0"/>
          <w:lang w:eastAsia="en-US" w:bidi="ar-SA"/>
        </w:rPr>
        <w:t xml:space="preserve">worden </w:t>
      </w:r>
      <w:r w:rsidRPr="00D147A7">
        <w:rPr>
          <w:rFonts w:eastAsiaTheme="minorEastAsia"/>
          <w:kern w:val="0"/>
          <w:lang w:eastAsia="en-US" w:bidi="ar-SA"/>
        </w:rPr>
        <w:t>geordend. De overdrachtslijst kan door een archivaris van het departementale archief opge</w:t>
      </w:r>
      <w:r w:rsidR="00CB3C3E">
        <w:rPr>
          <w:rFonts w:eastAsiaTheme="minorEastAsia"/>
          <w:kern w:val="0"/>
          <w:lang w:eastAsia="en-US" w:bidi="ar-SA"/>
        </w:rPr>
        <w:t>-</w:t>
      </w:r>
      <w:r w:rsidRPr="00D147A7">
        <w:rPr>
          <w:rFonts w:eastAsiaTheme="minorEastAsia"/>
          <w:kern w:val="0"/>
          <w:lang w:eastAsia="en-US" w:bidi="ar-SA"/>
        </w:rPr>
        <w:t>steld worden – die door de betrokken dienst of organisatie gevalideerd moeten worden –</w:t>
      </w:r>
      <w:r w:rsidR="00CB3C3E">
        <w:rPr>
          <w:rFonts w:eastAsiaTheme="minorEastAsia"/>
          <w:kern w:val="0"/>
          <w:lang w:eastAsia="en-US" w:bidi="ar-SA"/>
        </w:rPr>
        <w:t xml:space="preserve"> </w:t>
      </w:r>
      <w:r w:rsidRPr="00D147A7">
        <w:rPr>
          <w:rFonts w:eastAsiaTheme="minorEastAsia"/>
          <w:kern w:val="0"/>
          <w:lang w:eastAsia="en-US" w:bidi="ar-SA"/>
        </w:rPr>
        <w:t xml:space="preserve">of door de overdragende dienst die </w:t>
      </w:r>
      <w:r w:rsidR="00CB3C3E">
        <w:rPr>
          <w:rFonts w:eastAsiaTheme="minorEastAsia"/>
          <w:kern w:val="0"/>
          <w:lang w:eastAsia="en-US" w:bidi="ar-SA"/>
        </w:rPr>
        <w:t xml:space="preserve">vervolgens </w:t>
      </w:r>
      <w:r w:rsidRPr="00D147A7">
        <w:rPr>
          <w:rFonts w:eastAsiaTheme="minorEastAsia"/>
          <w:kern w:val="0"/>
          <w:lang w:eastAsia="en-US" w:bidi="ar-SA"/>
        </w:rPr>
        <w:t>– indien nodig – door een archivaris worden aan</w:t>
      </w:r>
      <w:r w:rsidR="00CB3C3E">
        <w:rPr>
          <w:rFonts w:eastAsiaTheme="minorEastAsia"/>
          <w:kern w:val="0"/>
          <w:lang w:eastAsia="en-US" w:bidi="ar-SA"/>
        </w:rPr>
        <w:t>-</w:t>
      </w:r>
      <w:r w:rsidRPr="00D147A7">
        <w:rPr>
          <w:rFonts w:eastAsiaTheme="minorEastAsia"/>
          <w:kern w:val="0"/>
          <w:lang w:eastAsia="en-US" w:bidi="ar-SA"/>
        </w:rPr>
        <w:t>gevuld. Hoe dan ook wordt de eerste pagina van de voor het departementale archief bestemde exemplaar door een archivaris opgesteld</w:t>
      </w:r>
      <w:r w:rsidR="00CB3C3E">
        <w:rPr>
          <w:rFonts w:eastAsiaTheme="minorEastAsia"/>
          <w:kern w:val="0"/>
          <w:lang w:eastAsia="en-US" w:bidi="ar-SA"/>
        </w:rPr>
        <w:t>, dat</w:t>
      </w:r>
      <w:r w:rsidRPr="00D147A7">
        <w:rPr>
          <w:rFonts w:eastAsiaTheme="minorEastAsia"/>
          <w:kern w:val="0"/>
          <w:lang w:eastAsia="en-US" w:bidi="ar-SA"/>
        </w:rPr>
        <w:t xml:space="preserve"> door de verantwoordelijken van de archiefvor</w:t>
      </w:r>
      <w:r w:rsidR="00CB3C3E">
        <w:rPr>
          <w:rFonts w:eastAsiaTheme="minorEastAsia"/>
          <w:kern w:val="0"/>
          <w:lang w:eastAsia="en-US" w:bidi="ar-SA"/>
        </w:rPr>
        <w:t>-</w:t>
      </w:r>
      <w:r w:rsidRPr="00D147A7">
        <w:rPr>
          <w:rFonts w:eastAsiaTheme="minorEastAsia"/>
          <w:kern w:val="0"/>
          <w:lang w:eastAsia="en-US" w:bidi="ar-SA"/>
        </w:rPr>
        <w:t xml:space="preserve">mende instelling en de archiefdienst ondertekend </w:t>
      </w:r>
      <w:r w:rsidR="00CB3C3E">
        <w:rPr>
          <w:rFonts w:eastAsiaTheme="minorEastAsia"/>
          <w:kern w:val="0"/>
          <w:lang w:eastAsia="en-US" w:bidi="ar-SA"/>
        </w:rPr>
        <w:t xml:space="preserve">moeten </w:t>
      </w:r>
      <w:r w:rsidRPr="00D147A7">
        <w:rPr>
          <w:rFonts w:eastAsiaTheme="minorEastAsia"/>
          <w:kern w:val="0"/>
          <w:lang w:eastAsia="en-US" w:bidi="ar-SA"/>
        </w:rPr>
        <w:t>worden. De goedkeuring van het de</w:t>
      </w:r>
      <w:r w:rsidR="00CB3C3E">
        <w:rPr>
          <w:rFonts w:eastAsiaTheme="minorEastAsia"/>
          <w:kern w:val="0"/>
          <w:lang w:eastAsia="en-US" w:bidi="ar-SA"/>
        </w:rPr>
        <w:t>-</w:t>
      </w:r>
      <w:r w:rsidRPr="00D147A7">
        <w:rPr>
          <w:rFonts w:eastAsiaTheme="minorEastAsia"/>
          <w:kern w:val="0"/>
          <w:lang w:eastAsia="en-US" w:bidi="ar-SA"/>
        </w:rPr>
        <w:t xml:space="preserve">partementale archief ontslaat de ziekenhuisdirecteur van diens verantwoordelijkheid voor de bewaring van de patiëntendossiers in kwestie. Elke dienst zorgt ervoor dat de vernietigingen die op de overdrachtslijsten opgetekend worden ook goed op die van de dienst zelf genoteerd </w:t>
      </w:r>
      <w:r w:rsidR="00CB3C3E">
        <w:rPr>
          <w:rFonts w:eastAsiaTheme="minorEastAsia"/>
          <w:kern w:val="0"/>
          <w:lang w:eastAsia="en-US" w:bidi="ar-SA"/>
        </w:rPr>
        <w:t>worden</w:t>
      </w:r>
      <w:r w:rsidRPr="00D147A7">
        <w:rPr>
          <w:rFonts w:eastAsiaTheme="minorEastAsia"/>
          <w:kern w:val="0"/>
          <w:lang w:eastAsia="en-US" w:bidi="ar-SA"/>
        </w:rPr>
        <w:t>. De archiefdienst is verantwoordelijk om deze lijsten – en de registratie van de over</w:t>
      </w:r>
      <w:r w:rsidR="00CB3C3E">
        <w:rPr>
          <w:rFonts w:eastAsiaTheme="minorEastAsia"/>
          <w:kern w:val="0"/>
          <w:lang w:eastAsia="en-US" w:bidi="ar-SA"/>
        </w:rPr>
        <w:t>-</w:t>
      </w:r>
      <w:r w:rsidRPr="00D147A7">
        <w:rPr>
          <w:rFonts w:eastAsiaTheme="minorEastAsia"/>
          <w:kern w:val="0"/>
          <w:lang w:eastAsia="en-US" w:bidi="ar-SA"/>
        </w:rPr>
        <w:t>dracht – te actualiseren.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overdrachtslijst moet ten minste de volgende elementen bevatten: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datum van de overdracht;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datum van de behandeling;</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overdrachtsnummer;</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 </w:t>
      </w:r>
      <w:r w:rsidR="00CB3C3E">
        <w:rPr>
          <w:rFonts w:eastAsiaTheme="minorEastAsia"/>
          <w:kern w:val="0"/>
          <w:lang w:eastAsia="en-US" w:bidi="ar-SA"/>
        </w:rPr>
        <w:t>d</w:t>
      </w:r>
      <w:r w:rsidRPr="00D147A7">
        <w:rPr>
          <w:rFonts w:eastAsiaTheme="minorEastAsia"/>
          <w:kern w:val="0"/>
          <w:lang w:eastAsia="en-US" w:bidi="ar-SA"/>
        </w:rPr>
        <w:t xml:space="preserve">e identificatie van de overdragende dienst (en de archiefvormende dienst als </w:t>
      </w:r>
      <w:r w:rsidR="00CB3C3E">
        <w:rPr>
          <w:rFonts w:eastAsiaTheme="minorEastAsia"/>
          <w:kern w:val="0"/>
          <w:lang w:eastAsia="en-US" w:bidi="ar-SA"/>
        </w:rPr>
        <w:t>het archief door een derde partij wordt overgedragen</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naam, hoedanigheid en contactgegevens van de verantwoordelijke voor de overdracht,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het volume (aantal papieren documenten of dossiers, aantal dozen);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omvang (uitgedrukt in strekkende (kilo)meter);</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nummers van de dozen;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naam van het diensthoofd van de overdragende dienst en diens handtekening;</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goedkeuring van de archivaris;</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indien nodig: de definitieve bestemming (bewaren of vernietigen)</w:t>
      </w:r>
      <w:r w:rsidR="00CB3C3E">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 </w:t>
      </w:r>
      <w:r w:rsidR="00CB3C3E">
        <w:rPr>
          <w:rFonts w:eastAsiaTheme="minorEastAsia"/>
          <w:kern w:val="0"/>
          <w:lang w:eastAsia="en-US" w:bidi="ar-SA"/>
        </w:rPr>
        <w:t>d</w:t>
      </w:r>
      <w:r w:rsidRPr="00D147A7">
        <w:rPr>
          <w:rFonts w:eastAsiaTheme="minorEastAsia"/>
          <w:kern w:val="0"/>
          <w:lang w:eastAsia="en-US" w:bidi="ar-SA"/>
        </w:rPr>
        <w:t>e nummering van de documenten met hun gedetailleerde beschrijving en hun uiterste data</w:t>
      </w:r>
      <w:r w:rsidR="00CB3C3E">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het ordeningsplan, indien van toepassing</w:t>
      </w:r>
      <w:r w:rsidR="00CB3C3E">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de uiteindelijke openbaarheidstermijn, indien bekend.</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Het is belangrijk om te weten dat de documenten die aan de departementale archieven </w:t>
      </w:r>
      <w:r w:rsidR="00CB3C3E" w:rsidRPr="00D147A7">
        <w:rPr>
          <w:rFonts w:eastAsiaTheme="minorEastAsia"/>
          <w:kern w:val="0"/>
          <w:lang w:eastAsia="en-US" w:bidi="ar-SA"/>
        </w:rPr>
        <w:t xml:space="preserve">worden </w:t>
      </w:r>
      <w:r w:rsidRPr="00D147A7">
        <w:rPr>
          <w:rFonts w:eastAsiaTheme="minorEastAsia"/>
          <w:kern w:val="0"/>
          <w:lang w:eastAsia="en-US" w:bidi="ar-SA"/>
        </w:rPr>
        <w:t>overgedragen, ter beschikking van de dienst blijven voor een hernieuwbare periode van één maand.</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departementale archiefdienst moet niet alleen gecontacteerd worden om de overdrachtslijst op te stellen, maar ook om de datum van de overdracht en de modaliteiten van het transport vast te leggen. </w:t>
      </w:r>
      <w:r w:rsidR="00CB3C3E">
        <w:rPr>
          <w:rFonts w:eastAsiaTheme="minorEastAsia"/>
          <w:kern w:val="0"/>
          <w:lang w:eastAsia="en-US" w:bidi="ar-SA"/>
        </w:rPr>
        <w:t xml:space="preserve">Bij gebrek aan </w:t>
      </w:r>
      <w:r w:rsidRPr="00D147A7">
        <w:rPr>
          <w:rFonts w:eastAsiaTheme="minorEastAsia"/>
          <w:kern w:val="0"/>
          <w:lang w:eastAsia="en-US" w:bidi="ar-SA"/>
        </w:rPr>
        <w:t xml:space="preserve">een eigen transportdienst kan een privé-transportbedrijf </w:t>
      </w:r>
      <w:r w:rsidR="00CB3C3E" w:rsidRPr="00D147A7">
        <w:rPr>
          <w:rFonts w:eastAsiaTheme="minorEastAsia"/>
          <w:kern w:val="0"/>
          <w:lang w:eastAsia="en-US" w:bidi="ar-SA"/>
        </w:rPr>
        <w:t xml:space="preserve">worden </w:t>
      </w:r>
      <w:r w:rsidRPr="00D147A7">
        <w:rPr>
          <w:rFonts w:eastAsiaTheme="minorEastAsia"/>
          <w:kern w:val="0"/>
          <w:lang w:eastAsia="en-US" w:bidi="ar-SA"/>
        </w:rPr>
        <w:t xml:space="preserve">ingehuurd of </w:t>
      </w:r>
      <w:r w:rsidR="00CB3C3E">
        <w:rPr>
          <w:rFonts w:eastAsiaTheme="minorEastAsia"/>
          <w:kern w:val="0"/>
          <w:lang w:eastAsia="en-US" w:bidi="ar-SA"/>
        </w:rPr>
        <w:t xml:space="preserve">beroep </w:t>
      </w:r>
      <w:r w:rsidRPr="00D147A7">
        <w:rPr>
          <w:rFonts w:eastAsiaTheme="minorEastAsia"/>
          <w:kern w:val="0"/>
          <w:lang w:eastAsia="en-US" w:bidi="ar-SA"/>
        </w:rPr>
        <w:t xml:space="preserve">op de transportdienst van </w:t>
      </w:r>
      <w:r w:rsidR="00CB3C3E">
        <w:rPr>
          <w:rFonts w:eastAsiaTheme="minorEastAsia"/>
          <w:kern w:val="0"/>
          <w:lang w:eastAsia="en-US" w:bidi="ar-SA"/>
        </w:rPr>
        <w:t>het</w:t>
      </w:r>
      <w:r w:rsidRPr="00D147A7">
        <w:rPr>
          <w:rFonts w:eastAsiaTheme="minorEastAsia"/>
          <w:kern w:val="0"/>
          <w:lang w:eastAsia="en-US" w:bidi="ar-SA"/>
        </w:rPr>
        <w:t xml:space="preserve"> departementale archie</w:t>
      </w:r>
      <w:r w:rsidR="00CB3C3E">
        <w:rPr>
          <w:rFonts w:eastAsiaTheme="minorEastAsia"/>
          <w:kern w:val="0"/>
          <w:lang w:eastAsia="en-US" w:bidi="ar-SA"/>
        </w:rPr>
        <w:t>f</w:t>
      </w:r>
      <w:r w:rsidR="00CB3C3E" w:rsidRPr="00CB3C3E">
        <w:rPr>
          <w:rFonts w:eastAsiaTheme="minorEastAsia"/>
          <w:kern w:val="0"/>
          <w:lang w:eastAsia="en-US" w:bidi="ar-SA"/>
        </w:rPr>
        <w:t xml:space="preserve"> </w:t>
      </w:r>
      <w:r w:rsidR="00CB3C3E" w:rsidRPr="00D147A7">
        <w:rPr>
          <w:rFonts w:eastAsiaTheme="minorEastAsia"/>
          <w:kern w:val="0"/>
          <w:lang w:eastAsia="en-US" w:bidi="ar-SA"/>
        </w:rPr>
        <w:t>worden</w:t>
      </w:r>
      <w:r w:rsidR="00CB3C3E" w:rsidRPr="00CB3C3E">
        <w:rPr>
          <w:rFonts w:eastAsiaTheme="minorEastAsia"/>
          <w:kern w:val="0"/>
          <w:lang w:eastAsia="en-US" w:bidi="ar-SA"/>
        </w:rPr>
        <w:t xml:space="preserve"> </w:t>
      </w:r>
      <w:r w:rsidR="00CB3C3E" w:rsidRPr="00D147A7">
        <w:rPr>
          <w:rFonts w:eastAsiaTheme="minorEastAsia"/>
          <w:kern w:val="0"/>
          <w:lang w:eastAsia="en-US" w:bidi="ar-SA"/>
        </w:rPr>
        <w:t>gedaan</w:t>
      </w:r>
      <w:r w:rsidRPr="00D147A7">
        <w:rPr>
          <w:rFonts w:eastAsiaTheme="minorEastAsia"/>
          <w:kern w:val="0"/>
          <w:lang w:eastAsia="en-US" w:bidi="ar-SA"/>
        </w:rPr>
        <w:t>. Hoe dan ook zijn de transportkosten voor de rekening van de overdragende dienst of instelling.</w:t>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b/>
          <w:kern w:val="0"/>
          <w:lang w:val="fr-BE" w:eastAsia="en-US" w:bidi="ar-SA"/>
        </w:rPr>
      </w:pPr>
      <w:r w:rsidRPr="00D147A7">
        <w:rPr>
          <w:rFonts w:eastAsiaTheme="minorEastAsia"/>
          <w:kern w:val="0"/>
          <w:lang w:eastAsia="en-US" w:bidi="ar-SA"/>
        </w:rPr>
        <w:t xml:space="preserve">De Franse wetgever heeft ook – i.t.t. de Belgische en Nederlandse wetgevers – een bepaling verordend waarbij het ook voor privaatrechtelijke ziekenhuizen mogelijk is om hun archieven over te dragen. </w:t>
      </w:r>
      <w:r w:rsidRPr="00D147A7">
        <w:rPr>
          <w:rFonts w:eastAsiaTheme="minorEastAsia"/>
          <w:kern w:val="0"/>
          <w:lang w:val="fr-BE" w:eastAsia="en-US" w:bidi="ar-SA"/>
        </w:rPr>
        <w:t xml:space="preserve">Deze bepaling luidt als volgt: </w:t>
      </w:r>
      <w:r w:rsidRPr="00D147A7">
        <w:rPr>
          <w:rFonts w:eastAsiaTheme="minorEastAsia"/>
          <w:i/>
          <w:kern w:val="0"/>
          <w:lang w:val="fr-BE" w:eastAsia="en-US" w:bidi="ar-SA"/>
        </w:rPr>
        <w:t>Lorsqu’un établissement de santé privé ne parti</w:t>
      </w:r>
      <w:r w:rsidR="00CB3C3E">
        <w:rPr>
          <w:rFonts w:eastAsiaTheme="minorEastAsia"/>
          <w:i/>
          <w:kern w:val="0"/>
          <w:lang w:val="fr-BE" w:eastAsia="en-US" w:bidi="ar-SA"/>
        </w:rPr>
        <w:t>-</w:t>
      </w:r>
      <w:r w:rsidRPr="00D147A7">
        <w:rPr>
          <w:rFonts w:eastAsiaTheme="minorEastAsia"/>
          <w:i/>
          <w:kern w:val="0"/>
          <w:lang w:val="fr-BE" w:eastAsia="en-US" w:bidi="ar-SA"/>
        </w:rPr>
        <w:t>cipant pas à l'exécution du service public hospitalier cesse ses activités, les informations con</w:t>
      </w:r>
      <w:r w:rsidR="00CB3C3E">
        <w:rPr>
          <w:rFonts w:eastAsiaTheme="minorEastAsia"/>
          <w:i/>
          <w:kern w:val="0"/>
          <w:lang w:val="fr-BE" w:eastAsia="en-US" w:bidi="ar-SA"/>
        </w:rPr>
        <w:t>-</w:t>
      </w:r>
      <w:r w:rsidRPr="00D147A7">
        <w:rPr>
          <w:rFonts w:eastAsiaTheme="minorEastAsia"/>
          <w:i/>
          <w:kern w:val="0"/>
          <w:lang w:val="fr-BE" w:eastAsia="en-US" w:bidi="ar-SA"/>
        </w:rPr>
        <w:t>cernant la santé des patients peuvent, sous réserve des tris nécessaires, faire l'objet d'un don à un service public d'archives par voie contractuelle entre le directeur de l'établissement et l'autorité administrative compétente</w:t>
      </w:r>
      <w:r w:rsidRPr="00D147A7">
        <w:rPr>
          <w:rFonts w:eastAsiaTheme="minorEastAsia"/>
          <w:kern w:val="0"/>
          <w:lang w:val="fr-BE" w:eastAsia="en-US" w:bidi="ar-SA"/>
        </w:rPr>
        <w:t>.</w:t>
      </w:r>
      <w:r w:rsidRPr="00D147A7">
        <w:rPr>
          <w:rFonts w:eastAsiaTheme="minorEastAsia"/>
          <w:kern w:val="0"/>
          <w:vertAlign w:val="superscript"/>
          <w:lang w:val="en-US" w:eastAsia="en-US" w:bidi="ar-SA"/>
        </w:rPr>
        <w:footnoteReference w:id="1431"/>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center"/>
        <w:rPr>
          <w:rFonts w:eastAsiaTheme="minorEastAsia"/>
          <w:kern w:val="0"/>
          <w:lang w:val="en-US" w:eastAsia="en-US" w:bidi="ar-SA"/>
        </w:rPr>
      </w:pPr>
      <w:r w:rsidRPr="00D147A7">
        <w:rPr>
          <w:rFonts w:eastAsiaTheme="minorEastAsia"/>
          <w:noProof/>
          <w:kern w:val="0"/>
          <w:lang w:eastAsia="nl-BE" w:bidi="ar-SA"/>
        </w:rPr>
        <w:lastRenderedPageBreak/>
        <w:drawing>
          <wp:inline distT="0" distB="0" distL="0" distR="0" wp14:anchorId="41A0C63E" wp14:editId="4FE20BFE">
            <wp:extent cx="4914286" cy="6104762"/>
            <wp:effectExtent l="0" t="0" r="6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4914286" cy="6104762"/>
                    </a:xfrm>
                    <a:prstGeom prst="rect">
                      <a:avLst/>
                    </a:prstGeom>
                  </pic:spPr>
                </pic:pic>
              </a:graphicData>
            </a:graphic>
          </wp:inline>
        </w:drawing>
      </w:r>
    </w:p>
    <w:p w:rsidR="000F560E" w:rsidRPr="00D147A7" w:rsidRDefault="000F560E" w:rsidP="000F560E">
      <w:pPr>
        <w:widowControl/>
        <w:suppressAutoHyphens w:val="0"/>
        <w:jc w:val="center"/>
        <w:rPr>
          <w:rFonts w:eastAsiaTheme="minorEastAsia"/>
          <w:kern w:val="0"/>
          <w:lang w:eastAsia="en-US" w:bidi="ar-SA"/>
        </w:rPr>
      </w:pPr>
      <w:r w:rsidRPr="00D147A7">
        <w:rPr>
          <w:rFonts w:eastAsiaTheme="minorEastAsia"/>
          <w:kern w:val="0"/>
          <w:lang w:eastAsia="en-US" w:bidi="ar-SA"/>
        </w:rPr>
        <w:t>Figuur 29: Voorbeeld van een Franse overdrachtslijst voor patiëntendossiers</w:t>
      </w:r>
      <w:r w:rsidRPr="00D147A7">
        <w:rPr>
          <w:rFonts w:eastAsiaTheme="minorEastAsia"/>
          <w:kern w:val="0"/>
          <w:vertAlign w:val="superscript"/>
          <w:lang w:eastAsia="en-US" w:bidi="ar-SA"/>
        </w:rPr>
        <w:footnoteReference w:id="1432"/>
      </w:r>
    </w:p>
    <w:p w:rsidR="000F560E" w:rsidRPr="00D147A7" w:rsidRDefault="000F560E" w:rsidP="000F560E">
      <w:pPr>
        <w:widowControl/>
        <w:suppressAutoHyphens w:val="0"/>
        <w:rPr>
          <w:rFonts w:eastAsiaTheme="minorEastAsia"/>
          <w:kern w:val="0"/>
          <w:lang w:eastAsia="en-US" w:bidi="ar-SA"/>
        </w:rPr>
      </w:pPr>
    </w:p>
    <w:p w:rsidR="000F560E" w:rsidRPr="00F169F7" w:rsidRDefault="000F560E" w:rsidP="000F560E">
      <w:pPr>
        <w:widowControl/>
        <w:suppressAutoHyphens w:val="0"/>
        <w:jc w:val="both"/>
        <w:rPr>
          <w:rFonts w:eastAsiaTheme="minorEastAsia"/>
          <w:kern w:val="0"/>
          <w:lang w:eastAsia="en-US" w:bidi="ar-SA"/>
        </w:rPr>
      </w:pPr>
      <w:r w:rsidRPr="00F169F7">
        <w:rPr>
          <w:rFonts w:eastAsiaTheme="minorEastAsia"/>
          <w:kern w:val="0"/>
          <w:lang w:eastAsia="en-US" w:bidi="ar-SA"/>
        </w:rPr>
        <w:t>In principe zijn de archieven van alle overheidsinstellingen openbaar (</w:t>
      </w:r>
      <w:r w:rsidRPr="00F169F7">
        <w:rPr>
          <w:rFonts w:eastAsiaTheme="minorEastAsia"/>
          <w:i/>
          <w:kern w:val="0"/>
          <w:lang w:eastAsia="en-US" w:bidi="ar-SA"/>
        </w:rPr>
        <w:t xml:space="preserve">ergo </w:t>
      </w:r>
      <w:r w:rsidRPr="00F169F7">
        <w:rPr>
          <w:rFonts w:eastAsiaTheme="minorEastAsia"/>
          <w:kern w:val="0"/>
          <w:lang w:eastAsia="en-US" w:bidi="ar-SA"/>
        </w:rPr>
        <w:t>voor eenieder toe</w:t>
      </w:r>
      <w:r w:rsidR="00F169F7">
        <w:rPr>
          <w:rFonts w:eastAsiaTheme="minorEastAsia"/>
          <w:kern w:val="0"/>
          <w:lang w:eastAsia="en-US" w:bidi="ar-SA"/>
        </w:rPr>
        <w:t>-</w:t>
      </w:r>
      <w:r w:rsidRPr="00F169F7">
        <w:rPr>
          <w:rFonts w:eastAsiaTheme="minorEastAsia"/>
          <w:kern w:val="0"/>
          <w:lang w:eastAsia="en-US" w:bidi="ar-SA"/>
        </w:rPr>
        <w:t>gankelijk).</w:t>
      </w:r>
      <w:r w:rsidRPr="00F169F7">
        <w:rPr>
          <w:rFonts w:eastAsiaTheme="minorEastAsia"/>
          <w:i/>
          <w:kern w:val="0"/>
          <w:lang w:eastAsia="en-US" w:bidi="ar-SA"/>
        </w:rPr>
        <w:t xml:space="preserve"> </w:t>
      </w:r>
      <w:r w:rsidRPr="00F169F7">
        <w:rPr>
          <w:rFonts w:eastAsiaTheme="minorEastAsia"/>
          <w:kern w:val="0"/>
          <w:lang w:eastAsia="en-US" w:bidi="ar-SA"/>
        </w:rPr>
        <w:t>Er zijn twee mogelijkheden: ofwel worden overheidsarchieven pas na een be</w:t>
      </w:r>
      <w:r w:rsidR="00F169F7">
        <w:rPr>
          <w:rFonts w:eastAsiaTheme="minorEastAsia"/>
          <w:kern w:val="0"/>
          <w:lang w:eastAsia="en-US" w:bidi="ar-SA"/>
        </w:rPr>
        <w:t>-</w:t>
      </w:r>
      <w:r w:rsidRPr="00F169F7">
        <w:rPr>
          <w:rFonts w:eastAsiaTheme="minorEastAsia"/>
          <w:kern w:val="0"/>
          <w:lang w:eastAsia="en-US" w:bidi="ar-SA"/>
        </w:rPr>
        <w:t>paalde periode openbaar, ofwel zijn archiefbescheiden te allen tijde toegankelijk voor de per</w:t>
      </w:r>
      <w:r w:rsidR="00F169F7">
        <w:rPr>
          <w:rFonts w:eastAsiaTheme="minorEastAsia"/>
          <w:kern w:val="0"/>
          <w:lang w:eastAsia="en-US" w:bidi="ar-SA"/>
        </w:rPr>
        <w:t>-</w:t>
      </w:r>
      <w:r w:rsidRPr="00F169F7">
        <w:rPr>
          <w:rFonts w:eastAsiaTheme="minorEastAsia"/>
          <w:kern w:val="0"/>
          <w:lang w:eastAsia="en-US" w:bidi="ar-SA"/>
        </w:rPr>
        <w:t>sonen op wie deze betrekking hebben. Het is belangrijk dat archivarissen weten welke rege</w:t>
      </w:r>
      <w:r w:rsidR="00F169F7">
        <w:rPr>
          <w:rFonts w:eastAsiaTheme="minorEastAsia"/>
          <w:kern w:val="0"/>
          <w:lang w:eastAsia="en-US" w:bidi="ar-SA"/>
        </w:rPr>
        <w:t>-</w:t>
      </w:r>
      <w:r w:rsidRPr="00F169F7">
        <w:rPr>
          <w:rFonts w:eastAsiaTheme="minorEastAsia"/>
          <w:kern w:val="0"/>
          <w:lang w:eastAsia="en-US" w:bidi="ar-SA"/>
        </w:rPr>
        <w:t xml:space="preserve">ling op welke archieven van toepassing </w:t>
      </w:r>
      <w:r w:rsidR="00CB3C3E" w:rsidRPr="00F169F7">
        <w:rPr>
          <w:rFonts w:eastAsiaTheme="minorEastAsia"/>
          <w:kern w:val="0"/>
          <w:lang w:eastAsia="en-US" w:bidi="ar-SA"/>
        </w:rPr>
        <w:t>zijn</w:t>
      </w:r>
      <w:r w:rsidRPr="00F169F7">
        <w:rPr>
          <w:rFonts w:eastAsiaTheme="minorEastAsia"/>
          <w:kern w:val="0"/>
          <w:lang w:eastAsia="en-US" w:bidi="ar-SA"/>
        </w:rPr>
        <w:t>, opdat de aanvragen in de leeszaal correct kunnen worden beoordeeld</w:t>
      </w:r>
      <w:r w:rsidR="00CB3C3E" w:rsidRPr="00F169F7">
        <w:rPr>
          <w:rFonts w:eastAsiaTheme="minorEastAsia"/>
          <w:kern w:val="0"/>
          <w:lang w:eastAsia="en-US" w:bidi="ar-SA"/>
        </w:rPr>
        <w:t xml:space="preserve"> en behandeld</w:t>
      </w:r>
      <w:r w:rsidRPr="00F169F7">
        <w:rPr>
          <w:rFonts w:eastAsiaTheme="minorEastAsia"/>
          <w:kern w:val="0"/>
          <w:lang w:eastAsia="en-US" w:bidi="ar-SA"/>
        </w:rPr>
        <w:t>.</w:t>
      </w:r>
      <w:r w:rsidRPr="00F169F7">
        <w:rPr>
          <w:rFonts w:eastAsiaTheme="minorEastAsia"/>
          <w:kern w:val="0"/>
          <w:vertAlign w:val="superscript"/>
          <w:lang w:eastAsia="en-US" w:bidi="ar-SA"/>
        </w:rPr>
        <w:footnoteReference w:id="1433"/>
      </w:r>
    </w:p>
    <w:p w:rsidR="000F560E" w:rsidRPr="00F169F7" w:rsidRDefault="000F560E" w:rsidP="000F560E">
      <w:pPr>
        <w:widowControl/>
        <w:suppressAutoHyphens w:val="0"/>
        <w:jc w:val="both"/>
        <w:rPr>
          <w:rFonts w:eastAsiaTheme="minorEastAsia"/>
          <w:b/>
          <w:smallCaps/>
          <w:kern w:val="0"/>
          <w:lang w:eastAsia="en-US" w:bidi="ar-SA"/>
        </w:rPr>
      </w:pPr>
    </w:p>
    <w:p w:rsidR="000F560E" w:rsidRPr="00F169F7" w:rsidRDefault="000F560E" w:rsidP="000F560E">
      <w:pPr>
        <w:widowControl/>
        <w:suppressAutoHyphens w:val="0"/>
        <w:jc w:val="both"/>
        <w:rPr>
          <w:rFonts w:eastAsiaTheme="minorEastAsia"/>
          <w:kern w:val="0"/>
          <w:lang w:eastAsia="en-US" w:bidi="ar-SA"/>
        </w:rPr>
      </w:pPr>
      <w:r w:rsidRPr="00F169F7">
        <w:rPr>
          <w:rFonts w:eastAsiaTheme="minorEastAsia"/>
          <w:kern w:val="0"/>
          <w:lang w:eastAsia="en-US" w:bidi="ar-SA"/>
        </w:rPr>
        <w:t>Vóór 2008 – toen de openbaarheidstermijnen gewijzigd werden en de openbaarheidsregeling van overheidsarchieven vereenvoudigd werd – waren patiëntendossiers 150 jaar na de geboor</w:t>
      </w:r>
      <w:r w:rsidR="00F169F7">
        <w:rPr>
          <w:rFonts w:eastAsiaTheme="minorEastAsia"/>
          <w:kern w:val="0"/>
          <w:lang w:eastAsia="en-US" w:bidi="ar-SA"/>
        </w:rPr>
        <w:t>-</w:t>
      </w:r>
      <w:r w:rsidRPr="00F169F7">
        <w:rPr>
          <w:rFonts w:eastAsiaTheme="minorEastAsia"/>
          <w:kern w:val="0"/>
          <w:lang w:eastAsia="en-US" w:bidi="ar-SA"/>
        </w:rPr>
        <w:lastRenderedPageBreak/>
        <w:t>te van de betrokken patiënt publiek toegankelijk.</w:t>
      </w:r>
      <w:r w:rsidRPr="00F169F7">
        <w:rPr>
          <w:rFonts w:eastAsiaTheme="minorEastAsia"/>
          <w:kern w:val="0"/>
          <w:vertAlign w:val="superscript"/>
          <w:lang w:eastAsia="en-US" w:bidi="ar-SA"/>
        </w:rPr>
        <w:footnoteReference w:id="1434"/>
      </w:r>
      <w:r w:rsidRPr="00F169F7">
        <w:rPr>
          <w:rFonts w:eastAsiaTheme="minorEastAsia"/>
          <w:kern w:val="0"/>
          <w:lang w:eastAsia="en-US" w:bidi="ar-SA"/>
        </w:rPr>
        <w:t xml:space="preserve"> Momenteel zijn overheidsarchieven van rechtswege openbaar</w:t>
      </w:r>
      <w:r w:rsidRPr="00F169F7">
        <w:rPr>
          <w:rFonts w:eastAsiaTheme="minorEastAsia"/>
          <w:kern w:val="0"/>
          <w:vertAlign w:val="superscript"/>
          <w:lang w:eastAsia="en-US" w:bidi="ar-SA"/>
        </w:rPr>
        <w:footnoteReference w:id="1435"/>
      </w:r>
      <w:r w:rsidRPr="00F169F7">
        <w:rPr>
          <w:rFonts w:eastAsiaTheme="minorEastAsia"/>
          <w:kern w:val="0"/>
          <w:lang w:eastAsia="en-US" w:bidi="ar-SA"/>
        </w:rPr>
        <w:t xml:space="preserve">, </w:t>
      </w:r>
      <w:r w:rsidR="00CB3C3E" w:rsidRPr="00F169F7">
        <w:rPr>
          <w:rFonts w:eastAsiaTheme="minorEastAsia"/>
          <w:kern w:val="0"/>
          <w:lang w:eastAsia="en-US" w:bidi="ar-SA"/>
        </w:rPr>
        <w:t>w</w:t>
      </w:r>
      <w:r w:rsidRPr="00F169F7">
        <w:rPr>
          <w:rFonts w:eastAsiaTheme="minorEastAsia"/>
          <w:kern w:val="0"/>
          <w:lang w:eastAsia="en-US" w:bidi="ar-SA"/>
        </w:rPr>
        <w:t>at slechts 25 tot 120 jaar kan worden uitgesteld.</w:t>
      </w:r>
      <w:r w:rsidRPr="00F169F7">
        <w:rPr>
          <w:rFonts w:eastAsiaTheme="minorEastAsia"/>
          <w:kern w:val="0"/>
          <w:vertAlign w:val="superscript"/>
          <w:lang w:eastAsia="en-US" w:bidi="ar-SA"/>
        </w:rPr>
        <w:footnoteReference w:id="1436"/>
      </w:r>
      <w:r w:rsidRPr="00F169F7">
        <w:rPr>
          <w:rFonts w:eastAsiaTheme="minorEastAsia"/>
          <w:kern w:val="0"/>
          <w:lang w:eastAsia="en-US" w:bidi="ar-SA"/>
        </w:rPr>
        <w:t xml:space="preserve"> Deze open</w:t>
      </w:r>
      <w:r w:rsidR="00F169F7">
        <w:rPr>
          <w:rFonts w:eastAsiaTheme="minorEastAsia"/>
          <w:kern w:val="0"/>
          <w:lang w:eastAsia="en-US" w:bidi="ar-SA"/>
        </w:rPr>
        <w:t>-</w:t>
      </w:r>
      <w:r w:rsidRPr="00F169F7">
        <w:rPr>
          <w:rFonts w:eastAsiaTheme="minorEastAsia"/>
          <w:kern w:val="0"/>
          <w:lang w:eastAsia="en-US" w:bidi="ar-SA"/>
        </w:rPr>
        <w:t>baarheidsregeling kwam in navolging van het principe van de vrije toegang tot administratie</w:t>
      </w:r>
      <w:r w:rsidR="00F169F7">
        <w:rPr>
          <w:rFonts w:eastAsiaTheme="minorEastAsia"/>
          <w:kern w:val="0"/>
          <w:lang w:eastAsia="en-US" w:bidi="ar-SA"/>
        </w:rPr>
        <w:t>-</w:t>
      </w:r>
      <w:r w:rsidRPr="00F169F7">
        <w:rPr>
          <w:rFonts w:eastAsiaTheme="minorEastAsia"/>
          <w:kern w:val="0"/>
          <w:lang w:eastAsia="en-US" w:bidi="ar-SA"/>
        </w:rPr>
        <w:t>ve documenten, zoals voorzien in de archiefwet van 1978</w:t>
      </w:r>
      <w:r w:rsidR="00CB3C3E" w:rsidRPr="00F169F7">
        <w:rPr>
          <w:rFonts w:eastAsiaTheme="minorEastAsia"/>
          <w:kern w:val="0"/>
          <w:lang w:eastAsia="en-US" w:bidi="ar-SA"/>
        </w:rPr>
        <w:t>, tot stand</w:t>
      </w:r>
      <w:r w:rsidRPr="00F169F7">
        <w:rPr>
          <w:rFonts w:eastAsiaTheme="minorEastAsia"/>
          <w:kern w:val="0"/>
          <w:lang w:eastAsia="en-US" w:bidi="ar-SA"/>
        </w:rPr>
        <w:t>.</w:t>
      </w:r>
      <w:r w:rsidRPr="00F169F7">
        <w:rPr>
          <w:rFonts w:eastAsiaTheme="minorEastAsia"/>
          <w:kern w:val="0"/>
          <w:vertAlign w:val="superscript"/>
          <w:lang w:eastAsia="en-US" w:bidi="ar-SA"/>
        </w:rPr>
        <w:footnoteReference w:id="1437"/>
      </w:r>
    </w:p>
    <w:p w:rsidR="000F560E" w:rsidRPr="00F169F7" w:rsidRDefault="000F560E" w:rsidP="000F560E">
      <w:pPr>
        <w:widowControl/>
        <w:suppressAutoHyphens w:val="0"/>
        <w:jc w:val="both"/>
        <w:rPr>
          <w:rFonts w:eastAsiaTheme="minorEastAsia"/>
          <w:kern w:val="0"/>
          <w:lang w:eastAsia="en-US" w:bidi="ar-SA"/>
        </w:rPr>
      </w:pPr>
      <w:r w:rsidRPr="00F169F7">
        <w:rPr>
          <w:rFonts w:eastAsiaTheme="minorEastAsia"/>
          <w:kern w:val="0"/>
          <w:lang w:eastAsia="en-US" w:bidi="ar-SA"/>
        </w:rPr>
        <w:t>Voor iedere archiefcategorie moet een evenwicht gezocht worden tussen de bescherming van individuele belangen (van de betrokkenen) en het recht op informatie (door de publieke toe</w:t>
      </w:r>
      <w:r w:rsidR="00F169F7">
        <w:rPr>
          <w:rFonts w:eastAsiaTheme="minorEastAsia"/>
          <w:kern w:val="0"/>
          <w:lang w:eastAsia="en-US" w:bidi="ar-SA"/>
        </w:rPr>
        <w:t>-</w:t>
      </w:r>
      <w:r w:rsidRPr="00F169F7">
        <w:rPr>
          <w:rFonts w:eastAsiaTheme="minorEastAsia"/>
          <w:kern w:val="0"/>
          <w:lang w:eastAsia="en-US" w:bidi="ar-SA"/>
        </w:rPr>
        <w:t>gankelijkheid van documenten). Verschillende situaties vereisen een verschillende beoorde</w:t>
      </w:r>
      <w:r w:rsidR="00F169F7">
        <w:rPr>
          <w:rFonts w:eastAsiaTheme="minorEastAsia"/>
          <w:kern w:val="0"/>
          <w:lang w:eastAsia="en-US" w:bidi="ar-SA"/>
        </w:rPr>
        <w:t>-</w:t>
      </w:r>
      <w:r w:rsidRPr="00F169F7">
        <w:rPr>
          <w:rFonts w:eastAsiaTheme="minorEastAsia"/>
          <w:kern w:val="0"/>
          <w:lang w:eastAsia="en-US" w:bidi="ar-SA"/>
        </w:rPr>
        <w:t>ling. Archiefbescheiden waarvan de inhoud door het medisch beroepsgeheim</w:t>
      </w:r>
      <w:r w:rsidR="00CB3C3E" w:rsidRPr="00F169F7">
        <w:rPr>
          <w:rFonts w:eastAsiaTheme="minorEastAsia"/>
          <w:kern w:val="0"/>
          <w:lang w:eastAsia="en-US" w:bidi="ar-SA"/>
        </w:rPr>
        <w:t xml:space="preserve"> beschermd wordt</w:t>
      </w:r>
      <w:r w:rsidRPr="00F169F7">
        <w:rPr>
          <w:rFonts w:eastAsiaTheme="minorEastAsia"/>
          <w:kern w:val="0"/>
          <w:lang w:eastAsia="en-US" w:bidi="ar-SA"/>
        </w:rPr>
        <w:t>, met inbegrip van patiëntendossiers, kunnen pas 25 jaar na het overlijden van de be</w:t>
      </w:r>
      <w:r w:rsidR="00F169F7">
        <w:rPr>
          <w:rFonts w:eastAsiaTheme="minorEastAsia"/>
          <w:kern w:val="0"/>
          <w:lang w:eastAsia="en-US" w:bidi="ar-SA"/>
        </w:rPr>
        <w:t>-</w:t>
      </w:r>
      <w:r w:rsidRPr="00F169F7">
        <w:rPr>
          <w:rFonts w:eastAsiaTheme="minorEastAsia"/>
          <w:kern w:val="0"/>
          <w:lang w:eastAsia="en-US" w:bidi="ar-SA"/>
        </w:rPr>
        <w:t>trokken personen openbaar worden of – als de overlijdensdatum niet gekend is – 120 jaar na de geboortedatum van de betrokkene. Vanzelfsprekend komen hier enkel patiëntendossiers voor in aanmerking waarvan de wettelijke bewaartermijn (20 jaar na het laatste contact met de patiënt) verstreken is. Als deze termijn voor bepaalde patiëntendossiers duidelijk te kort lijkt, kan een beroep gedaan worden op de regeling voor documenten waarin privacygevoelige  ge</w:t>
      </w:r>
      <w:r w:rsidR="00F169F7">
        <w:rPr>
          <w:rFonts w:eastAsiaTheme="minorEastAsia"/>
          <w:kern w:val="0"/>
          <w:lang w:eastAsia="en-US" w:bidi="ar-SA"/>
        </w:rPr>
        <w:t>-</w:t>
      </w:r>
      <w:r w:rsidRPr="00F169F7">
        <w:rPr>
          <w:rFonts w:eastAsiaTheme="minorEastAsia"/>
          <w:kern w:val="0"/>
          <w:lang w:eastAsia="en-US" w:bidi="ar-SA"/>
        </w:rPr>
        <w:t>gevens, een waardering of een waardeoordeel over een geïdentificeerde of identificeerbare na</w:t>
      </w:r>
      <w:r w:rsidR="00F169F7">
        <w:rPr>
          <w:rFonts w:eastAsiaTheme="minorEastAsia"/>
          <w:kern w:val="0"/>
          <w:lang w:eastAsia="en-US" w:bidi="ar-SA"/>
        </w:rPr>
        <w:t>-</w:t>
      </w:r>
      <w:r w:rsidRPr="00F169F7">
        <w:rPr>
          <w:rFonts w:eastAsiaTheme="minorEastAsia"/>
          <w:kern w:val="0"/>
          <w:lang w:eastAsia="en-US" w:bidi="ar-SA"/>
        </w:rPr>
        <w:t xml:space="preserve">tuurlijke personen opgenomen zijn of waarin de gedragingen van personen in provocerende omstandigheden beschreven worden die hem </w:t>
      </w:r>
      <w:r w:rsidR="00F169F7">
        <w:rPr>
          <w:rFonts w:eastAsiaTheme="minorEastAsia"/>
          <w:kern w:val="0"/>
          <w:lang w:eastAsia="en-US" w:bidi="ar-SA"/>
        </w:rPr>
        <w:t xml:space="preserve">of haar </w:t>
      </w:r>
      <w:r w:rsidRPr="00F169F7">
        <w:rPr>
          <w:rFonts w:eastAsiaTheme="minorEastAsia"/>
          <w:kern w:val="0"/>
          <w:lang w:eastAsia="en-US" w:bidi="ar-SA"/>
        </w:rPr>
        <w:t>nadeel kunnen berokkenen. Over het al</w:t>
      </w:r>
      <w:r w:rsidR="00F169F7">
        <w:rPr>
          <w:rFonts w:eastAsiaTheme="minorEastAsia"/>
          <w:kern w:val="0"/>
          <w:lang w:eastAsia="en-US" w:bidi="ar-SA"/>
        </w:rPr>
        <w:t>-</w:t>
      </w:r>
      <w:r w:rsidRPr="00F169F7">
        <w:rPr>
          <w:rFonts w:eastAsiaTheme="minorEastAsia"/>
          <w:kern w:val="0"/>
          <w:lang w:eastAsia="en-US" w:bidi="ar-SA"/>
        </w:rPr>
        <w:t>gemeen worden deze bescheiden pas 50 jaar na de creatie van het document openbaar. Hou</w:t>
      </w:r>
      <w:r w:rsidR="00F169F7">
        <w:rPr>
          <w:rFonts w:eastAsiaTheme="minorEastAsia"/>
          <w:kern w:val="0"/>
          <w:lang w:eastAsia="en-US" w:bidi="ar-SA"/>
        </w:rPr>
        <w:t>-</w:t>
      </w:r>
      <w:r w:rsidRPr="00F169F7">
        <w:rPr>
          <w:rFonts w:eastAsiaTheme="minorEastAsia"/>
          <w:kern w:val="0"/>
          <w:lang w:eastAsia="en-US" w:bidi="ar-SA"/>
        </w:rPr>
        <w:t>ders van openbare archiefbescheiden die een verzoek tot raadpleging van één of meerdere ar</w:t>
      </w:r>
      <w:r w:rsidR="00F169F7">
        <w:rPr>
          <w:rFonts w:eastAsiaTheme="minorEastAsia"/>
          <w:kern w:val="0"/>
          <w:lang w:eastAsia="en-US" w:bidi="ar-SA"/>
        </w:rPr>
        <w:t>-</w:t>
      </w:r>
      <w:r w:rsidRPr="00F169F7">
        <w:rPr>
          <w:rFonts w:eastAsiaTheme="minorEastAsia"/>
          <w:kern w:val="0"/>
          <w:lang w:eastAsia="en-US" w:bidi="ar-SA"/>
        </w:rPr>
        <w:t>chiefstukken afwijzen, moeten hun weigering met redenen omkleden.</w:t>
      </w:r>
      <w:r w:rsidRPr="00F169F7">
        <w:rPr>
          <w:rFonts w:eastAsiaTheme="minorEastAsia"/>
          <w:kern w:val="0"/>
          <w:vertAlign w:val="superscript"/>
          <w:lang w:eastAsia="en-US" w:bidi="ar-SA"/>
        </w:rPr>
        <w:footnoteReference w:id="1438"/>
      </w:r>
      <w:r w:rsidRPr="00F169F7">
        <w:rPr>
          <w:rFonts w:eastAsiaTheme="minorEastAsia"/>
          <w:kern w:val="0"/>
          <w:lang w:eastAsia="en-US" w:bidi="ar-SA"/>
        </w:rPr>
        <w:t xml:space="preserve"> </w:t>
      </w:r>
    </w:p>
    <w:p w:rsidR="000F560E" w:rsidRPr="00D147A7" w:rsidRDefault="000F560E" w:rsidP="000F560E">
      <w:pPr>
        <w:widowControl/>
        <w:suppressAutoHyphens w:val="0"/>
        <w:rPr>
          <w:rFonts w:eastAsiaTheme="minorEastAsia"/>
          <w:b/>
          <w:kern w:val="0"/>
          <w:lang w:eastAsia="en-US" w:bidi="ar-SA"/>
        </w:rPr>
      </w:pPr>
    </w:p>
    <w:p w:rsidR="000F560E" w:rsidRPr="00D147A7" w:rsidRDefault="000F560E" w:rsidP="000F560E">
      <w:pPr>
        <w:widowControl/>
        <w:suppressAutoHyphens w:val="0"/>
        <w:ind w:firstLine="708"/>
        <w:jc w:val="both"/>
        <w:rPr>
          <w:rFonts w:eastAsiaTheme="minorEastAsia"/>
          <w:b/>
          <w:kern w:val="0"/>
          <w:lang w:eastAsia="en-US" w:bidi="ar-SA"/>
        </w:rPr>
      </w:pPr>
      <w:r w:rsidRPr="00D147A7">
        <w:rPr>
          <w:rFonts w:eastAsiaTheme="minorEastAsia"/>
          <w:b/>
          <w:kern w:val="0"/>
          <w:lang w:eastAsia="en-US" w:bidi="ar-SA"/>
        </w:rPr>
        <w:t xml:space="preserve">Hoofdstuk 3: Vernietiging </w:t>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kern w:val="0"/>
          <w:lang w:eastAsia="en-US" w:bidi="ar-SA"/>
        </w:rPr>
        <w:t>1. Vóór beëindiging bewaartermijn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 Frankrijk kunnen zorgverleners op eigen verantwoordelijkheid een patiëntendossier scho</w:t>
      </w:r>
      <w:r w:rsidR="00F169F7">
        <w:rPr>
          <w:rFonts w:eastAsiaTheme="minorEastAsia"/>
          <w:kern w:val="0"/>
          <w:lang w:eastAsia="en-US" w:bidi="ar-SA"/>
        </w:rPr>
        <w:t>-</w:t>
      </w:r>
      <w:r w:rsidRPr="00D147A7">
        <w:rPr>
          <w:rFonts w:eastAsiaTheme="minorEastAsia"/>
          <w:kern w:val="0"/>
          <w:lang w:eastAsia="en-US" w:bidi="ar-SA"/>
        </w:rPr>
        <w:t xml:space="preserve">nen wanneer ze er gegevens aan toevoegen. Deze vroegtijdige vernietigingen geschieden in het kader van de verplichte selectie telkens een dossier opnieuw geopend wordt. Er kan dus enkel vroegtijdig vernietigd worden </w:t>
      </w:r>
      <w:r w:rsidR="00F169F7">
        <w:rPr>
          <w:rFonts w:eastAsiaTheme="minorEastAsia"/>
          <w:kern w:val="0"/>
          <w:lang w:eastAsia="en-US" w:bidi="ar-SA"/>
        </w:rPr>
        <w:t>in de dynamische fase (</w:t>
      </w:r>
      <w:r w:rsidRPr="00D147A7">
        <w:rPr>
          <w:rFonts w:eastAsiaTheme="minorEastAsia"/>
          <w:kern w:val="0"/>
          <w:lang w:eastAsia="en-US" w:bidi="ar-SA"/>
        </w:rPr>
        <w:t>zolang een patiëntendossier niet opnieuw naar de centrale archiefdienst van de instelling wordt overgebracht</w:t>
      </w:r>
      <w:r w:rsidR="00F169F7">
        <w:rPr>
          <w:rFonts w:eastAsiaTheme="minorEastAsia"/>
          <w:kern w:val="0"/>
          <w:lang w:eastAsia="en-US" w:bidi="ar-SA"/>
        </w:rPr>
        <w:t>)</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39"/>
      </w:r>
      <w:r w:rsidRPr="00D147A7">
        <w:rPr>
          <w:rFonts w:eastAsiaTheme="minorEastAsia"/>
          <w:kern w:val="0"/>
          <w:lang w:eastAsia="en-US" w:bidi="ar-SA"/>
        </w:rPr>
        <w:t xml:space="preserve"> Er bestaan selectielijsten (de zgn. </w:t>
      </w:r>
      <w:r w:rsidRPr="00D147A7">
        <w:rPr>
          <w:rFonts w:eastAsiaTheme="minorEastAsia"/>
          <w:i/>
          <w:kern w:val="0"/>
          <w:lang w:eastAsia="en-US" w:bidi="ar-SA"/>
        </w:rPr>
        <w:t>calendrier d’épuration du dossier médical</w:t>
      </w:r>
      <w:r w:rsidRPr="00D147A7">
        <w:rPr>
          <w:rFonts w:eastAsiaTheme="minorEastAsia"/>
          <w:kern w:val="0"/>
          <w:lang w:eastAsia="en-US" w:bidi="ar-SA"/>
        </w:rPr>
        <w:t>) die aangeven welke docu</w:t>
      </w:r>
      <w:r w:rsidR="00F169F7">
        <w:rPr>
          <w:rFonts w:eastAsiaTheme="minorEastAsia"/>
          <w:kern w:val="0"/>
          <w:lang w:eastAsia="en-US" w:bidi="ar-SA"/>
        </w:rPr>
        <w:t>-</w:t>
      </w:r>
      <w:r w:rsidRPr="00D147A7">
        <w:rPr>
          <w:rFonts w:eastAsiaTheme="minorEastAsia"/>
          <w:kern w:val="0"/>
          <w:lang w:eastAsia="en-US" w:bidi="ar-SA"/>
        </w:rPr>
        <w:t>menten uit het patiëntendossier vroegtijdig vernietigd mogen worden.</w:t>
      </w:r>
      <w:r w:rsidRPr="00D147A7">
        <w:rPr>
          <w:rFonts w:eastAsiaTheme="minorEastAsia"/>
          <w:kern w:val="0"/>
          <w:vertAlign w:val="superscript"/>
          <w:lang w:eastAsia="en-US" w:bidi="ar-SA"/>
        </w:rPr>
        <w:footnoteReference w:id="1440"/>
      </w:r>
      <w:r w:rsidRPr="00D147A7">
        <w:rPr>
          <w:rFonts w:eastAsiaTheme="minorEastAsia"/>
          <w:kern w:val="0"/>
          <w:lang w:eastAsia="en-US" w:bidi="ar-SA"/>
        </w:rPr>
        <w:t xml:space="preserve"> Net als de vernieti</w:t>
      </w:r>
      <w:r w:rsidR="00F169F7">
        <w:rPr>
          <w:rFonts w:eastAsiaTheme="minorEastAsia"/>
          <w:kern w:val="0"/>
          <w:lang w:eastAsia="en-US" w:bidi="ar-SA"/>
        </w:rPr>
        <w:t>-</w:t>
      </w:r>
      <w:r w:rsidRPr="00D147A7">
        <w:rPr>
          <w:rFonts w:eastAsiaTheme="minorEastAsia"/>
          <w:kern w:val="0"/>
          <w:lang w:eastAsia="en-US" w:bidi="ar-SA"/>
        </w:rPr>
        <w:t>ging aan het einde van de bewaartermijn moeten de documenten die tijdens een schoningspro</w:t>
      </w:r>
      <w:r w:rsidR="00F169F7">
        <w:rPr>
          <w:rFonts w:eastAsiaTheme="minorEastAsia"/>
          <w:kern w:val="0"/>
          <w:lang w:eastAsia="en-US" w:bidi="ar-SA"/>
        </w:rPr>
        <w:t>-</w:t>
      </w:r>
      <w:r w:rsidRPr="00D147A7">
        <w:rPr>
          <w:rFonts w:eastAsiaTheme="minorEastAsia"/>
          <w:kern w:val="0"/>
          <w:lang w:eastAsia="en-US" w:bidi="ar-SA"/>
        </w:rPr>
        <w:lastRenderedPageBreak/>
        <w:t>ces uit een patiëntendossier gelicht word</w:t>
      </w:r>
      <w:r w:rsidR="00F169F7">
        <w:rPr>
          <w:rFonts w:eastAsiaTheme="minorEastAsia"/>
          <w:kern w:val="0"/>
          <w:lang w:eastAsia="en-US" w:bidi="ar-SA"/>
        </w:rPr>
        <w:t>en</w:t>
      </w:r>
      <w:r w:rsidRPr="00D147A7">
        <w:rPr>
          <w:rFonts w:eastAsiaTheme="minorEastAsia"/>
          <w:kern w:val="0"/>
          <w:lang w:eastAsia="en-US" w:bidi="ar-SA"/>
        </w:rPr>
        <w:t xml:space="preserve"> zodanig vernietigd worden dat </w:t>
      </w:r>
      <w:r w:rsidR="00F169F7">
        <w:rPr>
          <w:rFonts w:eastAsiaTheme="minorEastAsia"/>
          <w:kern w:val="0"/>
          <w:lang w:eastAsia="en-US" w:bidi="ar-SA"/>
        </w:rPr>
        <w:t xml:space="preserve">de </w:t>
      </w:r>
      <w:r w:rsidRPr="00D147A7">
        <w:rPr>
          <w:rFonts w:eastAsiaTheme="minorEastAsia"/>
          <w:kern w:val="0"/>
          <w:lang w:eastAsia="en-US" w:bidi="ar-SA"/>
        </w:rPr>
        <w:t>inhoud niet meer gereconstrueerd kan worden.</w:t>
      </w:r>
      <w:r w:rsidRPr="00D147A7">
        <w:rPr>
          <w:rFonts w:eastAsiaTheme="minorEastAsia"/>
          <w:kern w:val="0"/>
          <w:vertAlign w:val="superscript"/>
          <w:lang w:eastAsia="en-US" w:bidi="ar-SA"/>
        </w:rPr>
        <w:footnoteReference w:id="1441"/>
      </w:r>
      <w:r w:rsidRPr="00D147A7">
        <w:rPr>
          <w:rFonts w:eastAsiaTheme="minorEastAsia"/>
          <w:b/>
          <w:smallCaps/>
          <w:kern w:val="0"/>
          <w:lang w:eastAsia="en-US" w:bidi="ar-SA"/>
        </w:rPr>
        <w:t xml:space="preserve"> </w:t>
      </w:r>
      <w:r w:rsidRPr="00D147A7">
        <w:rPr>
          <w:rFonts w:eastAsiaTheme="minorEastAsia"/>
          <w:kern w:val="0"/>
          <w:lang w:eastAsia="en-US" w:bidi="ar-SA"/>
        </w:rPr>
        <w:t>Zorgverleners moeten er dus op gewezen worden dat de regels m.b.t. archieven niet alleen op afgesloten patiëntendossiers in een archiefdepot of -kast</w:t>
      </w:r>
      <w:r w:rsidR="00F169F7" w:rsidRPr="00F169F7">
        <w:rPr>
          <w:rFonts w:eastAsiaTheme="minorEastAsia"/>
          <w:kern w:val="0"/>
          <w:lang w:eastAsia="en-US" w:bidi="ar-SA"/>
        </w:rPr>
        <w:t xml:space="preserve"> </w:t>
      </w:r>
      <w:r w:rsidR="00F169F7" w:rsidRPr="00D147A7">
        <w:rPr>
          <w:rFonts w:eastAsiaTheme="minorEastAsia"/>
          <w:kern w:val="0"/>
          <w:lang w:eastAsia="en-US" w:bidi="ar-SA"/>
        </w:rPr>
        <w:t>van toepassing zijn</w:t>
      </w:r>
      <w:r w:rsidRPr="00D147A7">
        <w:rPr>
          <w:rFonts w:eastAsiaTheme="minorEastAsia"/>
          <w:kern w:val="0"/>
          <w:lang w:eastAsia="en-US" w:bidi="ar-SA"/>
        </w:rPr>
        <w:t xml:space="preserve">, maar op </w:t>
      </w:r>
      <w:r w:rsidR="00F169F7">
        <w:rPr>
          <w:rFonts w:eastAsiaTheme="minorEastAsia"/>
          <w:kern w:val="0"/>
          <w:lang w:eastAsia="en-US" w:bidi="ar-SA"/>
        </w:rPr>
        <w:t>á</w:t>
      </w:r>
      <w:r w:rsidRPr="00D147A7">
        <w:rPr>
          <w:rFonts w:eastAsiaTheme="minorEastAsia"/>
          <w:kern w:val="0"/>
          <w:lang w:eastAsia="en-US" w:bidi="ar-SA"/>
        </w:rPr>
        <w:t xml:space="preserve">lle </w:t>
      </w:r>
      <w:r w:rsidR="00F169F7">
        <w:rPr>
          <w:rFonts w:eastAsiaTheme="minorEastAsia"/>
          <w:kern w:val="0"/>
          <w:lang w:eastAsia="en-US" w:bidi="ar-SA"/>
        </w:rPr>
        <w:t>geproduceerde</w:t>
      </w:r>
      <w:r w:rsidRPr="00D147A7">
        <w:rPr>
          <w:rFonts w:eastAsiaTheme="minorEastAsia"/>
          <w:kern w:val="0"/>
          <w:lang w:eastAsia="en-US" w:bidi="ar-SA"/>
        </w:rPr>
        <w:t xml:space="preserve"> en ontvangen documenten</w:t>
      </w:r>
      <w:r w:rsidR="00F169F7">
        <w:rPr>
          <w:rFonts w:eastAsiaTheme="minorEastAsia"/>
          <w:kern w:val="0"/>
          <w:lang w:eastAsia="en-US" w:bidi="ar-SA"/>
        </w:rPr>
        <w:t xml:space="preserve"> (ongeacht hun leeftijd)</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F169F7" w:rsidP="000F560E">
      <w:pPr>
        <w:widowControl/>
        <w:suppressAutoHyphens w:val="0"/>
        <w:jc w:val="both"/>
        <w:rPr>
          <w:rFonts w:eastAsiaTheme="minorEastAsia"/>
          <w:kern w:val="0"/>
          <w:lang w:eastAsia="en-US" w:bidi="ar-SA"/>
        </w:rPr>
      </w:pPr>
      <w:r>
        <w:rPr>
          <w:rFonts w:eastAsiaTheme="minorEastAsia"/>
          <w:kern w:val="0"/>
          <w:lang w:eastAsia="en-US" w:bidi="ar-SA"/>
        </w:rPr>
        <w:t>Ook in Frankrijk worden p</w:t>
      </w:r>
      <w:r w:rsidR="000F560E" w:rsidRPr="00D147A7">
        <w:rPr>
          <w:rFonts w:eastAsiaTheme="minorEastAsia"/>
          <w:kern w:val="0"/>
          <w:lang w:eastAsia="en-US" w:bidi="ar-SA"/>
        </w:rPr>
        <w:t xml:space="preserve">atiëntendossiers niet systematisch door het archiefpersoneel van een ziekenhuis geschoond, met uitzondering van </w:t>
      </w:r>
      <w:r>
        <w:rPr>
          <w:rFonts w:eastAsiaTheme="minorEastAsia"/>
          <w:kern w:val="0"/>
          <w:lang w:eastAsia="en-US" w:bidi="ar-SA"/>
        </w:rPr>
        <w:t xml:space="preserve">de </w:t>
      </w:r>
      <w:r w:rsidR="000F560E" w:rsidRPr="00D147A7">
        <w:rPr>
          <w:rFonts w:eastAsiaTheme="minorEastAsia"/>
          <w:kern w:val="0"/>
          <w:lang w:eastAsia="en-US" w:bidi="ar-SA"/>
        </w:rPr>
        <w:t xml:space="preserve">dossiers die permanent </w:t>
      </w:r>
      <w:r w:rsidRPr="00D147A7">
        <w:rPr>
          <w:rFonts w:eastAsiaTheme="minorEastAsia"/>
          <w:kern w:val="0"/>
          <w:lang w:eastAsia="en-US" w:bidi="ar-SA"/>
        </w:rPr>
        <w:t xml:space="preserve">moeten worden </w:t>
      </w:r>
      <w:r w:rsidR="000F560E" w:rsidRPr="00D147A7">
        <w:rPr>
          <w:rFonts w:eastAsiaTheme="minorEastAsia"/>
          <w:kern w:val="0"/>
          <w:lang w:eastAsia="en-US" w:bidi="ar-SA"/>
        </w:rPr>
        <w:t>bewaard.</w:t>
      </w:r>
      <w:r w:rsidR="000F560E" w:rsidRPr="00D147A7">
        <w:rPr>
          <w:rFonts w:eastAsiaTheme="minorEastAsia"/>
          <w:kern w:val="0"/>
          <w:vertAlign w:val="superscript"/>
          <w:lang w:eastAsia="en-US" w:bidi="ar-SA"/>
        </w:rPr>
        <w:footnoteReference w:id="1442"/>
      </w:r>
      <w:r w:rsidR="000F560E" w:rsidRPr="00D147A7">
        <w:rPr>
          <w:rFonts w:eastAsiaTheme="minorEastAsia"/>
          <w:kern w:val="0"/>
          <w:lang w:eastAsia="en-US" w:bidi="ar-SA"/>
        </w:rPr>
        <w:t xml:space="preserve"> Hierboven werd reeds vermeld dat archiefvormers verplicht zijn om hun archie</w:t>
      </w:r>
      <w:r>
        <w:rPr>
          <w:rFonts w:eastAsiaTheme="minorEastAsia"/>
          <w:kern w:val="0"/>
          <w:lang w:eastAsia="en-US" w:bidi="ar-SA"/>
        </w:rPr>
        <w:t>-</w:t>
      </w:r>
      <w:r w:rsidR="000F560E" w:rsidRPr="00D147A7">
        <w:rPr>
          <w:rFonts w:eastAsiaTheme="minorEastAsia"/>
          <w:kern w:val="0"/>
          <w:lang w:eastAsia="en-US" w:bidi="ar-SA"/>
        </w:rPr>
        <w:t xml:space="preserve">ven te schonen alvorens ze naar het departementale archief worden overgebracht. Op het einde van de dynamische fase moeten overheidsinstellingen een selectie uitvoeren op de door hen opgemaakte en ontvangen bescheiden als bedoeld in artikel L. 211-4 en artikel L. 212-4 van de </w:t>
      </w:r>
      <w:r w:rsidR="000F560E" w:rsidRPr="00D147A7">
        <w:rPr>
          <w:rFonts w:eastAsiaTheme="minorEastAsia"/>
          <w:i/>
          <w:kern w:val="0"/>
          <w:lang w:eastAsia="en-US" w:bidi="ar-SA"/>
        </w:rPr>
        <w:t>Code du patrimoine</w:t>
      </w:r>
      <w:r w:rsidR="000F560E"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Net als in Nederland, wordt in Frankrijk geopteerd om preventief tewerk te gaan. </w:t>
      </w:r>
      <w:r w:rsidR="00F169F7">
        <w:rPr>
          <w:rFonts w:eastAsiaTheme="minorEastAsia"/>
          <w:kern w:val="0"/>
          <w:lang w:eastAsia="en-US" w:bidi="ar-SA"/>
        </w:rPr>
        <w:t>D</w:t>
      </w:r>
      <w:r w:rsidRPr="00D147A7">
        <w:rPr>
          <w:rFonts w:eastAsiaTheme="minorEastAsia"/>
          <w:kern w:val="0"/>
          <w:lang w:eastAsia="en-US" w:bidi="ar-SA"/>
        </w:rPr>
        <w:t xml:space="preserve">e wetgever </w:t>
      </w:r>
      <w:r w:rsidR="00F169F7">
        <w:rPr>
          <w:rFonts w:eastAsiaTheme="minorEastAsia"/>
          <w:kern w:val="0"/>
          <w:lang w:eastAsia="en-US" w:bidi="ar-SA"/>
        </w:rPr>
        <w:t xml:space="preserve">heeft (i.p.v. de ziekenhuizen aan hun lot over te laten) zelf </w:t>
      </w:r>
      <w:r w:rsidRPr="00D147A7">
        <w:rPr>
          <w:rFonts w:eastAsiaTheme="minorEastAsia"/>
          <w:kern w:val="0"/>
          <w:lang w:eastAsia="en-US" w:bidi="ar-SA"/>
        </w:rPr>
        <w:t xml:space="preserve">de documenten </w:t>
      </w:r>
      <w:r w:rsidR="00F169F7">
        <w:rPr>
          <w:rFonts w:eastAsiaTheme="minorEastAsia"/>
          <w:kern w:val="0"/>
          <w:lang w:eastAsia="en-US" w:bidi="ar-SA"/>
        </w:rPr>
        <w:t xml:space="preserve">opgelijst </w:t>
      </w:r>
      <w:r w:rsidRPr="00D147A7">
        <w:rPr>
          <w:rFonts w:eastAsiaTheme="minorEastAsia"/>
          <w:kern w:val="0"/>
          <w:lang w:eastAsia="en-US" w:bidi="ar-SA"/>
        </w:rPr>
        <w:t>die ver</w:t>
      </w:r>
      <w:r w:rsidR="00F169F7">
        <w:rPr>
          <w:rFonts w:eastAsiaTheme="minorEastAsia"/>
          <w:kern w:val="0"/>
          <w:lang w:eastAsia="en-US" w:bidi="ar-SA"/>
        </w:rPr>
        <w:t>-</w:t>
      </w:r>
      <w:r w:rsidRPr="00D147A7">
        <w:rPr>
          <w:rFonts w:eastAsiaTheme="minorEastAsia"/>
          <w:kern w:val="0"/>
          <w:lang w:eastAsia="en-US" w:bidi="ar-SA"/>
        </w:rPr>
        <w:t>plicht in een patiëntendossier moeten worden opgenomen.</w:t>
      </w:r>
      <w:r w:rsidRPr="00D147A7">
        <w:rPr>
          <w:rFonts w:eastAsiaTheme="minorEastAsia"/>
          <w:kern w:val="0"/>
          <w:vertAlign w:val="superscript"/>
          <w:lang w:eastAsia="en-US" w:bidi="ar-SA"/>
        </w:rPr>
        <w:footnoteReference w:id="1443"/>
      </w:r>
      <w:r w:rsidRPr="00D147A7">
        <w:rPr>
          <w:rFonts w:eastAsiaTheme="minorEastAsia"/>
          <w:kern w:val="0"/>
          <w:lang w:eastAsia="en-US" w:bidi="ar-SA"/>
        </w:rPr>
        <w:t xml:space="preserve"> Het is echter niet geheel duide</w:t>
      </w:r>
      <w:r w:rsidR="00F169F7">
        <w:rPr>
          <w:rFonts w:eastAsiaTheme="minorEastAsia"/>
          <w:kern w:val="0"/>
          <w:lang w:eastAsia="en-US" w:bidi="ar-SA"/>
        </w:rPr>
        <w:t>-</w:t>
      </w:r>
      <w:r w:rsidRPr="00D147A7">
        <w:rPr>
          <w:rFonts w:eastAsiaTheme="minorEastAsia"/>
          <w:kern w:val="0"/>
          <w:lang w:eastAsia="en-US" w:bidi="ar-SA"/>
        </w:rPr>
        <w:t>lijk of documenten die niet in deze lijst opgenomen zijn zondermeer vernietigd mogen wor</w:t>
      </w:r>
      <w:r w:rsidR="00F169F7">
        <w:rPr>
          <w:rFonts w:eastAsiaTheme="minorEastAsia"/>
          <w:kern w:val="0"/>
          <w:lang w:eastAsia="en-US" w:bidi="ar-SA"/>
        </w:rPr>
        <w:t>-</w:t>
      </w:r>
      <w:r w:rsidRPr="00D147A7">
        <w:rPr>
          <w:rFonts w:eastAsiaTheme="minorEastAsia"/>
          <w:kern w:val="0"/>
          <w:lang w:eastAsia="en-US" w:bidi="ar-SA"/>
        </w:rPr>
        <w:t>den.</w:t>
      </w:r>
      <w:r w:rsidRPr="00D147A7">
        <w:rPr>
          <w:rFonts w:eastAsiaTheme="minorEastAsia"/>
          <w:kern w:val="0"/>
          <w:vertAlign w:val="superscript"/>
          <w:lang w:eastAsia="en-US" w:bidi="ar-SA"/>
        </w:rPr>
        <w:footnoteReference w:id="1444"/>
      </w:r>
      <w:r w:rsidRPr="00D147A7">
        <w:rPr>
          <w:rFonts w:eastAsiaTheme="minorEastAsia"/>
          <w:kern w:val="0"/>
          <w:lang w:eastAsia="en-US" w:bidi="ar-SA"/>
        </w:rPr>
        <w:t xml:space="preserve"> </w:t>
      </w:r>
      <w:r w:rsidR="00821CCB">
        <w:rPr>
          <w:rFonts w:eastAsiaTheme="minorEastAsia"/>
          <w:kern w:val="0"/>
          <w:lang w:eastAsia="en-US" w:bidi="ar-SA"/>
        </w:rPr>
        <w:t>Toch</w:t>
      </w:r>
      <w:r w:rsidRPr="00D147A7">
        <w:rPr>
          <w:rFonts w:eastAsiaTheme="minorEastAsia"/>
          <w:kern w:val="0"/>
          <w:lang w:eastAsia="en-US" w:bidi="ar-SA"/>
        </w:rPr>
        <w:t xml:space="preserve"> </w:t>
      </w:r>
      <w:r w:rsidR="00821CCB">
        <w:rPr>
          <w:rFonts w:eastAsiaTheme="minorEastAsia"/>
          <w:kern w:val="0"/>
          <w:lang w:eastAsia="en-US" w:bidi="ar-SA"/>
        </w:rPr>
        <w:t>is</w:t>
      </w:r>
      <w:r w:rsidRPr="00D147A7">
        <w:rPr>
          <w:rFonts w:eastAsiaTheme="minorEastAsia"/>
          <w:kern w:val="0"/>
          <w:lang w:eastAsia="en-US" w:bidi="ar-SA"/>
        </w:rPr>
        <w:t xml:space="preserve"> </w:t>
      </w:r>
      <w:r w:rsidR="00821CCB">
        <w:rPr>
          <w:rFonts w:eastAsiaTheme="minorEastAsia"/>
          <w:kern w:val="0"/>
          <w:lang w:eastAsia="en-US" w:bidi="ar-SA"/>
        </w:rPr>
        <w:t xml:space="preserve">het </w:t>
      </w:r>
      <w:r w:rsidRPr="00D147A7">
        <w:rPr>
          <w:rFonts w:eastAsiaTheme="minorEastAsia"/>
          <w:kern w:val="0"/>
          <w:lang w:eastAsia="en-US" w:bidi="ar-SA"/>
        </w:rPr>
        <w:t xml:space="preserve">algemeen aanvaard </w:t>
      </w:r>
      <w:r w:rsidR="00821CCB">
        <w:rPr>
          <w:rFonts w:eastAsiaTheme="minorEastAsia"/>
          <w:kern w:val="0"/>
          <w:lang w:eastAsia="en-US" w:bidi="ar-SA"/>
        </w:rPr>
        <w:t>dat</w:t>
      </w:r>
      <w:r w:rsidRPr="00D147A7">
        <w:rPr>
          <w:rFonts w:eastAsiaTheme="minorEastAsia"/>
          <w:kern w:val="0"/>
          <w:lang w:eastAsia="en-US" w:bidi="ar-SA"/>
        </w:rPr>
        <w:t xml:space="preserve"> dubbels, semi-dynamische labore</w:t>
      </w:r>
      <w:r w:rsidR="00821CCB">
        <w:rPr>
          <w:rFonts w:eastAsiaTheme="minorEastAsia"/>
          <w:kern w:val="0"/>
          <w:lang w:eastAsia="en-US" w:bidi="ar-SA"/>
        </w:rPr>
        <w:t>sultaten (waar</w:t>
      </w:r>
      <w:r w:rsidRPr="00D147A7">
        <w:rPr>
          <w:rFonts w:eastAsiaTheme="minorEastAsia"/>
          <w:kern w:val="0"/>
          <w:lang w:eastAsia="en-US" w:bidi="ar-SA"/>
        </w:rPr>
        <w:t xml:space="preserve"> een synthese in het dossier op gebaseerd is), voorschriften (mits de medicatiegeschiedenis van de patiënt gekend is) en brieven m.b.t. consultaties die reeds plaatsgevonden hebben</w:t>
      </w:r>
      <w:r w:rsidR="00821CCB">
        <w:rPr>
          <w:rFonts w:eastAsiaTheme="minorEastAsia"/>
          <w:kern w:val="0"/>
          <w:lang w:eastAsia="en-US" w:bidi="ar-SA"/>
        </w:rPr>
        <w:t xml:space="preserve">, </w:t>
      </w:r>
      <w:r w:rsidRPr="00D147A7">
        <w:rPr>
          <w:rFonts w:eastAsiaTheme="minorEastAsia"/>
          <w:kern w:val="0"/>
          <w:lang w:eastAsia="en-US" w:bidi="ar-SA"/>
        </w:rPr>
        <w:t>ver</w:t>
      </w:r>
      <w:r w:rsidR="00821CCB">
        <w:rPr>
          <w:rFonts w:eastAsiaTheme="minorEastAsia"/>
          <w:kern w:val="0"/>
          <w:lang w:eastAsia="en-US" w:bidi="ar-SA"/>
        </w:rPr>
        <w:t>-</w:t>
      </w:r>
      <w:r w:rsidRPr="00D147A7">
        <w:rPr>
          <w:rFonts w:eastAsiaTheme="minorEastAsia"/>
          <w:kern w:val="0"/>
          <w:lang w:eastAsia="en-US" w:bidi="ar-SA"/>
        </w:rPr>
        <w:t>nietig</w:t>
      </w:r>
      <w:r w:rsidR="00821CCB">
        <w:rPr>
          <w:rFonts w:eastAsiaTheme="minorEastAsia"/>
          <w:kern w:val="0"/>
          <w:lang w:eastAsia="en-US" w:bidi="ar-SA"/>
        </w:rPr>
        <w:t>d mogen worden</w:t>
      </w:r>
      <w:r w:rsidRPr="00D147A7">
        <w:rPr>
          <w:rFonts w:eastAsiaTheme="minorEastAsia"/>
          <w:kern w:val="0"/>
          <w:lang w:eastAsia="en-US" w:bidi="ar-SA"/>
        </w:rPr>
        <w:t xml:space="preserve"> alvorens de wettelijke bewaartermijn van het patiëntendossier verstre</w:t>
      </w:r>
      <w:r w:rsidR="00821CCB">
        <w:rPr>
          <w:rFonts w:eastAsiaTheme="minorEastAsia"/>
          <w:kern w:val="0"/>
          <w:lang w:eastAsia="en-US" w:bidi="ar-SA"/>
        </w:rPr>
        <w:t>-</w:t>
      </w:r>
      <w:r w:rsidRPr="00D147A7">
        <w:rPr>
          <w:rFonts w:eastAsiaTheme="minorEastAsia"/>
          <w:kern w:val="0"/>
          <w:lang w:eastAsia="en-US" w:bidi="ar-SA"/>
        </w:rPr>
        <w:t>ken is.</w:t>
      </w:r>
      <w:r w:rsidRPr="00D147A7">
        <w:rPr>
          <w:rFonts w:eastAsiaTheme="minorEastAsia"/>
          <w:kern w:val="0"/>
          <w:vertAlign w:val="superscript"/>
          <w:lang w:eastAsia="en-US" w:bidi="ar-SA"/>
        </w:rPr>
        <w:footnoteReference w:id="1445"/>
      </w:r>
      <w:r w:rsidRPr="00D147A7">
        <w:rPr>
          <w:rFonts w:eastAsiaTheme="minorEastAsia"/>
          <w:kern w:val="0"/>
          <w:lang w:eastAsia="en-US" w:bidi="ar-SA"/>
        </w:rPr>
        <w:t xml:space="preserve"> De schoning mag wel uitsluitend </w:t>
      </w:r>
      <w:r w:rsidR="00821CCB" w:rsidRPr="00D147A7">
        <w:rPr>
          <w:rFonts w:eastAsiaTheme="minorEastAsia"/>
          <w:kern w:val="0"/>
          <w:lang w:eastAsia="en-US" w:bidi="ar-SA"/>
        </w:rPr>
        <w:t xml:space="preserve">in de dynamische fase </w:t>
      </w:r>
      <w:r w:rsidRPr="00D147A7">
        <w:rPr>
          <w:rFonts w:eastAsiaTheme="minorEastAsia"/>
          <w:kern w:val="0"/>
          <w:lang w:eastAsia="en-US" w:bidi="ar-SA"/>
        </w:rPr>
        <w:t xml:space="preserve">door de archiefvormende zorgverlener </w:t>
      </w:r>
      <w:r w:rsidR="00821CCB" w:rsidRPr="00D147A7">
        <w:rPr>
          <w:rFonts w:eastAsiaTheme="minorEastAsia"/>
          <w:kern w:val="0"/>
          <w:lang w:eastAsia="en-US" w:bidi="ar-SA"/>
        </w:rPr>
        <w:t xml:space="preserve">worden </w:t>
      </w:r>
      <w:r w:rsidRPr="00D147A7">
        <w:rPr>
          <w:rFonts w:eastAsiaTheme="minorEastAsia"/>
          <w:kern w:val="0"/>
          <w:lang w:eastAsia="en-US" w:bidi="ar-SA"/>
        </w:rPr>
        <w:t xml:space="preserve">uitgevoerd. </w:t>
      </w:r>
    </w:p>
    <w:p w:rsidR="000F560E" w:rsidRPr="00D147A7" w:rsidRDefault="000F560E" w:rsidP="000F560E">
      <w:pPr>
        <w:widowControl/>
        <w:suppressAutoHyphens w:val="0"/>
        <w:jc w:val="both"/>
        <w:rPr>
          <w:rFonts w:eastAsiaTheme="minorEastAsia"/>
          <w:kern w:val="0"/>
          <w:sz w:val="22"/>
          <w:szCs w:val="22"/>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Originele patiëntendossiers kunnen ook vernietigd worden als ze gemicrofilmeerd of gedigita</w:t>
      </w:r>
      <w:r w:rsidR="00821CCB">
        <w:rPr>
          <w:rFonts w:eastAsiaTheme="minorEastAsia"/>
          <w:kern w:val="0"/>
          <w:lang w:eastAsia="en-US" w:bidi="ar-SA"/>
        </w:rPr>
        <w:t>-</w:t>
      </w:r>
      <w:r w:rsidRPr="00D147A7">
        <w:rPr>
          <w:rFonts w:eastAsiaTheme="minorEastAsia"/>
          <w:kern w:val="0"/>
          <w:lang w:eastAsia="en-US" w:bidi="ar-SA"/>
        </w:rPr>
        <w:t xml:space="preserve">liseerd worden, op voorwaarde </w:t>
      </w:r>
      <w:r w:rsidR="00821CCB">
        <w:rPr>
          <w:rFonts w:eastAsiaTheme="minorEastAsia"/>
          <w:kern w:val="0"/>
          <w:lang w:eastAsia="en-US" w:bidi="ar-SA"/>
        </w:rPr>
        <w:t>dat de nieuwe gegevensdrager be</w:t>
      </w:r>
      <w:r w:rsidRPr="00D147A7">
        <w:rPr>
          <w:rFonts w:eastAsiaTheme="minorEastAsia"/>
          <w:kern w:val="0"/>
          <w:lang w:eastAsia="en-US" w:bidi="ar-SA"/>
        </w:rPr>
        <w:t>trouwbaar, duurzaam en on</w:t>
      </w:r>
      <w:r w:rsidR="00821CCB">
        <w:rPr>
          <w:rFonts w:eastAsiaTheme="minorEastAsia"/>
          <w:kern w:val="0"/>
          <w:lang w:eastAsia="en-US" w:bidi="ar-SA"/>
        </w:rPr>
        <w:t>-</w:t>
      </w:r>
      <w:r w:rsidRPr="00D147A7">
        <w:rPr>
          <w:rFonts w:eastAsiaTheme="minorEastAsia"/>
          <w:kern w:val="0"/>
          <w:lang w:eastAsia="en-US" w:bidi="ar-SA"/>
        </w:rPr>
        <w:t>uitwisbaar is, de integriteit van de informatie tijdens de wettelijke bewaartermijn gegaran</w:t>
      </w:r>
      <w:r w:rsidR="00821CCB">
        <w:rPr>
          <w:rFonts w:eastAsiaTheme="minorEastAsia"/>
          <w:kern w:val="0"/>
          <w:lang w:eastAsia="en-US" w:bidi="ar-SA"/>
        </w:rPr>
        <w:t>-</w:t>
      </w:r>
      <w:r w:rsidRPr="00D147A7">
        <w:rPr>
          <w:rFonts w:eastAsiaTheme="minorEastAsia"/>
          <w:kern w:val="0"/>
          <w:lang w:eastAsia="en-US" w:bidi="ar-SA"/>
        </w:rPr>
        <w:t>deerd wordt en de archiefvormer en de patiënt (waarop de gegevens betrekking hebben) iden</w:t>
      </w:r>
      <w:r w:rsidR="00821CCB">
        <w:rPr>
          <w:rFonts w:eastAsiaTheme="minorEastAsia"/>
          <w:kern w:val="0"/>
          <w:lang w:eastAsia="en-US" w:bidi="ar-SA"/>
        </w:rPr>
        <w:t>-</w:t>
      </w:r>
      <w:r w:rsidRPr="00D147A7">
        <w:rPr>
          <w:rFonts w:eastAsiaTheme="minorEastAsia"/>
          <w:kern w:val="0"/>
          <w:lang w:eastAsia="en-US" w:bidi="ar-SA"/>
        </w:rPr>
        <w:t>tificeerbaar blijven.</w:t>
      </w:r>
      <w:r w:rsidRPr="00D147A7">
        <w:rPr>
          <w:rFonts w:eastAsiaTheme="minorEastAsia"/>
          <w:kern w:val="0"/>
          <w:vertAlign w:val="superscript"/>
          <w:lang w:eastAsia="en-US" w:bidi="ar-SA"/>
        </w:rPr>
        <w:footnoteReference w:id="1446"/>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kern w:val="0"/>
          <w:lang w:eastAsia="en-US" w:bidi="ar-SA"/>
        </w:rPr>
        <w:t>2. Tijdens of na beëindiging bewaartermijn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Omdat semi-dynamische archieven nog een administratieve waarde hebben</w:t>
      </w:r>
      <w:r w:rsidRPr="00D147A7">
        <w:rPr>
          <w:rFonts w:eastAsiaTheme="minorEastAsia"/>
          <w:kern w:val="0"/>
          <w:vertAlign w:val="superscript"/>
          <w:lang w:eastAsia="en-US" w:bidi="ar-SA"/>
        </w:rPr>
        <w:footnoteReference w:id="1447"/>
      </w:r>
      <w:r w:rsidRPr="00D147A7">
        <w:rPr>
          <w:rFonts w:eastAsiaTheme="minorEastAsia"/>
          <w:kern w:val="0"/>
          <w:lang w:eastAsia="en-US" w:bidi="ar-SA"/>
        </w:rPr>
        <w:t xml:space="preserve">, worden de meeste archiefbescheiden pas in de statische </w:t>
      </w:r>
      <w:r w:rsidR="00821CCB">
        <w:rPr>
          <w:rFonts w:eastAsiaTheme="minorEastAsia"/>
          <w:kern w:val="0"/>
          <w:lang w:eastAsia="en-US" w:bidi="ar-SA"/>
        </w:rPr>
        <w:t>fase</w:t>
      </w:r>
      <w:r w:rsidRPr="00D147A7">
        <w:rPr>
          <w:rFonts w:eastAsiaTheme="minorEastAsia"/>
          <w:kern w:val="0"/>
          <w:lang w:eastAsia="en-US" w:bidi="ar-SA"/>
        </w:rPr>
        <w:t xml:space="preserve"> vernietigd – indien mogelijk op basis van </w:t>
      </w:r>
      <w:r w:rsidRPr="00D147A7">
        <w:rPr>
          <w:rFonts w:eastAsiaTheme="minorEastAsia"/>
          <w:kern w:val="0"/>
          <w:lang w:eastAsia="en-US" w:bidi="ar-SA"/>
        </w:rPr>
        <w:lastRenderedPageBreak/>
        <w:t>een selectielijst</w:t>
      </w:r>
      <w:r w:rsidRPr="00D147A7">
        <w:rPr>
          <w:rFonts w:eastAsiaTheme="minorEastAsia"/>
          <w:i/>
          <w:kern w:val="0"/>
          <w:lang w:eastAsia="en-US" w:bidi="ar-SA"/>
        </w:rPr>
        <w:t>.</w:t>
      </w:r>
      <w:r w:rsidRPr="00D147A7">
        <w:rPr>
          <w:rFonts w:eastAsiaTheme="minorEastAsia"/>
          <w:kern w:val="0"/>
          <w:vertAlign w:val="superscript"/>
          <w:lang w:eastAsia="en-US" w:bidi="ar-SA"/>
        </w:rPr>
        <w:footnoteReference w:id="1448"/>
      </w:r>
      <w:r w:rsidRPr="00D147A7">
        <w:rPr>
          <w:rFonts w:eastAsiaTheme="minorEastAsia"/>
          <w:kern w:val="0"/>
          <w:lang w:eastAsia="en-US" w:bidi="ar-SA"/>
        </w:rPr>
        <w:t xml:space="preserve"> Sinds 1835 worden er in Frankrijk rondzendbrieven gewijd aan de ver</w:t>
      </w:r>
      <w:r w:rsidR="00821CCB">
        <w:rPr>
          <w:rFonts w:eastAsiaTheme="minorEastAsia"/>
          <w:kern w:val="0"/>
          <w:lang w:eastAsia="en-US" w:bidi="ar-SA"/>
        </w:rPr>
        <w:t>-</w:t>
      </w:r>
      <w:r w:rsidRPr="00D147A7">
        <w:rPr>
          <w:rFonts w:eastAsiaTheme="minorEastAsia"/>
          <w:kern w:val="0"/>
          <w:lang w:eastAsia="en-US" w:bidi="ar-SA"/>
        </w:rPr>
        <w:t>nietiging van in onbruik geraakte archiefbescheiden door departementale archieven.</w:t>
      </w:r>
      <w:r w:rsidRPr="00D147A7">
        <w:rPr>
          <w:rFonts w:eastAsiaTheme="minorEastAsia"/>
          <w:kern w:val="0"/>
          <w:vertAlign w:val="superscript"/>
          <w:lang w:eastAsia="en-US" w:bidi="ar-SA"/>
        </w:rPr>
        <w:footnoteReference w:id="1449"/>
      </w:r>
      <w:r w:rsidRPr="00D147A7">
        <w:rPr>
          <w:rFonts w:eastAsiaTheme="minorEastAsia"/>
          <w:kern w:val="0"/>
          <w:lang w:eastAsia="en-US" w:bidi="ar-SA"/>
        </w:rPr>
        <w:t xml:space="preserve"> Archi</w:t>
      </w:r>
      <w:r w:rsidR="00821CCB">
        <w:rPr>
          <w:rFonts w:eastAsiaTheme="minorEastAsia"/>
          <w:kern w:val="0"/>
          <w:lang w:eastAsia="en-US" w:bidi="ar-SA"/>
        </w:rPr>
        <w:t>-</w:t>
      </w:r>
      <w:r w:rsidRPr="00D147A7">
        <w:rPr>
          <w:rFonts w:eastAsiaTheme="minorEastAsia"/>
          <w:kern w:val="0"/>
          <w:lang w:eastAsia="en-US" w:bidi="ar-SA"/>
        </w:rPr>
        <w:t>varissen die overgedragen archieven willen vernietigen, moet</w:t>
      </w:r>
      <w:r w:rsidR="00821CCB">
        <w:rPr>
          <w:rFonts w:eastAsiaTheme="minorEastAsia"/>
          <w:kern w:val="0"/>
          <w:lang w:eastAsia="en-US" w:bidi="ar-SA"/>
        </w:rPr>
        <w:t>en</w:t>
      </w:r>
      <w:r w:rsidRPr="00D147A7">
        <w:rPr>
          <w:rFonts w:eastAsiaTheme="minorEastAsia"/>
          <w:kern w:val="0"/>
          <w:lang w:eastAsia="en-US" w:bidi="ar-SA"/>
        </w:rPr>
        <w:t xml:space="preserve"> daar</w:t>
      </w:r>
      <w:r w:rsidR="00821CCB">
        <w:rPr>
          <w:rFonts w:eastAsiaTheme="minorEastAsia"/>
          <w:kern w:val="0"/>
          <w:lang w:eastAsia="en-US" w:bidi="ar-SA"/>
        </w:rPr>
        <w:t>toe</w:t>
      </w:r>
      <w:r w:rsidRPr="00D147A7">
        <w:rPr>
          <w:rFonts w:eastAsiaTheme="minorEastAsia"/>
          <w:kern w:val="0"/>
          <w:lang w:eastAsia="en-US" w:bidi="ar-SA"/>
        </w:rPr>
        <w:t xml:space="preserve"> eerst de toestemming van de archiefvormende instelling verkrijgen. De archivaris zal hen een kopie van de over</w:t>
      </w:r>
      <w:r w:rsidR="00821CCB">
        <w:rPr>
          <w:rFonts w:eastAsiaTheme="minorEastAsia"/>
          <w:kern w:val="0"/>
          <w:lang w:eastAsia="en-US" w:bidi="ar-SA"/>
        </w:rPr>
        <w:t>-</w:t>
      </w:r>
      <w:r w:rsidRPr="00D147A7">
        <w:rPr>
          <w:rFonts w:eastAsiaTheme="minorEastAsia"/>
          <w:kern w:val="0"/>
          <w:lang w:eastAsia="en-US" w:bidi="ar-SA"/>
        </w:rPr>
        <w:t>drachtslijst van de te vernietigen bescheiden toesturen, die door de archiefvormende dienst of instelling moet worden</w:t>
      </w:r>
      <w:r w:rsidR="00821CCB" w:rsidRPr="00821CCB">
        <w:rPr>
          <w:rFonts w:eastAsiaTheme="minorEastAsia"/>
          <w:kern w:val="0"/>
          <w:lang w:eastAsia="en-US" w:bidi="ar-SA"/>
        </w:rPr>
        <w:t xml:space="preserve"> </w:t>
      </w:r>
      <w:r w:rsidR="00821CCB" w:rsidRPr="00D147A7">
        <w:rPr>
          <w:rFonts w:eastAsiaTheme="minorEastAsia"/>
          <w:kern w:val="0"/>
          <w:lang w:eastAsia="en-US" w:bidi="ar-SA"/>
        </w:rPr>
        <w:t>ondertekend</w:t>
      </w:r>
      <w:r w:rsidRPr="00D147A7">
        <w:rPr>
          <w:rFonts w:eastAsiaTheme="minorEastAsia"/>
          <w:kern w:val="0"/>
          <w:lang w:eastAsia="en-US" w:bidi="ar-SA"/>
        </w:rPr>
        <w:t>. Alle vernietigingen van openbare archiefbescheiden ge</w:t>
      </w:r>
      <w:r w:rsidR="00821CCB">
        <w:rPr>
          <w:rFonts w:eastAsiaTheme="minorEastAsia"/>
          <w:kern w:val="0"/>
          <w:lang w:eastAsia="en-US" w:bidi="ar-SA"/>
        </w:rPr>
        <w:t>-</w:t>
      </w:r>
      <w:r w:rsidRPr="00D147A7">
        <w:rPr>
          <w:rFonts w:eastAsiaTheme="minorEastAsia"/>
          <w:kern w:val="0"/>
          <w:lang w:eastAsia="en-US" w:bidi="ar-SA"/>
        </w:rPr>
        <w:t xml:space="preserve">schieden immers onder de administratieve, burger- en strafrechtelijke verantwoordelijkheid van de archiefvormende instelling (én volgens de regels van de in de </w:t>
      </w:r>
      <w:r w:rsidRPr="00D147A7">
        <w:rPr>
          <w:rFonts w:eastAsiaTheme="minorEastAsia"/>
          <w:i/>
          <w:kern w:val="0"/>
          <w:lang w:eastAsia="en-US" w:bidi="ar-SA"/>
        </w:rPr>
        <w:t xml:space="preserve">Code du patrimoine </w:t>
      </w:r>
      <w:r w:rsidRPr="00D147A7">
        <w:rPr>
          <w:rFonts w:eastAsiaTheme="minorEastAsia"/>
          <w:kern w:val="0"/>
          <w:lang w:eastAsia="en-US" w:bidi="ar-SA"/>
        </w:rPr>
        <w:t>ver</w:t>
      </w:r>
      <w:r w:rsidR="00821CCB">
        <w:rPr>
          <w:rFonts w:eastAsiaTheme="minorEastAsia"/>
          <w:kern w:val="0"/>
          <w:lang w:eastAsia="en-US" w:bidi="ar-SA"/>
        </w:rPr>
        <w:t>-</w:t>
      </w:r>
      <w:r w:rsidRPr="00D147A7">
        <w:rPr>
          <w:rFonts w:eastAsiaTheme="minorEastAsia"/>
          <w:kern w:val="0"/>
          <w:lang w:eastAsia="en-US" w:bidi="ar-SA"/>
        </w:rPr>
        <w:t>vatte archiefwet).</w:t>
      </w:r>
      <w:r w:rsidRPr="00D147A7">
        <w:rPr>
          <w:rFonts w:eastAsiaTheme="minorEastAsia"/>
          <w:kern w:val="0"/>
          <w:vertAlign w:val="superscript"/>
          <w:lang w:eastAsia="en-US" w:bidi="ar-SA"/>
        </w:rPr>
        <w:footnoteReference w:id="1450"/>
      </w:r>
      <w:r w:rsidRPr="00D147A7">
        <w:rPr>
          <w:rFonts w:eastAsiaTheme="minorEastAsia"/>
          <w:kern w:val="0"/>
          <w:lang w:eastAsia="en-US" w:bidi="ar-SA"/>
        </w:rPr>
        <w:t xml:space="preserve"> Bovendien moet aan de openbare ziekenhuizen de mogelijkheid geboden worden om archiefbescheiden die voor vernietiging in aanmerking </w:t>
      </w:r>
      <w:r w:rsidR="00821CCB">
        <w:rPr>
          <w:rFonts w:eastAsiaTheme="minorEastAsia"/>
          <w:kern w:val="0"/>
          <w:lang w:eastAsia="en-US" w:bidi="ar-SA"/>
        </w:rPr>
        <w:t xml:space="preserve">komen </w:t>
      </w:r>
      <w:r w:rsidRPr="00D147A7">
        <w:rPr>
          <w:rFonts w:eastAsiaTheme="minorEastAsia"/>
          <w:kern w:val="0"/>
          <w:lang w:eastAsia="en-US" w:bidi="ar-SA"/>
        </w:rPr>
        <w:t>zelf verder te be</w:t>
      </w:r>
      <w:r w:rsidR="00821CCB">
        <w:rPr>
          <w:rFonts w:eastAsiaTheme="minorEastAsia"/>
          <w:kern w:val="0"/>
          <w:lang w:eastAsia="en-US" w:bidi="ar-SA"/>
        </w:rPr>
        <w:t>-</w:t>
      </w:r>
      <w:r w:rsidRPr="00D147A7">
        <w:rPr>
          <w:rFonts w:eastAsiaTheme="minorEastAsia"/>
          <w:kern w:val="0"/>
          <w:lang w:eastAsia="en-US" w:bidi="ar-SA"/>
        </w:rPr>
        <w:t>waren.</w:t>
      </w:r>
      <w:r w:rsidRPr="00D147A7">
        <w:rPr>
          <w:rFonts w:eastAsiaTheme="minorEastAsia"/>
          <w:kern w:val="0"/>
          <w:vertAlign w:val="superscript"/>
          <w:lang w:eastAsia="en-US" w:bidi="ar-SA"/>
        </w:rPr>
        <w:footnoteReference w:id="1451"/>
      </w:r>
      <w:r w:rsidRPr="00D147A7">
        <w:rPr>
          <w:rFonts w:eastAsiaTheme="minorEastAsia"/>
          <w:kern w:val="0"/>
          <w:lang w:eastAsia="en-US" w:bidi="ar-SA"/>
        </w:rPr>
        <w:t xml:space="preserve"> Openbare archiefbescheiden die langer bewaard worden dan (wettelijk) </w:t>
      </w:r>
      <w:r w:rsidR="00821CCB">
        <w:rPr>
          <w:rFonts w:eastAsiaTheme="minorEastAsia"/>
          <w:kern w:val="0"/>
          <w:lang w:eastAsia="en-US" w:bidi="ar-SA"/>
        </w:rPr>
        <w:t>vereist is</w:t>
      </w:r>
      <w:r w:rsidRPr="00D147A7">
        <w:rPr>
          <w:rFonts w:eastAsiaTheme="minorEastAsia"/>
          <w:kern w:val="0"/>
          <w:lang w:eastAsia="en-US" w:bidi="ar-SA"/>
        </w:rPr>
        <w:t>, moeten nog steeds aan de wettelijke normen voldoen.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Alle te vernietigen bescheiden worden naar de archiefruimte overgebracht </w:t>
      </w:r>
      <w:r w:rsidR="004A578F">
        <w:rPr>
          <w:rFonts w:eastAsiaTheme="minorEastAsia"/>
          <w:kern w:val="0"/>
          <w:lang w:eastAsia="en-US" w:bidi="ar-SA"/>
        </w:rPr>
        <w:t>waar</w:t>
      </w:r>
      <w:r w:rsidRPr="00D147A7">
        <w:rPr>
          <w:rFonts w:eastAsiaTheme="minorEastAsia"/>
          <w:kern w:val="0"/>
          <w:lang w:eastAsia="en-US" w:bidi="ar-SA"/>
        </w:rPr>
        <w:t xml:space="preserve"> de verschil</w:t>
      </w:r>
      <w:r w:rsidR="004A578F">
        <w:rPr>
          <w:rFonts w:eastAsiaTheme="minorEastAsia"/>
          <w:kern w:val="0"/>
          <w:lang w:eastAsia="en-US" w:bidi="ar-SA"/>
        </w:rPr>
        <w:t>-</w:t>
      </w:r>
      <w:r w:rsidRPr="00D147A7">
        <w:rPr>
          <w:rFonts w:eastAsiaTheme="minorEastAsia"/>
          <w:kern w:val="0"/>
          <w:lang w:eastAsia="en-US" w:bidi="ar-SA"/>
        </w:rPr>
        <w:t xml:space="preserve">lende vernietigingen </w:t>
      </w:r>
      <w:r w:rsidR="004A578F">
        <w:rPr>
          <w:rFonts w:eastAsiaTheme="minorEastAsia"/>
          <w:kern w:val="0"/>
          <w:lang w:eastAsia="en-US" w:bidi="ar-SA"/>
        </w:rPr>
        <w:t>ge</w:t>
      </w:r>
      <w:r w:rsidRPr="00D147A7">
        <w:rPr>
          <w:rFonts w:eastAsiaTheme="minorEastAsia"/>
          <w:kern w:val="0"/>
          <w:lang w:eastAsia="en-US" w:bidi="ar-SA"/>
        </w:rPr>
        <w:t>groepe</w:t>
      </w:r>
      <w:r w:rsidR="004A578F">
        <w:rPr>
          <w:rFonts w:eastAsiaTheme="minorEastAsia"/>
          <w:kern w:val="0"/>
          <w:lang w:eastAsia="en-US" w:bidi="ar-SA"/>
        </w:rPr>
        <w:t>e</w:t>
      </w:r>
      <w:r w:rsidRPr="00D147A7">
        <w:rPr>
          <w:rFonts w:eastAsiaTheme="minorEastAsia"/>
          <w:kern w:val="0"/>
          <w:lang w:eastAsia="en-US" w:bidi="ar-SA"/>
        </w:rPr>
        <w:t>r</w:t>
      </w:r>
      <w:r w:rsidR="004A578F">
        <w:rPr>
          <w:rFonts w:eastAsiaTheme="minorEastAsia"/>
          <w:kern w:val="0"/>
          <w:lang w:eastAsia="en-US" w:bidi="ar-SA"/>
        </w:rPr>
        <w:t>d word</w:t>
      </w:r>
      <w:r w:rsidRPr="00D147A7">
        <w:rPr>
          <w:rFonts w:eastAsiaTheme="minorEastAsia"/>
          <w:kern w:val="0"/>
          <w:lang w:eastAsia="en-US" w:bidi="ar-SA"/>
        </w:rPr>
        <w:t>en. Wanneer de vernietigingszaal vol is, geeft de archi</w:t>
      </w:r>
      <w:r w:rsidR="004A578F">
        <w:rPr>
          <w:rFonts w:eastAsiaTheme="minorEastAsia"/>
          <w:kern w:val="0"/>
          <w:lang w:eastAsia="en-US" w:bidi="ar-SA"/>
        </w:rPr>
        <w:t>-</w:t>
      </w:r>
      <w:r w:rsidRPr="00D147A7">
        <w:rPr>
          <w:rFonts w:eastAsiaTheme="minorEastAsia"/>
          <w:kern w:val="0"/>
          <w:lang w:eastAsia="en-US" w:bidi="ar-SA"/>
        </w:rPr>
        <w:t>varis aan een gespecialiseerde dienstverlener – die aan de geldende normen voldoet en hier</w:t>
      </w:r>
      <w:r w:rsidR="004A578F">
        <w:rPr>
          <w:rFonts w:eastAsiaTheme="minorEastAsia"/>
          <w:kern w:val="0"/>
          <w:lang w:eastAsia="en-US" w:bidi="ar-SA"/>
        </w:rPr>
        <w:t>-</w:t>
      </w:r>
      <w:r w:rsidRPr="00D147A7">
        <w:rPr>
          <w:rFonts w:eastAsiaTheme="minorEastAsia"/>
          <w:kern w:val="0"/>
          <w:lang w:eastAsia="en-US" w:bidi="ar-SA"/>
        </w:rPr>
        <w:t xml:space="preserve">voor de nodige machtiging van de prefect heeft verkregen – </w:t>
      </w:r>
      <w:r w:rsidR="004A578F">
        <w:rPr>
          <w:rFonts w:eastAsiaTheme="minorEastAsia"/>
          <w:kern w:val="0"/>
          <w:lang w:eastAsia="en-US" w:bidi="ar-SA"/>
        </w:rPr>
        <w:t xml:space="preserve">de </w:t>
      </w:r>
      <w:r w:rsidR="004A578F" w:rsidRPr="00D147A7">
        <w:rPr>
          <w:rFonts w:eastAsiaTheme="minorEastAsia"/>
          <w:kern w:val="0"/>
          <w:lang w:eastAsia="en-US" w:bidi="ar-SA"/>
        </w:rPr>
        <w:t xml:space="preserve">opdracht </w:t>
      </w:r>
      <w:r w:rsidRPr="00D147A7">
        <w:rPr>
          <w:rFonts w:eastAsiaTheme="minorEastAsia"/>
          <w:kern w:val="0"/>
          <w:lang w:eastAsia="en-US" w:bidi="ar-SA"/>
        </w:rPr>
        <w:t xml:space="preserve">om de kamer leeg te maken. De bescheiden worden in een container gedeponeerd, die op dezelfde dag weggehaald wordt om </w:t>
      </w:r>
      <w:r w:rsidR="004A578F">
        <w:rPr>
          <w:rFonts w:eastAsiaTheme="minorEastAsia"/>
          <w:kern w:val="0"/>
          <w:lang w:eastAsia="en-US" w:bidi="ar-SA"/>
        </w:rPr>
        <w:t xml:space="preserve">op </w:t>
      </w:r>
      <w:r w:rsidRPr="00D147A7">
        <w:rPr>
          <w:rFonts w:eastAsiaTheme="minorEastAsia"/>
          <w:kern w:val="0"/>
          <w:lang w:eastAsia="en-US" w:bidi="ar-SA"/>
        </w:rPr>
        <w:t>uiterst zorgvuldige wijze te worden vernietigd. Een archivaris moet het transport van de documenten naar het vernietigingsbedrijf begeleiden. Vanwege de delicate inhoud, moet de vernietiging van patiëntendossiers aan niveau IV of V voldoen (i.e. dezelfde graad waarmee archieven van het Ministerie van Defensie vernietigd worden).</w:t>
      </w:r>
      <w:r w:rsidRPr="00D147A7">
        <w:rPr>
          <w:rFonts w:eastAsiaTheme="minorEastAsia"/>
          <w:kern w:val="0"/>
          <w:vertAlign w:val="superscript"/>
          <w:lang w:val="fr-BE" w:eastAsia="en-US" w:bidi="ar-SA"/>
        </w:rPr>
        <w:footnoteReference w:id="1452"/>
      </w:r>
      <w:r w:rsidRPr="00D147A7">
        <w:rPr>
          <w:rFonts w:eastAsiaTheme="minorEastAsia"/>
          <w:kern w:val="0"/>
          <w:lang w:eastAsia="en-US" w:bidi="ar-SA"/>
        </w:rPr>
        <w:t xml:space="preserve"> Voor röntgen</w:t>
      </w:r>
      <w:r w:rsidR="004A578F">
        <w:rPr>
          <w:rFonts w:eastAsiaTheme="minorEastAsia"/>
          <w:kern w:val="0"/>
          <w:lang w:eastAsia="en-US" w:bidi="ar-SA"/>
        </w:rPr>
        <w:t>-</w:t>
      </w:r>
      <w:r w:rsidRPr="00D147A7">
        <w:rPr>
          <w:rFonts w:eastAsiaTheme="minorEastAsia"/>
          <w:kern w:val="0"/>
          <w:lang w:eastAsia="en-US" w:bidi="ar-SA"/>
        </w:rPr>
        <w:t>foto’s – die ziverzouten bevatten – moet bovendien ook de toelating bekomen worden om giftig afval te vernietigen.</w:t>
      </w:r>
      <w:r w:rsidRPr="00D147A7">
        <w:rPr>
          <w:rFonts w:eastAsiaTheme="minorEastAsia"/>
          <w:kern w:val="0"/>
          <w:vertAlign w:val="superscript"/>
          <w:lang w:val="fr-BE" w:eastAsia="en-US" w:bidi="ar-SA"/>
        </w:rPr>
        <w:footnoteReference w:id="1453"/>
      </w:r>
      <w:r w:rsidRPr="00D147A7">
        <w:rPr>
          <w:rFonts w:eastAsiaTheme="minorEastAsia"/>
          <w:kern w:val="0"/>
          <w:lang w:eastAsia="en-US" w:bidi="ar-SA"/>
        </w:rPr>
        <w:t xml:space="preserve"> Voor iedere vernietiging </w:t>
      </w:r>
      <w:r w:rsidR="004A578F">
        <w:rPr>
          <w:rFonts w:eastAsiaTheme="minorEastAsia"/>
          <w:kern w:val="0"/>
          <w:lang w:eastAsia="en-US" w:bidi="ar-SA"/>
        </w:rPr>
        <w:t>levert</w:t>
      </w:r>
      <w:r w:rsidRPr="00D147A7">
        <w:rPr>
          <w:rFonts w:eastAsiaTheme="minorEastAsia"/>
          <w:kern w:val="0"/>
          <w:lang w:eastAsia="en-US" w:bidi="ar-SA"/>
        </w:rPr>
        <w:t xml:space="preserve"> het vernietigingsbedrijf een certificaat</w:t>
      </w:r>
      <w:r w:rsidR="004A578F">
        <w:rPr>
          <w:rFonts w:eastAsiaTheme="minorEastAsia"/>
          <w:kern w:val="0"/>
          <w:lang w:eastAsia="en-US" w:bidi="ar-SA"/>
        </w:rPr>
        <w:t xml:space="preserve"> af</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54"/>
      </w:r>
      <w:r w:rsidRPr="00D147A7">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b/>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Wanneer de diensten, instellingen en instanties documenten willen vernietigen die ze niet nut</w:t>
      </w:r>
      <w:r w:rsidR="004A578F">
        <w:rPr>
          <w:rFonts w:eastAsiaTheme="minorEastAsia"/>
          <w:i/>
          <w:kern w:val="0"/>
          <w:lang w:eastAsia="en-US" w:bidi="ar-SA"/>
        </w:rPr>
        <w:t>-</w:t>
      </w:r>
      <w:r w:rsidRPr="00D147A7">
        <w:rPr>
          <w:rFonts w:eastAsiaTheme="minorEastAsia"/>
          <w:i/>
          <w:kern w:val="0"/>
          <w:lang w:eastAsia="en-US" w:bidi="ar-SA"/>
        </w:rPr>
        <w:t xml:space="preserve">tig achten, moeten ze de </w:t>
      </w:r>
      <w:r w:rsidRPr="00D147A7">
        <w:rPr>
          <w:rFonts w:eastAsiaTheme="minorEastAsia"/>
          <w:kern w:val="0"/>
          <w:lang w:eastAsia="en-US" w:bidi="ar-SA"/>
        </w:rPr>
        <w:t>[vernietigings]</w:t>
      </w:r>
      <w:r w:rsidRPr="00D147A7">
        <w:rPr>
          <w:rFonts w:eastAsiaTheme="minorEastAsia"/>
          <w:i/>
          <w:kern w:val="0"/>
          <w:lang w:eastAsia="en-US" w:bidi="ar-SA"/>
        </w:rPr>
        <w:t>lijst indienen ter goedkeuring van de persoon die ver</w:t>
      </w:r>
      <w:r w:rsidR="004A578F">
        <w:rPr>
          <w:rFonts w:eastAsiaTheme="minorEastAsia"/>
          <w:i/>
          <w:kern w:val="0"/>
          <w:lang w:eastAsia="en-US" w:bidi="ar-SA"/>
        </w:rPr>
        <w:t>-</w:t>
      </w:r>
      <w:r w:rsidRPr="00D147A7">
        <w:rPr>
          <w:rFonts w:eastAsiaTheme="minorEastAsia"/>
          <w:i/>
          <w:kern w:val="0"/>
          <w:lang w:eastAsia="en-US" w:bidi="ar-SA"/>
        </w:rPr>
        <w:t xml:space="preserve">antwoordelijk is voor wetenschappelijke en technische staatscontrole op de archieven. Zonder zijn goedkeuring is iedere vernietiging verboden. </w:t>
      </w:r>
      <w:r w:rsidRPr="00D147A7">
        <w:rPr>
          <w:rFonts w:eastAsiaTheme="minorEastAsia"/>
          <w:kern w:val="0"/>
          <w:lang w:eastAsia="en-US" w:bidi="ar-SA"/>
        </w:rPr>
        <w:t>(…)</w:t>
      </w:r>
      <w:r w:rsidRPr="00D147A7">
        <w:rPr>
          <w:rFonts w:eastAsiaTheme="minorEastAsia"/>
          <w:i/>
          <w:kern w:val="0"/>
          <w:lang w:eastAsia="en-US" w:bidi="ar-SA"/>
        </w:rPr>
        <w:t xml:space="preserve"> In ieder geval worden documenten ver</w:t>
      </w:r>
      <w:r w:rsidR="004A578F">
        <w:rPr>
          <w:rFonts w:eastAsiaTheme="minorEastAsia"/>
          <w:i/>
          <w:kern w:val="0"/>
          <w:lang w:eastAsia="en-US" w:bidi="ar-SA"/>
        </w:rPr>
        <w:t>-</w:t>
      </w:r>
      <w:r w:rsidRPr="00D147A7">
        <w:rPr>
          <w:rFonts w:eastAsiaTheme="minorEastAsia"/>
          <w:i/>
          <w:kern w:val="0"/>
          <w:lang w:eastAsia="en-US" w:bidi="ar-SA"/>
        </w:rPr>
        <w:t>nietigd onder het technisch toezicht van de directie van de Archives de France</w:t>
      </w:r>
      <w:r w:rsidRPr="00D147A7">
        <w:rPr>
          <w:rFonts w:eastAsiaTheme="minorEastAsia"/>
          <w:kern w:val="0"/>
          <w:lang w:eastAsia="en-US" w:bidi="ar-SA"/>
        </w:rPr>
        <w:t>.</w:t>
      </w:r>
      <w:r w:rsidRPr="00D147A7">
        <w:rPr>
          <w:rFonts w:eastAsiaTheme="minorEastAsia"/>
          <w:kern w:val="0"/>
          <w:vertAlign w:val="superscript"/>
          <w:lang w:val="fr-BE" w:eastAsia="en-US" w:bidi="ar-SA"/>
        </w:rPr>
        <w:footnoteReference w:id="1455"/>
      </w:r>
      <w:r w:rsidRPr="00D147A7">
        <w:rPr>
          <w:rFonts w:eastAsiaTheme="minorEastAsia"/>
          <w:kern w:val="0"/>
          <w:lang w:eastAsia="en-US" w:bidi="ar-SA"/>
        </w:rPr>
        <w:t xml:space="preserve"> Voor pa</w:t>
      </w:r>
      <w:r w:rsidR="004A578F">
        <w:rPr>
          <w:rFonts w:eastAsiaTheme="minorEastAsia"/>
          <w:kern w:val="0"/>
          <w:lang w:eastAsia="en-US" w:bidi="ar-SA"/>
        </w:rPr>
        <w:t>-</w:t>
      </w:r>
      <w:r w:rsidRPr="00D147A7">
        <w:rPr>
          <w:rFonts w:eastAsiaTheme="minorEastAsia"/>
          <w:kern w:val="0"/>
          <w:lang w:eastAsia="en-US" w:bidi="ar-SA"/>
        </w:rPr>
        <w:lastRenderedPageBreak/>
        <w:t>tiëntendossiers is het aangewezen om aan de aanvraag voor vernietiging een door de zieken</w:t>
      </w:r>
      <w:r w:rsidR="004A578F">
        <w:rPr>
          <w:rFonts w:eastAsiaTheme="minorEastAsia"/>
          <w:kern w:val="0"/>
          <w:lang w:eastAsia="en-US" w:bidi="ar-SA"/>
        </w:rPr>
        <w:t>-</w:t>
      </w:r>
      <w:r w:rsidRPr="00D147A7">
        <w:rPr>
          <w:rFonts w:eastAsiaTheme="minorEastAsia"/>
          <w:kern w:val="0"/>
          <w:lang w:eastAsia="en-US" w:bidi="ar-SA"/>
        </w:rPr>
        <w:t xml:space="preserve">huisdirecteur ondertekende lijst toe te voegen waarin de dossiers uitgebreid beschreven </w:t>
      </w:r>
      <w:r w:rsidR="004A578F" w:rsidRPr="00D147A7">
        <w:rPr>
          <w:rFonts w:eastAsiaTheme="minorEastAsia"/>
          <w:kern w:val="0"/>
          <w:lang w:eastAsia="en-US" w:bidi="ar-SA"/>
        </w:rPr>
        <w:t>wor</w:t>
      </w:r>
      <w:r w:rsidR="004A578F">
        <w:rPr>
          <w:rFonts w:eastAsiaTheme="minorEastAsia"/>
          <w:kern w:val="0"/>
          <w:lang w:eastAsia="en-US" w:bidi="ar-SA"/>
        </w:rPr>
        <w:t>-</w:t>
      </w:r>
      <w:r w:rsidR="004A578F" w:rsidRPr="00D147A7">
        <w:rPr>
          <w:rFonts w:eastAsiaTheme="minorEastAsia"/>
          <w:kern w:val="0"/>
          <w:lang w:eastAsia="en-US" w:bidi="ar-SA"/>
        </w:rPr>
        <w:t xml:space="preserve">den </w:t>
      </w:r>
      <w:r w:rsidRPr="00D147A7">
        <w:rPr>
          <w:rFonts w:eastAsiaTheme="minorEastAsia"/>
          <w:kern w:val="0"/>
          <w:lang w:eastAsia="en-US" w:bidi="ar-SA"/>
        </w:rPr>
        <w:t xml:space="preserve">(de zgn. vernietigingslijst). De </w:t>
      </w:r>
      <w:r w:rsidR="004A578F">
        <w:rPr>
          <w:rFonts w:eastAsiaTheme="minorEastAsia"/>
          <w:kern w:val="0"/>
          <w:lang w:eastAsia="en-US" w:bidi="ar-SA"/>
        </w:rPr>
        <w:t xml:space="preserve">vernietigingslijst moet ten minste de </w:t>
      </w:r>
      <w:r w:rsidRPr="00D147A7">
        <w:rPr>
          <w:rFonts w:eastAsiaTheme="minorEastAsia"/>
          <w:kern w:val="0"/>
          <w:lang w:eastAsia="en-US" w:bidi="ar-SA"/>
        </w:rPr>
        <w:t>volgende informatie bevat</w:t>
      </w:r>
      <w:r w:rsidR="004A578F">
        <w:rPr>
          <w:rFonts w:eastAsiaTheme="minorEastAsia"/>
          <w:kern w:val="0"/>
          <w:lang w:eastAsia="en-US" w:bidi="ar-SA"/>
        </w:rPr>
        <w:t>ten</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administratie of organisatie</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dienst</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naam van het diensthoofd</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naam van de contactpersoon van het verzoek</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adres</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telefoon / e-mail</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beschrijving van te vernietigen bescheiden (aantal dozen, omvang, beschrijving van de be</w:t>
      </w:r>
      <w:r w:rsidR="004A578F">
        <w:rPr>
          <w:rFonts w:eastAsiaTheme="minorEastAsia"/>
          <w:kern w:val="0"/>
          <w:lang w:eastAsia="en-US" w:bidi="ar-SA"/>
        </w:rPr>
        <w:t>-</w:t>
      </w:r>
      <w:r w:rsidRPr="00D147A7">
        <w:rPr>
          <w:rFonts w:eastAsiaTheme="minorEastAsia"/>
          <w:kern w:val="0"/>
          <w:lang w:eastAsia="en-US" w:bidi="ar-SA"/>
        </w:rPr>
        <w:t>scheiden, uiterste data, referentietekst)</w:t>
      </w:r>
      <w:r w:rsidR="004A578F">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De vernietigingslijst wordt – samen met de modaliteiten van de vernietiging – door de over</w:t>
      </w:r>
      <w:r w:rsidR="00450A82">
        <w:rPr>
          <w:rFonts w:eastAsiaTheme="minorEastAsia"/>
          <w:kern w:val="0"/>
          <w:lang w:eastAsia="en-US" w:bidi="ar-SA"/>
        </w:rPr>
        <w:t>-</w:t>
      </w:r>
      <w:r w:rsidRPr="00D147A7">
        <w:rPr>
          <w:rFonts w:eastAsiaTheme="minorEastAsia"/>
          <w:kern w:val="0"/>
          <w:lang w:eastAsia="en-US" w:bidi="ar-SA"/>
        </w:rPr>
        <w:t>heidsinstelling vastgelegd in samenspraak met de archiefdienst onder wiens toezicht zij res</w:t>
      </w:r>
      <w:r w:rsidR="00450A82">
        <w:rPr>
          <w:rFonts w:eastAsiaTheme="minorEastAsia"/>
          <w:kern w:val="0"/>
          <w:lang w:eastAsia="en-US" w:bidi="ar-SA"/>
        </w:rPr>
        <w:t>-</w:t>
      </w:r>
      <w:r w:rsidRPr="00D147A7">
        <w:rPr>
          <w:rFonts w:eastAsiaTheme="minorEastAsia"/>
          <w:kern w:val="0"/>
          <w:lang w:eastAsia="en-US" w:bidi="ar-SA"/>
        </w:rPr>
        <w:t>sorteren.</w:t>
      </w:r>
      <w:r w:rsidRPr="00D147A7">
        <w:rPr>
          <w:rFonts w:eastAsiaTheme="minorEastAsia"/>
          <w:kern w:val="0"/>
          <w:vertAlign w:val="superscript"/>
          <w:lang w:eastAsia="en-US" w:bidi="ar-SA"/>
        </w:rPr>
        <w:footnoteReference w:id="1456"/>
      </w:r>
      <w:r w:rsidRPr="00D147A7">
        <w:rPr>
          <w:rFonts w:eastAsiaTheme="minorEastAsia"/>
          <w:kern w:val="0"/>
          <w:lang w:eastAsia="en-US" w:bidi="ar-SA"/>
        </w:rPr>
        <w:t xml:space="preserve"> In het geval van openbare ziekenhuizen is dat de archiefdienst van het departe</w:t>
      </w:r>
      <w:r w:rsidR="00450A82">
        <w:rPr>
          <w:rFonts w:eastAsiaTheme="minorEastAsia"/>
          <w:kern w:val="0"/>
          <w:lang w:eastAsia="en-US" w:bidi="ar-SA"/>
        </w:rPr>
        <w:t>-</w:t>
      </w:r>
      <w:r w:rsidRPr="00D147A7">
        <w:rPr>
          <w:rFonts w:eastAsiaTheme="minorEastAsia"/>
          <w:kern w:val="0"/>
          <w:lang w:eastAsia="en-US" w:bidi="ar-SA"/>
        </w:rPr>
        <w:t xml:space="preserve">ment waarin het ziekenhuis gelegen is. De directeur van deze archiefdienst vertegenwoordigt de </w:t>
      </w:r>
      <w:r w:rsidRPr="00D147A7">
        <w:rPr>
          <w:rFonts w:eastAsiaTheme="minorEastAsia"/>
          <w:i/>
          <w:kern w:val="0"/>
          <w:lang w:eastAsia="en-US" w:bidi="ar-SA"/>
        </w:rPr>
        <w:t>Direction des Archives de France</w:t>
      </w:r>
      <w:r w:rsidRPr="00D147A7">
        <w:rPr>
          <w:rFonts w:eastAsiaTheme="minorEastAsia"/>
          <w:kern w:val="0"/>
          <w:lang w:eastAsia="en-US" w:bidi="ar-SA"/>
        </w:rPr>
        <w:t xml:space="preserve"> (DAF)</w:t>
      </w:r>
      <w:r w:rsidRPr="00D147A7">
        <w:rPr>
          <w:rFonts w:eastAsiaTheme="minorEastAsia"/>
          <w:kern w:val="0"/>
          <w:vertAlign w:val="superscript"/>
          <w:lang w:eastAsia="en-US" w:bidi="ar-SA"/>
        </w:rPr>
        <w:footnoteReference w:id="1457"/>
      </w:r>
      <w:r w:rsidRPr="00D147A7">
        <w:rPr>
          <w:rFonts w:eastAsiaTheme="minorEastAsia"/>
          <w:kern w:val="0"/>
          <w:lang w:eastAsia="en-US" w:bidi="ar-SA"/>
        </w:rPr>
        <w:t>, die verantwoordelijk is voor de wetenschap</w:t>
      </w:r>
      <w:r w:rsidR="00450A82">
        <w:rPr>
          <w:rFonts w:eastAsiaTheme="minorEastAsia"/>
          <w:kern w:val="0"/>
          <w:lang w:eastAsia="en-US" w:bidi="ar-SA"/>
        </w:rPr>
        <w:t>-</w:t>
      </w:r>
      <w:r w:rsidRPr="00D147A7">
        <w:rPr>
          <w:rFonts w:eastAsiaTheme="minorEastAsia"/>
          <w:kern w:val="0"/>
          <w:lang w:eastAsia="en-US" w:bidi="ar-SA"/>
        </w:rPr>
        <w:t xml:space="preserve">pelijke en technische controle over </w:t>
      </w:r>
      <w:r w:rsidRPr="00D147A7">
        <w:rPr>
          <w:rFonts w:eastAsiaTheme="minorEastAsia"/>
          <w:i/>
          <w:kern w:val="0"/>
          <w:lang w:eastAsia="en-US" w:bidi="ar-SA"/>
        </w:rPr>
        <w:t>de voorwaarden voor het beheer, de verzameling, de se</w:t>
      </w:r>
      <w:r w:rsidR="00450A82">
        <w:rPr>
          <w:rFonts w:eastAsiaTheme="minorEastAsia"/>
          <w:i/>
          <w:kern w:val="0"/>
          <w:lang w:eastAsia="en-US" w:bidi="ar-SA"/>
        </w:rPr>
        <w:t>-</w:t>
      </w:r>
      <w:r w:rsidRPr="00D147A7">
        <w:rPr>
          <w:rFonts w:eastAsiaTheme="minorEastAsia"/>
          <w:i/>
          <w:kern w:val="0"/>
          <w:lang w:eastAsia="en-US" w:bidi="ar-SA"/>
        </w:rPr>
        <w:t>lectie en de vernietiging, evenals over de behandeling, de ordening, de bewaring</w:t>
      </w:r>
      <w:r w:rsidRPr="00D147A7">
        <w:rPr>
          <w:rFonts w:eastAsiaTheme="minorEastAsia"/>
          <w:kern w:val="0"/>
          <w:vertAlign w:val="superscript"/>
          <w:lang w:eastAsia="en-US" w:bidi="ar-SA"/>
        </w:rPr>
        <w:footnoteReference w:id="1458"/>
      </w:r>
      <w:r w:rsidRPr="00D147A7">
        <w:rPr>
          <w:rFonts w:eastAsiaTheme="minorEastAsia"/>
          <w:i/>
          <w:kern w:val="0"/>
          <w:lang w:eastAsia="en-US" w:bidi="ar-SA"/>
        </w:rPr>
        <w:t xml:space="preserve"> en de toegang tot archieven</w:t>
      </w:r>
      <w:r w:rsidRPr="00D147A7">
        <w:rPr>
          <w:rFonts w:eastAsiaTheme="minorEastAsia"/>
          <w:kern w:val="0"/>
          <w:vertAlign w:val="superscript"/>
          <w:lang w:eastAsia="en-US" w:bidi="ar-SA"/>
        </w:rPr>
        <w:footnoteReference w:id="1459"/>
      </w:r>
      <w:r w:rsidRPr="00D147A7">
        <w:rPr>
          <w:rFonts w:eastAsiaTheme="minorEastAsia"/>
          <w:i/>
          <w:kern w:val="0"/>
          <w:lang w:eastAsia="en-US" w:bidi="ar-SA"/>
        </w:rPr>
        <w:t xml:space="preserve"> </w:t>
      </w:r>
      <w:r w:rsidRPr="00D147A7">
        <w:rPr>
          <w:rFonts w:eastAsiaTheme="minorEastAsia"/>
          <w:kern w:val="0"/>
          <w:lang w:eastAsia="en-US" w:bidi="ar-SA"/>
        </w:rPr>
        <w:t>van</w:t>
      </w:r>
      <w:r w:rsidRPr="00D147A7">
        <w:rPr>
          <w:rFonts w:eastAsiaTheme="minorEastAsia"/>
          <w:i/>
          <w:kern w:val="0"/>
          <w:lang w:eastAsia="en-US" w:bidi="ar-SA"/>
        </w:rPr>
        <w:t xml:space="preserve"> </w:t>
      </w:r>
      <w:r w:rsidRPr="00D147A7">
        <w:rPr>
          <w:rFonts w:eastAsiaTheme="minorEastAsia"/>
          <w:kern w:val="0"/>
          <w:lang w:eastAsia="en-US" w:bidi="ar-SA"/>
        </w:rPr>
        <w:t>de dynamische, semi-dynamische en statische archieven van openbare ondernemingen en instellingen en privaatrechtelijke instanties belast met het beheer of de missie van openbare diensten.</w:t>
      </w:r>
      <w:r w:rsidRPr="00D147A7">
        <w:rPr>
          <w:rFonts w:eastAsiaTheme="minorEastAsia"/>
          <w:kern w:val="0"/>
          <w:vertAlign w:val="superscript"/>
          <w:lang w:eastAsia="en-US" w:bidi="ar-SA"/>
        </w:rPr>
        <w:footnoteReference w:id="1460"/>
      </w:r>
      <w:r w:rsidRPr="00D147A7">
        <w:rPr>
          <w:rFonts w:eastAsiaTheme="minorEastAsia"/>
          <w:kern w:val="0"/>
          <w:lang w:eastAsia="en-US" w:bidi="ar-SA"/>
        </w:rPr>
        <w:t xml:space="preserve"> Specifiek voor patiëntendossiers moet het bijkomende advies van de verantwoordelijke arts voor de medische informatie (</w:t>
      </w:r>
      <w:r w:rsidRPr="00D147A7">
        <w:rPr>
          <w:rFonts w:eastAsiaTheme="minorEastAsia"/>
          <w:i/>
          <w:kern w:val="0"/>
          <w:lang w:eastAsia="en-US" w:bidi="ar-SA"/>
        </w:rPr>
        <w:t>Département d'Informa</w:t>
      </w:r>
      <w:r w:rsidR="00450A82">
        <w:rPr>
          <w:rFonts w:eastAsiaTheme="minorEastAsia"/>
          <w:i/>
          <w:kern w:val="0"/>
          <w:lang w:eastAsia="en-US" w:bidi="ar-SA"/>
        </w:rPr>
        <w:t>-</w:t>
      </w:r>
      <w:r w:rsidRPr="00D147A7">
        <w:rPr>
          <w:rFonts w:eastAsiaTheme="minorEastAsia"/>
          <w:i/>
          <w:kern w:val="0"/>
          <w:lang w:eastAsia="en-US" w:bidi="ar-SA"/>
        </w:rPr>
        <w:t>tion Médicale</w:t>
      </w:r>
      <w:r w:rsidRPr="00D147A7">
        <w:rPr>
          <w:rFonts w:eastAsiaTheme="minorEastAsia"/>
          <w:kern w:val="0"/>
          <w:lang w:eastAsia="en-US" w:bidi="ar-SA"/>
        </w:rPr>
        <w:t xml:space="preserve"> of DIM)</w:t>
      </w:r>
      <w:r w:rsidRPr="00D147A7">
        <w:rPr>
          <w:rFonts w:eastAsiaTheme="minorEastAsia"/>
          <w:kern w:val="0"/>
          <w:vertAlign w:val="superscript"/>
          <w:lang w:eastAsia="en-US" w:bidi="ar-SA"/>
        </w:rPr>
        <w:footnoteReference w:id="1461"/>
      </w:r>
      <w:r w:rsidRPr="00D147A7">
        <w:rPr>
          <w:rFonts w:eastAsiaTheme="minorEastAsia"/>
          <w:kern w:val="0"/>
          <w:lang w:eastAsia="en-US" w:bidi="ar-SA"/>
        </w:rPr>
        <w:t xml:space="preserve"> </w:t>
      </w:r>
      <w:r w:rsidR="00450A82" w:rsidRPr="00D147A7">
        <w:rPr>
          <w:rFonts w:eastAsiaTheme="minorEastAsia"/>
          <w:kern w:val="0"/>
          <w:lang w:eastAsia="en-US" w:bidi="ar-SA"/>
        </w:rPr>
        <w:t xml:space="preserve">worden ingewonnen </w:t>
      </w:r>
      <w:r w:rsidRPr="00D147A7">
        <w:rPr>
          <w:rFonts w:eastAsiaTheme="minorEastAsia"/>
          <w:kern w:val="0"/>
          <w:lang w:eastAsia="en-US" w:bidi="ar-SA"/>
        </w:rPr>
        <w:t>of – bij gebrek hieraan – van de voorzitter van de Medische Raad (</w:t>
      </w:r>
      <w:r w:rsidRPr="00D147A7">
        <w:rPr>
          <w:rFonts w:eastAsiaTheme="minorEastAsia"/>
          <w:i/>
          <w:kern w:val="0"/>
          <w:lang w:eastAsia="en-US" w:bidi="ar-SA"/>
        </w:rPr>
        <w:t>commission médicale d’établissement</w:t>
      </w:r>
      <w:r w:rsidRPr="00D147A7">
        <w:rPr>
          <w:rFonts w:eastAsiaTheme="minorEastAsia"/>
          <w:kern w:val="0"/>
          <w:lang w:eastAsia="en-US" w:bidi="ar-SA"/>
        </w:rPr>
        <w:t xml:space="preserve"> of CME).</w:t>
      </w:r>
      <w:r w:rsidRPr="00D147A7">
        <w:rPr>
          <w:rFonts w:eastAsiaTheme="minorEastAsia"/>
          <w:kern w:val="0"/>
          <w:vertAlign w:val="superscript"/>
          <w:lang w:eastAsia="en-US" w:bidi="ar-SA"/>
        </w:rPr>
        <w:footnoteReference w:id="1462"/>
      </w:r>
      <w:r w:rsidR="00450A82">
        <w:rPr>
          <w:rFonts w:eastAsiaTheme="minorEastAsia"/>
          <w:kern w:val="0"/>
          <w:lang w:eastAsia="en-US" w:bidi="ar-SA"/>
        </w:rPr>
        <w:t xml:space="preserve">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Net als de overdrachtslijst moet de vernietigingslijst in drievoud worden opgesteld: twee ex</w:t>
      </w:r>
      <w:r w:rsidR="00450A82">
        <w:rPr>
          <w:rFonts w:eastAsiaTheme="minorEastAsia"/>
          <w:kern w:val="0"/>
          <w:lang w:eastAsia="en-US" w:bidi="ar-SA"/>
        </w:rPr>
        <w:t>-</w:t>
      </w:r>
      <w:r w:rsidRPr="00D147A7">
        <w:rPr>
          <w:rFonts w:eastAsiaTheme="minorEastAsia"/>
          <w:kern w:val="0"/>
          <w:lang w:eastAsia="en-US" w:bidi="ar-SA"/>
        </w:rPr>
        <w:t>emplaren worden naar het departementale archief gestuurd en één exemplaar wordt in het zie</w:t>
      </w:r>
      <w:r w:rsidR="00450A82">
        <w:rPr>
          <w:rFonts w:eastAsiaTheme="minorEastAsia"/>
          <w:kern w:val="0"/>
          <w:lang w:eastAsia="en-US" w:bidi="ar-SA"/>
        </w:rPr>
        <w:t>-</w:t>
      </w:r>
      <w:r w:rsidRPr="00D147A7">
        <w:rPr>
          <w:rFonts w:eastAsiaTheme="minorEastAsia"/>
          <w:kern w:val="0"/>
          <w:lang w:eastAsia="en-US" w:bidi="ar-SA"/>
        </w:rPr>
        <w:t>kenhuis bijgehouden. De archiefdienst moet nagaan of de beoogde vernietigingen niet in strijd zijn met de vigerende wetgeving en of de bescheiden geen onderzoekswaarde hebben. Eén van de twee ontvangen vernietigingslijsten wordt – ondertekend en met eventuele opmerking</w:t>
      </w:r>
      <w:r w:rsidR="00450A82">
        <w:rPr>
          <w:rFonts w:eastAsiaTheme="minorEastAsia"/>
          <w:kern w:val="0"/>
          <w:lang w:eastAsia="en-US" w:bidi="ar-SA"/>
        </w:rPr>
        <w:t>-</w:t>
      </w:r>
      <w:r w:rsidRPr="00D147A7">
        <w:rPr>
          <w:rFonts w:eastAsiaTheme="minorEastAsia"/>
          <w:kern w:val="0"/>
          <w:lang w:eastAsia="en-US" w:bidi="ar-SA"/>
        </w:rPr>
        <w:t xml:space="preserve">en – naar de archiefvormende instelling teruggestuurd en moet permanent </w:t>
      </w:r>
      <w:r w:rsidR="00450A82">
        <w:rPr>
          <w:rFonts w:eastAsiaTheme="minorEastAsia"/>
          <w:kern w:val="0"/>
          <w:lang w:eastAsia="en-US" w:bidi="ar-SA"/>
        </w:rPr>
        <w:t>in</w:t>
      </w:r>
      <w:r w:rsidRPr="00D147A7">
        <w:rPr>
          <w:rFonts w:eastAsiaTheme="minorEastAsia"/>
          <w:kern w:val="0"/>
          <w:lang w:eastAsia="en-US" w:bidi="ar-SA"/>
        </w:rPr>
        <w:t xml:space="preserve"> de instelling</w:t>
      </w:r>
      <w:r w:rsidR="00450A82" w:rsidRPr="00450A82">
        <w:rPr>
          <w:rFonts w:eastAsiaTheme="minorEastAsia"/>
          <w:kern w:val="0"/>
          <w:lang w:eastAsia="en-US" w:bidi="ar-SA"/>
        </w:rPr>
        <w:t xml:space="preserve"> </w:t>
      </w:r>
      <w:r w:rsidR="00450A82" w:rsidRPr="00D147A7">
        <w:rPr>
          <w:rFonts w:eastAsiaTheme="minorEastAsia"/>
          <w:kern w:val="0"/>
          <w:lang w:eastAsia="en-US" w:bidi="ar-SA"/>
        </w:rPr>
        <w:t>worden bewaard</w:t>
      </w:r>
      <w:r w:rsidRPr="00D147A7">
        <w:rPr>
          <w:rFonts w:eastAsiaTheme="minorEastAsia"/>
          <w:kern w:val="0"/>
          <w:lang w:eastAsia="en-US" w:bidi="ar-SA"/>
        </w:rPr>
        <w:t xml:space="preserve">. De gereviseerde vernietigingslijst vormt het bewijs dat de administratieve procedure gerespecteerd werd en biedt de mogelijkheid om een beeld te vormen over hoe het archief er ooit heeft uitgezien. </w:t>
      </w:r>
    </w:p>
    <w:p w:rsidR="00450A82" w:rsidRDefault="00450A82"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Verder moet er voor iedere vernietigingsoperatie een akte van vernietiging opgesteld worden, die samen met het vernietigingscertificaat (met contractuele waarde) permanent </w:t>
      </w:r>
      <w:r w:rsidR="00450A82" w:rsidRPr="00D147A7">
        <w:rPr>
          <w:rFonts w:eastAsiaTheme="minorEastAsia"/>
          <w:kern w:val="0"/>
          <w:lang w:eastAsia="en-US" w:bidi="ar-SA"/>
        </w:rPr>
        <w:t xml:space="preserve">wordt </w:t>
      </w:r>
      <w:r w:rsidRPr="00D147A7">
        <w:rPr>
          <w:rFonts w:eastAsiaTheme="minorEastAsia"/>
          <w:kern w:val="0"/>
          <w:lang w:eastAsia="en-US" w:bidi="ar-SA"/>
        </w:rPr>
        <w:t>be</w:t>
      </w:r>
      <w:r w:rsidR="00450A82">
        <w:rPr>
          <w:rFonts w:eastAsiaTheme="minorEastAsia"/>
          <w:kern w:val="0"/>
          <w:lang w:eastAsia="en-US" w:bidi="ar-SA"/>
        </w:rPr>
        <w:t>-</w:t>
      </w:r>
      <w:r w:rsidRPr="00D147A7">
        <w:rPr>
          <w:rFonts w:eastAsiaTheme="minorEastAsia"/>
          <w:kern w:val="0"/>
          <w:lang w:eastAsia="en-US" w:bidi="ar-SA"/>
        </w:rPr>
        <w:lastRenderedPageBreak/>
        <w:t>waard door de archiefvormende overheidsinstelling (</w:t>
      </w:r>
      <w:r w:rsidRPr="00D147A7">
        <w:rPr>
          <w:rFonts w:eastAsiaTheme="minorEastAsia"/>
          <w:i/>
          <w:kern w:val="0"/>
          <w:lang w:eastAsia="en-US" w:bidi="ar-SA"/>
        </w:rPr>
        <w:t xml:space="preserve">in casu </w:t>
      </w:r>
      <w:r w:rsidRPr="00D147A7">
        <w:rPr>
          <w:rFonts w:eastAsiaTheme="minorEastAsia"/>
          <w:kern w:val="0"/>
          <w:lang w:eastAsia="en-US" w:bidi="ar-SA"/>
        </w:rPr>
        <w:t>het openbare ziekenhuis). De di</w:t>
      </w:r>
      <w:r w:rsidR="00450A82">
        <w:rPr>
          <w:rFonts w:eastAsiaTheme="minorEastAsia"/>
          <w:kern w:val="0"/>
          <w:lang w:eastAsia="en-US" w:bidi="ar-SA"/>
        </w:rPr>
        <w:t>-</w:t>
      </w:r>
      <w:r w:rsidRPr="00D147A7">
        <w:rPr>
          <w:rFonts w:eastAsiaTheme="minorEastAsia"/>
          <w:kern w:val="0"/>
          <w:lang w:eastAsia="en-US" w:bidi="ar-SA"/>
        </w:rPr>
        <w:t>recteurs van de departementale archieven waken ook over de voorwaarden waaronder de goedkeuringen voor vernietiging worden uitgereikt.</w:t>
      </w:r>
      <w:r w:rsidRPr="00D147A7">
        <w:rPr>
          <w:rFonts w:eastAsiaTheme="minorEastAsia"/>
          <w:kern w:val="0"/>
          <w:vertAlign w:val="superscript"/>
          <w:lang w:eastAsia="en-US" w:bidi="ar-SA"/>
        </w:rPr>
        <w:footnoteReference w:id="1463"/>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Patiëntendossiers waarvan de bewaring aan een derde partij werd uitbesteed, moeten naar de archiefvormende ziekenhuisinstelling terugkeren </w:t>
      </w:r>
      <w:r w:rsidR="00450A82">
        <w:rPr>
          <w:rFonts w:eastAsiaTheme="minorEastAsia"/>
          <w:kern w:val="0"/>
          <w:lang w:eastAsia="en-US" w:bidi="ar-SA"/>
        </w:rPr>
        <w:t>om d</w:t>
      </w:r>
      <w:r w:rsidRPr="00D147A7">
        <w:rPr>
          <w:rFonts w:eastAsiaTheme="minorEastAsia"/>
          <w:kern w:val="0"/>
          <w:lang w:eastAsia="en-US" w:bidi="ar-SA"/>
        </w:rPr>
        <w:t xml:space="preserve">aar volgens de uitgevaardigde regels </w:t>
      </w:r>
      <w:r w:rsidR="00450A82">
        <w:rPr>
          <w:rFonts w:eastAsiaTheme="minorEastAsia"/>
          <w:kern w:val="0"/>
          <w:lang w:eastAsia="en-US" w:bidi="ar-SA"/>
        </w:rPr>
        <w:t>te worden vernietigd</w:t>
      </w:r>
      <w:r w:rsidRPr="00D147A7">
        <w:rPr>
          <w:rFonts w:eastAsiaTheme="minorEastAsia"/>
          <w:kern w:val="0"/>
          <w:lang w:eastAsia="en-US" w:bidi="ar-SA"/>
        </w:rPr>
        <w:t>, ofwel wordt de vernietigingsprocedure op de plaats van bewaring uitge</w:t>
      </w:r>
      <w:r w:rsidR="00450A82">
        <w:rPr>
          <w:rFonts w:eastAsiaTheme="minorEastAsia"/>
          <w:kern w:val="0"/>
          <w:lang w:eastAsia="en-US" w:bidi="ar-SA"/>
        </w:rPr>
        <w:t>-</w:t>
      </w:r>
      <w:r w:rsidRPr="00D147A7">
        <w:rPr>
          <w:rFonts w:eastAsiaTheme="minorEastAsia"/>
          <w:kern w:val="0"/>
          <w:lang w:eastAsia="en-US" w:bidi="ar-SA"/>
        </w:rPr>
        <w:t xml:space="preserve">voerd in aanwezigheid van een afgevaardigde van de bevoegde </w:t>
      </w:r>
      <w:r w:rsidRPr="00D147A7">
        <w:rPr>
          <w:rFonts w:eastAsiaTheme="minorEastAsia"/>
          <w:i/>
          <w:kern w:val="0"/>
          <w:lang w:eastAsia="en-US" w:bidi="ar-SA"/>
        </w:rPr>
        <w:t>direction de l’archive dépar</w:t>
      </w:r>
      <w:r w:rsidR="00450A82">
        <w:rPr>
          <w:rFonts w:eastAsiaTheme="minorEastAsia"/>
          <w:i/>
          <w:kern w:val="0"/>
          <w:lang w:eastAsia="en-US" w:bidi="ar-SA"/>
        </w:rPr>
        <w:t>-</w:t>
      </w:r>
      <w:r w:rsidRPr="00D147A7">
        <w:rPr>
          <w:rFonts w:eastAsiaTheme="minorEastAsia"/>
          <w:i/>
          <w:kern w:val="0"/>
          <w:lang w:eastAsia="en-US" w:bidi="ar-SA"/>
        </w:rPr>
        <w:t>tementale</w:t>
      </w:r>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 wetgever heeft de mogelijkheid </w:t>
      </w:r>
      <w:r w:rsidR="00450A82">
        <w:rPr>
          <w:rFonts w:eastAsiaTheme="minorEastAsia"/>
          <w:kern w:val="0"/>
          <w:lang w:eastAsia="en-US" w:bidi="ar-SA"/>
        </w:rPr>
        <w:t>van een</w:t>
      </w:r>
      <w:r w:rsidRPr="00D147A7">
        <w:rPr>
          <w:rFonts w:eastAsiaTheme="minorEastAsia"/>
          <w:kern w:val="0"/>
          <w:lang w:eastAsia="en-US" w:bidi="ar-SA"/>
        </w:rPr>
        <w:t xml:space="preserve"> patiënt om de (gedeeltelijke) vernietiging van het hem betreffende dossier </w:t>
      </w:r>
      <w:r w:rsidR="00450A82">
        <w:rPr>
          <w:rFonts w:eastAsiaTheme="minorEastAsia"/>
          <w:kern w:val="0"/>
          <w:lang w:eastAsia="en-US" w:bidi="ar-SA"/>
        </w:rPr>
        <w:t xml:space="preserve">te verzoeken </w:t>
      </w:r>
      <w:r w:rsidRPr="00D147A7">
        <w:rPr>
          <w:rFonts w:eastAsiaTheme="minorEastAsia"/>
          <w:kern w:val="0"/>
          <w:lang w:eastAsia="en-US" w:bidi="ar-SA"/>
        </w:rPr>
        <w:t>niet in overweging genomen. Aan d</w:t>
      </w:r>
      <w:r w:rsidR="00450A82">
        <w:rPr>
          <w:rFonts w:eastAsiaTheme="minorEastAsia"/>
          <w:kern w:val="0"/>
          <w:lang w:eastAsia="en-US" w:bidi="ar-SA"/>
        </w:rPr>
        <w:t>ergelijke</w:t>
      </w:r>
      <w:r w:rsidRPr="00D147A7">
        <w:rPr>
          <w:rFonts w:eastAsiaTheme="minorEastAsia"/>
          <w:kern w:val="0"/>
          <w:lang w:eastAsia="en-US" w:bidi="ar-SA"/>
        </w:rPr>
        <w:t xml:space="preserve"> verzoek</w:t>
      </w:r>
      <w:r w:rsidR="00450A82">
        <w:rPr>
          <w:rFonts w:eastAsiaTheme="minorEastAsia"/>
          <w:kern w:val="0"/>
          <w:lang w:eastAsia="en-US" w:bidi="ar-SA"/>
        </w:rPr>
        <w:t>en</w:t>
      </w:r>
      <w:r w:rsidRPr="00D147A7">
        <w:rPr>
          <w:rFonts w:eastAsiaTheme="minorEastAsia"/>
          <w:kern w:val="0"/>
          <w:lang w:eastAsia="en-US" w:bidi="ar-SA"/>
        </w:rPr>
        <w:t xml:space="preserve"> kan enkel gevolg gegeven worden als de regels voor openbare archieven niet van toepassing zijn of als deze regels wel van toepassing zijn maar de bewaartermijn </w:t>
      </w:r>
      <w:r w:rsidR="00450A82">
        <w:rPr>
          <w:rFonts w:eastAsiaTheme="minorEastAsia"/>
          <w:kern w:val="0"/>
          <w:lang w:eastAsia="en-US" w:bidi="ar-SA"/>
        </w:rPr>
        <w:t xml:space="preserve">reeds </w:t>
      </w:r>
      <w:r w:rsidRPr="00D147A7">
        <w:rPr>
          <w:rFonts w:eastAsiaTheme="minorEastAsia"/>
          <w:kern w:val="0"/>
          <w:lang w:eastAsia="en-US" w:bidi="ar-SA"/>
        </w:rPr>
        <w:t>verstreken is. In d</w:t>
      </w:r>
      <w:r w:rsidR="00450A82">
        <w:rPr>
          <w:rFonts w:eastAsiaTheme="minorEastAsia"/>
          <w:kern w:val="0"/>
          <w:lang w:eastAsia="en-US" w:bidi="ar-SA"/>
        </w:rPr>
        <w:t>a</w:t>
      </w:r>
      <w:r w:rsidRPr="00D147A7">
        <w:rPr>
          <w:rFonts w:eastAsiaTheme="minorEastAsia"/>
          <w:kern w:val="0"/>
          <w:lang w:eastAsia="en-US" w:bidi="ar-SA"/>
        </w:rPr>
        <w:t>t geval moet de zorgverlener een vernietigingsakte opstellen en door de patiënt laten onder</w:t>
      </w:r>
      <w:r w:rsidR="00450A82">
        <w:rPr>
          <w:rFonts w:eastAsiaTheme="minorEastAsia"/>
          <w:kern w:val="0"/>
          <w:lang w:eastAsia="en-US" w:bidi="ar-SA"/>
        </w:rPr>
        <w:t>-</w:t>
      </w:r>
      <w:r w:rsidRPr="00D147A7">
        <w:rPr>
          <w:rFonts w:eastAsiaTheme="minorEastAsia"/>
          <w:kern w:val="0"/>
          <w:lang w:eastAsia="en-US" w:bidi="ar-SA"/>
        </w:rPr>
        <w:t xml:space="preserve">tekenen, om tegen </w:t>
      </w:r>
      <w:r w:rsidR="00450A82">
        <w:rPr>
          <w:rFonts w:eastAsiaTheme="minorEastAsia"/>
          <w:kern w:val="0"/>
          <w:lang w:eastAsia="en-US" w:bidi="ar-SA"/>
        </w:rPr>
        <w:t xml:space="preserve">latere </w:t>
      </w:r>
      <w:r w:rsidRPr="00D147A7">
        <w:rPr>
          <w:rFonts w:eastAsiaTheme="minorEastAsia"/>
          <w:kern w:val="0"/>
          <w:lang w:eastAsia="en-US" w:bidi="ar-SA"/>
        </w:rPr>
        <w:t xml:space="preserve">mogelijke </w:t>
      </w:r>
      <w:r w:rsidR="00450A82">
        <w:rPr>
          <w:rFonts w:eastAsiaTheme="minorEastAsia"/>
          <w:kern w:val="0"/>
          <w:lang w:eastAsia="en-US" w:bidi="ar-SA"/>
        </w:rPr>
        <w:t>aantijdigingen</w:t>
      </w:r>
      <w:r w:rsidRPr="00D147A7">
        <w:rPr>
          <w:rFonts w:eastAsiaTheme="minorEastAsia"/>
          <w:kern w:val="0"/>
          <w:lang w:eastAsia="en-US" w:bidi="ar-SA"/>
        </w:rPr>
        <w:t xml:space="preserve"> door familieleden van de patiënt na diens overlijden</w:t>
      </w:r>
      <w:r w:rsidR="00450A82" w:rsidRPr="00450A82">
        <w:rPr>
          <w:rFonts w:eastAsiaTheme="minorEastAsia"/>
          <w:kern w:val="0"/>
          <w:lang w:eastAsia="en-US" w:bidi="ar-SA"/>
        </w:rPr>
        <w:t xml:space="preserve"> </w:t>
      </w:r>
      <w:r w:rsidR="00450A82" w:rsidRPr="00D147A7">
        <w:rPr>
          <w:rFonts w:eastAsiaTheme="minorEastAsia"/>
          <w:kern w:val="0"/>
          <w:lang w:eastAsia="en-US" w:bidi="ar-SA"/>
        </w:rPr>
        <w:t>juridisch ingedekt te zijn</w:t>
      </w:r>
      <w:r w:rsidRPr="00D147A7">
        <w:rPr>
          <w:rFonts w:eastAsiaTheme="minorEastAsia"/>
          <w:kern w:val="0"/>
          <w:lang w:eastAsia="en-US" w:bidi="ar-SA"/>
        </w:rPr>
        <w:t>. De patiënt moet ook geïnformeerd worden over de ge</w:t>
      </w:r>
      <w:r w:rsidR="00450A82">
        <w:rPr>
          <w:rFonts w:eastAsiaTheme="minorEastAsia"/>
          <w:kern w:val="0"/>
          <w:lang w:eastAsia="en-US" w:bidi="ar-SA"/>
        </w:rPr>
        <w:t>-</w:t>
      </w:r>
      <w:r w:rsidRPr="00D147A7">
        <w:rPr>
          <w:rFonts w:eastAsiaTheme="minorEastAsia"/>
          <w:kern w:val="0"/>
          <w:lang w:eastAsia="en-US" w:bidi="ar-SA"/>
        </w:rPr>
        <w:t xml:space="preserve">volgen die aan de vernietiging van (onderdelen van) zijn patiëntendossier verbonden zijn, niet alleen voor de verdere zorgverlening maar ook in het kader van mogelijke rechtszaken ten gevolge van een </w:t>
      </w:r>
      <w:r w:rsidR="00450A82">
        <w:rPr>
          <w:rFonts w:eastAsiaTheme="minorEastAsia"/>
          <w:kern w:val="0"/>
          <w:lang w:eastAsia="en-US" w:bidi="ar-SA"/>
        </w:rPr>
        <w:t xml:space="preserve">(vermeende) </w:t>
      </w:r>
      <w:r w:rsidRPr="00D147A7">
        <w:rPr>
          <w:rFonts w:eastAsiaTheme="minorEastAsia"/>
          <w:kern w:val="0"/>
          <w:lang w:eastAsia="en-US" w:bidi="ar-SA"/>
        </w:rPr>
        <w:t>medische fout.</w:t>
      </w:r>
      <w:r w:rsidRPr="00D147A7">
        <w:rPr>
          <w:rFonts w:eastAsiaTheme="minorEastAsia"/>
          <w:kern w:val="0"/>
          <w:vertAlign w:val="superscript"/>
          <w:lang w:eastAsia="en-US" w:bidi="ar-SA"/>
        </w:rPr>
        <w:footnoteReference w:id="1464"/>
      </w: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kern w:val="0"/>
          <w:lang w:eastAsia="en-US" w:bidi="ar-SA"/>
        </w:rPr>
      </w:pPr>
    </w:p>
    <w:p w:rsidR="000F560E" w:rsidRPr="00D147A7" w:rsidRDefault="000F560E" w:rsidP="000F560E">
      <w:pPr>
        <w:widowControl/>
        <w:suppressAutoHyphens w:val="0"/>
        <w:rPr>
          <w:rFonts w:eastAsiaTheme="minorEastAsia"/>
          <w:smallCaps/>
          <w:kern w:val="0"/>
          <w:lang w:eastAsia="en-US" w:bidi="ar-SA"/>
        </w:rPr>
      </w:pPr>
      <w:r w:rsidRPr="00D147A7">
        <w:rPr>
          <w:rFonts w:eastAsiaTheme="minorEastAsia"/>
          <w:smallCaps/>
          <w:kern w:val="0"/>
          <w:lang w:eastAsia="en-US" w:bidi="ar-SA"/>
        </w:rPr>
        <w:t xml:space="preserve">5.5 Conclusie en aanbevelingen </w:t>
      </w:r>
      <w:r w:rsidRPr="00D147A7">
        <w:rPr>
          <w:rFonts w:eastAsiaTheme="minorEastAsia"/>
          <w:i/>
          <w:smallCaps/>
          <w:kern w:val="0"/>
          <w:lang w:eastAsia="en-US" w:bidi="ar-SA"/>
        </w:rPr>
        <w:t>de lege ferenda</w:t>
      </w:r>
    </w:p>
    <w:p w:rsidR="000F560E" w:rsidRPr="00D147A7" w:rsidRDefault="000F560E" w:rsidP="000F560E">
      <w:pPr>
        <w:widowControl/>
        <w:suppressAutoHyphens w:val="0"/>
        <w:rPr>
          <w:rFonts w:eastAsiaTheme="minorEastAsia"/>
          <w:smallCaps/>
          <w:kern w:val="0"/>
          <w:lang w:eastAsia="en-US" w:bidi="ar-SA"/>
        </w:rPr>
      </w:pPr>
    </w:p>
    <w:p w:rsidR="000F560E" w:rsidRPr="00D147A7" w:rsidRDefault="00450A82" w:rsidP="000F560E">
      <w:pPr>
        <w:widowControl/>
        <w:suppressAutoHyphens w:val="0"/>
        <w:jc w:val="both"/>
        <w:rPr>
          <w:rFonts w:eastAsiaTheme="minorEastAsia"/>
          <w:kern w:val="0"/>
          <w:lang w:eastAsia="en-US" w:bidi="ar-SA"/>
        </w:rPr>
      </w:pPr>
      <w:r>
        <w:rPr>
          <w:rFonts w:eastAsiaTheme="minorEastAsia"/>
          <w:kern w:val="0"/>
          <w:lang w:eastAsia="en-US" w:bidi="ar-SA"/>
        </w:rPr>
        <w:t>Tijdens de</w:t>
      </w:r>
      <w:r w:rsidR="000F560E" w:rsidRPr="00D147A7">
        <w:rPr>
          <w:rFonts w:eastAsiaTheme="minorEastAsia"/>
          <w:kern w:val="0"/>
          <w:lang w:eastAsia="en-US" w:bidi="ar-SA"/>
        </w:rPr>
        <w:t xml:space="preserve"> selectie worden archiefbescheiden die voor permanente bewaring in aanmerking komen van te vernietigen bescheiden afgezonderd. Om tal van redenen is het in eenieders be</w:t>
      </w:r>
      <w:r>
        <w:rPr>
          <w:rFonts w:eastAsiaTheme="minorEastAsia"/>
          <w:kern w:val="0"/>
          <w:lang w:eastAsia="en-US" w:bidi="ar-SA"/>
        </w:rPr>
        <w:t>-</w:t>
      </w:r>
      <w:r w:rsidR="000F560E" w:rsidRPr="00D147A7">
        <w:rPr>
          <w:rFonts w:eastAsiaTheme="minorEastAsia"/>
          <w:kern w:val="0"/>
          <w:lang w:eastAsia="en-US" w:bidi="ar-SA"/>
        </w:rPr>
        <w:t xml:space="preserve">lang dat de selectie zo vroeg mogelijk in de </w:t>
      </w:r>
      <w:r w:rsidR="000F560E" w:rsidRPr="00D147A7">
        <w:rPr>
          <w:rFonts w:eastAsiaTheme="minorEastAsia"/>
          <w:i/>
          <w:kern w:val="0"/>
          <w:lang w:eastAsia="en-US" w:bidi="ar-SA"/>
        </w:rPr>
        <w:t xml:space="preserve">records lifecycle </w:t>
      </w:r>
      <w:r w:rsidR="000F560E" w:rsidRPr="00D147A7">
        <w:rPr>
          <w:rFonts w:eastAsiaTheme="minorEastAsia"/>
          <w:kern w:val="0"/>
          <w:lang w:eastAsia="en-US" w:bidi="ar-SA"/>
        </w:rPr>
        <w:t>wordt uitgevoerd. Archiefbe</w:t>
      </w:r>
      <w:r>
        <w:rPr>
          <w:rFonts w:eastAsiaTheme="minorEastAsia"/>
          <w:kern w:val="0"/>
          <w:lang w:eastAsia="en-US" w:bidi="ar-SA"/>
        </w:rPr>
        <w:t>-</w:t>
      </w:r>
      <w:r w:rsidR="000F560E" w:rsidRPr="00D147A7">
        <w:rPr>
          <w:rFonts w:eastAsiaTheme="minorEastAsia"/>
          <w:kern w:val="0"/>
          <w:lang w:eastAsia="en-US" w:bidi="ar-SA"/>
        </w:rPr>
        <w:t>scheiden hebben immers meerdere waarden: administratieve, juridische en fiscale waarde voor de archiefvormer in de dynamische en semi-dynamische fase en informatieve waarde voor archiefvormers en onderzoekers in de statische fase. Archieven zijn, als onderdeel van het cultureel erfgoed, een afspiegeling van de maatschappij waarin ze werden</w:t>
      </w:r>
      <w:r w:rsidRPr="00450A82">
        <w:rPr>
          <w:rFonts w:eastAsiaTheme="minorEastAsia"/>
          <w:kern w:val="0"/>
          <w:lang w:eastAsia="en-US" w:bidi="ar-SA"/>
        </w:rPr>
        <w:t xml:space="preserve"> </w:t>
      </w:r>
      <w:r w:rsidRPr="00D147A7">
        <w:rPr>
          <w:rFonts w:eastAsiaTheme="minorEastAsia"/>
          <w:kern w:val="0"/>
          <w:lang w:eastAsia="en-US" w:bidi="ar-SA"/>
        </w:rPr>
        <w:t>gebruikt</w:t>
      </w:r>
      <w:r w:rsidR="000F560E" w:rsidRPr="00D147A7">
        <w:rPr>
          <w:rFonts w:eastAsiaTheme="minorEastAsia"/>
          <w:kern w:val="0"/>
          <w:lang w:eastAsia="en-US" w:bidi="ar-SA"/>
        </w:rPr>
        <w:t xml:space="preserve">. Het is de taak van archivarissen en </w:t>
      </w:r>
      <w:r w:rsidR="000F560E" w:rsidRPr="00D147A7">
        <w:rPr>
          <w:rFonts w:eastAsiaTheme="minorEastAsia"/>
          <w:i/>
          <w:kern w:val="0"/>
          <w:lang w:eastAsia="en-US" w:bidi="ar-SA"/>
        </w:rPr>
        <w:t xml:space="preserve">records managers </w:t>
      </w:r>
      <w:r w:rsidR="000F560E" w:rsidRPr="00D147A7">
        <w:rPr>
          <w:rFonts w:eastAsiaTheme="minorEastAsia"/>
          <w:kern w:val="0"/>
          <w:lang w:eastAsia="en-US" w:bidi="ar-SA"/>
        </w:rPr>
        <w:t>om zodanige selectiecriteria te kiezen dat met een minimum aan (permanent te bewaren) archiefbescheiden een zo representatief beeld van de samenleving geschetst</w:t>
      </w:r>
      <w:r w:rsidRPr="00450A82">
        <w:rPr>
          <w:rFonts w:eastAsiaTheme="minorEastAsia"/>
          <w:kern w:val="0"/>
          <w:lang w:eastAsia="en-US" w:bidi="ar-SA"/>
        </w:rPr>
        <w:t xml:space="preserve"> </w:t>
      </w:r>
      <w:r w:rsidRPr="00D147A7">
        <w:rPr>
          <w:rFonts w:eastAsiaTheme="minorEastAsia"/>
          <w:kern w:val="0"/>
          <w:lang w:eastAsia="en-US" w:bidi="ar-SA"/>
        </w:rPr>
        <w:t>wordt</w:t>
      </w:r>
      <w:r w:rsidR="000F560E" w:rsidRPr="00D147A7">
        <w:rPr>
          <w:rFonts w:eastAsiaTheme="minorEastAsia"/>
          <w:kern w:val="0"/>
          <w:lang w:eastAsia="en-US" w:bidi="ar-SA"/>
        </w:rPr>
        <w:t xml:space="preserve">. Patiëntendossiers kunnen bijdragen aan de beeldvorming van de volksgezondheid. Voor ieder soort archief worden de selectiecriteria vastgesteld aan de hand van archivistisch onderzoek, waarvan de resultaten in een selectielijst gegoten worden. Op basis van deze selectielijsten weten archiefvormers welke archiefstukken aan het einde van de bewaartermijn </w:t>
      </w:r>
      <w:r w:rsidRPr="00D147A7">
        <w:rPr>
          <w:rFonts w:eastAsiaTheme="minorEastAsia"/>
          <w:kern w:val="0"/>
          <w:lang w:eastAsia="en-US" w:bidi="ar-SA"/>
        </w:rPr>
        <w:t xml:space="preserve">vernietigd mogen worden </w:t>
      </w:r>
      <w:r w:rsidR="000F560E" w:rsidRPr="00D147A7">
        <w:rPr>
          <w:rFonts w:eastAsiaTheme="minorEastAsia"/>
          <w:kern w:val="0"/>
          <w:lang w:eastAsia="en-US" w:bidi="ar-SA"/>
        </w:rPr>
        <w:t xml:space="preserve">en welke stukken </w:t>
      </w:r>
      <w:r>
        <w:rPr>
          <w:rFonts w:eastAsiaTheme="minorEastAsia"/>
          <w:kern w:val="0"/>
          <w:lang w:eastAsia="en-US" w:bidi="ar-SA"/>
        </w:rPr>
        <w:t>naar</w:t>
      </w:r>
      <w:r w:rsidR="000F560E" w:rsidRPr="00D147A7">
        <w:rPr>
          <w:rFonts w:eastAsiaTheme="minorEastAsia"/>
          <w:kern w:val="0"/>
          <w:lang w:eastAsia="en-US" w:bidi="ar-SA"/>
        </w:rPr>
        <w:t xml:space="preserve"> het Rijksarchief moeten worden overge</w:t>
      </w:r>
      <w:r>
        <w:rPr>
          <w:rFonts w:eastAsiaTheme="minorEastAsia"/>
          <w:kern w:val="0"/>
          <w:lang w:eastAsia="en-US" w:bidi="ar-SA"/>
        </w:rPr>
        <w:t>bracht</w:t>
      </w:r>
      <w:r w:rsidR="000F560E" w:rsidRPr="00D147A7">
        <w:rPr>
          <w:rFonts w:eastAsiaTheme="minorEastAsia"/>
          <w:kern w:val="0"/>
          <w:lang w:eastAsia="en-US" w:bidi="ar-SA"/>
        </w:rPr>
        <w:t>. Zelfs als er op basis van de selectielijst vernietigd wordt, moet men hiervoor de goedkeuring van het Rijksarchief bekomen. Omgekeerd kan het Rijksarchief geen (overgedragen) archiefbescheiden vernietigen zonder de toestemming van de archiefvor</w:t>
      </w:r>
      <w:r>
        <w:rPr>
          <w:rFonts w:eastAsiaTheme="minorEastAsia"/>
          <w:kern w:val="0"/>
          <w:lang w:eastAsia="en-US" w:bidi="ar-SA"/>
        </w:rPr>
        <w:t>-</w:t>
      </w:r>
      <w:r w:rsidR="000F560E" w:rsidRPr="00D147A7">
        <w:rPr>
          <w:rFonts w:eastAsiaTheme="minorEastAsia"/>
          <w:kern w:val="0"/>
          <w:lang w:eastAsia="en-US" w:bidi="ar-SA"/>
        </w:rPr>
        <w:t xml:space="preserve">mer. Patiëntendossiers moeten – als uiterst privacygevoelige archiefbescheiden – </w:t>
      </w:r>
      <w:r>
        <w:rPr>
          <w:rFonts w:eastAsiaTheme="minorEastAsia"/>
          <w:kern w:val="0"/>
          <w:lang w:eastAsia="en-US" w:bidi="ar-SA"/>
        </w:rPr>
        <w:t>erg</w:t>
      </w:r>
      <w:r w:rsidR="000F560E" w:rsidRPr="00D147A7">
        <w:rPr>
          <w:rFonts w:eastAsiaTheme="minorEastAsia"/>
          <w:kern w:val="0"/>
          <w:lang w:eastAsia="en-US" w:bidi="ar-SA"/>
        </w:rPr>
        <w:t xml:space="preserve"> zorgvul</w:t>
      </w:r>
      <w:r>
        <w:rPr>
          <w:rFonts w:eastAsiaTheme="minorEastAsia"/>
          <w:kern w:val="0"/>
          <w:lang w:eastAsia="en-US" w:bidi="ar-SA"/>
        </w:rPr>
        <w:t>-</w:t>
      </w:r>
      <w:r w:rsidR="000F560E" w:rsidRPr="00D147A7">
        <w:rPr>
          <w:rFonts w:eastAsiaTheme="minorEastAsia"/>
          <w:kern w:val="0"/>
          <w:lang w:eastAsia="en-US" w:bidi="ar-SA"/>
        </w:rPr>
        <w:t xml:space="preserve">dig en onomkeerbaar vernietigd worden.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Permanent te bewaren archiefstukken van overheidsadministraties moeten in toegankelijke en geordende staat naar het Rijksarchief worden overgebracht. In principe zijn deze bescheiden </w:t>
      </w:r>
      <w:r w:rsidRPr="00D147A7">
        <w:rPr>
          <w:rFonts w:eastAsiaTheme="minorEastAsia"/>
          <w:kern w:val="0"/>
          <w:lang w:eastAsia="en-US" w:bidi="ar-SA"/>
        </w:rPr>
        <w:lastRenderedPageBreak/>
        <w:t>meteen na de overdracht door alle burgers vrij geraadpleegd. Het is evenwel duidelijk dat de</w:t>
      </w:r>
      <w:r w:rsidR="00450A82">
        <w:rPr>
          <w:rFonts w:eastAsiaTheme="minorEastAsia"/>
          <w:kern w:val="0"/>
          <w:lang w:eastAsia="en-US" w:bidi="ar-SA"/>
        </w:rPr>
        <w:t>-</w:t>
      </w:r>
      <w:r w:rsidRPr="00D147A7">
        <w:rPr>
          <w:rFonts w:eastAsiaTheme="minorEastAsia"/>
          <w:kern w:val="0"/>
          <w:lang w:eastAsia="en-US" w:bidi="ar-SA"/>
        </w:rPr>
        <w:t xml:space="preserve">ze stelregel niet </w:t>
      </w:r>
      <w:r w:rsidR="00450A82">
        <w:rPr>
          <w:rFonts w:eastAsiaTheme="minorEastAsia"/>
          <w:kern w:val="0"/>
          <w:lang w:eastAsia="en-US" w:bidi="ar-SA"/>
        </w:rPr>
        <w:t xml:space="preserve">van toepassing is </w:t>
      </w:r>
      <w:r w:rsidRPr="00D147A7">
        <w:rPr>
          <w:rFonts w:eastAsiaTheme="minorEastAsia"/>
          <w:kern w:val="0"/>
          <w:lang w:eastAsia="en-US" w:bidi="ar-SA"/>
        </w:rPr>
        <w:t>op patiëntendossiers</w:t>
      </w:r>
      <w:r w:rsidR="00450A82">
        <w:rPr>
          <w:rFonts w:eastAsiaTheme="minorEastAsia"/>
          <w:kern w:val="0"/>
          <w:lang w:eastAsia="en-US" w:bidi="ar-SA"/>
        </w:rPr>
        <w:t xml:space="preserve"> van openbare ziekenhuizen</w:t>
      </w:r>
      <w:r w:rsidRPr="00D147A7">
        <w:rPr>
          <w:rFonts w:eastAsiaTheme="minorEastAsia"/>
          <w:kern w:val="0"/>
          <w:lang w:eastAsia="en-US" w:bidi="ar-SA"/>
        </w:rPr>
        <w:t>. De Bel</w:t>
      </w:r>
      <w:r w:rsidR="00450A82">
        <w:rPr>
          <w:rFonts w:eastAsiaTheme="minorEastAsia"/>
          <w:kern w:val="0"/>
          <w:lang w:eastAsia="en-US" w:bidi="ar-SA"/>
        </w:rPr>
        <w:t>-</w:t>
      </w:r>
      <w:r w:rsidRPr="00D147A7">
        <w:rPr>
          <w:rFonts w:eastAsiaTheme="minorEastAsia"/>
          <w:kern w:val="0"/>
          <w:lang w:eastAsia="en-US" w:bidi="ar-SA"/>
        </w:rPr>
        <w:t xml:space="preserve">gische wetgever heeft </w:t>
      </w:r>
      <w:r w:rsidR="006961D0">
        <w:rPr>
          <w:rFonts w:eastAsiaTheme="minorEastAsia"/>
          <w:kern w:val="0"/>
          <w:lang w:eastAsia="en-US" w:bidi="ar-SA"/>
        </w:rPr>
        <w:t>niet</w:t>
      </w:r>
      <w:r w:rsidRPr="00D147A7">
        <w:rPr>
          <w:rFonts w:eastAsiaTheme="minorEastAsia"/>
          <w:kern w:val="0"/>
          <w:lang w:eastAsia="en-US" w:bidi="ar-SA"/>
        </w:rPr>
        <w:t xml:space="preserve"> vastgelegd </w:t>
      </w:r>
      <w:r w:rsidR="006961D0">
        <w:rPr>
          <w:rFonts w:eastAsiaTheme="minorEastAsia"/>
          <w:kern w:val="0"/>
          <w:lang w:eastAsia="en-US" w:bidi="ar-SA"/>
        </w:rPr>
        <w:t>wanneer</w:t>
      </w:r>
      <w:r w:rsidRPr="00D147A7">
        <w:rPr>
          <w:rFonts w:eastAsiaTheme="minorEastAsia"/>
          <w:kern w:val="0"/>
          <w:lang w:eastAsia="en-US" w:bidi="ar-SA"/>
        </w:rPr>
        <w:t xml:space="preserve"> </w:t>
      </w:r>
      <w:r w:rsidR="006961D0">
        <w:rPr>
          <w:rFonts w:eastAsiaTheme="minorEastAsia"/>
          <w:kern w:val="0"/>
          <w:lang w:eastAsia="en-US" w:bidi="ar-SA"/>
        </w:rPr>
        <w:t xml:space="preserve">deze </w:t>
      </w:r>
      <w:r w:rsidRPr="00D147A7">
        <w:rPr>
          <w:rFonts w:eastAsiaTheme="minorEastAsia"/>
          <w:kern w:val="0"/>
          <w:lang w:eastAsia="en-US" w:bidi="ar-SA"/>
        </w:rPr>
        <w:t>patiëntendossiers openbaar worden. Daar</w:t>
      </w:r>
      <w:r w:rsidR="006961D0">
        <w:rPr>
          <w:rFonts w:eastAsiaTheme="minorEastAsia"/>
          <w:kern w:val="0"/>
          <w:lang w:eastAsia="en-US" w:bidi="ar-SA"/>
        </w:rPr>
        <w:t>-</w:t>
      </w:r>
      <w:r w:rsidRPr="00D147A7">
        <w:rPr>
          <w:rFonts w:eastAsiaTheme="minorEastAsia"/>
          <w:kern w:val="0"/>
          <w:lang w:eastAsia="en-US" w:bidi="ar-SA"/>
        </w:rPr>
        <w:t>om vroeg het Algemeen Rijksarchief – na goedkeuring van de Orde der geneesheren – in 2008 aan de Privacycommissie of dossiers van openbare ziekenhuizen 150 jaar na de geboorte van de betrokken patiënten in de openbaarheid mogen worden gebracht. Hoewel de Privacy</w:t>
      </w:r>
      <w:r w:rsidR="006961D0">
        <w:rPr>
          <w:rFonts w:eastAsiaTheme="minorEastAsia"/>
          <w:kern w:val="0"/>
          <w:lang w:eastAsia="en-US" w:bidi="ar-SA"/>
        </w:rPr>
        <w:t>-</w:t>
      </w:r>
      <w:r w:rsidRPr="00D147A7">
        <w:rPr>
          <w:rFonts w:eastAsiaTheme="minorEastAsia"/>
          <w:kern w:val="0"/>
          <w:lang w:eastAsia="en-US" w:bidi="ar-SA"/>
        </w:rPr>
        <w:t xml:space="preserve">commissie dit een goede algemene stelregel vindt (waarvan in bepaalde gevallen moet kunnen worden </w:t>
      </w:r>
      <w:r w:rsidR="006961D0" w:rsidRPr="00D147A7">
        <w:rPr>
          <w:rFonts w:eastAsiaTheme="minorEastAsia"/>
          <w:kern w:val="0"/>
          <w:lang w:eastAsia="en-US" w:bidi="ar-SA"/>
        </w:rPr>
        <w:t xml:space="preserve">afgeweken </w:t>
      </w:r>
      <w:r w:rsidRPr="00D147A7">
        <w:rPr>
          <w:rFonts w:eastAsiaTheme="minorEastAsia"/>
          <w:kern w:val="0"/>
          <w:lang w:eastAsia="en-US" w:bidi="ar-SA"/>
        </w:rPr>
        <w:t>– bijvoorbeeld als een dossier gegevens m.b.t. nog levende personen</w:t>
      </w:r>
      <w:r w:rsidR="006961D0" w:rsidRPr="006961D0">
        <w:rPr>
          <w:rFonts w:eastAsiaTheme="minorEastAsia"/>
          <w:kern w:val="0"/>
          <w:lang w:eastAsia="en-US" w:bidi="ar-SA"/>
        </w:rPr>
        <w:t xml:space="preserve"> </w:t>
      </w:r>
      <w:r w:rsidR="006961D0" w:rsidRPr="00D147A7">
        <w:rPr>
          <w:rFonts w:eastAsiaTheme="minorEastAsia"/>
          <w:kern w:val="0"/>
          <w:lang w:eastAsia="en-US" w:bidi="ar-SA"/>
        </w:rPr>
        <w:t>be</w:t>
      </w:r>
      <w:r w:rsidR="006961D0">
        <w:rPr>
          <w:rFonts w:eastAsiaTheme="minorEastAsia"/>
          <w:kern w:val="0"/>
          <w:lang w:eastAsia="en-US" w:bidi="ar-SA"/>
        </w:rPr>
        <w:t>-</w:t>
      </w:r>
      <w:r w:rsidR="006961D0" w:rsidRPr="00D147A7">
        <w:rPr>
          <w:rFonts w:eastAsiaTheme="minorEastAsia"/>
          <w:kern w:val="0"/>
          <w:lang w:eastAsia="en-US" w:bidi="ar-SA"/>
        </w:rPr>
        <w:t>vat</w:t>
      </w:r>
      <w:r w:rsidRPr="00D147A7">
        <w:rPr>
          <w:rFonts w:eastAsiaTheme="minorEastAsia"/>
          <w:kern w:val="0"/>
          <w:lang w:eastAsia="en-US" w:bidi="ar-SA"/>
        </w:rPr>
        <w:t xml:space="preserve">), is deze termijn m.i. veel te lang. In Nederland en Frankrijk </w:t>
      </w:r>
      <w:r w:rsidR="006961D0">
        <w:rPr>
          <w:rFonts w:eastAsiaTheme="minorEastAsia"/>
          <w:kern w:val="0"/>
          <w:lang w:eastAsia="en-US" w:bidi="ar-SA"/>
        </w:rPr>
        <w:t>is</w:t>
      </w:r>
      <w:r w:rsidRPr="00D147A7">
        <w:rPr>
          <w:rFonts w:eastAsiaTheme="minorEastAsia"/>
          <w:kern w:val="0"/>
          <w:lang w:eastAsia="en-US" w:bidi="ar-SA"/>
        </w:rPr>
        <w:t xml:space="preserve"> de openbaarheidstermijn van patiëntendossiers minstens 30 jaar </w:t>
      </w:r>
      <w:r w:rsidR="006961D0">
        <w:rPr>
          <w:rFonts w:eastAsiaTheme="minorEastAsia"/>
          <w:kern w:val="0"/>
          <w:lang w:eastAsia="en-US" w:bidi="ar-SA"/>
        </w:rPr>
        <w:t>korter</w:t>
      </w:r>
      <w:r w:rsidRPr="00D147A7">
        <w:rPr>
          <w:rFonts w:eastAsiaTheme="minorEastAsia"/>
          <w:kern w:val="0"/>
          <w:lang w:eastAsia="en-US" w:bidi="ar-SA"/>
        </w:rPr>
        <w:t>. Om het (historisch) onderzoek op basis van patiëntendossiers te bevorderen, is het aangewezen dat het Algemeen Rijksarchief aansluiting zoekt bij de regeling van onze Noorder- en Zuiderburen. Hoewel Belgische openbare zieken</w:t>
      </w:r>
      <w:r w:rsidR="006961D0">
        <w:rPr>
          <w:rFonts w:eastAsiaTheme="minorEastAsia"/>
          <w:kern w:val="0"/>
          <w:lang w:eastAsia="en-US" w:bidi="ar-SA"/>
        </w:rPr>
        <w:t>-</w:t>
      </w:r>
      <w:r w:rsidRPr="00D147A7">
        <w:rPr>
          <w:rFonts w:eastAsiaTheme="minorEastAsia"/>
          <w:kern w:val="0"/>
          <w:lang w:eastAsia="en-US" w:bidi="ar-SA"/>
        </w:rPr>
        <w:t>huizen nog nooit patiëntendossiers naar het Rijksarchief hebben overgebracht – waardoor de wijziging van deze termijn niet uiterst urgent is –, wordt hier toch best zo snel mogelijk werk van gemaakt.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6D443A">
      <w:pPr>
        <w:widowControl/>
        <w:suppressAutoHyphens w:val="0"/>
        <w:jc w:val="both"/>
        <w:rPr>
          <w:rFonts w:eastAsiaTheme="minorEastAsia"/>
          <w:kern w:val="0"/>
          <w:lang w:eastAsia="en-US" w:bidi="ar-SA"/>
        </w:rPr>
      </w:pPr>
      <w:r w:rsidRPr="00975170">
        <w:rPr>
          <w:rFonts w:eastAsiaTheme="minorEastAsia"/>
          <w:kern w:val="0"/>
          <w:lang w:eastAsia="en-US" w:bidi="ar-SA"/>
        </w:rPr>
        <w:t>Alleen overheidsinstellingen kunnen ertoe verplicht worden om over een selectielijst te be</w:t>
      </w:r>
      <w:r w:rsidR="006961D0" w:rsidRPr="00975170">
        <w:rPr>
          <w:rFonts w:eastAsiaTheme="minorEastAsia"/>
          <w:kern w:val="0"/>
          <w:lang w:eastAsia="en-US" w:bidi="ar-SA"/>
        </w:rPr>
        <w:t>-</w:t>
      </w:r>
      <w:r w:rsidRPr="00975170">
        <w:rPr>
          <w:rFonts w:eastAsiaTheme="minorEastAsia"/>
          <w:kern w:val="0"/>
          <w:lang w:eastAsia="en-US" w:bidi="ar-SA"/>
        </w:rPr>
        <w:t xml:space="preserve">schikken </w:t>
      </w:r>
      <w:r w:rsidR="006961D0" w:rsidRPr="00975170">
        <w:rPr>
          <w:rFonts w:eastAsiaTheme="minorEastAsia"/>
          <w:kern w:val="0"/>
          <w:lang w:eastAsia="en-US" w:bidi="ar-SA"/>
        </w:rPr>
        <w:t>daar</w:t>
      </w:r>
      <w:r w:rsidRPr="00975170">
        <w:rPr>
          <w:rFonts w:eastAsiaTheme="minorEastAsia"/>
          <w:kern w:val="0"/>
          <w:lang w:eastAsia="en-US" w:bidi="ar-SA"/>
        </w:rPr>
        <w:t xml:space="preserve"> enkel overheidsarchieven </w:t>
      </w:r>
      <w:r w:rsidR="006961D0" w:rsidRPr="00975170">
        <w:rPr>
          <w:rFonts w:eastAsiaTheme="minorEastAsia"/>
          <w:kern w:val="0"/>
          <w:lang w:eastAsia="en-US" w:bidi="ar-SA"/>
        </w:rPr>
        <w:t>aan</w:t>
      </w:r>
      <w:r w:rsidRPr="00975170">
        <w:rPr>
          <w:rFonts w:eastAsiaTheme="minorEastAsia"/>
          <w:kern w:val="0"/>
          <w:lang w:eastAsia="en-US" w:bidi="ar-SA"/>
        </w:rPr>
        <w:t xml:space="preserve"> het Rijksarchief moeten worden overdragen. Toch is het aangewezen dat ook privaatrechtelijke instellingen over een selectielijst beschik</w:t>
      </w:r>
      <w:r w:rsidR="006961D0" w:rsidRPr="00975170">
        <w:rPr>
          <w:rFonts w:eastAsiaTheme="minorEastAsia"/>
          <w:kern w:val="0"/>
          <w:lang w:eastAsia="en-US" w:bidi="ar-SA"/>
        </w:rPr>
        <w:t>-</w:t>
      </w:r>
      <w:r w:rsidRPr="00975170">
        <w:rPr>
          <w:rFonts w:eastAsiaTheme="minorEastAsia"/>
          <w:kern w:val="0"/>
          <w:lang w:eastAsia="en-US" w:bidi="ar-SA"/>
        </w:rPr>
        <w:t xml:space="preserve">ken en archiefbescheiden met potentiële onderzoekwaarde </w:t>
      </w:r>
      <w:r w:rsidR="006961D0" w:rsidRPr="00975170">
        <w:rPr>
          <w:rFonts w:eastAsiaTheme="minorEastAsia"/>
          <w:kern w:val="0"/>
          <w:lang w:eastAsia="en-US" w:bidi="ar-SA"/>
        </w:rPr>
        <w:t xml:space="preserve">na het verstrijken van de burger-rechtelijke bewaartermijn </w:t>
      </w:r>
      <w:r w:rsidRPr="00975170">
        <w:rPr>
          <w:rFonts w:eastAsiaTheme="minorEastAsia"/>
          <w:kern w:val="0"/>
          <w:lang w:eastAsia="en-US" w:bidi="ar-SA"/>
        </w:rPr>
        <w:t>aan het Rijksarchief schenken. Dit is echter een naïeve gedachte, daar archieven aan verschillende criteria moeten beantwoorden alvorens ze aan het Rijks</w:t>
      </w:r>
      <w:r w:rsidR="006961D0" w:rsidRPr="00975170">
        <w:rPr>
          <w:rFonts w:eastAsiaTheme="minorEastAsia"/>
          <w:kern w:val="0"/>
          <w:lang w:eastAsia="en-US" w:bidi="ar-SA"/>
        </w:rPr>
        <w:t>-</w:t>
      </w:r>
      <w:r w:rsidRPr="00975170">
        <w:rPr>
          <w:rFonts w:eastAsiaTheme="minorEastAsia"/>
          <w:kern w:val="0"/>
          <w:lang w:eastAsia="en-US" w:bidi="ar-SA"/>
        </w:rPr>
        <w:t xml:space="preserve">archief mogen </w:t>
      </w:r>
      <w:r w:rsidR="006961D0" w:rsidRPr="00975170">
        <w:rPr>
          <w:rFonts w:eastAsiaTheme="minorEastAsia"/>
          <w:kern w:val="0"/>
          <w:lang w:eastAsia="en-US" w:bidi="ar-SA"/>
        </w:rPr>
        <w:t>worden overgebracht</w:t>
      </w:r>
      <w:r w:rsidRPr="00975170">
        <w:rPr>
          <w:rFonts w:eastAsiaTheme="minorEastAsia"/>
          <w:kern w:val="0"/>
          <w:lang w:eastAsia="en-US" w:bidi="ar-SA"/>
        </w:rPr>
        <w:t xml:space="preserve">. Het is veel eenvoudiger </w:t>
      </w:r>
      <w:r w:rsidR="006961D0" w:rsidRPr="00975170">
        <w:rPr>
          <w:rFonts w:eastAsiaTheme="minorEastAsia"/>
          <w:kern w:val="0"/>
          <w:lang w:eastAsia="en-US" w:bidi="ar-SA"/>
        </w:rPr>
        <w:t>(</w:t>
      </w:r>
      <w:r w:rsidRPr="00975170">
        <w:rPr>
          <w:rFonts w:eastAsiaTheme="minorEastAsia"/>
          <w:kern w:val="0"/>
          <w:lang w:eastAsia="en-US" w:bidi="ar-SA"/>
        </w:rPr>
        <w:t>en goedkoper</w:t>
      </w:r>
      <w:r w:rsidR="006961D0" w:rsidRPr="00975170">
        <w:rPr>
          <w:rFonts w:eastAsiaTheme="minorEastAsia"/>
          <w:kern w:val="0"/>
          <w:lang w:eastAsia="en-US" w:bidi="ar-SA"/>
        </w:rPr>
        <w:t>)</w:t>
      </w:r>
      <w:r w:rsidRPr="00975170">
        <w:rPr>
          <w:rFonts w:eastAsiaTheme="minorEastAsia"/>
          <w:kern w:val="0"/>
          <w:lang w:eastAsia="en-US" w:bidi="ar-SA"/>
        </w:rPr>
        <w:t xml:space="preserve"> om archiefbe</w:t>
      </w:r>
      <w:r w:rsidR="006961D0" w:rsidRPr="00975170">
        <w:rPr>
          <w:rFonts w:eastAsiaTheme="minorEastAsia"/>
          <w:kern w:val="0"/>
          <w:lang w:eastAsia="en-US" w:bidi="ar-SA"/>
        </w:rPr>
        <w:t>-</w:t>
      </w:r>
      <w:r w:rsidRPr="00975170">
        <w:rPr>
          <w:rFonts w:eastAsiaTheme="minorEastAsia"/>
          <w:kern w:val="0"/>
          <w:lang w:eastAsia="en-US" w:bidi="ar-SA"/>
        </w:rPr>
        <w:t xml:space="preserve">scheiden te vernietigen als </w:t>
      </w:r>
      <w:r w:rsidR="006961D0" w:rsidRPr="00975170">
        <w:rPr>
          <w:rFonts w:eastAsiaTheme="minorEastAsia"/>
          <w:kern w:val="0"/>
          <w:lang w:eastAsia="en-US" w:bidi="ar-SA"/>
        </w:rPr>
        <w:t>hu</w:t>
      </w:r>
      <w:r w:rsidRPr="00975170">
        <w:rPr>
          <w:rFonts w:eastAsiaTheme="minorEastAsia"/>
          <w:kern w:val="0"/>
          <w:lang w:eastAsia="en-US" w:bidi="ar-SA"/>
        </w:rPr>
        <w:t xml:space="preserve">n administratief, juridisch en fiscaal </w:t>
      </w:r>
      <w:r w:rsidR="006961D0" w:rsidRPr="00975170">
        <w:rPr>
          <w:rFonts w:eastAsiaTheme="minorEastAsia"/>
          <w:kern w:val="0"/>
          <w:lang w:eastAsia="en-US" w:bidi="ar-SA"/>
        </w:rPr>
        <w:t>nut verstreken is</w:t>
      </w:r>
      <w:r w:rsidRPr="00975170">
        <w:rPr>
          <w:rFonts w:eastAsiaTheme="minorEastAsia"/>
          <w:kern w:val="0"/>
          <w:lang w:eastAsia="en-US" w:bidi="ar-SA"/>
        </w:rPr>
        <w:t>. Toch moet een mogelijkheid gezocht worden om ook huisartsarchieven permanent te bewaren. Huisartsen vervullen immers een sleutelrol in het zorgverleningsproces zodat de neerslag van hun handelingen het meest typerende</w:t>
      </w:r>
      <w:r w:rsidR="006961D0" w:rsidRPr="00975170">
        <w:rPr>
          <w:rFonts w:eastAsiaTheme="minorEastAsia"/>
          <w:kern w:val="0"/>
          <w:lang w:eastAsia="en-US" w:bidi="ar-SA"/>
        </w:rPr>
        <w:t xml:space="preserve"> (en representatieve)</w:t>
      </w:r>
      <w:r w:rsidRPr="00975170">
        <w:rPr>
          <w:rFonts w:eastAsiaTheme="minorEastAsia"/>
          <w:kern w:val="0"/>
          <w:lang w:eastAsia="en-US" w:bidi="ar-SA"/>
        </w:rPr>
        <w:t xml:space="preserve"> beeld van de volksgezondheid bie</w:t>
      </w:r>
      <w:r w:rsidR="006961D0" w:rsidRPr="00975170">
        <w:rPr>
          <w:rFonts w:eastAsiaTheme="minorEastAsia"/>
          <w:kern w:val="0"/>
          <w:lang w:eastAsia="en-US" w:bidi="ar-SA"/>
        </w:rPr>
        <w:t>-</w:t>
      </w:r>
      <w:r w:rsidRPr="00975170">
        <w:rPr>
          <w:rFonts w:eastAsiaTheme="minorEastAsia"/>
          <w:kern w:val="0"/>
          <w:lang w:eastAsia="en-US" w:bidi="ar-SA"/>
        </w:rPr>
        <w:t>d</w:t>
      </w:r>
      <w:r w:rsidR="006961D0" w:rsidRPr="00975170">
        <w:rPr>
          <w:rFonts w:eastAsiaTheme="minorEastAsia"/>
          <w:kern w:val="0"/>
          <w:lang w:eastAsia="en-US" w:bidi="ar-SA"/>
        </w:rPr>
        <w:t>en</w:t>
      </w:r>
      <w:r w:rsidRPr="00975170">
        <w:rPr>
          <w:rFonts w:eastAsiaTheme="minorEastAsia"/>
          <w:kern w:val="0"/>
          <w:lang w:eastAsia="en-US" w:bidi="ar-SA"/>
        </w:rPr>
        <w:t xml:space="preserve">. </w:t>
      </w:r>
      <w:r w:rsidR="006D443A" w:rsidRPr="00975170">
        <w:rPr>
          <w:kern w:val="0"/>
        </w:rPr>
        <w:t>Mogelijk komen de patiëntendossiers in aanmerking van huisartsen wiens praktijk wor-den stopgezet en niet opgevolgd worden. In dat geval zullen de dossiers van patiënten die zich niet (tijdig) aangemeld hebben door de bevoegde Provinciale Raad van de Orde der genees-heren in bewaring genomen worden. Dit gebeurt niet op basis van de wetgeving, maar aan de hand van de C.G.P.</w:t>
      </w:r>
      <w:r w:rsidR="006D443A" w:rsidRPr="00975170">
        <w:rPr>
          <w:bCs/>
          <w:vertAlign w:val="superscript"/>
        </w:rPr>
        <w:footnoteReference w:id="1465"/>
      </w:r>
      <w:r w:rsidR="006D443A" w:rsidRPr="00975170">
        <w:rPr>
          <w:kern w:val="0"/>
        </w:rPr>
        <w:t xml:space="preserve"> Vooralsnog is het niet duidelijk welke invloed deze bewaargeving op het statuut van patiëntendossiers heeft. </w:t>
      </w:r>
      <w:r w:rsidR="006D443A" w:rsidRPr="00975170">
        <w:rPr>
          <w:rFonts w:eastAsiaTheme="minorEastAsia"/>
          <w:kern w:val="0"/>
          <w:lang w:eastAsia="en-US" w:bidi="ar-SA"/>
        </w:rPr>
        <w:t>Een andere</w:t>
      </w:r>
      <w:r w:rsidR="0026274F" w:rsidRPr="00975170">
        <w:rPr>
          <w:rFonts w:eastAsiaTheme="minorEastAsia"/>
          <w:kern w:val="0"/>
          <w:lang w:eastAsia="en-US" w:bidi="ar-SA"/>
        </w:rPr>
        <w:t xml:space="preserve"> </w:t>
      </w:r>
      <w:r w:rsidRPr="00975170">
        <w:rPr>
          <w:rFonts w:eastAsiaTheme="minorEastAsia"/>
          <w:kern w:val="0"/>
          <w:lang w:eastAsia="en-US" w:bidi="ar-SA"/>
        </w:rPr>
        <w:t xml:space="preserve">vraag </w:t>
      </w:r>
      <w:r w:rsidR="006D443A" w:rsidRPr="00975170">
        <w:rPr>
          <w:rFonts w:eastAsiaTheme="minorEastAsia"/>
          <w:kern w:val="0"/>
          <w:lang w:eastAsia="en-US" w:bidi="ar-SA"/>
        </w:rPr>
        <w:t xml:space="preserve">die zich stelt, is </w:t>
      </w:r>
      <w:r w:rsidRPr="00975170">
        <w:rPr>
          <w:rFonts w:eastAsiaTheme="minorEastAsia"/>
          <w:kern w:val="0"/>
          <w:lang w:eastAsia="en-US" w:bidi="ar-SA"/>
        </w:rPr>
        <w:t xml:space="preserve">hoe </w:t>
      </w:r>
      <w:r w:rsidR="006D443A" w:rsidRPr="00975170">
        <w:rPr>
          <w:rFonts w:eastAsiaTheme="minorEastAsia"/>
          <w:kern w:val="0"/>
          <w:lang w:eastAsia="en-US" w:bidi="ar-SA"/>
        </w:rPr>
        <w:t xml:space="preserve">frequent huis-artsenarchieven (permanent) </w:t>
      </w:r>
      <w:r w:rsidRPr="00975170">
        <w:rPr>
          <w:rFonts w:eastAsiaTheme="minorEastAsia"/>
          <w:kern w:val="0"/>
          <w:lang w:eastAsia="en-US" w:bidi="ar-SA"/>
        </w:rPr>
        <w:t>bewaard</w:t>
      </w:r>
      <w:r w:rsidR="006D443A" w:rsidRPr="00975170">
        <w:rPr>
          <w:rFonts w:eastAsiaTheme="minorEastAsia"/>
          <w:kern w:val="0"/>
          <w:lang w:eastAsia="en-US" w:bidi="ar-SA"/>
        </w:rPr>
        <w:t xml:space="preserve"> moeten worden</w:t>
      </w:r>
      <w:r w:rsidRPr="00975170">
        <w:rPr>
          <w:rFonts w:eastAsiaTheme="minorEastAsia"/>
          <w:kern w:val="0"/>
          <w:lang w:eastAsia="en-US" w:bidi="ar-SA"/>
        </w:rPr>
        <w:t>. De maatschappij is immers geen sta</w:t>
      </w:r>
      <w:r w:rsidR="006D443A" w:rsidRPr="00975170">
        <w:rPr>
          <w:rFonts w:eastAsiaTheme="minorEastAsia"/>
          <w:kern w:val="0"/>
          <w:lang w:eastAsia="en-US" w:bidi="ar-SA"/>
        </w:rPr>
        <w:t>-</w:t>
      </w:r>
      <w:r w:rsidRPr="00975170">
        <w:rPr>
          <w:rFonts w:eastAsiaTheme="minorEastAsia"/>
          <w:kern w:val="0"/>
          <w:lang w:eastAsia="en-US" w:bidi="ar-SA"/>
        </w:rPr>
        <w:t>tisch gegeven. Dit zou nader onderzocht moeten worden door een interdisciplinaire werk</w:t>
      </w:r>
      <w:r w:rsidR="006D443A" w:rsidRPr="00975170">
        <w:rPr>
          <w:rFonts w:eastAsiaTheme="minorEastAsia"/>
          <w:kern w:val="0"/>
          <w:lang w:eastAsia="en-US" w:bidi="ar-SA"/>
        </w:rPr>
        <w:t>-</w:t>
      </w:r>
      <w:r w:rsidRPr="00975170">
        <w:rPr>
          <w:rFonts w:eastAsiaTheme="minorEastAsia"/>
          <w:kern w:val="0"/>
          <w:lang w:eastAsia="en-US" w:bidi="ar-SA"/>
        </w:rPr>
        <w:t>groep van het Algemeen Rijksarchief. Ook universiteiten en hogescholen moeten hun steentje bijdragen. Zij hebben immers de verantwoordelijkheid om alle studenten (inclusief zorg</w:t>
      </w:r>
      <w:r w:rsidR="006D443A" w:rsidRPr="00975170">
        <w:rPr>
          <w:rFonts w:eastAsiaTheme="minorEastAsia"/>
          <w:kern w:val="0"/>
          <w:lang w:eastAsia="en-US" w:bidi="ar-SA"/>
        </w:rPr>
        <w:t>-</w:t>
      </w:r>
      <w:r w:rsidRPr="00975170">
        <w:rPr>
          <w:rFonts w:eastAsiaTheme="minorEastAsia"/>
          <w:kern w:val="0"/>
          <w:lang w:eastAsia="en-US" w:bidi="ar-SA"/>
        </w:rPr>
        <w:t xml:space="preserve">verleners in spe) </w:t>
      </w:r>
      <w:r w:rsidR="006D443A" w:rsidRPr="00975170">
        <w:rPr>
          <w:rFonts w:eastAsiaTheme="minorEastAsia"/>
          <w:kern w:val="0"/>
          <w:lang w:eastAsia="en-US" w:bidi="ar-SA"/>
        </w:rPr>
        <w:t xml:space="preserve">een </w:t>
      </w:r>
      <w:r w:rsidRPr="00975170">
        <w:rPr>
          <w:rFonts w:eastAsiaTheme="minorEastAsia"/>
          <w:kern w:val="0"/>
          <w:lang w:eastAsia="en-US" w:bidi="ar-SA"/>
        </w:rPr>
        <w:t xml:space="preserve">historisch </w:t>
      </w:r>
      <w:r w:rsidR="006D443A" w:rsidRPr="00975170">
        <w:rPr>
          <w:rFonts w:eastAsiaTheme="minorEastAsia"/>
          <w:kern w:val="0"/>
          <w:lang w:eastAsia="en-US" w:bidi="ar-SA"/>
        </w:rPr>
        <w:t>bewustzijn</w:t>
      </w:r>
      <w:r w:rsidRPr="00975170">
        <w:rPr>
          <w:rFonts w:eastAsiaTheme="minorEastAsia"/>
          <w:kern w:val="0"/>
          <w:lang w:eastAsia="en-US" w:bidi="ar-SA"/>
        </w:rPr>
        <w:t xml:space="preserve"> bij te brengen. Dit kan m.i. alleen door ‘Medische geschiedenis’ </w:t>
      </w:r>
      <w:r w:rsidR="006D443A" w:rsidRPr="00975170">
        <w:rPr>
          <w:rFonts w:eastAsiaTheme="minorEastAsia"/>
          <w:kern w:val="0"/>
          <w:lang w:eastAsia="en-US" w:bidi="ar-SA"/>
        </w:rPr>
        <w:t xml:space="preserve">als </w:t>
      </w:r>
      <w:r w:rsidRPr="00975170">
        <w:rPr>
          <w:rFonts w:eastAsiaTheme="minorEastAsia"/>
          <w:kern w:val="0"/>
          <w:lang w:eastAsia="en-US" w:bidi="ar-SA"/>
        </w:rPr>
        <w:t xml:space="preserve">verplicht te volgen bachelorvak </w:t>
      </w:r>
      <w:r w:rsidR="006D443A" w:rsidRPr="00975170">
        <w:rPr>
          <w:rFonts w:eastAsiaTheme="minorEastAsia"/>
          <w:kern w:val="0"/>
          <w:lang w:eastAsia="en-US" w:bidi="ar-SA"/>
        </w:rPr>
        <w:t xml:space="preserve">in het curriculum van zorgverleners in wor-ding op </w:t>
      </w:r>
      <w:r w:rsidRPr="00975170">
        <w:rPr>
          <w:rFonts w:eastAsiaTheme="minorEastAsia"/>
          <w:kern w:val="0"/>
          <w:lang w:eastAsia="en-US" w:bidi="ar-SA"/>
        </w:rPr>
        <w:t xml:space="preserve">te </w:t>
      </w:r>
      <w:r w:rsidR="006D443A" w:rsidRPr="00975170">
        <w:rPr>
          <w:rFonts w:eastAsiaTheme="minorEastAsia"/>
          <w:kern w:val="0"/>
          <w:lang w:eastAsia="en-US" w:bidi="ar-SA"/>
        </w:rPr>
        <w:t>nemen</w:t>
      </w:r>
      <w:r w:rsidRPr="00975170">
        <w:rPr>
          <w:rFonts w:eastAsiaTheme="minorEastAsia"/>
          <w:kern w:val="0"/>
          <w:lang w:eastAsia="en-US" w:bidi="ar-SA"/>
        </w:rPr>
        <w:t xml:space="preserve"> – waarbij in </w:t>
      </w:r>
      <w:r w:rsidRPr="00975170">
        <w:rPr>
          <w:rFonts w:eastAsiaTheme="minorEastAsia"/>
          <w:i/>
          <w:kern w:val="0"/>
          <w:lang w:eastAsia="en-US" w:bidi="ar-SA"/>
        </w:rPr>
        <w:t>capita selecta</w:t>
      </w:r>
      <w:r w:rsidRPr="00975170">
        <w:rPr>
          <w:rFonts w:eastAsiaTheme="minorEastAsia"/>
          <w:kern w:val="0"/>
          <w:lang w:eastAsia="en-US" w:bidi="ar-SA"/>
        </w:rPr>
        <w:t xml:space="preserve"> ook de krijtlijnen van hedendaags documentbe</w:t>
      </w:r>
      <w:r w:rsidR="00975170" w:rsidRPr="00975170">
        <w:rPr>
          <w:rFonts w:eastAsiaTheme="minorEastAsia"/>
          <w:kern w:val="0"/>
          <w:lang w:eastAsia="en-US" w:bidi="ar-SA"/>
        </w:rPr>
        <w:t>-</w:t>
      </w:r>
      <w:r w:rsidRPr="00975170">
        <w:rPr>
          <w:rFonts w:eastAsiaTheme="minorEastAsia"/>
          <w:kern w:val="0"/>
          <w:lang w:eastAsia="en-US" w:bidi="ar-SA"/>
        </w:rPr>
        <w:t xml:space="preserve">heer aan bod zouden moeten komen – en aan studenten de mogelijkheid te bieden om </w:t>
      </w:r>
      <w:r w:rsidR="00975170" w:rsidRPr="00975170">
        <w:rPr>
          <w:rFonts w:eastAsiaTheme="minorEastAsia"/>
          <w:kern w:val="0"/>
          <w:lang w:eastAsia="en-US" w:bidi="ar-SA"/>
        </w:rPr>
        <w:t xml:space="preserve">zich </w:t>
      </w:r>
      <w:r w:rsidRPr="00975170">
        <w:rPr>
          <w:rFonts w:eastAsiaTheme="minorEastAsia"/>
          <w:kern w:val="0"/>
          <w:lang w:eastAsia="en-US" w:bidi="ar-SA"/>
        </w:rPr>
        <w:t>hier in de masterjaren</w:t>
      </w:r>
      <w:r w:rsidR="00975170" w:rsidRPr="00975170">
        <w:rPr>
          <w:rFonts w:eastAsiaTheme="minorEastAsia"/>
          <w:kern w:val="0"/>
          <w:lang w:eastAsia="en-US" w:bidi="ar-SA"/>
        </w:rPr>
        <w:t xml:space="preserve"> verder in te specialiseren</w:t>
      </w:r>
      <w:r w:rsidRPr="00975170">
        <w:rPr>
          <w:rFonts w:eastAsiaTheme="minorEastAsia"/>
          <w:kern w:val="0"/>
          <w:lang w:eastAsia="en-US" w:bidi="ar-SA"/>
        </w:rPr>
        <w:t xml:space="preserve">. Er moet een zodanig evenwicht gezocht worden dat dit </w:t>
      </w:r>
      <w:r w:rsidR="00975170" w:rsidRPr="00975170">
        <w:rPr>
          <w:rFonts w:eastAsiaTheme="minorEastAsia"/>
          <w:kern w:val="0"/>
          <w:lang w:eastAsia="en-US" w:bidi="ar-SA"/>
        </w:rPr>
        <w:t xml:space="preserve">het vak en de specialisatierichting </w:t>
      </w:r>
      <w:r w:rsidRPr="00975170">
        <w:rPr>
          <w:rFonts w:eastAsiaTheme="minorEastAsia"/>
          <w:kern w:val="0"/>
          <w:lang w:eastAsia="en-US" w:bidi="ar-SA"/>
        </w:rPr>
        <w:t xml:space="preserve">ook voor </w:t>
      </w:r>
      <w:r w:rsidR="00975170" w:rsidRPr="00975170">
        <w:rPr>
          <w:rFonts w:eastAsiaTheme="minorEastAsia"/>
          <w:kern w:val="0"/>
          <w:lang w:eastAsia="en-US" w:bidi="ar-SA"/>
        </w:rPr>
        <w:t>geschiedenis</w:t>
      </w:r>
      <w:r w:rsidRPr="00975170">
        <w:rPr>
          <w:rFonts w:eastAsiaTheme="minorEastAsia"/>
          <w:kern w:val="0"/>
          <w:lang w:eastAsia="en-US" w:bidi="ar-SA"/>
        </w:rPr>
        <w:t>studenten toegankelijk is. Een lastige opgave, die zeker en vast in overweging genomen zou moeten worden.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Archiefvormers moeten niet altijd wachten tot de bewaartermijn verstreken is om archiefbe</w:t>
      </w:r>
      <w:r w:rsidR="00975170">
        <w:rPr>
          <w:rFonts w:eastAsiaTheme="minorEastAsia"/>
          <w:kern w:val="0"/>
          <w:lang w:eastAsia="en-US" w:bidi="ar-SA"/>
        </w:rPr>
        <w:t>-</w:t>
      </w:r>
      <w:r w:rsidRPr="00D147A7">
        <w:rPr>
          <w:rFonts w:eastAsiaTheme="minorEastAsia"/>
          <w:kern w:val="0"/>
          <w:lang w:eastAsia="en-US" w:bidi="ar-SA"/>
        </w:rPr>
        <w:t>scheiden te vernietigen. Zeker niet als het om ‘schoningsacties’ gaat, waarbij schaduwarchie</w:t>
      </w:r>
      <w:r w:rsidR="00975170">
        <w:rPr>
          <w:rFonts w:eastAsiaTheme="minorEastAsia"/>
          <w:kern w:val="0"/>
          <w:lang w:eastAsia="en-US" w:bidi="ar-SA"/>
        </w:rPr>
        <w:t>-</w:t>
      </w:r>
      <w:r w:rsidRPr="00D147A7">
        <w:rPr>
          <w:rFonts w:eastAsiaTheme="minorEastAsia"/>
          <w:kern w:val="0"/>
          <w:lang w:eastAsia="en-US" w:bidi="ar-SA"/>
        </w:rPr>
        <w:t xml:space="preserve">ven en waardeloze documenten zoals persoonlijke notities, kopieën en blanco formulieren </w:t>
      </w:r>
      <w:r w:rsidRPr="00D147A7">
        <w:rPr>
          <w:rFonts w:eastAsiaTheme="minorEastAsia"/>
          <w:kern w:val="0"/>
          <w:lang w:eastAsia="en-US" w:bidi="ar-SA"/>
        </w:rPr>
        <w:lastRenderedPageBreak/>
        <w:t>vernietigd worden. Ook kunnen bescheiden vroegtijdig vernietigd worden als de gegevens</w:t>
      </w:r>
      <w:r w:rsidR="00975170">
        <w:rPr>
          <w:rFonts w:eastAsiaTheme="minorEastAsia"/>
          <w:kern w:val="0"/>
          <w:lang w:eastAsia="en-US" w:bidi="ar-SA"/>
        </w:rPr>
        <w:t>-</w:t>
      </w:r>
      <w:r w:rsidRPr="00D147A7">
        <w:rPr>
          <w:rFonts w:eastAsiaTheme="minorEastAsia"/>
          <w:kern w:val="0"/>
          <w:lang w:eastAsia="en-US" w:bidi="ar-SA"/>
        </w:rPr>
        <w:t>drager van originele bescheiden vervangen wordt. Wel moet met verschillende zaken reke</w:t>
      </w:r>
      <w:r w:rsidR="00975170">
        <w:rPr>
          <w:rFonts w:eastAsiaTheme="minorEastAsia"/>
          <w:kern w:val="0"/>
          <w:lang w:eastAsia="en-US" w:bidi="ar-SA"/>
        </w:rPr>
        <w:t>-</w:t>
      </w:r>
      <w:r w:rsidRPr="00D147A7">
        <w:rPr>
          <w:rFonts w:eastAsiaTheme="minorEastAsia"/>
          <w:kern w:val="0"/>
          <w:lang w:eastAsia="en-US" w:bidi="ar-SA"/>
        </w:rPr>
        <w:t xml:space="preserve">ning gehouden opdat aan reproducties dezelfde bewijswaarde als aan originele documenten kan worden toegekend. Het is m.i. aanbevelenswaardig om originele archiefbescheiden nog enkele jaren na de substitutie </w:t>
      </w:r>
      <w:r w:rsidR="00975170">
        <w:rPr>
          <w:rFonts w:eastAsiaTheme="minorEastAsia"/>
          <w:kern w:val="0"/>
          <w:lang w:eastAsia="en-US" w:bidi="ar-SA"/>
        </w:rPr>
        <w:t xml:space="preserve">bij </w:t>
      </w:r>
      <w:r w:rsidRPr="00D147A7">
        <w:rPr>
          <w:rFonts w:eastAsiaTheme="minorEastAsia"/>
          <w:kern w:val="0"/>
          <w:lang w:eastAsia="en-US" w:bidi="ar-SA"/>
        </w:rPr>
        <w:t xml:space="preserve">te </w:t>
      </w:r>
      <w:r w:rsidR="00975170">
        <w:rPr>
          <w:rFonts w:eastAsiaTheme="minorEastAsia"/>
          <w:kern w:val="0"/>
          <w:lang w:eastAsia="en-US" w:bidi="ar-SA"/>
        </w:rPr>
        <w:t>houden</w:t>
      </w:r>
      <w:r w:rsidRPr="00D147A7">
        <w:rPr>
          <w:rFonts w:eastAsiaTheme="minorEastAsia"/>
          <w:kern w:val="0"/>
          <w:lang w:eastAsia="en-US" w:bidi="ar-SA"/>
        </w:rPr>
        <w:t>. Dat is zeker in de medische wereld</w:t>
      </w:r>
      <w:r w:rsidR="00975170" w:rsidRPr="00975170">
        <w:rPr>
          <w:rFonts w:eastAsiaTheme="minorEastAsia"/>
          <w:kern w:val="0"/>
          <w:lang w:eastAsia="en-US" w:bidi="ar-SA"/>
        </w:rPr>
        <w:t xml:space="preserve"> </w:t>
      </w:r>
      <w:r w:rsidR="00975170" w:rsidRPr="00D147A7">
        <w:rPr>
          <w:rFonts w:eastAsiaTheme="minorEastAsia"/>
          <w:kern w:val="0"/>
          <w:lang w:eastAsia="en-US" w:bidi="ar-SA"/>
        </w:rPr>
        <w:t>nodig</w:t>
      </w:r>
      <w:r w:rsidRPr="00D147A7">
        <w:rPr>
          <w:rFonts w:eastAsiaTheme="minorEastAsia"/>
          <w:kern w:val="0"/>
          <w:lang w:eastAsia="en-US" w:bidi="ar-SA"/>
        </w:rPr>
        <w:t>, daar patiënten almaar mondiger worden en steeds sneller een rechtszaak tegen hun arts</w:t>
      </w:r>
      <w:r w:rsidR="00975170" w:rsidRPr="00975170">
        <w:rPr>
          <w:rFonts w:eastAsiaTheme="minorEastAsia"/>
          <w:kern w:val="0"/>
          <w:lang w:eastAsia="en-US" w:bidi="ar-SA"/>
        </w:rPr>
        <w:t xml:space="preserve"> </w:t>
      </w:r>
      <w:r w:rsidR="00975170" w:rsidRPr="00D147A7">
        <w:rPr>
          <w:rFonts w:eastAsiaTheme="minorEastAsia"/>
          <w:kern w:val="0"/>
          <w:lang w:eastAsia="en-US" w:bidi="ar-SA"/>
        </w:rPr>
        <w:t>zullen aan</w:t>
      </w:r>
      <w:r w:rsidR="00975170">
        <w:rPr>
          <w:rFonts w:eastAsiaTheme="minorEastAsia"/>
          <w:kern w:val="0"/>
          <w:lang w:eastAsia="en-US" w:bidi="ar-SA"/>
        </w:rPr>
        <w:t>-</w:t>
      </w:r>
      <w:r w:rsidR="00975170" w:rsidRPr="00D147A7">
        <w:rPr>
          <w:rFonts w:eastAsiaTheme="minorEastAsia"/>
          <w:kern w:val="0"/>
          <w:lang w:eastAsia="en-US" w:bidi="ar-SA"/>
        </w:rPr>
        <w:t>spannen</w:t>
      </w:r>
      <w:r w:rsidRPr="00D147A7">
        <w:rPr>
          <w:rFonts w:eastAsiaTheme="minorEastAsia"/>
          <w:kern w:val="0"/>
          <w:lang w:eastAsia="en-US" w:bidi="ar-SA"/>
        </w:rPr>
        <w:t>.</w:t>
      </w:r>
      <w:r w:rsidRPr="00D147A7">
        <w:rPr>
          <w:rFonts w:eastAsiaTheme="minorEastAsia"/>
          <w:kern w:val="0"/>
          <w:vertAlign w:val="superscript"/>
          <w:lang w:eastAsia="en-US" w:bidi="ar-SA"/>
        </w:rPr>
        <w:footnoteReference w:id="1466"/>
      </w:r>
      <w:r w:rsidRPr="00D147A7">
        <w:rPr>
          <w:rFonts w:eastAsiaTheme="minorEastAsia"/>
          <w:kern w:val="0"/>
          <w:lang w:eastAsia="en-US" w:bidi="ar-SA"/>
        </w:rPr>
        <w:t xml:space="preserve"> Tot slot kunnen patiënten in Nederland hun artsen verzoeken om (delen van) hun patiëntendossier te vernietigen. Hoewel dit ook in de Franse rechtsleer mogelijk wordt geacht, is dit m.i. geen goede zaak. Dat de patiënt cruciale informatie over en voor de zorgverlening verliest wanneer zijn patiëntendossier vernietigd wordt, is zijn eigen keuze. Het probleem ligt ook niet bij het feit dat gegevens uit het patiëntendossier van belang kunnen zijn voor de zorg</w:t>
      </w:r>
      <w:r w:rsidR="00975170">
        <w:rPr>
          <w:rFonts w:eastAsiaTheme="minorEastAsia"/>
          <w:kern w:val="0"/>
          <w:lang w:eastAsia="en-US" w:bidi="ar-SA"/>
        </w:rPr>
        <w:t>-</w:t>
      </w:r>
      <w:r w:rsidRPr="00D147A7">
        <w:rPr>
          <w:rFonts w:eastAsiaTheme="minorEastAsia"/>
          <w:kern w:val="0"/>
          <w:lang w:eastAsia="en-US" w:bidi="ar-SA"/>
        </w:rPr>
        <w:t>verlener (om zich in rechte te verdedigen). Dit kan immers opgelost worden door de desbe</w:t>
      </w:r>
      <w:r w:rsidR="00975170">
        <w:rPr>
          <w:rFonts w:eastAsiaTheme="minorEastAsia"/>
          <w:kern w:val="0"/>
          <w:lang w:eastAsia="en-US" w:bidi="ar-SA"/>
        </w:rPr>
        <w:t>-</w:t>
      </w:r>
      <w:r w:rsidRPr="00D147A7">
        <w:rPr>
          <w:rFonts w:eastAsiaTheme="minorEastAsia"/>
          <w:kern w:val="0"/>
          <w:lang w:eastAsia="en-US" w:bidi="ar-SA"/>
        </w:rPr>
        <w:t xml:space="preserve">treffende patiënt een akte van vernietiging te laten ondertekenen. Maar gezondheidsgegevens zijn steeds vaker voor aanverwanten van de patiënt van belang. Immers wat vandaag niet als een erfelijke aandoening wordt beschouwd, is dat morgen misschien wel. Bovendien kunnen patiëntendossiers – met name in openbare ziekenhuizen – belangrijk bronnenmateriaal zijn voor toekomstige (historische, medisch-wetenschappelijke,…) onderzoekers. Het verzoek om het eigen patiëntendossier vroegtijdig te vernietigen is m.i. een </w:t>
      </w:r>
      <w:r w:rsidR="00975170">
        <w:rPr>
          <w:rFonts w:eastAsiaTheme="minorEastAsia"/>
          <w:kern w:val="0"/>
          <w:lang w:eastAsia="en-US" w:bidi="ar-SA"/>
        </w:rPr>
        <w:t xml:space="preserve">kortzichtige, </w:t>
      </w:r>
      <w:r w:rsidRPr="00D147A7">
        <w:rPr>
          <w:rFonts w:eastAsiaTheme="minorEastAsia"/>
          <w:kern w:val="0"/>
          <w:lang w:eastAsia="en-US" w:bidi="ar-SA"/>
        </w:rPr>
        <w:t>egoïstische be</w:t>
      </w:r>
      <w:r w:rsidR="00975170">
        <w:rPr>
          <w:rFonts w:eastAsiaTheme="minorEastAsia"/>
          <w:kern w:val="0"/>
          <w:lang w:eastAsia="en-US" w:bidi="ar-SA"/>
        </w:rPr>
        <w:t>-</w:t>
      </w:r>
      <w:r w:rsidRPr="00D147A7">
        <w:rPr>
          <w:rFonts w:eastAsiaTheme="minorEastAsia"/>
          <w:kern w:val="0"/>
          <w:lang w:eastAsia="en-US" w:bidi="ar-SA"/>
        </w:rPr>
        <w:t>slissing.</w:t>
      </w:r>
      <w:r w:rsidRPr="00D147A7">
        <w:rPr>
          <w:rFonts w:eastAsiaTheme="minorEastAsia"/>
          <w:kern w:val="0"/>
          <w:vertAlign w:val="superscript"/>
          <w:lang w:eastAsia="en-US" w:bidi="ar-SA"/>
        </w:rPr>
        <w:footnoteReference w:id="1467"/>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smallCaps/>
          <w:kern w:val="0"/>
          <w:lang w:eastAsia="en-US" w:bidi="ar-SA"/>
        </w:rPr>
      </w:pPr>
      <w:r w:rsidRPr="00D147A7">
        <w:rPr>
          <w:rFonts w:eastAsiaTheme="minorEastAsia"/>
          <w:smallCaps/>
          <w:kern w:val="0"/>
          <w:lang w:eastAsia="en-US" w:bidi="ar-SA"/>
        </w:rPr>
        <w:t>5.6 Bibliografie</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smallCaps/>
          <w:kern w:val="0"/>
          <w:lang w:eastAsia="en-US" w:bidi="ar-SA"/>
        </w:rPr>
        <w:t>5.6.1 Internationaal</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eastAsia="en-US" w:bidi="ar-SA"/>
        </w:rPr>
      </w:pPr>
      <w:r w:rsidRPr="00D147A7">
        <w:rPr>
          <w:rFonts w:eastAsiaTheme="minorEastAsia"/>
          <w:b/>
          <w:kern w:val="0"/>
          <w:lang w:eastAsia="en-US" w:bidi="ar-SA"/>
        </w:rPr>
        <w:tab/>
      </w:r>
      <w:r w:rsidRPr="00D147A7">
        <w:rPr>
          <w:rFonts w:eastAsiaTheme="minorEastAsia"/>
          <w:b/>
          <w:kern w:val="0"/>
          <w:lang w:eastAsia="en-US" w:bidi="ar-SA"/>
        </w:rPr>
        <w:tab/>
      </w:r>
      <w:r w:rsidRPr="00D147A7">
        <w:rPr>
          <w:rFonts w:eastAsiaTheme="minorEastAsia"/>
          <w:b/>
          <w:smallCaps/>
          <w:kern w:val="0"/>
          <w:lang w:eastAsia="en-US" w:bidi="ar-SA"/>
        </w:rPr>
        <w:t>5.6.</w:t>
      </w:r>
      <w:r w:rsidRPr="00D147A7">
        <w:rPr>
          <w:rFonts w:eastAsiaTheme="minorEastAsia"/>
          <w:b/>
          <w:kern w:val="0"/>
          <w:lang w:eastAsia="en-US" w:bidi="ar-SA"/>
        </w:rPr>
        <w:t>1.1 Parlementaire voorbereidingen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Voorstel voor een verordening van het Europees Parlement en de Raad betreffende de be</w:t>
      </w:r>
      <w:r w:rsidR="00A340F5">
        <w:rPr>
          <w:rFonts w:eastAsiaTheme="minorEastAsia"/>
          <w:kern w:val="0"/>
          <w:lang w:eastAsia="en-US" w:bidi="ar-SA"/>
        </w:rPr>
        <w:t>-</w:t>
      </w:r>
      <w:r w:rsidRPr="00D147A7">
        <w:rPr>
          <w:rFonts w:eastAsiaTheme="minorEastAsia"/>
          <w:kern w:val="0"/>
          <w:lang w:eastAsia="en-US" w:bidi="ar-SA"/>
        </w:rPr>
        <w:t>scherming van natuurlijke personen in verband met de verwerking van persoonsgegevens en betreffende het vrije verkeer van die gegevens (Algemene Verordening Gegevensbescher</w:t>
      </w:r>
      <w:r w:rsidR="00A340F5">
        <w:rPr>
          <w:rFonts w:eastAsiaTheme="minorEastAsia"/>
          <w:kern w:val="0"/>
          <w:lang w:eastAsia="en-US" w:bidi="ar-SA"/>
        </w:rPr>
        <w:t>-</w:t>
      </w:r>
      <w:r w:rsidRPr="00D147A7">
        <w:rPr>
          <w:rFonts w:eastAsiaTheme="minorEastAsia"/>
          <w:kern w:val="0"/>
          <w:lang w:eastAsia="en-US" w:bidi="ar-SA"/>
        </w:rPr>
        <w:t>ming), COM(2012)11, (</w:t>
      </w:r>
      <w:hyperlink r:id="rId482" w:history="1">
        <w:r w:rsidR="00A340F5" w:rsidRPr="00FD2358">
          <w:rPr>
            <w:rStyle w:val="Hyperlink"/>
            <w:rFonts w:eastAsiaTheme="minorEastAsia"/>
            <w:kern w:val="0"/>
            <w:lang w:eastAsia="en-US" w:bidi="ar-SA"/>
          </w:rPr>
          <w:t>http://eur-lex.europa.eu/LexUriServ/LexUriServ.do?uri=COM:2012: 0011:FIN:NL:PDF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b/>
          <w:kern w:val="0"/>
          <w:lang w:val="en-US" w:eastAsia="en-US" w:bidi="ar-SA"/>
        </w:rPr>
      </w:pPr>
      <w:r w:rsidRPr="00D147A7">
        <w:rPr>
          <w:rFonts w:eastAsiaTheme="minorEastAsia"/>
          <w:b/>
          <w:kern w:val="0"/>
          <w:lang w:eastAsia="en-US" w:bidi="ar-SA"/>
        </w:rPr>
        <w:tab/>
      </w:r>
      <w:r w:rsidRPr="00D147A7">
        <w:rPr>
          <w:rFonts w:eastAsiaTheme="minorEastAsia"/>
          <w:b/>
          <w:kern w:val="0"/>
          <w:lang w:eastAsia="en-US" w:bidi="ar-SA"/>
        </w:rPr>
        <w:tab/>
      </w:r>
      <w:r w:rsidRPr="00D147A7">
        <w:rPr>
          <w:rFonts w:eastAsiaTheme="minorEastAsia"/>
          <w:b/>
          <w:smallCaps/>
          <w:kern w:val="0"/>
          <w:lang w:val="en-US" w:eastAsia="en-US" w:bidi="ar-SA"/>
        </w:rPr>
        <w:t>5.6.</w:t>
      </w:r>
      <w:r w:rsidRPr="00D147A7">
        <w:rPr>
          <w:rFonts w:eastAsiaTheme="minorEastAsia"/>
          <w:b/>
          <w:kern w:val="0"/>
          <w:lang w:val="en-US" w:eastAsia="en-US" w:bidi="ar-SA"/>
        </w:rPr>
        <w:t>1.2 Rechtsleer en literatuur</w:t>
      </w:r>
    </w:p>
    <w:p w:rsidR="000F560E" w:rsidRPr="00D147A7" w:rsidRDefault="000F560E" w:rsidP="000F560E">
      <w:pPr>
        <w:widowControl/>
        <w:suppressAutoHyphens w:val="0"/>
        <w:jc w:val="both"/>
        <w:rPr>
          <w:rFonts w:eastAsiaTheme="minorEastAsia"/>
          <w:kern w:val="0"/>
          <w:lang w:val="en-US"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en-US" w:eastAsia="en-US" w:bidi="ar-SA"/>
        </w:rPr>
        <w:t xml:space="preserve">MAXWELL-STEWART, H.; SHEPPARD, J.; YEO, G.; </w:t>
      </w:r>
      <w:r w:rsidRPr="00D147A7">
        <w:rPr>
          <w:rFonts w:eastAsiaTheme="minorEastAsia"/>
          <w:i/>
          <w:kern w:val="0"/>
          <w:lang w:val="en-US" w:eastAsia="en-US" w:bidi="ar-SA"/>
        </w:rPr>
        <w:t>Hospital Patient Case Records: A Guide to Their Retention and Disposal</w:t>
      </w:r>
      <w:r w:rsidRPr="00D147A7">
        <w:rPr>
          <w:rFonts w:eastAsiaTheme="minorEastAsia"/>
          <w:kern w:val="0"/>
          <w:lang w:val="en-US" w:eastAsia="en-US" w:bidi="ar-SA"/>
        </w:rPr>
        <w:t xml:space="preserve">, s.l., Health Archives Group, 1996, 27p. </w:t>
      </w:r>
      <w:r w:rsidRPr="00D147A7">
        <w:rPr>
          <w:rFonts w:eastAsiaTheme="minorEastAsia"/>
          <w:kern w:val="0"/>
          <w:lang w:eastAsia="en-US" w:bidi="ar-SA"/>
        </w:rPr>
        <w:t xml:space="preserve">(voor de tweede herziene versie, zie: </w:t>
      </w:r>
      <w:hyperlink r:id="rId483" w:history="1">
        <w:r w:rsidR="00A340F5" w:rsidRPr="00FD2358">
          <w:rPr>
            <w:rStyle w:val="Hyperlink"/>
            <w:rFonts w:eastAsiaTheme="minorEastAsia"/>
            <w:kern w:val="0"/>
            <w:lang w:eastAsia="en-US" w:bidi="ar-SA"/>
          </w:rPr>
          <w:t>http://www.healtharchives.org/docs/hospital_case_records_2006_ final_version.pdf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en-US" w:eastAsia="en-US" w:bidi="ar-SA"/>
        </w:rPr>
        <w:t xml:space="preserve">ROPER, M.; MILLAR, L. (reds.); </w:t>
      </w:r>
      <w:r w:rsidRPr="00D147A7">
        <w:rPr>
          <w:rFonts w:eastAsiaTheme="minorEastAsia"/>
          <w:i/>
          <w:kern w:val="0"/>
          <w:lang w:val="en-US" w:eastAsia="en-US" w:bidi="ar-SA"/>
        </w:rPr>
        <w:t>Managing Hospital Records</w:t>
      </w:r>
      <w:r w:rsidRPr="00D147A7">
        <w:rPr>
          <w:rFonts w:eastAsiaTheme="minorEastAsia"/>
          <w:kern w:val="0"/>
          <w:lang w:val="en-US" w:eastAsia="en-US" w:bidi="ar-SA"/>
        </w:rPr>
        <w:t>, Managing Public Sector Re</w:t>
      </w:r>
      <w:r w:rsidR="00A340F5">
        <w:rPr>
          <w:rFonts w:eastAsiaTheme="minorEastAsia"/>
          <w:kern w:val="0"/>
          <w:lang w:val="en-US" w:eastAsia="en-US" w:bidi="ar-SA"/>
        </w:rPr>
        <w:t>-</w:t>
      </w:r>
      <w:r w:rsidRPr="00D147A7">
        <w:rPr>
          <w:rFonts w:eastAsiaTheme="minorEastAsia"/>
          <w:kern w:val="0"/>
          <w:lang w:val="en-US" w:eastAsia="en-US" w:bidi="ar-SA"/>
        </w:rPr>
        <w:t>cords. A Study Programme, Londen, International Council on Archives – International Re</w:t>
      </w:r>
      <w:r w:rsidR="00A340F5">
        <w:rPr>
          <w:rFonts w:eastAsiaTheme="minorEastAsia"/>
          <w:kern w:val="0"/>
          <w:lang w:val="en-US" w:eastAsia="en-US" w:bidi="ar-SA"/>
        </w:rPr>
        <w:t>-</w:t>
      </w:r>
      <w:r w:rsidRPr="00D147A7">
        <w:rPr>
          <w:rFonts w:eastAsiaTheme="minorEastAsia"/>
          <w:kern w:val="0"/>
          <w:lang w:val="en-US" w:eastAsia="en-US" w:bidi="ar-SA"/>
        </w:rPr>
        <w:t xml:space="preserve">cords Management Trust, 1999, 121p. </w:t>
      </w:r>
      <w:r w:rsidRPr="00D147A7">
        <w:rPr>
          <w:rFonts w:eastAsiaTheme="minorEastAsia"/>
          <w:kern w:val="0"/>
          <w:lang w:eastAsia="en-US" w:bidi="ar-SA"/>
        </w:rPr>
        <w:t>(</w:t>
      </w:r>
      <w:hyperlink r:id="rId484" w:history="1">
        <w:r w:rsidR="00724382" w:rsidRPr="00D147A7">
          <w:rPr>
            <w:rStyle w:val="Hyperlink"/>
            <w:rFonts w:eastAsiaTheme="minorEastAsia"/>
            <w:kern w:val="0"/>
            <w:lang w:eastAsia="en-US" w:bidi="ar-SA"/>
          </w:rPr>
          <w:t>http://www.irmt.org/documents/educ_training/</w:t>
        </w:r>
      </w:hyperlink>
      <w:r w:rsidR="00724382" w:rsidRPr="00D147A7">
        <w:rPr>
          <w:rFonts w:eastAsiaTheme="minorEastAsia"/>
          <w:color w:val="0000FF"/>
          <w:kern w:val="0"/>
          <w:u w:val="single"/>
          <w:lang w:eastAsia="en-US" w:bidi="ar-SA"/>
        </w:rPr>
        <w:t>public_</w:t>
      </w:r>
      <w:r w:rsidR="00A340F5">
        <w:rPr>
          <w:rFonts w:eastAsiaTheme="minorEastAsia"/>
          <w:color w:val="0000FF"/>
          <w:kern w:val="0"/>
          <w:u w:val="single"/>
          <w:lang w:eastAsia="en-US" w:bidi="ar-SA"/>
        </w:rPr>
        <w:t xml:space="preserve"> </w:t>
      </w:r>
      <w:r w:rsidR="00724382" w:rsidRPr="00D147A7">
        <w:rPr>
          <w:rFonts w:eastAsiaTheme="minorEastAsia"/>
          <w:color w:val="0000FF"/>
          <w:kern w:val="0"/>
          <w:u w:val="single"/>
          <w:lang w:eastAsia="en-US" w:bidi="ar-SA"/>
        </w:rPr>
        <w:t>sector_rec/IRMT_hospital_recs.pdf</w:t>
      </w:r>
      <w:r w:rsidR="00724382" w:rsidRPr="00D147A7">
        <w:rPr>
          <w:rFonts w:eastAsiaTheme="minorEastAsia"/>
          <w:kern w:val="0"/>
          <w:lang w:eastAsia="en-US" w:bidi="ar-SA"/>
        </w:rPr>
        <w:t>, la</w:t>
      </w:r>
      <w:r w:rsidRPr="00D147A7">
        <w:rPr>
          <w:rFonts w:eastAsiaTheme="minorEastAsia"/>
          <w:kern w:val="0"/>
          <w:lang w:eastAsia="en-US" w:bidi="ar-SA"/>
        </w:rPr>
        <w:t>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en-US" w:eastAsia="en-US" w:bidi="ar-SA"/>
        </w:rPr>
        <w:t xml:space="preserve">SCHELLENBERG, T.R., </w:t>
      </w:r>
      <w:r w:rsidRPr="00D147A7">
        <w:rPr>
          <w:rFonts w:eastAsiaTheme="minorEastAsia"/>
          <w:i/>
          <w:kern w:val="0"/>
          <w:lang w:val="en-US" w:eastAsia="en-US" w:bidi="ar-SA"/>
        </w:rPr>
        <w:t>Modern Archives. Principles &amp; Techniques</w:t>
      </w:r>
      <w:r w:rsidRPr="00D147A7">
        <w:rPr>
          <w:rFonts w:eastAsiaTheme="minorEastAsia"/>
          <w:kern w:val="0"/>
          <w:lang w:val="en-US" w:eastAsia="en-US" w:bidi="ar-SA"/>
        </w:rPr>
        <w:t xml:space="preserve">, Chicago, The Society of American Archivists, 2003³, 248p. </w:t>
      </w:r>
      <w:r w:rsidRPr="00D147A7">
        <w:rPr>
          <w:rFonts w:eastAsiaTheme="minorEastAsia"/>
          <w:kern w:val="0"/>
          <w:lang w:eastAsia="en-US" w:bidi="ar-SA"/>
        </w:rPr>
        <w:t>(</w:t>
      </w:r>
      <w:hyperlink r:id="rId485" w:history="1">
        <w:r w:rsidR="00A340F5" w:rsidRPr="00FD2358">
          <w:rPr>
            <w:rStyle w:val="Hyperlink"/>
            <w:rFonts w:eastAsiaTheme="minorEastAsia"/>
            <w:kern w:val="0"/>
            <w:shd w:val="clear" w:color="auto" w:fill="FFFFFF"/>
            <w:lang w:eastAsia="en-US" w:bidi="ar-SA"/>
          </w:rPr>
          <w:t>http://www.archivists.org/publications/epubs/ Modern Archives-Schellenberg.pdf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en-US" w:eastAsia="en-US" w:bidi="ar-SA"/>
        </w:rPr>
      </w:pPr>
      <w:r w:rsidRPr="00D147A7">
        <w:rPr>
          <w:rFonts w:eastAsiaTheme="minorEastAsia"/>
          <w:kern w:val="0"/>
          <w:lang w:val="en-US" w:eastAsia="en-US" w:bidi="ar-SA"/>
        </w:rPr>
        <w:lastRenderedPageBreak/>
        <w:t xml:space="preserve">SHEPHERD, E.; YEO, G.; </w:t>
      </w:r>
      <w:r w:rsidRPr="00D147A7">
        <w:rPr>
          <w:rFonts w:eastAsiaTheme="minorEastAsia"/>
          <w:i/>
          <w:kern w:val="0"/>
          <w:lang w:val="en-US" w:eastAsia="en-US" w:bidi="ar-SA"/>
        </w:rPr>
        <w:t>Managing records: a handbook of principles and practice</w:t>
      </w:r>
      <w:r w:rsidRPr="00D147A7">
        <w:rPr>
          <w:rFonts w:eastAsiaTheme="minorEastAsia"/>
          <w:kern w:val="0"/>
          <w:lang w:val="en-US" w:eastAsia="en-US" w:bidi="ar-SA"/>
        </w:rPr>
        <w:t>, Lon</w:t>
      </w:r>
      <w:r w:rsidR="00A340F5">
        <w:rPr>
          <w:rFonts w:eastAsiaTheme="minorEastAsia"/>
          <w:kern w:val="0"/>
          <w:lang w:val="en-US" w:eastAsia="en-US" w:bidi="ar-SA"/>
        </w:rPr>
        <w:t>-</w:t>
      </w:r>
      <w:r w:rsidRPr="00D147A7">
        <w:rPr>
          <w:rFonts w:eastAsiaTheme="minorEastAsia"/>
          <w:kern w:val="0"/>
          <w:lang w:val="en-US" w:eastAsia="en-US" w:bidi="ar-SA"/>
        </w:rPr>
        <w:t xml:space="preserve">den, Facet Publishing, 2003, 318p.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ZELLER, J.D., ‘L’exemple des hôpitaux universitaires de Genève’, </w:t>
      </w:r>
      <w:r w:rsidRPr="00D147A7">
        <w:rPr>
          <w:rFonts w:eastAsiaTheme="minorEastAsia"/>
          <w:i/>
          <w:kern w:val="0"/>
          <w:lang w:val="fr-BE" w:eastAsia="en-US" w:bidi="ar-SA"/>
        </w:rPr>
        <w:t>G.A.N.S.</w:t>
      </w:r>
      <w:r w:rsidRPr="00D147A7">
        <w:rPr>
          <w:rFonts w:eastAsiaTheme="minorEastAsia"/>
          <w:kern w:val="0"/>
          <w:lang w:val="fr-BE" w:eastAsia="en-US" w:bidi="ar-SA"/>
        </w:rPr>
        <w:t>, 205 (2007), p. 69-94.</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b/>
          <w:kern w:val="0"/>
          <w:lang w:val="fr-BE" w:eastAsia="en-US" w:bidi="ar-SA"/>
        </w:rPr>
      </w:pPr>
      <w:r w:rsidRPr="00D147A7">
        <w:rPr>
          <w:rFonts w:eastAsiaTheme="minorEastAsia"/>
          <w:b/>
          <w:kern w:val="0"/>
          <w:lang w:val="fr-BE" w:eastAsia="en-US" w:bidi="ar-SA"/>
        </w:rPr>
        <w:tab/>
      </w:r>
      <w:r w:rsidRPr="00D147A7">
        <w:rPr>
          <w:rFonts w:eastAsiaTheme="minorEastAsia"/>
          <w:b/>
          <w:kern w:val="0"/>
          <w:lang w:val="fr-BE" w:eastAsia="en-US" w:bidi="ar-SA"/>
        </w:rPr>
        <w:tab/>
      </w:r>
      <w:r w:rsidRPr="00D147A7">
        <w:rPr>
          <w:rFonts w:eastAsiaTheme="minorEastAsia"/>
          <w:b/>
          <w:smallCaps/>
          <w:kern w:val="0"/>
          <w:lang w:val="fr-BE" w:eastAsia="en-US" w:bidi="ar-SA"/>
        </w:rPr>
        <w:t>5.6.</w:t>
      </w:r>
      <w:r w:rsidRPr="00D147A7">
        <w:rPr>
          <w:rFonts w:eastAsiaTheme="minorEastAsia"/>
          <w:b/>
          <w:kern w:val="0"/>
          <w:lang w:val="fr-BE" w:eastAsia="en-US" w:bidi="ar-SA"/>
        </w:rPr>
        <w:t>1.3 Websites</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2E7E12" w:rsidP="000F560E">
      <w:pPr>
        <w:widowControl/>
        <w:suppressAutoHyphens w:val="0"/>
        <w:jc w:val="both"/>
        <w:rPr>
          <w:rFonts w:eastAsiaTheme="minorEastAsia"/>
          <w:kern w:val="0"/>
          <w:lang w:val="fr-BE" w:eastAsia="en-US" w:bidi="ar-SA"/>
        </w:rPr>
      </w:pPr>
      <w:hyperlink r:id="rId486" w:history="1">
        <w:r w:rsidR="000F560E" w:rsidRPr="00D147A7">
          <w:rPr>
            <w:rFonts w:eastAsiaTheme="minorEastAsia"/>
            <w:color w:val="0000FF"/>
            <w:kern w:val="0"/>
            <w:u w:val="single"/>
            <w:lang w:val="fr-BE" w:eastAsia="en-US" w:bidi="ar-SA"/>
          </w:rPr>
          <w:t>http://www.archivists.org/</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487" w:history="1">
        <w:r w:rsidR="000F560E" w:rsidRPr="00D147A7">
          <w:rPr>
            <w:rFonts w:eastAsiaTheme="minorEastAsia"/>
            <w:color w:val="0000FF"/>
            <w:kern w:val="0"/>
            <w:u w:val="single"/>
            <w:lang w:val="fr-BE" w:eastAsia="en-US" w:bidi="ar-SA"/>
          </w:rPr>
          <w:t>http://eur-lex.europa.eu/</w:t>
        </w:r>
      </w:hyperlink>
      <w:r w:rsidR="000F560E" w:rsidRPr="00D147A7">
        <w:rPr>
          <w:rFonts w:eastAsiaTheme="minorEastAsia"/>
          <w:kern w:val="0"/>
          <w:lang w:val="fr-BE" w:eastAsia="en-US" w:bidi="ar-SA"/>
        </w:rPr>
        <w:t xml:space="preserve">. </w:t>
      </w:r>
    </w:p>
    <w:p w:rsidR="000F560E" w:rsidRPr="00D147A7" w:rsidRDefault="002E7E12" w:rsidP="000F560E">
      <w:pPr>
        <w:widowControl/>
        <w:suppressAutoHyphens w:val="0"/>
        <w:jc w:val="both"/>
        <w:rPr>
          <w:rFonts w:eastAsiaTheme="minorEastAsia"/>
          <w:kern w:val="0"/>
          <w:lang w:eastAsia="en-US" w:bidi="ar-SA"/>
        </w:rPr>
      </w:pPr>
      <w:hyperlink r:id="rId488" w:history="1">
        <w:r w:rsidR="000F560E" w:rsidRPr="00D147A7">
          <w:rPr>
            <w:rFonts w:eastAsiaTheme="minorEastAsia"/>
            <w:color w:val="0000FF"/>
            <w:kern w:val="0"/>
            <w:u w:val="single"/>
            <w:lang w:eastAsia="en-US" w:bidi="ar-SA"/>
          </w:rPr>
          <w:t>http://www.irmt.org/</w:t>
        </w:r>
      </w:hyperlink>
      <w:r w:rsidR="000F560E"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highlight w:val="yellow"/>
          <w:lang w:eastAsia="en-US" w:bidi="ar-SA"/>
        </w:rPr>
      </w:pPr>
    </w:p>
    <w:p w:rsidR="000F560E" w:rsidRPr="00D147A7" w:rsidRDefault="000F560E" w:rsidP="000F560E">
      <w:pPr>
        <w:widowControl/>
        <w:suppressAutoHyphens w:val="0"/>
        <w:jc w:val="both"/>
        <w:rPr>
          <w:rFonts w:eastAsiaTheme="minorEastAsia"/>
          <w:smallCaps/>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smallCaps/>
          <w:kern w:val="0"/>
          <w:lang w:eastAsia="en-US" w:bidi="ar-SA"/>
        </w:rPr>
        <w:t>5.6.2. België</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2.1 Parlementaire voorbereidingen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i/>
          <w:kern w:val="0"/>
          <w:lang w:eastAsia="en-US" w:bidi="ar-SA"/>
        </w:rPr>
        <w:t>Parl.St.</w:t>
      </w:r>
      <w:r w:rsidRPr="00D147A7">
        <w:rPr>
          <w:rFonts w:eastAsiaTheme="minorEastAsia"/>
          <w:kern w:val="0"/>
          <w:lang w:eastAsia="en-US" w:bidi="ar-SA"/>
        </w:rPr>
        <w:t xml:space="preserve"> Kamer, 1997-1998, nr. 1566/1.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2.2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Art. 1147, art. 1315 tot art. 1369, art. 1382 en art. 2262 BW.</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Archiefwet van 24 juni 1955 (BS 12 augustus 1955).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12 december 1957 betreffende de uitvoering van de archiefwet van 24 juni 1955 (BS 20 december 1957).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nr. 78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Ziekenhuiswet (1)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Privacywet.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11 april 1994 betreffende de openbaarheid van bestuur (BS 30 juni 1994).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KB van 15 juni 1998 tot uitvoering van artikel 86bis van de wet op de openbare ziekenhuizen, gecoördineerd op 7 augustus 1987 (BS 17 juli 1998).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KB van 3 mei 1999 (1).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3 mei 1999 (2).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2 oktober 2000 (BS 25 oktober 2000).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9 juli 2001 houdende vaststelling van bepaalde regels in verband met het juridisch kader voor elektronische handtekeningen, de elektronisch aangetekende zending en certifica</w:t>
      </w:r>
      <w:r w:rsidR="00A340F5">
        <w:rPr>
          <w:rFonts w:eastAsiaTheme="minorEastAsia"/>
          <w:kern w:val="0"/>
          <w:lang w:eastAsia="en-US" w:bidi="ar-SA"/>
        </w:rPr>
        <w:t>-</w:t>
      </w:r>
      <w:r w:rsidRPr="00D147A7">
        <w:rPr>
          <w:rFonts w:eastAsiaTheme="minorEastAsia"/>
          <w:kern w:val="0"/>
          <w:lang w:eastAsia="en-US" w:bidi="ar-SA"/>
        </w:rPr>
        <w:t>tiediensten (</w:t>
      </w:r>
      <w:r w:rsidRPr="00A340F5">
        <w:rPr>
          <w:rFonts w:eastAsiaTheme="minorEastAsia"/>
          <w:i/>
          <w:kern w:val="0"/>
          <w:lang w:eastAsia="en-US" w:bidi="ar-SA"/>
        </w:rPr>
        <w:t>BS</w:t>
      </w:r>
      <w:r w:rsidRPr="00D147A7">
        <w:rPr>
          <w:rFonts w:eastAsiaTheme="minorEastAsia"/>
          <w:kern w:val="0"/>
          <w:lang w:eastAsia="en-US" w:bidi="ar-SA"/>
        </w:rPr>
        <w:t xml:space="preserve"> 29 september 2001).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14 januari 2002 houdende maatregelen inzake gezondheidszorg (</w:t>
      </w:r>
      <w:r w:rsidRPr="00A340F5">
        <w:rPr>
          <w:rFonts w:eastAsiaTheme="minorEastAsia"/>
          <w:i/>
          <w:kern w:val="0"/>
          <w:lang w:eastAsia="en-US" w:bidi="ar-SA"/>
        </w:rPr>
        <w:t>BS</w:t>
      </w:r>
      <w:r w:rsidRPr="00D147A7">
        <w:rPr>
          <w:rFonts w:eastAsiaTheme="minorEastAsia"/>
          <w:kern w:val="0"/>
          <w:lang w:eastAsia="en-US" w:bidi="ar-SA"/>
        </w:rPr>
        <w:t xml:space="preserve"> 22 februari 2002).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Patiëntenrechten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KB van 21 september 2004.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KB van 28 december 2006.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26 april 2007 tot wijziging van het KB van 27 april 1999 betreffende de bewijskracht van de door de zorgverleners en de verzekeringsinstellingen opgeslagen, verwerkte, weerge</w:t>
      </w:r>
      <w:r w:rsidR="00A340F5">
        <w:rPr>
          <w:rFonts w:eastAsiaTheme="minorEastAsia"/>
          <w:kern w:val="0"/>
          <w:lang w:eastAsia="en-US" w:bidi="ar-SA"/>
        </w:rPr>
        <w:t>-</w:t>
      </w:r>
      <w:r w:rsidRPr="00D147A7">
        <w:rPr>
          <w:rFonts w:eastAsiaTheme="minorEastAsia"/>
          <w:kern w:val="0"/>
          <w:lang w:eastAsia="en-US" w:bidi="ar-SA"/>
        </w:rPr>
        <w:t>geven of meegedeelde gegevens (</w:t>
      </w:r>
      <w:r w:rsidRPr="00A340F5">
        <w:rPr>
          <w:rFonts w:eastAsiaTheme="minorEastAsia"/>
          <w:i/>
          <w:kern w:val="0"/>
          <w:lang w:eastAsia="en-US" w:bidi="ar-SA"/>
        </w:rPr>
        <w:t>BS</w:t>
      </w:r>
      <w:r w:rsidRPr="00D147A7">
        <w:rPr>
          <w:rFonts w:eastAsiaTheme="minorEastAsia"/>
          <w:kern w:val="0"/>
          <w:lang w:eastAsia="en-US" w:bidi="ar-SA"/>
        </w:rPr>
        <w:t xml:space="preserve"> 18 juni 2007)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Ziekenhuiswet (2).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van 21 augustus 2008 houdende oprichting en organ</w:t>
      </w:r>
      <w:r w:rsidR="00A340F5">
        <w:rPr>
          <w:rFonts w:eastAsiaTheme="minorEastAsia"/>
          <w:kern w:val="0"/>
          <w:lang w:eastAsia="en-US" w:bidi="ar-SA"/>
        </w:rPr>
        <w:t>isatie van het eHealth-platform</w:t>
      </w:r>
      <w:r w:rsidRPr="00D147A7">
        <w:rPr>
          <w:rFonts w:eastAsiaTheme="minorEastAsia"/>
          <w:kern w:val="0"/>
          <w:lang w:eastAsia="en-US" w:bidi="ar-SA"/>
        </w:rPr>
        <w:t xml:space="preserve"> </w:t>
      </w:r>
      <w:r w:rsidR="00A340F5" w:rsidRPr="00326ECC">
        <w:t>(</w:t>
      </w:r>
      <w:r w:rsidR="00A340F5" w:rsidRPr="0071082C">
        <w:rPr>
          <w:i/>
        </w:rPr>
        <w:t>BS</w:t>
      </w:r>
      <w:r w:rsidR="00A340F5" w:rsidRPr="00326ECC">
        <w:t xml:space="preserve"> </w:t>
      </w:r>
      <w:r w:rsidR="00A340F5">
        <w:t>13 oktober</w:t>
      </w:r>
      <w:r w:rsidR="00A340F5" w:rsidRPr="00326ECC">
        <w:t xml:space="preserve"> 2008)</w:t>
      </w:r>
      <w:r w:rsidR="00A340F5">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18 augustus 2010 (1).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KB van 18 augustus 2010 (2).</w:t>
      </w:r>
    </w:p>
    <w:p w:rsidR="00724382" w:rsidRPr="00D147A7" w:rsidRDefault="00724382" w:rsidP="000F560E">
      <w:pPr>
        <w:widowControl/>
        <w:suppressAutoHyphens w:val="0"/>
        <w:ind w:left="708" w:firstLine="708"/>
        <w:jc w:val="both"/>
        <w:rPr>
          <w:rFonts w:eastAsiaTheme="minorEastAsia"/>
          <w:b/>
          <w:smallCaps/>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lastRenderedPageBreak/>
        <w:t>5.6.</w:t>
      </w:r>
      <w:r w:rsidRPr="00D147A7">
        <w:rPr>
          <w:rFonts w:eastAsiaTheme="minorEastAsia"/>
          <w:b/>
          <w:kern w:val="0"/>
          <w:lang w:eastAsia="en-US" w:bidi="ar-SA"/>
        </w:rPr>
        <w:t>2.3 Nationale Raad van de Orde der geneesheren</w:t>
      </w:r>
    </w:p>
    <w:p w:rsidR="000F560E" w:rsidRPr="00D147A7" w:rsidRDefault="000F560E" w:rsidP="000F560E">
      <w:pPr>
        <w:widowControl/>
        <w:suppressAutoHyphens w:val="0"/>
        <w:ind w:firstLine="708"/>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‘Bewaring van medische dossiers’, </w:t>
      </w:r>
      <w:r w:rsidRPr="00D147A7">
        <w:rPr>
          <w:rFonts w:eastAsiaTheme="minorEastAsia"/>
          <w:i/>
          <w:kern w:val="0"/>
          <w:lang w:eastAsia="en-US" w:bidi="ar-SA"/>
        </w:rPr>
        <w:t>T.N.R.</w:t>
      </w:r>
      <w:r w:rsidRPr="00D147A7">
        <w:rPr>
          <w:rFonts w:eastAsiaTheme="minorEastAsia"/>
          <w:kern w:val="0"/>
          <w:lang w:eastAsia="en-US" w:bidi="ar-SA"/>
        </w:rPr>
        <w:t>, 33 (1985), p. 60.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‘Bewaring van medische dossiers op microfilm’, </w:t>
      </w:r>
      <w:r w:rsidRPr="00D147A7">
        <w:rPr>
          <w:rFonts w:eastAsiaTheme="minorEastAsia"/>
          <w:i/>
          <w:kern w:val="0"/>
          <w:lang w:eastAsia="en-US" w:bidi="ar-SA"/>
        </w:rPr>
        <w:t>T.N.R.</w:t>
      </w:r>
      <w:r w:rsidRPr="00D147A7">
        <w:rPr>
          <w:rFonts w:eastAsiaTheme="minorEastAsia"/>
          <w:kern w:val="0"/>
          <w:lang w:eastAsia="en-US" w:bidi="ar-SA"/>
        </w:rPr>
        <w:t>, 57 (1992), p. 20.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‘Overname van een huisartsenpraktijk’, </w:t>
      </w:r>
      <w:r w:rsidRPr="00D147A7">
        <w:rPr>
          <w:rFonts w:eastAsiaTheme="minorEastAsia"/>
          <w:i/>
          <w:kern w:val="0"/>
          <w:lang w:eastAsia="en-US" w:bidi="ar-SA"/>
        </w:rPr>
        <w:t>T.N.R.</w:t>
      </w:r>
      <w:r w:rsidRPr="00D147A7">
        <w:rPr>
          <w:rFonts w:eastAsiaTheme="minorEastAsia"/>
          <w:kern w:val="0"/>
          <w:lang w:eastAsia="en-US" w:bidi="ar-SA"/>
        </w:rPr>
        <w:t>, 69 (1995), p. 26.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‘Stockering van medische gegevens door een handelsfirma’, </w:t>
      </w:r>
      <w:r w:rsidRPr="00D147A7">
        <w:rPr>
          <w:rFonts w:eastAsiaTheme="minorEastAsia"/>
          <w:i/>
          <w:kern w:val="0"/>
          <w:lang w:eastAsia="en-US" w:bidi="ar-SA"/>
        </w:rPr>
        <w:t>T.N.R.</w:t>
      </w:r>
      <w:r w:rsidRPr="00D147A7">
        <w:rPr>
          <w:rFonts w:eastAsiaTheme="minorEastAsia"/>
          <w:kern w:val="0"/>
          <w:lang w:eastAsia="en-US" w:bidi="ar-SA"/>
        </w:rPr>
        <w:t>, 84 (1999), p.18.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‘Medisch archief – Verantwoordelijke voor de opslag ervan in het ziekenhuis’, </w:t>
      </w:r>
      <w:r w:rsidRPr="00D147A7">
        <w:rPr>
          <w:rFonts w:eastAsiaTheme="minorEastAsia"/>
          <w:i/>
          <w:kern w:val="0"/>
          <w:lang w:eastAsia="en-US" w:bidi="ar-SA"/>
        </w:rPr>
        <w:t>T.N.R.</w:t>
      </w:r>
      <w:r w:rsidRPr="00D147A7">
        <w:rPr>
          <w:rFonts w:eastAsiaTheme="minorEastAsia"/>
          <w:kern w:val="0"/>
          <w:lang w:eastAsia="en-US" w:bidi="ar-SA"/>
        </w:rPr>
        <w:t>, 86 (1999), p. 15.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‘Bewaartermijnen van radiografieën en elektro-encefalografische tracés’, </w:t>
      </w:r>
      <w:r w:rsidRPr="00D147A7">
        <w:rPr>
          <w:rFonts w:eastAsiaTheme="minorEastAsia"/>
          <w:i/>
          <w:kern w:val="0"/>
          <w:lang w:eastAsia="en-US" w:bidi="ar-SA"/>
        </w:rPr>
        <w:t>T.N.R.</w:t>
      </w:r>
      <w:r w:rsidRPr="00D147A7">
        <w:rPr>
          <w:rFonts w:eastAsiaTheme="minorEastAsia"/>
          <w:kern w:val="0"/>
          <w:lang w:eastAsia="en-US" w:bidi="ar-SA"/>
        </w:rPr>
        <w:t>, 92 (2001), p. 3.</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2.4 Privacycommissie</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nr. 24/96 van 13 september 1996 van de CBPL betreffende de raadpleging van de dos</w:t>
      </w:r>
      <w:r w:rsidR="00A340F5">
        <w:rPr>
          <w:rFonts w:eastAsiaTheme="minorEastAsia"/>
          <w:kern w:val="0"/>
          <w:lang w:eastAsia="en-US" w:bidi="ar-SA"/>
        </w:rPr>
        <w:t>-</w:t>
      </w:r>
      <w:r w:rsidRPr="00D147A7">
        <w:rPr>
          <w:rFonts w:eastAsiaTheme="minorEastAsia"/>
          <w:kern w:val="0"/>
          <w:lang w:eastAsia="en-US" w:bidi="ar-SA"/>
        </w:rPr>
        <w:t>siers van de Vreemdelingenpolitie die in het Rijksarchief zijn neergelegd.</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nr. 21/2005 van 30 november 2005 betreffende het voorstel van amendement op de in</w:t>
      </w:r>
      <w:r w:rsidR="00A340F5">
        <w:rPr>
          <w:rFonts w:eastAsiaTheme="minorEastAsia"/>
          <w:kern w:val="0"/>
          <w:lang w:eastAsia="en-US" w:bidi="ar-SA"/>
        </w:rPr>
        <w:t>-</w:t>
      </w:r>
      <w:r w:rsidRPr="00D147A7">
        <w:rPr>
          <w:rFonts w:eastAsiaTheme="minorEastAsia"/>
          <w:kern w:val="0"/>
          <w:lang w:eastAsia="en-US" w:bidi="ar-SA"/>
        </w:rPr>
        <w:t>ternationale akkoorden van Bonn van 6 juni 1955 teneinde de mededeling mogelijk te maken van een kopie van de archieven van de internationale dienst voor opzoekingen opgericht te Arolsen, alsook de terbeschikkingstelling ervan aan het publiek voor academisch en ander on</w:t>
      </w:r>
      <w:r w:rsidR="00A340F5">
        <w:rPr>
          <w:rFonts w:eastAsiaTheme="minorEastAsia"/>
          <w:kern w:val="0"/>
          <w:lang w:eastAsia="en-US" w:bidi="ar-SA"/>
        </w:rPr>
        <w:t>-</w:t>
      </w:r>
      <w:r w:rsidRPr="00D147A7">
        <w:rPr>
          <w:rFonts w:eastAsiaTheme="minorEastAsia"/>
          <w:kern w:val="0"/>
          <w:lang w:eastAsia="en-US" w:bidi="ar-SA"/>
        </w:rPr>
        <w:t>derzoek.</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nr. 49/2001 van 10 december 2001 van de CBPL betreffende het voorontwerp van ar</w:t>
      </w:r>
      <w:r w:rsidR="00A340F5">
        <w:rPr>
          <w:rFonts w:eastAsiaTheme="minorEastAsia"/>
          <w:kern w:val="0"/>
          <w:lang w:eastAsia="en-US" w:bidi="ar-SA"/>
        </w:rPr>
        <w:t>-</w:t>
      </w:r>
      <w:r w:rsidRPr="00D147A7">
        <w:rPr>
          <w:rFonts w:eastAsiaTheme="minorEastAsia"/>
          <w:kern w:val="0"/>
          <w:lang w:eastAsia="en-US" w:bidi="ar-SA"/>
        </w:rPr>
        <w:t>chiefwet.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Brief van Karel Velle aan Willem Debeuckelaere, opgesteld te Brussel op 22 oktober 2008.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Ontvangstmelding van Patrick Van Wouwe aan Karel Velle, verzonden te Brussel op 27 okto</w:t>
      </w:r>
      <w:r w:rsidR="00A340F5">
        <w:rPr>
          <w:rFonts w:eastAsiaTheme="minorEastAsia"/>
          <w:kern w:val="0"/>
          <w:lang w:eastAsia="en-US" w:bidi="ar-SA"/>
        </w:rPr>
        <w:t>-</w:t>
      </w:r>
      <w:r w:rsidRPr="00D147A7">
        <w:rPr>
          <w:rFonts w:eastAsiaTheme="minorEastAsia"/>
          <w:kern w:val="0"/>
          <w:lang w:eastAsia="en-US" w:bidi="ar-SA"/>
        </w:rPr>
        <w:t xml:space="preserve">ber 2008.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DEKEYSER, H., </w:t>
      </w:r>
      <w:r w:rsidRPr="00D147A7">
        <w:rPr>
          <w:rFonts w:eastAsiaTheme="minorEastAsia"/>
          <w:i/>
          <w:kern w:val="0"/>
          <w:lang w:eastAsia="en-US" w:bidi="ar-SA"/>
        </w:rPr>
        <w:t>Dossier betreffende de bewaring van medische dossiers langer dan 30 jaar voor historisch, statistisch en wetenschappelijk onderzoek – Wet van 8 december 1992 (hierna de “privacywet”)</w:t>
      </w:r>
      <w:r w:rsidRPr="00D147A7">
        <w:rPr>
          <w:rFonts w:eastAsiaTheme="minorEastAsia"/>
          <w:kern w:val="0"/>
          <w:lang w:eastAsia="en-US" w:bidi="ar-SA"/>
        </w:rPr>
        <w:t xml:space="preserve">, Brussel, 20 december 2011, 9p.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2.5 RIZIV</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Protocol, gesloten op 19 april 2001 tussen de representatieve organisaties van de verpleegin</w:t>
      </w:r>
      <w:r w:rsidR="00A340F5">
        <w:rPr>
          <w:rFonts w:eastAsiaTheme="minorEastAsia"/>
          <w:kern w:val="0"/>
          <w:lang w:eastAsia="en-US" w:bidi="ar-SA"/>
        </w:rPr>
        <w:t>-</w:t>
      </w:r>
      <w:r w:rsidRPr="00D147A7">
        <w:rPr>
          <w:rFonts w:eastAsiaTheme="minorEastAsia"/>
          <w:kern w:val="0"/>
          <w:lang w:eastAsia="en-US" w:bidi="ar-SA"/>
        </w:rPr>
        <w:t>richtingen en de verzekeringsinstellingen, houdende de voorwaarden en modaliteiten volgens welke bewijskracht kan worden gegeven tot het bewijs van het tegendeel aan gegevens die worden opgeslagen of bewaard door middel van een elektronische, fotografische, optische of elke andere techniek of medegedeeld op een andere wijze dan op een papieren drager, evenals de voorwaarden en modaliteiten volgens welke deze gegevens worden weergegeven op papie</w:t>
      </w:r>
      <w:r w:rsidR="00A340F5">
        <w:rPr>
          <w:rFonts w:eastAsiaTheme="minorEastAsia"/>
          <w:kern w:val="0"/>
          <w:lang w:eastAsia="en-US" w:bidi="ar-SA"/>
        </w:rPr>
        <w:t>-</w:t>
      </w:r>
      <w:r w:rsidRPr="00D147A7">
        <w:rPr>
          <w:rFonts w:eastAsiaTheme="minorEastAsia"/>
          <w:kern w:val="0"/>
          <w:lang w:eastAsia="en-US" w:bidi="ar-SA"/>
        </w:rPr>
        <w:t>ren drager of op elke andere leesbare drager (</w:t>
      </w:r>
      <w:hyperlink r:id="rId489" w:history="1">
        <w:r w:rsidR="00A340F5" w:rsidRPr="00FD2358">
          <w:rPr>
            <w:rStyle w:val="Hyperlink"/>
            <w:rFonts w:eastAsiaTheme="minorEastAsia"/>
            <w:kern w:val="0"/>
            <w:lang w:eastAsia="en-US" w:bidi="ar-SA"/>
          </w:rPr>
          <w:t>http://www.riziv.be/care/nl/hospitals/pdf/ hospitals019.pdf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2.6 Krantenartikelen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‘Orde der Geneesheren schiet met scherp op militair ziekenhuis’, </w:t>
      </w:r>
      <w:r w:rsidRPr="00A340F5">
        <w:rPr>
          <w:rFonts w:eastAsiaTheme="minorEastAsia"/>
          <w:i/>
          <w:kern w:val="0"/>
          <w:lang w:eastAsia="en-US" w:bidi="ar-SA"/>
        </w:rPr>
        <w:t>De Standaard</w:t>
      </w:r>
      <w:r w:rsidRPr="00D147A7">
        <w:rPr>
          <w:rFonts w:eastAsiaTheme="minorEastAsia"/>
          <w:kern w:val="0"/>
          <w:lang w:eastAsia="en-US" w:bidi="ar-SA"/>
        </w:rPr>
        <w:t>, 9 januari 2008.</w:t>
      </w:r>
    </w:p>
    <w:p w:rsidR="000F560E" w:rsidRPr="00D147A7" w:rsidRDefault="000F560E" w:rsidP="00724382">
      <w:pPr>
        <w:widowControl/>
        <w:suppressAutoHyphens w:val="0"/>
        <w:jc w:val="both"/>
        <w:rPr>
          <w:rFonts w:eastAsiaTheme="minorEastAsia"/>
          <w:kern w:val="0"/>
          <w:lang w:eastAsia="en-US" w:bidi="ar-SA"/>
        </w:rPr>
      </w:pPr>
      <w:r w:rsidRPr="00D147A7">
        <w:rPr>
          <w:rFonts w:eastAsiaTheme="minorEastAsia"/>
          <w:kern w:val="0"/>
          <w:lang w:eastAsia="en-US" w:bidi="ar-SA"/>
        </w:rPr>
        <w:t>MEURISSE, F., ‘OCMW Izegem doet haar 54 revalidatiebedden van de hand. Sint-Jozefskli</w:t>
      </w:r>
      <w:r w:rsidR="00A340F5">
        <w:rPr>
          <w:rFonts w:eastAsiaTheme="minorEastAsia"/>
          <w:kern w:val="0"/>
          <w:lang w:eastAsia="en-US" w:bidi="ar-SA"/>
        </w:rPr>
        <w:t>-</w:t>
      </w:r>
      <w:r w:rsidRPr="00D147A7">
        <w:rPr>
          <w:rFonts w:eastAsiaTheme="minorEastAsia"/>
          <w:kern w:val="0"/>
          <w:lang w:eastAsia="en-US" w:bidi="ar-SA"/>
        </w:rPr>
        <w:t xml:space="preserve">niek neemt Ten Bos over’, </w:t>
      </w:r>
      <w:r w:rsidRPr="00A340F5">
        <w:rPr>
          <w:rFonts w:eastAsiaTheme="minorEastAsia"/>
          <w:i/>
          <w:kern w:val="0"/>
          <w:lang w:eastAsia="en-US" w:bidi="ar-SA"/>
        </w:rPr>
        <w:t>He</w:t>
      </w:r>
      <w:r w:rsidR="00724382" w:rsidRPr="00A340F5">
        <w:rPr>
          <w:rFonts w:eastAsiaTheme="minorEastAsia"/>
          <w:i/>
          <w:kern w:val="0"/>
          <w:lang w:eastAsia="en-US" w:bidi="ar-SA"/>
        </w:rPr>
        <w:t>t Nieuwsblad</w:t>
      </w:r>
      <w:r w:rsidR="00724382" w:rsidRPr="00D147A7">
        <w:rPr>
          <w:rFonts w:eastAsiaTheme="minorEastAsia"/>
          <w:kern w:val="0"/>
          <w:lang w:eastAsia="en-US" w:bidi="ar-SA"/>
        </w:rPr>
        <w:t>, 26 augustus 2011.</w:t>
      </w:r>
    </w:p>
    <w:p w:rsidR="00724382" w:rsidRPr="00D147A7" w:rsidRDefault="00724382" w:rsidP="00724382">
      <w:pPr>
        <w:widowControl/>
        <w:suppressAutoHyphens w:val="0"/>
        <w:jc w:val="both"/>
        <w:rPr>
          <w:rFonts w:eastAsiaTheme="minorEastAsia"/>
          <w:kern w:val="0"/>
          <w:lang w:eastAsia="en-US" w:bidi="ar-SA"/>
        </w:rPr>
      </w:pPr>
    </w:p>
    <w:p w:rsidR="00A340F5" w:rsidRDefault="00A340F5">
      <w:pPr>
        <w:widowControl/>
        <w:suppressAutoHyphens w:val="0"/>
        <w:spacing w:after="200" w:line="276" w:lineRule="auto"/>
        <w:rPr>
          <w:rFonts w:eastAsiaTheme="minorEastAsia"/>
          <w:b/>
          <w:smallCaps/>
          <w:kern w:val="0"/>
          <w:lang w:eastAsia="en-US" w:bidi="ar-SA"/>
        </w:rPr>
      </w:pPr>
      <w:r>
        <w:rPr>
          <w:rFonts w:eastAsiaTheme="minorEastAsia"/>
          <w:b/>
          <w:smallCaps/>
          <w:kern w:val="0"/>
          <w:lang w:eastAsia="en-US" w:bidi="ar-SA"/>
        </w:rPr>
        <w:br w:type="page"/>
      </w: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lastRenderedPageBreak/>
        <w:t>5.6.</w:t>
      </w:r>
      <w:r w:rsidRPr="00D147A7">
        <w:rPr>
          <w:rFonts w:eastAsiaTheme="minorEastAsia"/>
          <w:b/>
          <w:kern w:val="0"/>
          <w:lang w:eastAsia="en-US" w:bidi="ar-SA"/>
        </w:rPr>
        <w:t>2.7 Rechtsleer en literatuur</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‘Archieven Defensie ondergaan facelift’, 25 mei 2012 (</w:t>
      </w:r>
      <w:hyperlink r:id="rId490" w:history="1">
        <w:r w:rsidR="00A340F5" w:rsidRPr="00FD2358">
          <w:rPr>
            <w:rStyle w:val="Hyperlink"/>
            <w:rFonts w:eastAsiaTheme="minorEastAsia"/>
            <w:kern w:val="0"/>
            <w:lang w:eastAsia="en-US" w:bidi="ar-SA"/>
          </w:rPr>
          <w:t>http://www.mil.be/def/news/index. asp?LAN=nl&amp;ID=3358</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‘Een ambitieus project van de afdeling Toezicht werd afgerond: de archiefaudit van Defensie’ (</w:t>
      </w:r>
      <w:hyperlink r:id="rId491" w:history="1">
        <w:r w:rsidRPr="00D147A7">
          <w:rPr>
            <w:rFonts w:eastAsiaTheme="minorEastAsia"/>
            <w:color w:val="0000FF"/>
            <w:kern w:val="0"/>
            <w:u w:val="single"/>
            <w:lang w:eastAsia="en-US" w:bidi="ar-SA"/>
          </w:rPr>
          <w:t>http://arch.arch.be/content/view/1131/249/lang,nl_BE/</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‘Oude archieven’, </w:t>
      </w:r>
      <w:r w:rsidRPr="00D147A7">
        <w:rPr>
          <w:rFonts w:eastAsiaTheme="minorEastAsia"/>
          <w:i/>
          <w:kern w:val="0"/>
          <w:lang w:eastAsia="en-US" w:bidi="ar-SA"/>
        </w:rPr>
        <w:t>N.J.W.</w:t>
      </w:r>
      <w:r w:rsidRPr="00D147A7">
        <w:rPr>
          <w:rFonts w:eastAsiaTheme="minorEastAsia"/>
          <w:kern w:val="0"/>
          <w:lang w:eastAsia="en-US" w:bidi="ar-SA"/>
        </w:rPr>
        <w:t xml:space="preserve">, 229 (2010), p. 656-657.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‘Oude archieven [overbrenging naar Rijksarchief ingekort van 100 naar 30 jaar]’, </w:t>
      </w:r>
      <w:r w:rsidRPr="00D147A7">
        <w:rPr>
          <w:rFonts w:eastAsiaTheme="minorEastAsia"/>
          <w:i/>
          <w:kern w:val="0"/>
          <w:lang w:eastAsia="en-US" w:bidi="ar-SA"/>
        </w:rPr>
        <w:t>Juristen</w:t>
      </w:r>
      <w:r w:rsidR="00A340F5">
        <w:rPr>
          <w:rFonts w:eastAsiaTheme="minorEastAsia"/>
          <w:i/>
          <w:kern w:val="0"/>
          <w:lang w:eastAsia="en-US" w:bidi="ar-SA"/>
        </w:rPr>
        <w:t>-</w:t>
      </w:r>
      <w:r w:rsidRPr="00D147A7">
        <w:rPr>
          <w:rFonts w:eastAsiaTheme="minorEastAsia"/>
          <w:i/>
          <w:kern w:val="0"/>
          <w:lang w:eastAsia="en-US" w:bidi="ar-SA"/>
        </w:rPr>
        <w:t>krant</w:t>
      </w:r>
      <w:r w:rsidRPr="00D147A7">
        <w:rPr>
          <w:rFonts w:eastAsiaTheme="minorEastAsia"/>
          <w:kern w:val="0"/>
          <w:lang w:eastAsia="en-US" w:bidi="ar-SA"/>
        </w:rPr>
        <w:t xml:space="preserve">, 215 (2010), p. 7.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‘Toezicht en vernietiging archieven’, </w:t>
      </w:r>
      <w:r w:rsidRPr="00D147A7">
        <w:rPr>
          <w:rFonts w:eastAsiaTheme="minorEastAsia"/>
          <w:i/>
          <w:kern w:val="0"/>
          <w:lang w:eastAsia="en-US" w:bidi="ar-SA"/>
        </w:rPr>
        <w:t>N.J.W.</w:t>
      </w:r>
      <w:r w:rsidRPr="00D147A7">
        <w:rPr>
          <w:rFonts w:eastAsiaTheme="minorEastAsia"/>
          <w:kern w:val="0"/>
          <w:lang w:eastAsia="en-US" w:bidi="ar-SA"/>
        </w:rPr>
        <w:t>, 229 (2010), p. 655-656.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AERTS, E., </w:t>
      </w:r>
      <w:r w:rsidRPr="00D147A7">
        <w:rPr>
          <w:rFonts w:eastAsiaTheme="minorEastAsia"/>
          <w:i/>
          <w:kern w:val="0"/>
          <w:lang w:eastAsia="en-US" w:bidi="ar-SA"/>
        </w:rPr>
        <w:t>Archiefselectie vanuit de statistiek: de steekproef in de archivistiek</w:t>
      </w:r>
      <w:r w:rsidRPr="00D147A7">
        <w:rPr>
          <w:rFonts w:eastAsiaTheme="minorEastAsia"/>
          <w:kern w:val="0"/>
          <w:lang w:eastAsia="en-US" w:bidi="ar-SA"/>
        </w:rPr>
        <w:t>, Miscellanea Archivistica Manuale, 28, Brussel, Algemeen Rijksarchief en Rijksarchief in de Provinciën, 1998, 49p.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BALTHAZAR, T., ‘De potentiële impact van de Patiëntenrechtenwet op procedures inzake aansprakelijkheid van artsen en ziekenhuizen’, Vlaamse Conferentie der Balie van Gent (red.), </w:t>
      </w:r>
      <w:r w:rsidRPr="00D147A7">
        <w:rPr>
          <w:rFonts w:eastAsiaTheme="minorEastAsia"/>
          <w:i/>
          <w:kern w:val="0"/>
          <w:lang w:eastAsia="en-US" w:bidi="ar-SA"/>
        </w:rPr>
        <w:t>Aansprakelijkheidsrecht</w:t>
      </w:r>
      <w:r w:rsidRPr="00D147A7">
        <w:rPr>
          <w:rFonts w:eastAsiaTheme="minorEastAsia"/>
          <w:kern w:val="0"/>
          <w:lang w:eastAsia="en-US" w:bidi="ar-SA"/>
        </w:rPr>
        <w:t>, Antwerpen-Apeldoorn, Maklu, 2004, p. 25-49.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BOONE, I., ‘Verlies van een kans:  voorwaarden voor recht op vergoeding en begroting van de schade’, </w:t>
      </w:r>
      <w:r w:rsidRPr="00D147A7">
        <w:rPr>
          <w:rFonts w:eastAsiaTheme="minorEastAsia"/>
          <w:i/>
          <w:kern w:val="0"/>
          <w:lang w:eastAsia="en-US" w:bidi="ar-SA"/>
        </w:rPr>
        <w:t>N.J.W.</w:t>
      </w:r>
      <w:r w:rsidRPr="00D147A7">
        <w:rPr>
          <w:rFonts w:eastAsiaTheme="minorEastAsia"/>
          <w:kern w:val="0"/>
          <w:lang w:eastAsia="en-US" w:bidi="ar-SA"/>
        </w:rPr>
        <w:t>, 229 (2010), p. 661.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en-US" w:eastAsia="en-US" w:bidi="ar-SA"/>
        </w:rPr>
        <w:t xml:space="preserve">BOUDREZ, F.; DEKEYSER, H.; DUMORTIER, J.; </w:t>
      </w:r>
      <w:r w:rsidRPr="00D147A7">
        <w:rPr>
          <w:rFonts w:eastAsiaTheme="minorEastAsia"/>
          <w:i/>
          <w:kern w:val="0"/>
          <w:lang w:val="en-US" w:eastAsia="en-US" w:bidi="ar-SA"/>
        </w:rPr>
        <w:t>Digital Archiving: the new challenge?</w:t>
      </w:r>
      <w:r w:rsidRPr="00D147A7">
        <w:rPr>
          <w:rFonts w:eastAsiaTheme="minorEastAsia"/>
          <w:kern w:val="0"/>
          <w:lang w:val="en-US" w:eastAsia="en-US" w:bidi="ar-SA"/>
        </w:rPr>
        <w:t xml:space="preserve">, Mont Saint Guibert, IRIS, 2005, 133p. </w:t>
      </w:r>
      <w:r w:rsidRPr="00D147A7">
        <w:rPr>
          <w:rFonts w:eastAsiaTheme="minorEastAsia"/>
          <w:kern w:val="0"/>
          <w:lang w:eastAsia="en-US" w:bidi="ar-SA"/>
        </w:rPr>
        <w:t>(</w:t>
      </w:r>
      <w:hyperlink r:id="rId492" w:history="1">
        <w:r w:rsidR="00724382" w:rsidRPr="00D147A7">
          <w:rPr>
            <w:rStyle w:val="Hyperlink"/>
            <w:rFonts w:eastAsiaTheme="minorEastAsia"/>
            <w:kern w:val="0"/>
            <w:lang w:eastAsia="en-US" w:bidi="ar-SA"/>
          </w:rPr>
          <w:t>http://www.edavid.be/docs/digitalarchiving_manual. 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BOUDREZ, F.; DROSSENS, P.; Substitutie: magda?, Antwerpen, 2010, 8p. (</w:t>
      </w:r>
      <w:hyperlink w:history="1">
        <w:r w:rsidR="00724382" w:rsidRPr="00D147A7">
          <w:rPr>
            <w:rStyle w:val="Hyperlink"/>
            <w:rFonts w:eastAsiaTheme="minorEastAsia"/>
            <w:kern w:val="0"/>
            <w:lang w:eastAsia="en-US" w:bidi="ar-SA"/>
          </w:rPr>
          <w:t>http://www. edavid.be/docs/Substitutie_MagDa.pdf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BOULANGER, M.H.; CALLENS, S.; BRILLON, S.; ‘La protection des données à caractère personnel relatives à la santé et la loi du 8 décembre 1992 telle que modifiée par la loi du 11 décembre 1998 et complétée par l’arrêté royal du 13 février 2001’, </w:t>
      </w:r>
      <w:r w:rsidRPr="00D147A7">
        <w:rPr>
          <w:rFonts w:eastAsiaTheme="minorEastAsia"/>
          <w:i/>
          <w:kern w:val="0"/>
          <w:lang w:val="fr-BE" w:eastAsia="en-US" w:bidi="ar-SA"/>
        </w:rPr>
        <w:t>T.Gez.</w:t>
      </w:r>
      <w:r w:rsidRPr="00D147A7">
        <w:rPr>
          <w:rFonts w:eastAsiaTheme="minorEastAsia"/>
          <w:kern w:val="0"/>
          <w:lang w:val="fr-BE" w:eastAsia="en-US" w:bidi="ar-SA"/>
        </w:rPr>
        <w:t>, 2000-2001, p. 326-345.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BRILLON, S.; CALLENS, S.; ‘La conservation du dossier patient’, </w:t>
      </w:r>
      <w:r w:rsidRPr="00D147A7">
        <w:rPr>
          <w:rFonts w:eastAsiaTheme="minorEastAsia"/>
          <w:i/>
          <w:kern w:val="0"/>
          <w:lang w:val="fr-BE" w:eastAsia="en-US" w:bidi="ar-SA"/>
        </w:rPr>
        <w:t>T.Gez.</w:t>
      </w:r>
      <w:r w:rsidRPr="00D147A7">
        <w:rPr>
          <w:rFonts w:eastAsiaTheme="minorEastAsia"/>
          <w:kern w:val="0"/>
          <w:lang w:val="fr-BE" w:eastAsia="en-US" w:bidi="ar-SA"/>
        </w:rPr>
        <w:t>, 2001-2002, 4, p. 176-182.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CALLENS, S., ‘[Medische aansprakelijkheid: verlies van een kans en aansprakelijkheid van een ziekenhuis voor fouten van artsen]’, </w:t>
      </w:r>
      <w:r w:rsidRPr="00D147A7">
        <w:rPr>
          <w:rFonts w:eastAsiaTheme="minorEastAsia"/>
          <w:i/>
          <w:kern w:val="0"/>
          <w:lang w:eastAsia="en-US" w:bidi="ar-SA"/>
        </w:rPr>
        <w:t>T.Gez.</w:t>
      </w:r>
      <w:r w:rsidRPr="00D147A7">
        <w:rPr>
          <w:rFonts w:eastAsiaTheme="minorEastAsia"/>
          <w:kern w:val="0"/>
          <w:lang w:eastAsia="en-US" w:bidi="ar-SA"/>
        </w:rPr>
        <w:t>, 2008-2009, 1, p. 54-55.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CALLENS, S.; GOOSSENS, M.; CIERKENS, K.; ‘Omgaan met gegevens in de gezond</w:t>
      </w:r>
      <w:r w:rsidR="00A340F5">
        <w:rPr>
          <w:rFonts w:eastAsiaTheme="minorEastAsia"/>
          <w:kern w:val="0"/>
          <w:lang w:eastAsia="en-US" w:bidi="ar-SA"/>
        </w:rPr>
        <w:t>-</w:t>
      </w:r>
      <w:r w:rsidRPr="00D147A7">
        <w:rPr>
          <w:rFonts w:eastAsiaTheme="minorEastAsia"/>
          <w:kern w:val="0"/>
          <w:lang w:eastAsia="en-US" w:bidi="ar-SA"/>
        </w:rPr>
        <w:t xml:space="preserve">heidszorg’, CALLENS, S.; PEERS, J. (reds.); </w:t>
      </w:r>
      <w:r w:rsidRPr="00D147A7">
        <w:rPr>
          <w:rFonts w:eastAsiaTheme="minorEastAsia"/>
          <w:i/>
          <w:kern w:val="0"/>
          <w:lang w:eastAsia="en-US" w:bidi="ar-SA"/>
        </w:rPr>
        <w:t>Organisatie van de gezondheidszorg</w:t>
      </w:r>
      <w:r w:rsidRPr="00D147A7">
        <w:rPr>
          <w:rFonts w:eastAsiaTheme="minorEastAsia"/>
          <w:kern w:val="0"/>
          <w:lang w:eastAsia="en-US" w:bidi="ar-SA"/>
        </w:rPr>
        <w:t>, Antwer</w:t>
      </w:r>
      <w:r w:rsidR="00A340F5">
        <w:rPr>
          <w:rFonts w:eastAsiaTheme="minorEastAsia"/>
          <w:kern w:val="0"/>
          <w:lang w:eastAsia="en-US" w:bidi="ar-SA"/>
        </w:rPr>
        <w:t>-</w:t>
      </w:r>
      <w:r w:rsidRPr="00D147A7">
        <w:rPr>
          <w:rFonts w:eastAsiaTheme="minorEastAsia"/>
          <w:kern w:val="0"/>
          <w:lang w:eastAsia="en-US" w:bidi="ar-SA"/>
        </w:rPr>
        <w:t>pen-Oxford, Intersentia, 2008², p. 289-375 (nrs. 721-941).</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CORNELIS, L.; SIMONT, L.; ‘Bewijsrecht en Technologische Evolutie: enkele overweging</w:t>
      </w:r>
      <w:r w:rsidR="00A340F5">
        <w:rPr>
          <w:rFonts w:eastAsiaTheme="minorEastAsia"/>
          <w:kern w:val="0"/>
          <w:lang w:eastAsia="en-US" w:bidi="ar-SA"/>
        </w:rPr>
        <w:t>-</w:t>
      </w:r>
      <w:r w:rsidRPr="00D147A7">
        <w:rPr>
          <w:rFonts w:eastAsiaTheme="minorEastAsia"/>
          <w:kern w:val="0"/>
          <w:lang w:eastAsia="en-US" w:bidi="ar-SA"/>
        </w:rPr>
        <w:t xml:space="preserve">en’, DE VROEDE, P. (red.), </w:t>
      </w:r>
      <w:r w:rsidRPr="00D147A7">
        <w:rPr>
          <w:rFonts w:eastAsiaTheme="minorEastAsia"/>
          <w:i/>
          <w:kern w:val="0"/>
          <w:lang w:eastAsia="en-US" w:bidi="ar-SA"/>
        </w:rPr>
        <w:t>Technologie en Recht</w:t>
      </w:r>
      <w:r w:rsidRPr="00D147A7">
        <w:rPr>
          <w:rFonts w:eastAsiaTheme="minorEastAsia"/>
          <w:kern w:val="0"/>
          <w:lang w:eastAsia="en-US" w:bidi="ar-SA"/>
        </w:rPr>
        <w:t>, Antwerpen, Kluwer, 1987, p. 135-176.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DEVOLDER, K.; LELOUP, G.; </w:t>
      </w:r>
      <w:r w:rsidRPr="00D147A7">
        <w:rPr>
          <w:rFonts w:eastAsiaTheme="minorEastAsia"/>
          <w:i/>
          <w:kern w:val="0"/>
          <w:lang w:eastAsia="en-US" w:bidi="ar-SA"/>
        </w:rPr>
        <w:t>Archiefoverbrenging. Stappenplan voor de overbrenging van niet-digitaal overheidsarchief naar het Rijksarchief</w:t>
      </w:r>
      <w:r w:rsidRPr="00D147A7">
        <w:rPr>
          <w:rFonts w:eastAsiaTheme="minorEastAsia"/>
          <w:kern w:val="0"/>
          <w:lang w:eastAsia="en-US" w:bidi="ar-SA"/>
        </w:rPr>
        <w:t>, Brochures: aanbevelingen en advies, 8, Brussel, Algemeen Rijksarchief en Rijksarchief in de Provinciën – Afdeling Toezicht, advisering en coördinatie van verwerving en selectie, s.d., 18p. (</w:t>
      </w:r>
      <w:hyperlink r:id="rId493" w:history="1">
        <w:r w:rsidRPr="00D147A7">
          <w:rPr>
            <w:rFonts w:eastAsiaTheme="minorEastAsia"/>
            <w:color w:val="0000FF"/>
            <w:kern w:val="0"/>
            <w:u w:val="single"/>
            <w:lang w:eastAsia="en-US" w:bidi="ar-SA"/>
          </w:rPr>
          <w:t>arch.arch.be/images/stories/</w:t>
        </w:r>
        <w:r w:rsidR="00724382" w:rsidRPr="00D147A7">
          <w:rPr>
            <w:rFonts w:eastAsiaTheme="minorEastAsia"/>
            <w:color w:val="0000FF"/>
            <w:kern w:val="0"/>
            <w:u w:val="single"/>
            <w:lang w:eastAsia="en-US" w:bidi="ar-SA"/>
          </w:rPr>
          <w:t xml:space="preserve"> </w:t>
        </w:r>
        <w:r w:rsidRPr="00D147A7">
          <w:rPr>
            <w:rFonts w:eastAsiaTheme="minorEastAsia"/>
            <w:color w:val="0000FF"/>
            <w:kern w:val="0"/>
            <w:u w:val="single"/>
            <w:lang w:eastAsia="en-US" w:bidi="ar-SA"/>
          </w:rPr>
          <w:t>brochure_surveillance/archiefoverbrenging.pdf</w:t>
        </w:r>
      </w:hyperlink>
      <w:r w:rsidRPr="00D147A7">
        <w:rPr>
          <w:rFonts w:eastAsiaTheme="minorEastAsia"/>
          <w:kern w:val="0"/>
          <w:lang w:eastAsia="en-US" w:bidi="ar-SA"/>
        </w:rPr>
        <w:t>,</w:t>
      </w:r>
      <w:r w:rsidRPr="00D147A7">
        <w:rPr>
          <w:rFonts w:eastAsiaTheme="minorEastAsia"/>
          <w:kern w:val="0"/>
          <w:sz w:val="22"/>
          <w:szCs w:val="22"/>
          <w:lang w:eastAsia="en-US" w:bidi="ar-SA"/>
        </w:rPr>
        <w:t xml:space="preserve"> </w:t>
      </w:r>
      <w:r w:rsidRPr="00D147A7">
        <w:rPr>
          <w:rFonts w:eastAsiaTheme="minorEastAsia"/>
          <w:kern w:val="0"/>
          <w:lang w:eastAsia="en-US" w:bidi="ar-SA"/>
        </w:rPr>
        <w:t>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DIJKHOFFZ, W., </w:t>
      </w:r>
      <w:r w:rsidRPr="00D147A7">
        <w:rPr>
          <w:rFonts w:eastAsiaTheme="minorEastAsia"/>
          <w:i/>
          <w:kern w:val="0"/>
          <w:lang w:eastAsia="en-US" w:bidi="ar-SA"/>
        </w:rPr>
        <w:t>‘Federale ombudsdienst ‘Rechten van de patiënt’’, Nederlandstalige om</w:t>
      </w:r>
      <w:r w:rsidR="00A340F5">
        <w:rPr>
          <w:rFonts w:eastAsiaTheme="minorEastAsia"/>
          <w:i/>
          <w:kern w:val="0"/>
          <w:lang w:eastAsia="en-US" w:bidi="ar-SA"/>
        </w:rPr>
        <w:t>-</w:t>
      </w:r>
      <w:r w:rsidRPr="00D147A7">
        <w:rPr>
          <w:rFonts w:eastAsiaTheme="minorEastAsia"/>
          <w:i/>
          <w:kern w:val="0"/>
          <w:lang w:eastAsia="en-US" w:bidi="ar-SA"/>
        </w:rPr>
        <w:t>budspersoon, Jaarverslag 2004</w:t>
      </w:r>
      <w:r w:rsidRPr="00D147A7">
        <w:rPr>
          <w:rFonts w:eastAsiaTheme="minorEastAsia"/>
          <w:kern w:val="0"/>
          <w:lang w:eastAsia="en-US" w:bidi="ar-SA"/>
        </w:rPr>
        <w:t>, Brussel, Federale overheidsdienst Volksgezondheid, Veiligheid van de voedselketen en Leefmilieu, 2005, 143p.  (</w:t>
      </w:r>
      <w:hyperlink r:id="rId494" w:history="1">
        <w:r w:rsidR="00724382" w:rsidRPr="00D147A7">
          <w:rPr>
            <w:rStyle w:val="Hyperlink"/>
            <w:rFonts w:eastAsiaTheme="minorEastAsia"/>
            <w:kern w:val="0"/>
            <w:lang w:eastAsia="en-US" w:bidi="ar-SA"/>
          </w:rPr>
          <w:t>http://www.health.belgium.be/ filestore/9866465/wdijkh2004_9866465_nl.pdf</w:t>
        </w:r>
      </w:hyperlink>
      <w:r w:rsidRPr="00D147A7">
        <w:rPr>
          <w:rFonts w:eastAsiaTheme="minorEastAsia"/>
          <w:kern w:val="0"/>
          <w:lang w:eastAsia="en-US" w:bidi="ar-SA"/>
        </w:rPr>
        <w:t>,</w:t>
      </w:r>
      <w:r w:rsidRPr="00D147A7">
        <w:rPr>
          <w:rFonts w:eastAsiaTheme="minorEastAsia"/>
          <w:color w:val="0000FF"/>
          <w:kern w:val="0"/>
          <w:lang w:eastAsia="en-US" w:bidi="ar-SA"/>
        </w:rPr>
        <w:t xml:space="preserve"> </w:t>
      </w:r>
      <w:r w:rsidRPr="00D147A7">
        <w:rPr>
          <w:rFonts w:eastAsiaTheme="minorEastAsia"/>
          <w:kern w:val="0"/>
          <w:lang w:eastAsia="en-US" w:bidi="ar-SA"/>
        </w:rPr>
        <w:t>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FABER, V., </w:t>
      </w:r>
      <w:r w:rsidRPr="00D147A7">
        <w:rPr>
          <w:rFonts w:eastAsiaTheme="minorEastAsia"/>
          <w:i/>
          <w:kern w:val="0"/>
          <w:lang w:val="fr-BE" w:eastAsia="en-US" w:bidi="ar-SA"/>
        </w:rPr>
        <w:t>Xénophon à la rencontre d’Hippocrate. Une étude de l’intérêt historique des dossiers médicaux estudiants à la lumière des documents conservés par la Vrije Universiteit Brussel</w:t>
      </w:r>
      <w:r w:rsidRPr="00D147A7">
        <w:rPr>
          <w:rFonts w:eastAsiaTheme="minorEastAsia"/>
          <w:kern w:val="0"/>
          <w:lang w:val="fr-BE" w:eastAsia="en-US" w:bidi="ar-SA"/>
        </w:rPr>
        <w:t xml:space="preserve">, onuitgeg. licentiaatsverhandeling, Gespecialiseerde studies van archivistiek en hedendaags documentbeheer, Vrije Universiteit Brussel, promotor prof. dr. </w:t>
      </w:r>
      <w:r w:rsidRPr="00D147A7">
        <w:rPr>
          <w:rFonts w:eastAsiaTheme="minorEastAsia"/>
          <w:kern w:val="0"/>
          <w:lang w:eastAsia="en-US" w:bidi="ar-SA"/>
        </w:rPr>
        <w:t>Frank Scheelings, academiejaar 2001-2002, 185p.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GRYSON, S.; VERHAEGEN, M.N. (m.m.v. V. DEBREYNE en G. SCHMITZ); </w:t>
      </w:r>
      <w:r w:rsidRPr="00D147A7">
        <w:rPr>
          <w:rFonts w:eastAsiaTheme="minorEastAsia"/>
          <w:i/>
          <w:kern w:val="0"/>
          <w:lang w:eastAsia="en-US" w:bidi="ar-SA"/>
        </w:rPr>
        <w:t>‘Federale ombudsdienst ‘Rechten van de patiënt’’, Jaarverslag 2007</w:t>
      </w:r>
      <w:r w:rsidRPr="00D147A7">
        <w:rPr>
          <w:rFonts w:eastAsiaTheme="minorEastAsia"/>
          <w:kern w:val="0"/>
          <w:lang w:eastAsia="en-US" w:bidi="ar-SA"/>
        </w:rPr>
        <w:t>, Brussel, Federale overheidsdienst Volksgezondheid, Veiligheid van de voedselketen en Leefmilieu, 2008, 87p. (</w:t>
      </w:r>
      <w:hyperlink w:history="1">
        <w:r w:rsidR="00A340F5" w:rsidRPr="00FD2358">
          <w:rPr>
            <w:rStyle w:val="Hyperlink"/>
            <w:rFonts w:eastAsiaTheme="minorEastAsia"/>
            <w:kern w:val="0"/>
            <w:lang w:eastAsia="en-US" w:bidi="ar-SA"/>
          </w:rPr>
          <w:t>http://www. health.belgium.be/filestore/14120503/JV%25202007%2520130608_14120503_nl.pdf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HEYLEN, R., ‘Het medisch dossier en de Wet Patiëntenrechten: vele verduidelijkingen, maar toch enkele nieuwe problemen’, </w:t>
      </w:r>
      <w:r w:rsidRPr="00D147A7">
        <w:rPr>
          <w:rFonts w:eastAsiaTheme="minorEastAsia"/>
          <w:i/>
          <w:kern w:val="0"/>
          <w:lang w:eastAsia="en-US" w:bidi="ar-SA"/>
        </w:rPr>
        <w:t>T.Gez.</w:t>
      </w:r>
      <w:r w:rsidRPr="00D147A7">
        <w:rPr>
          <w:rFonts w:eastAsiaTheme="minorEastAsia"/>
          <w:kern w:val="0"/>
          <w:lang w:eastAsia="en-US" w:bidi="ar-SA"/>
        </w:rPr>
        <w:t>, 2003-2004, 2, p. 94-103.</w:t>
      </w:r>
    </w:p>
    <w:p w:rsidR="00AD292F" w:rsidRDefault="00AD292F" w:rsidP="000F560E">
      <w:pPr>
        <w:widowControl/>
        <w:suppressAutoHyphens w:val="0"/>
        <w:jc w:val="both"/>
        <w:rPr>
          <w:rFonts w:eastAsiaTheme="minorEastAsia"/>
          <w:kern w:val="0"/>
          <w:lang w:eastAsia="en-US" w:bidi="ar-SA"/>
        </w:rPr>
      </w:pPr>
      <w:r w:rsidRPr="00874722">
        <w:t>KAPPELHOF, T.</w:t>
      </w:r>
      <w:r>
        <w:t>,</w:t>
      </w:r>
      <w:r w:rsidRPr="00874722">
        <w:t xml:space="preserve"> </w:t>
      </w:r>
      <w:r>
        <w:t>‘R</w:t>
      </w:r>
      <w:r w:rsidRPr="00874722">
        <w:t xml:space="preserve">ecensie van: BOECKX, B.; VANDECRUYS, G. (reds.); </w:t>
      </w:r>
      <w:r w:rsidRPr="00874722">
        <w:rPr>
          <w:i/>
        </w:rPr>
        <w:t>Welkom in Geel. Een geschiedenis van de gezinsverpleging</w:t>
      </w:r>
      <w:r w:rsidRPr="00874722">
        <w:t>, Antwerpen, EPO, 2010, 308p.</w:t>
      </w:r>
      <w:r>
        <w:t>’</w:t>
      </w:r>
      <w:r w:rsidRPr="00874722">
        <w:t xml:space="preserve">, </w:t>
      </w:r>
      <w:r w:rsidRPr="00874722">
        <w:rPr>
          <w:i/>
        </w:rPr>
        <w:t>TSEG</w:t>
      </w:r>
      <w:r w:rsidRPr="00874722">
        <w:t xml:space="preserve">,  7/3 (2010), </w:t>
      </w:r>
      <w:r>
        <w:t>p.</w:t>
      </w:r>
      <w:r w:rsidRPr="00874722">
        <w:t xml:space="preserve"> 97-99 (</w:t>
      </w:r>
      <w:hyperlink r:id="rId495" w:history="1">
        <w:r w:rsidRPr="000805E8">
          <w:rPr>
            <w:rStyle w:val="Hyperlink"/>
          </w:rPr>
          <w:t>http://www.tseg.nl/2010-3/recensies.pdf</w:t>
        </w:r>
      </w:hyperlink>
      <w:r w:rsidRPr="00874722">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LELOUP, G., </w:t>
      </w:r>
      <w:r w:rsidRPr="00D147A7">
        <w:rPr>
          <w:rFonts w:eastAsiaTheme="minorEastAsia"/>
          <w:i/>
          <w:kern w:val="0"/>
          <w:lang w:eastAsia="en-US" w:bidi="ar-SA"/>
        </w:rPr>
        <w:t>Archiefselectie. Stappenplan voor de opmaak van een archiefselectielijst</w:t>
      </w:r>
      <w:r w:rsidRPr="00D147A7">
        <w:rPr>
          <w:rFonts w:eastAsiaTheme="minorEastAsia"/>
          <w:kern w:val="0"/>
          <w:lang w:eastAsia="en-US" w:bidi="ar-SA"/>
        </w:rPr>
        <w:t>, Bro</w:t>
      </w:r>
      <w:r w:rsidR="00A340F5">
        <w:rPr>
          <w:rFonts w:eastAsiaTheme="minorEastAsia"/>
          <w:kern w:val="0"/>
          <w:lang w:eastAsia="en-US" w:bidi="ar-SA"/>
        </w:rPr>
        <w:t>-</w:t>
      </w:r>
      <w:r w:rsidRPr="00D147A7">
        <w:rPr>
          <w:rFonts w:eastAsiaTheme="minorEastAsia"/>
          <w:kern w:val="0"/>
          <w:lang w:eastAsia="en-US" w:bidi="ar-SA"/>
        </w:rPr>
        <w:t>chures: aanbevelingen en advies, 11, Brussel, Algemeen Rijksarchief en Rijksarchief in de Provinciën – Afdeling Toezicht, advisering en coördinatie van verwerving en selectie, s.d., 18p. (</w:t>
      </w:r>
      <w:hyperlink r:id="rId496" w:history="1">
        <w:r w:rsidRPr="00D147A7">
          <w:rPr>
            <w:rFonts w:eastAsiaTheme="minorEastAsia"/>
            <w:color w:val="0000FF"/>
            <w:kern w:val="0"/>
            <w:u w:val="single"/>
            <w:lang w:eastAsia="en-US" w:bidi="ar-SA"/>
          </w:rPr>
          <w:t>arch.arch.be/images/stories/brochure_surveillance/archiefselectie.pdf</w:t>
        </w:r>
      </w:hyperlink>
      <w:r w:rsidRPr="00D147A7">
        <w:rPr>
          <w:rFonts w:eastAsiaTheme="minorEastAsia"/>
          <w:kern w:val="0"/>
          <w:lang w:eastAsia="en-US" w:bidi="ar-SA"/>
        </w:rPr>
        <w:t>, laatst geraad</w:t>
      </w:r>
      <w:r w:rsidR="004575A6">
        <w:rPr>
          <w:rFonts w:eastAsiaTheme="minorEastAsia"/>
          <w:kern w:val="0"/>
          <w:lang w:eastAsia="en-US" w:bidi="ar-SA"/>
        </w:rPr>
        <w:t>-</w:t>
      </w:r>
      <w:r w:rsidRPr="00D147A7">
        <w:rPr>
          <w:rFonts w:eastAsiaTheme="minorEastAsia"/>
          <w:kern w:val="0"/>
          <w:lang w:eastAsia="en-US" w:bidi="ar-SA"/>
        </w:rPr>
        <w:t>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MEIRESONNE, A., ‘Records management op de Campus Brugmann: het patiëntendossier’, BAERTEN, J.; SCHEELINGS, F.; VERHELST, J. (reds.); </w:t>
      </w:r>
      <w:r w:rsidRPr="00D147A7">
        <w:rPr>
          <w:rFonts w:eastAsiaTheme="minorEastAsia"/>
          <w:i/>
          <w:iCs/>
          <w:kern w:val="0"/>
          <w:lang w:eastAsia="en-US" w:bidi="ar-SA"/>
        </w:rPr>
        <w:t>Door de archivistiek gestrikt. Ar</w:t>
      </w:r>
      <w:r w:rsidR="004575A6">
        <w:rPr>
          <w:rFonts w:eastAsiaTheme="minorEastAsia"/>
          <w:i/>
          <w:iCs/>
          <w:kern w:val="0"/>
          <w:lang w:eastAsia="en-US" w:bidi="ar-SA"/>
        </w:rPr>
        <w:t>-</w:t>
      </w:r>
      <w:r w:rsidRPr="00D147A7">
        <w:rPr>
          <w:rFonts w:eastAsiaTheme="minorEastAsia"/>
          <w:i/>
          <w:iCs/>
          <w:kern w:val="0"/>
          <w:lang w:eastAsia="en-US" w:bidi="ar-SA"/>
        </w:rPr>
        <w:t>chiefinitiatie(f) 4. Liber amicorum prof. dr. Juul Verhelst</w:t>
      </w:r>
      <w:r w:rsidRPr="00D147A7">
        <w:rPr>
          <w:rFonts w:eastAsiaTheme="minorEastAsia"/>
          <w:kern w:val="0"/>
          <w:lang w:eastAsia="en-US" w:bidi="ar-SA"/>
        </w:rPr>
        <w:t>, Brussel, VUBPress, 2000, p. 171-180.</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MOUGENOT, B., </w:t>
      </w:r>
      <w:r w:rsidRPr="00D147A7">
        <w:rPr>
          <w:rFonts w:eastAsiaTheme="minorEastAsia"/>
          <w:i/>
          <w:kern w:val="0"/>
          <w:lang w:val="fr-BE" w:eastAsia="en-US" w:bidi="ar-SA"/>
        </w:rPr>
        <w:t>Droit des obligations. La preuve</w:t>
      </w:r>
      <w:r w:rsidRPr="00D147A7">
        <w:rPr>
          <w:rFonts w:eastAsiaTheme="minorEastAsia"/>
          <w:kern w:val="0"/>
          <w:lang w:val="fr-BE" w:eastAsia="en-US" w:bidi="ar-SA"/>
        </w:rPr>
        <w:t>, Brussel, Larcier, 2002, 421p.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NUYTTENS, M., </w:t>
      </w:r>
      <w:r w:rsidRPr="00D147A7">
        <w:rPr>
          <w:rFonts w:eastAsiaTheme="minorEastAsia"/>
          <w:i/>
          <w:kern w:val="0"/>
          <w:lang w:eastAsia="en-US" w:bidi="ar-SA"/>
        </w:rPr>
        <w:t>Inspectieverslag betreffende het archief van openbare ziekenhuizen in de provincie West-Vlaanderen: met voorstel van richtlijnen voor het beheer en de selectie van ziekenhuisarchieven</w:t>
      </w:r>
      <w:r w:rsidRPr="00D147A7">
        <w:rPr>
          <w:rFonts w:eastAsiaTheme="minorEastAsia"/>
          <w:kern w:val="0"/>
          <w:lang w:eastAsia="en-US" w:bidi="ar-SA"/>
        </w:rPr>
        <w:t>, Miscellania archivistica. Studia 165, Brussel, Algemeen rijksarchief, 2005, 77p.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NUYTTENS, M., ‘Het Archiefbeheer in de West-Vlaamse Openbare Ziekenhuizen: enkele vaststellingen en voorstellen in verband met selectie’, HONNORE, L. (red.), </w:t>
      </w:r>
      <w:r w:rsidRPr="00D147A7">
        <w:rPr>
          <w:rFonts w:eastAsiaTheme="minorEastAsia"/>
          <w:i/>
          <w:kern w:val="0"/>
          <w:lang w:eastAsia="en-US" w:bidi="ar-SA"/>
        </w:rPr>
        <w:t>Handelingen van het Internationaal colloquium: Het geheugen van onze gezondheid, het medisch archief en zijn hulpbronnen, Brussel, 15-17 maart 2007</w:t>
      </w:r>
      <w:r w:rsidRPr="00D147A7">
        <w:rPr>
          <w:rFonts w:eastAsiaTheme="minorEastAsia"/>
          <w:kern w:val="0"/>
          <w:lang w:eastAsia="en-US" w:bidi="ar-SA"/>
        </w:rPr>
        <w:t>, A.B.B., 86 (extranummer), Brussel, 2008, p. 67-78.</w:t>
      </w:r>
    </w:p>
    <w:p w:rsidR="000F560E" w:rsidRPr="00DE6765" w:rsidRDefault="000F560E" w:rsidP="000F560E">
      <w:pPr>
        <w:widowControl/>
        <w:suppressAutoHyphens w:val="0"/>
        <w:jc w:val="both"/>
        <w:rPr>
          <w:rFonts w:eastAsiaTheme="minorEastAsia"/>
          <w:kern w:val="0"/>
          <w:lang w:val="en-US" w:eastAsia="en-US" w:bidi="ar-SA"/>
        </w:rPr>
      </w:pPr>
      <w:r w:rsidRPr="00D147A7">
        <w:rPr>
          <w:rFonts w:eastAsiaTheme="minorEastAsia"/>
          <w:kern w:val="0"/>
          <w:lang w:eastAsia="en-US" w:bidi="ar-SA"/>
        </w:rPr>
        <w:t xml:space="preserve">PEUTEMAN, A., ‘De redelijkheid is teruggekeerd. </w:t>
      </w:r>
      <w:r w:rsidRPr="00DE6765">
        <w:rPr>
          <w:rFonts w:eastAsiaTheme="minorEastAsia"/>
          <w:kern w:val="0"/>
          <w:lang w:val="en-US" w:eastAsia="en-US" w:bidi="ar-SA"/>
        </w:rPr>
        <w:t>Interview met Herman Nys over euthana</w:t>
      </w:r>
      <w:r w:rsidR="004575A6" w:rsidRPr="00DE6765">
        <w:rPr>
          <w:rFonts w:eastAsiaTheme="minorEastAsia"/>
          <w:kern w:val="0"/>
          <w:lang w:val="en-US" w:eastAsia="en-US" w:bidi="ar-SA"/>
        </w:rPr>
        <w:t>-</w:t>
      </w:r>
      <w:r w:rsidRPr="00DE6765">
        <w:rPr>
          <w:rFonts w:eastAsiaTheme="minorEastAsia"/>
          <w:kern w:val="0"/>
          <w:lang w:val="en-US" w:eastAsia="en-US" w:bidi="ar-SA"/>
        </w:rPr>
        <w:t xml:space="preserve">sie in België’, </w:t>
      </w:r>
      <w:r w:rsidRPr="00DE6765">
        <w:rPr>
          <w:rFonts w:eastAsiaTheme="minorEastAsia"/>
          <w:i/>
          <w:kern w:val="0"/>
          <w:lang w:val="en-US" w:eastAsia="en-US" w:bidi="ar-SA"/>
        </w:rPr>
        <w:t>Knack</w:t>
      </w:r>
      <w:r w:rsidRPr="00DE6765">
        <w:rPr>
          <w:rFonts w:eastAsiaTheme="minorEastAsia"/>
          <w:kern w:val="0"/>
          <w:lang w:val="en-US" w:eastAsia="en-US" w:bidi="ar-SA"/>
        </w:rPr>
        <w:t>, 42/7 (2012), p. 30-33.</w:t>
      </w:r>
    </w:p>
    <w:p w:rsidR="000F560E" w:rsidRPr="00D147A7" w:rsidRDefault="000F560E" w:rsidP="000F560E">
      <w:pPr>
        <w:widowControl/>
        <w:suppressAutoHyphens w:val="0"/>
        <w:jc w:val="both"/>
        <w:rPr>
          <w:rFonts w:eastAsiaTheme="minorEastAsia"/>
          <w:kern w:val="0"/>
          <w:lang w:eastAsia="en-US" w:bidi="ar-SA"/>
        </w:rPr>
      </w:pPr>
      <w:r w:rsidRPr="00DE6765">
        <w:rPr>
          <w:rFonts w:eastAsiaTheme="minorEastAsia"/>
          <w:kern w:val="0"/>
          <w:lang w:val="en-US" w:eastAsia="en-US" w:bidi="ar-SA"/>
        </w:rPr>
        <w:t xml:space="preserve">SOYEZ, S., ‘Attardons-nous sur… </w:t>
      </w:r>
      <w:r w:rsidRPr="00D147A7">
        <w:rPr>
          <w:rFonts w:eastAsiaTheme="minorEastAsia"/>
          <w:kern w:val="0"/>
          <w:lang w:eastAsia="en-US" w:bidi="ar-SA"/>
        </w:rPr>
        <w:t xml:space="preserve">Dossiers médicaux’, VASTESAEGER, A.M.; SOYEZ, S.; DELPLANCQ, T.; </w:t>
      </w:r>
      <w:r w:rsidRPr="00D147A7">
        <w:rPr>
          <w:rFonts w:eastAsiaTheme="minorEastAsia"/>
          <w:i/>
          <w:kern w:val="0"/>
          <w:lang w:eastAsia="en-US" w:bidi="ar-SA"/>
        </w:rPr>
        <w:t>Questions d’archivage</w:t>
      </w:r>
      <w:r w:rsidRPr="00D147A7">
        <w:rPr>
          <w:rFonts w:eastAsiaTheme="minorEastAsia"/>
          <w:kern w:val="0"/>
          <w:lang w:eastAsia="en-US" w:bidi="ar-SA"/>
        </w:rPr>
        <w:t xml:space="preserve">, Brussel, Politeia, 2012², p. 219-234.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DAMME, J.; NYS, H.; VAN DAMME, T; </w:t>
      </w:r>
      <w:r w:rsidRPr="00D147A7">
        <w:rPr>
          <w:rFonts w:eastAsiaTheme="minorEastAsia"/>
          <w:i/>
          <w:kern w:val="0"/>
          <w:lang w:eastAsia="en-US" w:bidi="ar-SA"/>
        </w:rPr>
        <w:t>De arts, de huisarts en zijn dossier</w:t>
      </w:r>
      <w:r w:rsidRPr="00D147A7">
        <w:rPr>
          <w:rFonts w:eastAsiaTheme="minorEastAsia"/>
          <w:kern w:val="0"/>
          <w:lang w:eastAsia="en-US" w:bidi="ar-SA"/>
        </w:rPr>
        <w:t>, Antwer</w:t>
      </w:r>
      <w:r w:rsidR="004575A6">
        <w:rPr>
          <w:rFonts w:eastAsiaTheme="minorEastAsia"/>
          <w:kern w:val="0"/>
          <w:lang w:eastAsia="en-US" w:bidi="ar-SA"/>
        </w:rPr>
        <w:t>-</w:t>
      </w:r>
      <w:r w:rsidRPr="00D147A7">
        <w:rPr>
          <w:rFonts w:eastAsiaTheme="minorEastAsia"/>
          <w:kern w:val="0"/>
          <w:lang w:eastAsia="en-US" w:bidi="ar-SA"/>
        </w:rPr>
        <w:t>pen, Intersentia, 2003, 235p.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VANDENDRIESSCHE, J., ‘De verwerking van persoonsgegevens voor historische, statische en wetenschappelijke doeleinden’, </w:t>
      </w:r>
      <w:r w:rsidRPr="00D147A7">
        <w:rPr>
          <w:rFonts w:eastAsiaTheme="minorEastAsia"/>
          <w:i/>
          <w:kern w:val="0"/>
          <w:lang w:eastAsia="en-US" w:bidi="ar-SA"/>
        </w:rPr>
        <w:t>T.B.B.R.</w:t>
      </w:r>
      <w:r w:rsidRPr="00D147A7">
        <w:rPr>
          <w:rFonts w:eastAsiaTheme="minorEastAsia"/>
          <w:kern w:val="0"/>
          <w:lang w:eastAsia="en-US" w:bidi="ar-SA"/>
        </w:rPr>
        <w:t>, 2006, 9, p. 534-543.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DEN EYNDE, S.; DUMORTIER, J.; ‘De rol van de digitale handtekening bij het archi</w:t>
      </w:r>
      <w:r w:rsidR="004575A6">
        <w:rPr>
          <w:rFonts w:eastAsiaTheme="minorEastAsia"/>
          <w:kern w:val="0"/>
          <w:lang w:eastAsia="en-US" w:bidi="ar-SA"/>
        </w:rPr>
        <w:t>-</w:t>
      </w:r>
      <w:r w:rsidRPr="00D147A7">
        <w:rPr>
          <w:rFonts w:eastAsiaTheme="minorEastAsia"/>
          <w:kern w:val="0"/>
          <w:lang w:eastAsia="en-US" w:bidi="ar-SA"/>
        </w:rPr>
        <w:t xml:space="preserve">veren van elektronische documenten’, </w:t>
      </w:r>
      <w:r w:rsidRPr="00D147A7">
        <w:rPr>
          <w:rFonts w:eastAsiaTheme="minorEastAsia"/>
          <w:i/>
          <w:kern w:val="0"/>
          <w:lang w:eastAsia="en-US" w:bidi="ar-SA"/>
        </w:rPr>
        <w:t>B.A.G.</w:t>
      </w:r>
      <w:r w:rsidR="004575A6">
        <w:rPr>
          <w:rFonts w:eastAsiaTheme="minorEastAsia"/>
          <w:kern w:val="0"/>
          <w:lang w:eastAsia="en-US" w:bidi="ar-SA"/>
        </w:rPr>
        <w:t>, 2001, 1, p. 9-13.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QUICKENBORNE, M., </w:t>
      </w:r>
      <w:r w:rsidRPr="00D147A7">
        <w:rPr>
          <w:rFonts w:eastAsiaTheme="minorEastAsia"/>
          <w:i/>
          <w:kern w:val="0"/>
          <w:lang w:eastAsia="en-US" w:bidi="ar-SA"/>
        </w:rPr>
        <w:t>Oorzakelijk verband tussen onrechtmatige daad en schade</w:t>
      </w:r>
      <w:r w:rsidRPr="00D147A7">
        <w:rPr>
          <w:rFonts w:eastAsiaTheme="minorEastAsia"/>
          <w:kern w:val="0"/>
          <w:lang w:eastAsia="en-US" w:bidi="ar-SA"/>
        </w:rPr>
        <w:t>, Recht en praktijk (België), 47, Mechelen, Kluwer, 2007, 160p.</w:t>
      </w:r>
    </w:p>
    <w:p w:rsidR="004575A6" w:rsidRDefault="004575A6"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VELLE, K.; VANDERMAESEN, M.; </w:t>
      </w:r>
      <w:r w:rsidRPr="00D147A7">
        <w:rPr>
          <w:rFonts w:eastAsiaTheme="minorEastAsia"/>
          <w:i/>
          <w:kern w:val="0"/>
          <w:lang w:eastAsia="en-US" w:bidi="ar-SA"/>
        </w:rPr>
        <w:t>Inleiding tot het Belgisch archiefrecht. Academiejaar 2011-2012</w:t>
      </w:r>
      <w:r w:rsidRPr="00D147A7">
        <w:rPr>
          <w:rFonts w:eastAsiaTheme="minorEastAsia"/>
          <w:kern w:val="0"/>
          <w:lang w:eastAsia="en-US" w:bidi="ar-SA"/>
        </w:rPr>
        <w:t>, Brussel, 2012³, 179p.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VERHENNEMAN, G.; ROBBEN, F.; DUMORTIER, J.; ‘Het Belgisch eHealth-platform en haar praktische en juridische uitdagingen’, </w:t>
      </w:r>
      <w:r w:rsidRPr="00D147A7">
        <w:rPr>
          <w:rFonts w:eastAsiaTheme="minorEastAsia"/>
          <w:i/>
          <w:kern w:val="0"/>
          <w:lang w:eastAsia="en-US" w:bidi="ar-SA"/>
        </w:rPr>
        <w:t>Computerr.</w:t>
      </w:r>
      <w:r w:rsidRPr="00D147A7">
        <w:rPr>
          <w:rFonts w:eastAsiaTheme="minorEastAsia"/>
          <w:kern w:val="0"/>
          <w:lang w:eastAsia="en-US" w:bidi="ar-SA"/>
        </w:rPr>
        <w:t>, 2011, 6, p. 300-310.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VERSCHAEREN, J., ‘O.C.M.W.-ziekenhuisarchieven: problemen van selectie en bewaring’, MARÉCHAL, G. (red.), </w:t>
      </w:r>
      <w:r w:rsidRPr="00D147A7">
        <w:rPr>
          <w:rFonts w:eastAsiaTheme="minorEastAsia"/>
          <w:i/>
          <w:kern w:val="0"/>
          <w:lang w:eastAsia="en-US" w:bidi="ar-SA"/>
        </w:rPr>
        <w:t>‘Een kompas met vele streken’. Studies over Antwerpen, scheepvaart en archivistiek aangeboden aan dr. Gustaaf Asaert ter gelegenheid van zijn 65ste verjaardag</w:t>
      </w:r>
      <w:r w:rsidRPr="00D147A7">
        <w:rPr>
          <w:rFonts w:eastAsiaTheme="minorEastAsia"/>
          <w:kern w:val="0"/>
          <w:lang w:eastAsia="en-US" w:bidi="ar-SA"/>
        </w:rPr>
        <w:t>, Antwerpen, VVBAD, 1994, p. 216-222.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WOSTYN, L., ‘Het medisch dossier’, WOSTYN, L.; CLEPKENS, C.; HUTSEBAUT, A. (reds.); </w:t>
      </w:r>
      <w:r w:rsidRPr="00D147A7">
        <w:rPr>
          <w:rFonts w:eastAsiaTheme="minorEastAsia"/>
          <w:i/>
          <w:kern w:val="0"/>
          <w:lang w:eastAsia="en-US" w:bidi="ar-SA"/>
        </w:rPr>
        <w:t>Overhandigen medische gegevens</w:t>
      </w:r>
      <w:r w:rsidRPr="00D147A7">
        <w:rPr>
          <w:rFonts w:eastAsiaTheme="minorEastAsia"/>
          <w:kern w:val="0"/>
          <w:lang w:eastAsia="en-US" w:bidi="ar-SA"/>
        </w:rPr>
        <w:t>, Gent, Academia Press, 2004, p. 5-8.</w:t>
      </w:r>
    </w:p>
    <w:p w:rsidR="002E6CAF" w:rsidRDefault="002E6CAF" w:rsidP="000F560E">
      <w:pPr>
        <w:widowControl/>
        <w:suppressAutoHyphens w:val="0"/>
        <w:ind w:left="708" w:firstLine="708"/>
        <w:jc w:val="both"/>
        <w:rPr>
          <w:rFonts w:eastAsiaTheme="minorEastAsia"/>
          <w:b/>
          <w:smallCaps/>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2.8 Websites</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Hitachi Data Systems (</w:t>
      </w:r>
      <w:hyperlink r:id="rId497" w:history="1">
        <w:r w:rsidR="004575A6" w:rsidRPr="00FD2358">
          <w:rPr>
            <w:rStyle w:val="Hyperlink"/>
            <w:rFonts w:eastAsiaTheme="minorEastAsia"/>
            <w:kern w:val="0"/>
            <w:lang w:eastAsia="en-US" w:bidi="ar-SA"/>
          </w:rPr>
          <w:t>http://internet.ziffdavisenterprise.com/podcasts/eWeek/channel0225 2009.mp3</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IDC (</w:t>
      </w:r>
      <w:hyperlink r:id="rId498" w:history="1">
        <w:r w:rsidR="004575A6" w:rsidRPr="00FD2358">
          <w:rPr>
            <w:rStyle w:val="Hyperlink"/>
            <w:rFonts w:eastAsiaTheme="minorEastAsia"/>
            <w:kern w:val="0"/>
            <w:lang w:eastAsia="en-US" w:bidi="ar-SA"/>
          </w:rPr>
          <w:t>http://www.lemagit.fr/article/stockage-numerique-idc-nuage-donnees-cloud/6254/1/idc-pronostique-une-explosion-volumedonnees-produites-dans-monde-ici-ans/</w:t>
        </w:r>
      </w:hyperlink>
      <w:r w:rsidRPr="00D147A7">
        <w:rPr>
          <w:rFonts w:eastAsiaTheme="minorEastAsia"/>
          <w:kern w:val="0"/>
          <w:lang w:eastAsia="en-US" w:bidi="ar-SA"/>
        </w:rPr>
        <w:t>, laatst geraad</w:t>
      </w:r>
      <w:r w:rsidR="004575A6">
        <w:rPr>
          <w:rFonts w:eastAsiaTheme="minorEastAsia"/>
          <w:kern w:val="0"/>
          <w:lang w:eastAsia="en-US" w:bidi="ar-SA"/>
        </w:rPr>
        <w:t>-</w:t>
      </w:r>
      <w:r w:rsidRPr="00D147A7">
        <w:rPr>
          <w:rFonts w:eastAsiaTheme="minorEastAsia"/>
          <w:kern w:val="0"/>
          <w:lang w:eastAsia="en-US" w:bidi="ar-SA"/>
        </w:rPr>
        <w:t xml:space="preserve">pleegd op 23 juli 2012). </w:t>
      </w:r>
    </w:p>
    <w:p w:rsidR="000F560E" w:rsidRPr="00D147A7" w:rsidRDefault="002E7E12" w:rsidP="000F560E">
      <w:pPr>
        <w:widowControl/>
        <w:suppressAutoHyphens w:val="0"/>
        <w:jc w:val="both"/>
        <w:rPr>
          <w:rFonts w:eastAsiaTheme="minorEastAsia"/>
          <w:kern w:val="0"/>
          <w:lang w:eastAsia="en-US" w:bidi="ar-SA"/>
        </w:rPr>
      </w:pPr>
      <w:hyperlink r:id="rId499" w:history="1">
        <w:r w:rsidR="000F560E" w:rsidRPr="00D147A7">
          <w:rPr>
            <w:rFonts w:eastAsiaTheme="minorEastAsia"/>
            <w:color w:val="0000FF"/>
            <w:kern w:val="0"/>
            <w:u w:val="single"/>
            <w:lang w:eastAsia="en-US" w:bidi="ar-SA"/>
          </w:rPr>
          <w:t>arch.arch.be/</w:t>
        </w:r>
      </w:hyperlink>
      <w:r w:rsidR="00724382"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0" w:history="1">
        <w:r w:rsidR="000F560E" w:rsidRPr="00D147A7">
          <w:rPr>
            <w:rFonts w:eastAsiaTheme="minorEastAsia"/>
            <w:color w:val="0000FF"/>
            <w:kern w:val="0"/>
            <w:u w:val="single"/>
            <w:lang w:eastAsia="en-US" w:bidi="ar-SA"/>
          </w:rPr>
          <w:t>http://www.belgium.be/</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1" w:history="1">
        <w:r w:rsidR="000F560E" w:rsidRPr="00D147A7">
          <w:rPr>
            <w:rFonts w:eastAsiaTheme="minorEastAsia"/>
            <w:color w:val="0000FF"/>
            <w:kern w:val="0"/>
            <w:u w:val="single"/>
            <w:lang w:eastAsia="en-US" w:bidi="ar-SA"/>
          </w:rPr>
          <w:t>http://www.ccc-ggc.irisnet.be/</w:t>
        </w:r>
      </w:hyperlink>
      <w:r w:rsidR="000F560E" w:rsidRPr="00D147A7">
        <w:rPr>
          <w:rFonts w:eastAsiaTheme="minorEastAsia"/>
          <w:kern w:val="0"/>
          <w:lang w:eastAsia="en-US" w:bidi="ar-SA"/>
        </w:rPr>
        <w:t xml:space="preserve"> .</w:t>
      </w:r>
    </w:p>
    <w:p w:rsidR="000F560E" w:rsidRPr="00D147A7" w:rsidRDefault="002E7E12" w:rsidP="000F560E">
      <w:pPr>
        <w:widowControl/>
        <w:suppressAutoHyphens w:val="0"/>
        <w:jc w:val="both"/>
        <w:rPr>
          <w:rFonts w:eastAsiaTheme="minorEastAsia"/>
          <w:kern w:val="0"/>
          <w:lang w:eastAsia="en-US" w:bidi="ar-SA"/>
        </w:rPr>
      </w:pPr>
      <w:hyperlink r:id="rId502" w:history="1">
        <w:r w:rsidR="000F560E" w:rsidRPr="00D147A7">
          <w:rPr>
            <w:rFonts w:eastAsiaTheme="minorEastAsia"/>
            <w:color w:val="0000FF"/>
            <w:kern w:val="0"/>
            <w:u w:val="single"/>
            <w:lang w:eastAsia="en-US" w:bidi="ar-SA"/>
          </w:rPr>
          <w:t>http://www.edavid.be/</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3" w:history="1">
        <w:r w:rsidR="000F560E" w:rsidRPr="00D147A7">
          <w:rPr>
            <w:rFonts w:eastAsiaTheme="minorEastAsia"/>
            <w:color w:val="0000FF"/>
            <w:kern w:val="0"/>
            <w:u w:val="single"/>
            <w:lang w:eastAsia="en-US" w:bidi="ar-SA"/>
          </w:rPr>
          <w:t>http://www.health.belgium.be/</w:t>
        </w:r>
      </w:hyperlink>
      <w:r w:rsidR="000F560E" w:rsidRPr="00D147A7">
        <w:rPr>
          <w:rFonts w:eastAsiaTheme="minorEastAsia"/>
          <w:kern w:val="0"/>
          <w:lang w:eastAsia="en-US" w:bidi="ar-SA"/>
        </w:rPr>
        <w:t>.</w:t>
      </w:r>
    </w:p>
    <w:p w:rsidR="00724382" w:rsidRPr="00D147A7" w:rsidRDefault="002E7E12" w:rsidP="000F560E">
      <w:pPr>
        <w:widowControl/>
        <w:suppressAutoHyphens w:val="0"/>
        <w:jc w:val="both"/>
        <w:rPr>
          <w:rFonts w:eastAsiaTheme="minorEastAsia"/>
          <w:kern w:val="0"/>
          <w:lang w:eastAsia="en-US" w:bidi="ar-SA"/>
        </w:rPr>
      </w:pPr>
      <w:hyperlink r:id="rId504" w:history="1">
        <w:r w:rsidR="000F560E" w:rsidRPr="00D147A7">
          <w:rPr>
            <w:rFonts w:eastAsiaTheme="minorEastAsia"/>
            <w:color w:val="0000FF"/>
            <w:kern w:val="0"/>
            <w:u w:val="single"/>
            <w:lang w:eastAsia="en-US" w:bidi="ar-SA"/>
          </w:rPr>
          <w:t>http://www.hospindex.be</w:t>
        </w:r>
      </w:hyperlink>
      <w:r w:rsidR="00724382" w:rsidRPr="00D147A7">
        <w:rPr>
          <w:rFonts w:eastAsiaTheme="minorEastAsia"/>
          <w:kern w:val="0"/>
          <w:lang w:eastAsia="en-US" w:bidi="ar-SA"/>
        </w:rPr>
        <w:t>.</w:t>
      </w:r>
    </w:p>
    <w:p w:rsidR="00724382" w:rsidRPr="00D147A7" w:rsidRDefault="002E7E12" w:rsidP="000F560E">
      <w:pPr>
        <w:widowControl/>
        <w:suppressAutoHyphens w:val="0"/>
        <w:jc w:val="both"/>
        <w:rPr>
          <w:rFonts w:eastAsiaTheme="minorEastAsia"/>
          <w:kern w:val="0"/>
          <w:lang w:eastAsia="en-US" w:bidi="ar-SA"/>
        </w:rPr>
      </w:pPr>
      <w:hyperlink r:id="rId505" w:history="1">
        <w:r w:rsidR="00724382" w:rsidRPr="00D147A7">
          <w:rPr>
            <w:rStyle w:val="Hyperlink"/>
            <w:rFonts w:eastAsiaTheme="minorEastAsia"/>
            <w:kern w:val="0"/>
            <w:lang w:eastAsia="en-US" w:bidi="ar-SA"/>
          </w:rPr>
          <w:t>http://www.hospitals.be</w:t>
        </w:r>
      </w:hyperlink>
      <w:r w:rsidR="00724382"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6" w:history="1">
        <w:r w:rsidR="000F560E" w:rsidRPr="00D147A7">
          <w:rPr>
            <w:rFonts w:eastAsiaTheme="minorEastAsia"/>
            <w:color w:val="0000FF"/>
            <w:kern w:val="0"/>
            <w:u w:val="single"/>
            <w:lang w:eastAsia="en-US" w:bidi="ar-SA"/>
          </w:rPr>
          <w:t>http://www.mil.be/</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7" w:history="1">
        <w:r w:rsidR="000F560E" w:rsidRPr="00D147A7">
          <w:rPr>
            <w:rFonts w:eastAsiaTheme="minorEastAsia"/>
            <w:color w:val="0000FF"/>
            <w:kern w:val="0"/>
            <w:u w:val="single"/>
            <w:lang w:eastAsia="en-US" w:bidi="ar-SA"/>
          </w:rPr>
          <w:t>http://riziv.be/</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8" w:history="1">
        <w:r w:rsidR="000F560E" w:rsidRPr="00D147A7">
          <w:rPr>
            <w:rFonts w:eastAsiaTheme="minorEastAsia"/>
            <w:color w:val="0000FF"/>
            <w:kern w:val="0"/>
            <w:u w:val="single"/>
            <w:lang w:eastAsia="en-US" w:bidi="ar-SA"/>
          </w:rPr>
          <w:t>www.who.int/</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09" w:history="1">
        <w:r w:rsidR="000F560E" w:rsidRPr="00D147A7">
          <w:rPr>
            <w:rFonts w:eastAsiaTheme="minorEastAsia"/>
            <w:color w:val="0000FF"/>
            <w:kern w:val="0"/>
            <w:u w:val="single"/>
            <w:lang w:eastAsia="en-US" w:bidi="ar-SA"/>
          </w:rPr>
          <w:t>http://www.zorg-en-gezondheid.be/</w:t>
        </w:r>
      </w:hyperlink>
      <w:r w:rsidR="000F560E"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firstLine="708"/>
        <w:jc w:val="both"/>
        <w:rPr>
          <w:rFonts w:eastAsiaTheme="minorEastAsia"/>
          <w:b/>
          <w:smallCaps/>
          <w:kern w:val="0"/>
          <w:lang w:eastAsia="en-US" w:bidi="ar-SA"/>
        </w:rPr>
      </w:pPr>
      <w:r w:rsidRPr="00D147A7">
        <w:rPr>
          <w:rFonts w:eastAsiaTheme="minorEastAsia"/>
          <w:b/>
          <w:smallCaps/>
          <w:kern w:val="0"/>
          <w:lang w:eastAsia="en-US" w:bidi="ar-SA"/>
        </w:rPr>
        <w:t>5.6.2. Nederland</w:t>
      </w:r>
    </w:p>
    <w:p w:rsidR="000F560E" w:rsidRPr="00D147A7" w:rsidRDefault="000F560E" w:rsidP="000F560E">
      <w:pPr>
        <w:widowControl/>
        <w:suppressAutoHyphens w:val="0"/>
        <w:jc w:val="both"/>
        <w:rPr>
          <w:rFonts w:eastAsiaTheme="minorEastAsia"/>
          <w:kern w:val="0"/>
          <w:highlight w:val="yellow"/>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2.1 Parlementaire voorbereidingen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1956-1957, 4 549, nr. 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Kamerstukken II, vergaderjaar 1956-1957, 4 549, nr. 5.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1956-1957, 4 549, nr.  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1956-1957, 4 549, nr. 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1992-1993, 22 866, nr. 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Kamerstukken II, vergaderjaar 2009-2010, 32 402, nr. 2 (in de tekst vermeld als Wetsvoorstel cliëntenrechten zorg of, kortweg, Wcz).</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2.2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Art. 152 WBR.</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16 januari 1986 betreffende de archiefstukken van bij Openbare Universiteiten be</w:t>
      </w:r>
      <w:r w:rsidR="004575A6">
        <w:rPr>
          <w:rFonts w:eastAsiaTheme="minorEastAsia"/>
          <w:kern w:val="0"/>
          <w:lang w:eastAsia="en-US" w:bidi="ar-SA"/>
        </w:rPr>
        <w:t>-</w:t>
      </w:r>
      <w:r w:rsidRPr="00D147A7">
        <w:rPr>
          <w:rFonts w:eastAsiaTheme="minorEastAsia"/>
          <w:kern w:val="0"/>
          <w:lang w:eastAsia="en-US" w:bidi="ar-SA"/>
        </w:rPr>
        <w:t>horende Academische Ziekenhuizen (</w:t>
      </w:r>
      <w:r w:rsidRPr="00D147A7">
        <w:rPr>
          <w:rFonts w:eastAsiaTheme="minorEastAsia"/>
          <w:i/>
          <w:kern w:val="0"/>
          <w:lang w:eastAsia="en-US" w:bidi="ar-SA"/>
        </w:rPr>
        <w:t>Stcrt.</w:t>
      </w:r>
      <w:r w:rsidRPr="00D147A7">
        <w:rPr>
          <w:rFonts w:eastAsiaTheme="minorEastAsia"/>
          <w:kern w:val="0"/>
          <w:lang w:eastAsia="en-US" w:bidi="ar-SA"/>
        </w:rPr>
        <w:t xml:space="preserve"> 74, 17 april 1986).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patiëntendossier Bopz.</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WGBO.</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Archiefbesluit.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Archiefregeling.</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Archiefwet.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Wbp.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Beleidsregel van de Minister van Onderwijs, Cultuur en Wetenschap van 22 januari 2008, nr. WJZ/2008/452 (8218) inzake de bevoegdheid tot het afgeven van een machtiging als bedoeld in artikel 7 van de Archiefwet 1995 ten behoeve van routinematige digitalisering van archief</w:t>
      </w:r>
      <w:r w:rsidR="004575A6">
        <w:rPr>
          <w:rFonts w:eastAsiaTheme="minorEastAsia"/>
          <w:kern w:val="0"/>
          <w:lang w:eastAsia="en-US" w:bidi="ar-SA"/>
        </w:rPr>
        <w:t>-</w:t>
      </w:r>
      <w:r w:rsidRPr="00D147A7">
        <w:rPr>
          <w:rFonts w:eastAsiaTheme="minorEastAsia"/>
          <w:kern w:val="0"/>
          <w:lang w:eastAsia="en-US" w:bidi="ar-SA"/>
        </w:rPr>
        <w:t>bescheiden (</w:t>
      </w:r>
      <w:r w:rsidRPr="00D147A7">
        <w:rPr>
          <w:rFonts w:eastAsiaTheme="minorEastAsia"/>
          <w:i/>
          <w:kern w:val="0"/>
          <w:lang w:eastAsia="en-US" w:bidi="ar-SA"/>
        </w:rPr>
        <w:t>Stcrt.</w:t>
      </w:r>
      <w:r w:rsidRPr="00D147A7">
        <w:rPr>
          <w:rFonts w:eastAsiaTheme="minorEastAsia"/>
          <w:kern w:val="0"/>
          <w:lang w:eastAsia="en-US" w:bidi="ar-SA"/>
        </w:rPr>
        <w:t xml:space="preserve"> 21, 30 januari 2008).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VAN HEEZIK, N.; BROEKHUIS, W.; PRINZ, E.M.; AUGUSTIJN, A.; KWINT, M.; STRIJ</w:t>
      </w:r>
      <w:r w:rsidR="004575A6">
        <w:rPr>
          <w:rFonts w:eastAsiaTheme="minorEastAsia"/>
          <w:kern w:val="0"/>
          <w:lang w:eastAsia="en-US" w:bidi="ar-SA"/>
        </w:rPr>
        <w:t>-</w:t>
      </w:r>
      <w:r w:rsidRPr="00D147A7">
        <w:rPr>
          <w:rFonts w:eastAsiaTheme="minorEastAsia"/>
          <w:kern w:val="0"/>
          <w:lang w:eastAsia="en-US" w:bidi="ar-SA"/>
        </w:rPr>
        <w:t xml:space="preserve">BOSCH, A.; </w:t>
      </w:r>
      <w:r w:rsidRPr="00D147A7">
        <w:rPr>
          <w:rFonts w:eastAsiaTheme="minorEastAsia"/>
          <w:i/>
          <w:kern w:val="0"/>
          <w:lang w:eastAsia="en-US" w:bidi="ar-SA"/>
        </w:rPr>
        <w:t>Basisselectiedocument openbare en bijzondere ziekenhuizen 1985-</w:t>
      </w:r>
      <w:r w:rsidRPr="00D147A7">
        <w:rPr>
          <w:rFonts w:eastAsiaTheme="minorEastAsia"/>
          <w:kern w:val="0"/>
          <w:lang w:eastAsia="en-US" w:bidi="ar-SA"/>
        </w:rPr>
        <w:t>, s.l., 2006, 187p. (</w:t>
      </w:r>
      <w:r w:rsidRPr="00D147A7">
        <w:rPr>
          <w:rFonts w:eastAsiaTheme="minorEastAsia"/>
          <w:i/>
          <w:kern w:val="0"/>
          <w:lang w:eastAsia="en-US" w:bidi="ar-SA"/>
        </w:rPr>
        <w:t>Stcrt.</w:t>
      </w:r>
      <w:r w:rsidRPr="00D147A7">
        <w:rPr>
          <w:rFonts w:eastAsiaTheme="minorEastAsia"/>
          <w:kern w:val="0"/>
          <w:lang w:eastAsia="en-US" w:bidi="ar-SA"/>
        </w:rPr>
        <w:t xml:space="preserve"> 35, 19 februari 2007 en </w:t>
      </w:r>
      <w:hyperlink r:id="rId510" w:history="1">
        <w:r w:rsidR="004575A6" w:rsidRPr="00FD2358">
          <w:rPr>
            <w:rStyle w:val="Hyperlink"/>
            <w:rFonts w:eastAsiaTheme="minorEastAsia"/>
            <w:kern w:val="0"/>
            <w:lang w:eastAsia="en-US" w:bidi="ar-SA"/>
          </w:rPr>
          <w:t>http://www.handelingenbank.info/informatiebronnen/ 097%20Openbare%20en%20bijzondere%20academische%20ziekenhuizen/BSD/097%20BSD%202006.pdf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highlight w:val="yellow"/>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2.3 Archiefstukken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Archiefstuk nr. 1224 (Correspondentie betrekking hebbende op het patiëntendossier van Theo van Gogh overleden in 1982 (sic) in het Willem Arntsz Huis) van archief nr. 813-1 Willem Arntsz stichting te Utrecht, Het Utrechts Archief (</w:t>
      </w:r>
      <w:hyperlink r:id="rId511" w:history="1">
        <w:r w:rsidR="004575A6" w:rsidRPr="00FD2358">
          <w:rPr>
            <w:rStyle w:val="Hyperlink"/>
            <w:rFonts w:eastAsiaTheme="minorEastAsia"/>
            <w:kern w:val="0"/>
            <w:lang w:eastAsia="en-US" w:bidi="ar-SA"/>
          </w:rPr>
          <w:t>http://www.archieven.nl/nl/zoeken?miview =inv2&amp;mivast=0&amp;mizig=210&amp;miadt=39&amp;micode=813-1&amp;milang=nl&amp;mizk_alle=pati%C3% ABntendossier</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Archiefstuk nr. 723 tot archiefstuk nr. 1606 van archief nr. 1491 Rijks Psychiatrische Inrich</w:t>
      </w:r>
      <w:r w:rsidR="004575A6">
        <w:rPr>
          <w:rFonts w:eastAsiaTheme="minorEastAsia"/>
          <w:kern w:val="0"/>
          <w:lang w:eastAsia="en-US" w:bidi="ar-SA"/>
        </w:rPr>
        <w:t>-</w:t>
      </w:r>
      <w:r w:rsidRPr="00D147A7">
        <w:rPr>
          <w:rFonts w:eastAsiaTheme="minorEastAsia"/>
          <w:kern w:val="0"/>
          <w:lang w:eastAsia="en-US" w:bidi="ar-SA"/>
        </w:rPr>
        <w:t>ting te Eindhoven (tot 1946 Rijks Krankzinnigen Gesticht Woensel, 1913-1985), Brabants Historisch Informatie Centrum – Locatie Den Bosch (</w:t>
      </w:r>
      <w:hyperlink r:id="rId512" w:anchor="inv3t1" w:history="1">
        <w:r w:rsidR="004575A6" w:rsidRPr="00FD2358">
          <w:rPr>
            <w:rStyle w:val="Hyperlink"/>
            <w:rFonts w:eastAsiaTheme="minorEastAsia"/>
            <w:kern w:val="0"/>
            <w:lang w:eastAsia="en-US" w:bidi="ar-SA"/>
          </w:rPr>
          <w:t>http://www.archieven.nl/nl/zoeken? mivast=0&amp;mizig=210&amp;miadt=235&amp;micode=1491&amp;miview=inv2#inv3t1</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Archiefstuk nr. 449 (Patiëntendossier betreffende F. Duifhuize [1965-1989]) van archief nr. 1088-01: Stichting Schroeder van der Kolk, Haags Gemeentearchief  (</w:t>
      </w:r>
      <w:hyperlink w:history="1">
        <w:r w:rsidR="004575A6" w:rsidRPr="00FD2358">
          <w:rPr>
            <w:rStyle w:val="Hyperlink"/>
            <w:rFonts w:eastAsiaTheme="minorEastAsia"/>
            <w:kern w:val="0"/>
            <w:lang w:eastAsia="en-US" w:bidi="ar-SA"/>
          </w:rPr>
          <w:t>http://www.archieven. nl/nl/search-modonly?mivast=59&amp;mizig=210&amp;miadt=59&amp;micode=1088-01&amp;mizk_alle= Duifhuize</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Archiefstuk nr. b 2017 V/1982 (document) van het archiefbestand ‘Brieven en Documenten’, Van Gogh Museum, Amsterdam (integraal raadpleegbaar op: </w:t>
      </w:r>
      <w:hyperlink w:history="1">
        <w:r w:rsidR="004575A6" w:rsidRPr="00FD2358">
          <w:rPr>
            <w:rStyle w:val="Hyperlink"/>
            <w:rFonts w:eastAsiaTheme="minorEastAsia"/>
            <w:kern w:val="0"/>
            <w:lang w:eastAsia="en-US" w:bidi="ar-SA"/>
          </w:rPr>
          <w:t>http://www. geheugenvannederland.nl/?/nl/items/VGM01:b2017</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Email van Florence Limburg, Medewerker Acquisitie en Advies van het Nationaal Archief in Den Haag, d.d. 22 juni 2012.</w:t>
      </w:r>
    </w:p>
    <w:p w:rsidR="000F560E" w:rsidRPr="00D147A7" w:rsidRDefault="000F560E" w:rsidP="000F560E">
      <w:pPr>
        <w:widowControl/>
        <w:suppressAutoHyphens w:val="0"/>
        <w:ind w:firstLine="708"/>
        <w:jc w:val="both"/>
        <w:rPr>
          <w:rFonts w:eastAsiaTheme="minorEastAsia"/>
          <w:b/>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2.4 Rechtsleer en literatuur</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‘Medische archieven en archiefvernietiging’, </w:t>
      </w:r>
      <w:r w:rsidRPr="00D147A7">
        <w:rPr>
          <w:rFonts w:eastAsiaTheme="minorEastAsia"/>
          <w:i/>
          <w:kern w:val="0"/>
          <w:lang w:eastAsia="en-US" w:bidi="ar-SA"/>
        </w:rPr>
        <w:t>N.T.G.</w:t>
      </w:r>
      <w:r w:rsidRPr="00D147A7">
        <w:rPr>
          <w:rFonts w:eastAsiaTheme="minorEastAsia"/>
          <w:kern w:val="0"/>
          <w:lang w:eastAsia="en-US" w:bidi="ar-SA"/>
        </w:rPr>
        <w:t>, 144/29 (2000), p. 1423.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ASSER, C.; VAN DER GRINTEN, W.C.L.; </w:t>
      </w:r>
      <w:r w:rsidRPr="00D147A7">
        <w:rPr>
          <w:rFonts w:eastAsiaTheme="minorEastAsia"/>
          <w:i/>
          <w:kern w:val="0"/>
          <w:lang w:eastAsia="en-US" w:bidi="ar-SA"/>
        </w:rPr>
        <w:t>Vertegenwoordiging en rechtspersoon. 2: De rechtspersoon</w:t>
      </w:r>
      <w:r w:rsidRPr="00D147A7">
        <w:rPr>
          <w:rFonts w:eastAsiaTheme="minorEastAsia"/>
          <w:kern w:val="0"/>
          <w:lang w:eastAsia="en-US" w:bidi="ar-SA"/>
        </w:rPr>
        <w:t>, Mr. C. Asser’s Handleiding tot de beoefening van het Nederlands burgerlijk recht, 2, Zwolle, Tjeenk Willink, 1986</w:t>
      </w:r>
      <w:r w:rsidRPr="00D147A7">
        <w:rPr>
          <w:rFonts w:eastAsiaTheme="minorEastAsia"/>
          <w:kern w:val="0"/>
          <w:vertAlign w:val="superscript"/>
          <w:lang w:eastAsia="en-US" w:bidi="ar-SA"/>
        </w:rPr>
        <w:t>6</w:t>
      </w:r>
      <w:r w:rsidRPr="00D147A7">
        <w:rPr>
          <w:rFonts w:eastAsiaTheme="minorEastAsia"/>
          <w:kern w:val="0"/>
          <w:lang w:eastAsia="en-US" w:bidi="ar-SA"/>
        </w:rPr>
        <w:t>, 395p.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DEN TEULING, A.J.M., ‘Criteria voor bewaren of vernietigen’, KETELAAR, E.; DEN TEULING, A.J.M.; WIJNGAARDEN, J.U. (reds.); </w:t>
      </w:r>
      <w:r w:rsidRPr="00D147A7">
        <w:rPr>
          <w:rFonts w:eastAsiaTheme="minorEastAsia"/>
          <w:i/>
          <w:kern w:val="0"/>
          <w:lang w:eastAsia="en-US" w:bidi="ar-SA"/>
        </w:rPr>
        <w:t>Archiefbeheer in de praktijk</w:t>
      </w:r>
      <w:r w:rsidRPr="00D147A7">
        <w:rPr>
          <w:rFonts w:eastAsiaTheme="minorEastAsia"/>
          <w:kern w:val="0"/>
          <w:lang w:eastAsia="en-US" w:bidi="ar-SA"/>
        </w:rPr>
        <w:t xml:space="preserve">, , Deventer, Kluwer, 2007, nr. 4010, 24p. (raadpleegbaar, na gratis aanmelding, op: </w:t>
      </w:r>
      <w:hyperlink r:id="rId513" w:history="1">
        <w:r w:rsidRPr="00D147A7">
          <w:rPr>
            <w:rFonts w:eastAsiaTheme="minorEastAsia"/>
            <w:color w:val="0000FF"/>
            <w:kern w:val="0"/>
            <w:u w:val="single"/>
            <w:lang w:eastAsia="en-US" w:bidi="ar-SA"/>
          </w:rPr>
          <w:t>www.iwabase.nl</w:t>
        </w:r>
      </w:hyperlink>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DEN TEULING, A.J.M., ‘Inleiding; motieven voor selectieve vernietiging en bewaring’, KETELAAR, E.; DEN TEULING, A.J.M.; WIJNGAARDEN, J.U. (reds.); </w:t>
      </w:r>
      <w:r w:rsidRPr="00D147A7">
        <w:rPr>
          <w:rFonts w:eastAsiaTheme="minorEastAsia"/>
          <w:i/>
          <w:kern w:val="0"/>
          <w:lang w:eastAsia="en-US" w:bidi="ar-SA"/>
        </w:rPr>
        <w:t>Archiefbeheer in de praktijk</w:t>
      </w:r>
      <w:r w:rsidRPr="00D147A7">
        <w:rPr>
          <w:rFonts w:eastAsiaTheme="minorEastAsia"/>
          <w:kern w:val="0"/>
          <w:lang w:eastAsia="en-US" w:bidi="ar-SA"/>
        </w:rPr>
        <w:t>, Deventer, Kluwer, 2007, nr. 4005, 6p.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DEN TEULING, A.J.M., ‘Wettelijke regelingen’, KETELAAR, E.; DEN TEULING, A.J.M.; WIJNGAARDEN, J.U. (reds.); </w:t>
      </w:r>
      <w:r w:rsidRPr="00D147A7">
        <w:rPr>
          <w:rFonts w:eastAsiaTheme="minorEastAsia"/>
          <w:i/>
          <w:kern w:val="0"/>
          <w:lang w:eastAsia="en-US" w:bidi="ar-SA"/>
        </w:rPr>
        <w:t>Archiefbeheer in de praktijk</w:t>
      </w:r>
      <w:r w:rsidRPr="00D147A7">
        <w:rPr>
          <w:rFonts w:eastAsiaTheme="minorEastAsia"/>
          <w:kern w:val="0"/>
          <w:lang w:eastAsia="en-US" w:bidi="ar-SA"/>
        </w:rPr>
        <w:t>, Deventer, Kluwer, 2007, nr. 4015, 24p.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DUPARC, F.J. (red.), </w:t>
      </w:r>
      <w:r w:rsidRPr="00D147A7">
        <w:rPr>
          <w:rFonts w:eastAsiaTheme="minorEastAsia"/>
          <w:i/>
          <w:kern w:val="0"/>
          <w:lang w:eastAsia="en-US" w:bidi="ar-SA"/>
        </w:rPr>
        <w:t>Archiefwet 1962: wet van 19 juli 1962, Stb. 313, houdende een nieuwe regeling van het archiefwezen met aantekeningen, uitvoerings- en andere op het archiefwezen betrekking hebbende besluiten en alfabetisch register</w:t>
      </w:r>
      <w:r w:rsidRPr="00D147A7">
        <w:rPr>
          <w:rFonts w:eastAsiaTheme="minorEastAsia"/>
          <w:kern w:val="0"/>
          <w:lang w:eastAsia="en-US" w:bidi="ar-SA"/>
        </w:rPr>
        <w:t>, Nederlandse staatswetten: editie Schuurman &amp; Jordens, 90, Zwolle, Tjeenk Willink, 1980</w:t>
      </w:r>
      <w:r w:rsidRPr="00D147A7">
        <w:rPr>
          <w:rFonts w:eastAsiaTheme="minorEastAsia"/>
          <w:kern w:val="0"/>
          <w:vertAlign w:val="superscript"/>
          <w:lang w:eastAsia="en-US" w:bidi="ar-SA"/>
        </w:rPr>
        <w:t>9</w:t>
      </w:r>
      <w:r w:rsidRPr="00D147A7">
        <w:rPr>
          <w:rFonts w:eastAsiaTheme="minorEastAsia"/>
          <w:kern w:val="0"/>
          <w:lang w:eastAsia="en-US" w:bidi="ar-SA"/>
        </w:rPr>
        <w:t>, 119p.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GEVERS, J.K.M., ‘Het beroepsgeheim na overlijden van de patiënt’, </w:t>
      </w:r>
      <w:r w:rsidRPr="00D147A7">
        <w:rPr>
          <w:rFonts w:eastAsiaTheme="minorEastAsia"/>
          <w:i/>
          <w:kern w:val="0"/>
          <w:lang w:eastAsia="en-US" w:bidi="ar-SA"/>
        </w:rPr>
        <w:t>N.T.G.</w:t>
      </w:r>
      <w:r w:rsidRPr="00D147A7">
        <w:rPr>
          <w:rFonts w:eastAsiaTheme="minorEastAsia"/>
          <w:kern w:val="0"/>
          <w:lang w:eastAsia="en-US" w:bidi="ar-SA"/>
        </w:rPr>
        <w:t xml:space="preserve">, 137/11 (1993), p. 533-535.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lastRenderedPageBreak/>
        <w:t xml:space="preserve">Gezondheidsraad, </w:t>
      </w:r>
      <w:r w:rsidRPr="00D147A7">
        <w:rPr>
          <w:rFonts w:eastAsiaTheme="minorEastAsia"/>
          <w:i/>
          <w:kern w:val="0"/>
          <w:lang w:eastAsia="en-US" w:bidi="ar-SA"/>
        </w:rPr>
        <w:t>Bewaartermijn patiëntengegevens. Pleidooi voor wetswijziging</w:t>
      </w:r>
      <w:r w:rsidRPr="00D147A7">
        <w:rPr>
          <w:rFonts w:eastAsiaTheme="minorEastAsia"/>
          <w:kern w:val="0"/>
          <w:lang w:eastAsia="en-US" w:bidi="ar-SA"/>
        </w:rPr>
        <w:t>, nr. 2004/</w:t>
      </w:r>
      <w:r w:rsidR="004575A6">
        <w:rPr>
          <w:rFonts w:eastAsiaTheme="minorEastAsia"/>
          <w:kern w:val="0"/>
          <w:lang w:eastAsia="en-US" w:bidi="ar-SA"/>
        </w:rPr>
        <w:t xml:space="preserve"> </w:t>
      </w:r>
      <w:r w:rsidRPr="00D147A7">
        <w:rPr>
          <w:rFonts w:eastAsiaTheme="minorEastAsia"/>
          <w:kern w:val="0"/>
          <w:lang w:eastAsia="en-US" w:bidi="ar-SA"/>
        </w:rPr>
        <w:t>08, Den Haag, 156p. (</w:t>
      </w:r>
      <w:hyperlink r:id="rId514" w:history="1">
        <w:r w:rsidRPr="00D147A7">
          <w:rPr>
            <w:rFonts w:eastAsiaTheme="minorEastAsia"/>
            <w:color w:val="0000FF"/>
            <w:kern w:val="0"/>
            <w:u w:val="single"/>
            <w:lang w:eastAsia="en-US" w:bidi="ar-SA"/>
          </w:rPr>
          <w:t>http://www.gezondheidsraad.nl/sites/default/files/04@08n1.pdf</w:t>
        </w:r>
      </w:hyperlink>
      <w:r w:rsidR="004575A6">
        <w:rPr>
          <w:rFonts w:eastAsiaTheme="minorEastAsia"/>
          <w:kern w:val="0"/>
          <w:lang w:eastAsia="en-US" w:bidi="ar-SA"/>
        </w:rPr>
        <w:t>, l</w:t>
      </w:r>
      <w:r w:rsidRPr="00D147A7">
        <w:rPr>
          <w:rFonts w:eastAsiaTheme="minorEastAsia"/>
          <w:kern w:val="0"/>
          <w:lang w:eastAsia="en-US" w:bidi="ar-SA"/>
        </w:rPr>
        <w:t>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Gezondheidsraad, </w:t>
      </w:r>
      <w:r w:rsidRPr="00D147A7">
        <w:rPr>
          <w:rFonts w:eastAsiaTheme="minorEastAsia"/>
          <w:i/>
          <w:kern w:val="0"/>
          <w:lang w:eastAsia="en-US" w:bidi="ar-SA"/>
        </w:rPr>
        <w:t>De bewaartermijn voor medische gegevens. Signalement</w:t>
      </w:r>
      <w:r w:rsidRPr="00D147A7">
        <w:rPr>
          <w:rFonts w:eastAsiaTheme="minorEastAsia"/>
          <w:kern w:val="0"/>
          <w:lang w:eastAsia="en-US" w:bidi="ar-SA"/>
        </w:rPr>
        <w:t>, nr. 2000/15, Den Haag, 2000, 49p. (</w:t>
      </w:r>
      <w:hyperlink r:id="rId515" w:history="1">
        <w:r w:rsidRPr="00D147A7">
          <w:rPr>
            <w:rFonts w:eastAsiaTheme="minorEastAsia"/>
            <w:color w:val="0000FF"/>
            <w:kern w:val="0"/>
            <w:u w:val="single"/>
            <w:lang w:eastAsia="en-US" w:bidi="ar-SA"/>
          </w:rPr>
          <w:t>http://www.gezondheidsraad.nl/sites/default/files/00@15N.PDF</w:t>
        </w:r>
      </w:hyperlink>
      <w:r w:rsidRPr="00D147A7">
        <w:rPr>
          <w:rFonts w:eastAsiaTheme="minorEastAsia"/>
          <w:kern w:val="0"/>
          <w:lang w:eastAsia="en-US" w:bidi="ar-SA"/>
        </w:rPr>
        <w:t>,</w:t>
      </w:r>
      <w:r w:rsidRPr="00D147A7">
        <w:rPr>
          <w:rFonts w:eastAsiaTheme="minorEastAsia"/>
          <w:kern w:val="0"/>
          <w:sz w:val="22"/>
          <w:szCs w:val="22"/>
          <w:lang w:eastAsia="en-US" w:bidi="ar-SA"/>
        </w:rPr>
        <w:t xml:space="preserve"> </w:t>
      </w:r>
      <w:r w:rsidRPr="00D147A7">
        <w:rPr>
          <w:rFonts w:eastAsiaTheme="minorEastAsia"/>
          <w:kern w:val="0"/>
          <w:lang w:eastAsia="en-US" w:bidi="ar-SA"/>
        </w:rPr>
        <w:t>laatst ge</w:t>
      </w:r>
      <w:r w:rsidR="004575A6">
        <w:rPr>
          <w:rFonts w:eastAsiaTheme="minorEastAsia"/>
          <w:kern w:val="0"/>
          <w:lang w:eastAsia="en-US" w:bidi="ar-SA"/>
        </w:rPr>
        <w:t>-</w:t>
      </w:r>
      <w:r w:rsidRPr="00D147A7">
        <w:rPr>
          <w:rFonts w:eastAsiaTheme="minorEastAsia"/>
          <w:kern w:val="0"/>
          <w:lang w:eastAsia="en-US" w:bidi="ar-SA"/>
        </w:rPr>
        <w:t>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HOOGERHUIS, O.W.; KRETZSCHMAR, L.P.E.; SCHOLTEN, F.W.J.; </w:t>
      </w:r>
      <w:r w:rsidRPr="00D147A7">
        <w:rPr>
          <w:rFonts w:eastAsiaTheme="minorEastAsia"/>
          <w:i/>
          <w:kern w:val="0"/>
          <w:lang w:eastAsia="en-US" w:bidi="ar-SA"/>
        </w:rPr>
        <w:t>Duurzaamheid van gegevensdragers in overheidsarchieven</w:t>
      </w:r>
      <w:r w:rsidRPr="00D147A7">
        <w:rPr>
          <w:rFonts w:eastAsiaTheme="minorEastAsia"/>
          <w:kern w:val="0"/>
          <w:lang w:eastAsia="en-US" w:bidi="ar-SA"/>
        </w:rPr>
        <w:t>, Arnhem, Landelijk Overleg van Provinciale Archief</w:t>
      </w:r>
      <w:r w:rsidR="004575A6">
        <w:rPr>
          <w:rFonts w:eastAsiaTheme="minorEastAsia"/>
          <w:kern w:val="0"/>
          <w:lang w:eastAsia="en-US" w:bidi="ar-SA"/>
        </w:rPr>
        <w:t>-</w:t>
      </w:r>
      <w:r w:rsidRPr="00D147A7">
        <w:rPr>
          <w:rFonts w:eastAsiaTheme="minorEastAsia"/>
          <w:kern w:val="0"/>
          <w:lang w:eastAsia="en-US" w:bidi="ar-SA"/>
        </w:rPr>
        <w:t>inspecteurs (LOPAI), 2005, 52p. (</w:t>
      </w:r>
      <w:hyperlink r:id="rId516" w:history="1">
        <w:r w:rsidR="004575A6" w:rsidRPr="00FD2358">
          <w:rPr>
            <w:rStyle w:val="Hyperlink"/>
            <w:rFonts w:eastAsiaTheme="minorEastAsia"/>
            <w:kern w:val="0"/>
            <w:lang w:eastAsia="en-US" w:bidi="ar-SA"/>
          </w:rPr>
          <w:t>http://www.lopai.nl/pdf/lopai_brochure_duurzaamheid</w:t>
        </w:r>
        <w:r w:rsidR="004575A6" w:rsidRPr="00FD2358">
          <w:rPr>
            <w:rStyle w:val="Hyperlink"/>
            <w:rFonts w:eastAsiaTheme="minorEastAsia"/>
            <w:kern w:val="0"/>
            <w:lang w:eastAsia="en-US" w:bidi="ar-SA"/>
          </w:rPr>
          <w:softHyphen/>
          <w:t>_ 2005</w:t>
        </w:r>
      </w:hyperlink>
      <w:r w:rsidR="009D11A3" w:rsidRPr="00D147A7">
        <w:rPr>
          <w:rFonts w:eastAsiaTheme="minorEastAsia"/>
          <w:kern w:val="0"/>
          <w:lang w:eastAsia="en-US" w:bidi="ar-SA"/>
        </w:rPr>
        <w:t>, la</w:t>
      </w:r>
      <w:r w:rsidRPr="00D147A7">
        <w:rPr>
          <w:rFonts w:eastAsiaTheme="minorEastAsia"/>
          <w:kern w:val="0"/>
          <w:lang w:eastAsia="en-US" w:bidi="ar-SA"/>
        </w:rPr>
        <w:t>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KETELAAR, E., ‘Academische ziekenhuizen en de Archiefwet. Lokt Van Herten uit tot een ambtsmisdrijf?’, </w:t>
      </w:r>
      <w:r w:rsidRPr="00D147A7">
        <w:rPr>
          <w:rFonts w:eastAsiaTheme="minorEastAsia"/>
          <w:i/>
          <w:kern w:val="0"/>
          <w:lang w:eastAsia="en-US" w:bidi="ar-SA"/>
        </w:rPr>
        <w:t>N.A.</w:t>
      </w:r>
      <w:r w:rsidRPr="00D147A7">
        <w:rPr>
          <w:rFonts w:eastAsiaTheme="minorEastAsia"/>
          <w:kern w:val="0"/>
          <w:lang w:eastAsia="en-US" w:bidi="ar-SA"/>
        </w:rPr>
        <w:t>, 91/2 (1987), p. 151-154.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KETELAAR, E., ‘Circulaire bewijs- en rechtskracht van (reproducties van) archiefbeschei</w:t>
      </w:r>
      <w:r w:rsidR="004575A6">
        <w:rPr>
          <w:rFonts w:eastAsiaTheme="minorEastAsia"/>
          <w:kern w:val="0"/>
          <w:lang w:eastAsia="en-US" w:bidi="ar-SA"/>
        </w:rPr>
        <w:t>-</w:t>
      </w:r>
      <w:r w:rsidRPr="00D147A7">
        <w:rPr>
          <w:rFonts w:eastAsiaTheme="minorEastAsia"/>
          <w:kern w:val="0"/>
          <w:lang w:eastAsia="en-US" w:bidi="ar-SA"/>
        </w:rPr>
        <w:t xml:space="preserve">den’, KETELAAR, E. (red.), </w:t>
      </w:r>
      <w:r w:rsidRPr="00D147A7">
        <w:rPr>
          <w:rFonts w:eastAsiaTheme="minorEastAsia"/>
          <w:i/>
          <w:kern w:val="0"/>
          <w:lang w:eastAsia="en-US" w:bidi="ar-SA"/>
        </w:rPr>
        <w:t>Archiefrecht</w:t>
      </w:r>
      <w:r w:rsidRPr="00D147A7">
        <w:rPr>
          <w:rFonts w:eastAsiaTheme="minorEastAsia"/>
          <w:kern w:val="0"/>
          <w:lang w:eastAsia="en-US" w:bidi="ar-SA"/>
        </w:rPr>
        <w:t>, Houten, Bohn Stafleu Van Loghum, 2000 (losbl.), p. C1-1 – C1-2 (</w:t>
      </w:r>
      <w:hyperlink r:id="rId517" w:history="1">
        <w:r w:rsidRPr="00D147A7">
          <w:rPr>
            <w:rFonts w:eastAsiaTheme="minorEastAsia"/>
            <w:color w:val="0000FF"/>
            <w:kern w:val="0"/>
            <w:u w:val="single"/>
            <w:lang w:eastAsia="en-US" w:bidi="ar-SA"/>
          </w:rPr>
          <w:t>www.iwabase.nl</w:t>
        </w:r>
      </w:hyperlink>
      <w:r w:rsidRPr="00D147A7">
        <w:rPr>
          <w:rFonts w:eastAsiaTheme="minorEastAsia"/>
          <w:kern w:val="0"/>
          <w:lang w:eastAsia="en-US" w:bidi="ar-SA"/>
        </w:rPr>
        <w:t>).</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KETELAAR, E., ‘Dupliek’, </w:t>
      </w:r>
      <w:r w:rsidRPr="00D147A7">
        <w:rPr>
          <w:rFonts w:eastAsiaTheme="minorEastAsia"/>
          <w:i/>
          <w:kern w:val="0"/>
          <w:lang w:eastAsia="en-US" w:bidi="ar-SA"/>
        </w:rPr>
        <w:t>N.A.</w:t>
      </w:r>
      <w:r w:rsidRPr="00D147A7">
        <w:rPr>
          <w:rFonts w:eastAsiaTheme="minorEastAsia"/>
          <w:kern w:val="0"/>
          <w:lang w:eastAsia="en-US" w:bidi="ar-SA"/>
        </w:rPr>
        <w:t>, 91/2 (1987), p. 154.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KNMG, ‘Mag het papieren medische dossier worden vernietigd als dit volledig is gescand en opgeslagen in een elektronisch dossier?’, </w:t>
      </w:r>
      <w:r w:rsidRPr="00D147A7">
        <w:rPr>
          <w:rFonts w:eastAsiaTheme="minorEastAsia"/>
          <w:i/>
          <w:kern w:val="0"/>
          <w:lang w:eastAsia="en-US" w:bidi="ar-SA"/>
        </w:rPr>
        <w:t>M.C.</w:t>
      </w:r>
      <w:r w:rsidRPr="00D147A7">
        <w:rPr>
          <w:rFonts w:eastAsiaTheme="minorEastAsia"/>
          <w:kern w:val="0"/>
          <w:lang w:eastAsia="en-US" w:bidi="ar-SA"/>
        </w:rPr>
        <w:t>, 65/9 (2010), p. 417.</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PLOEM, M.C., ‘Inzage in het medisch dossier na overlijden van de patiënt: uitgangspunten en actuele ontwikkelingen in de rechtspraak’, </w:t>
      </w:r>
      <w:r w:rsidRPr="00D147A7">
        <w:rPr>
          <w:rFonts w:eastAsiaTheme="minorEastAsia"/>
          <w:i/>
          <w:kern w:val="0"/>
          <w:lang w:eastAsia="en-US" w:bidi="ar-SA"/>
        </w:rPr>
        <w:t>N.T.G.</w:t>
      </w:r>
      <w:r w:rsidRPr="00D147A7">
        <w:rPr>
          <w:rFonts w:eastAsiaTheme="minorEastAsia"/>
          <w:kern w:val="0"/>
          <w:lang w:eastAsia="en-US" w:bidi="ar-SA"/>
        </w:rPr>
        <w:t>, 143/36 (1999), p. 1826-1829.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TEMPELMAN, I.M., ‘Digitalisering doet bewijskracht documenten de das om?’, </w:t>
      </w:r>
      <w:r w:rsidRPr="00D147A7">
        <w:rPr>
          <w:rFonts w:eastAsiaTheme="minorEastAsia"/>
          <w:i/>
          <w:kern w:val="0"/>
          <w:lang w:eastAsia="en-US" w:bidi="ar-SA"/>
        </w:rPr>
        <w:t>Trema</w:t>
      </w:r>
      <w:r w:rsidRPr="00D147A7">
        <w:rPr>
          <w:rFonts w:eastAsiaTheme="minorEastAsia"/>
          <w:kern w:val="0"/>
          <w:lang w:eastAsia="en-US" w:bidi="ar-SA"/>
        </w:rPr>
        <w:t>, 31/9 (2008), p. 404-408.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DEN ASSEM, R.; WALGEMOED, P.; ‘Medische gegevens, de uitdaging van het be</w:t>
      </w:r>
      <w:r w:rsidR="004575A6">
        <w:rPr>
          <w:rFonts w:eastAsiaTheme="minorEastAsia"/>
          <w:kern w:val="0"/>
          <w:lang w:eastAsia="en-US" w:bidi="ar-SA"/>
        </w:rPr>
        <w:t>-</w:t>
      </w:r>
      <w:r w:rsidRPr="00D147A7">
        <w:rPr>
          <w:rFonts w:eastAsiaTheme="minorEastAsia"/>
          <w:kern w:val="0"/>
          <w:lang w:eastAsia="en-US" w:bidi="ar-SA"/>
        </w:rPr>
        <w:t xml:space="preserve">waren, ontsluiten en vernietigen’, </w:t>
      </w:r>
      <w:r w:rsidRPr="00D147A7">
        <w:rPr>
          <w:rFonts w:eastAsiaTheme="minorEastAsia"/>
          <w:i/>
          <w:kern w:val="0"/>
          <w:lang w:eastAsia="en-US" w:bidi="ar-SA"/>
        </w:rPr>
        <w:t>Zorgspecial</w:t>
      </w:r>
      <w:r w:rsidRPr="00D147A7">
        <w:rPr>
          <w:rFonts w:eastAsiaTheme="minorEastAsia"/>
          <w:kern w:val="0"/>
          <w:lang w:eastAsia="en-US" w:bidi="ar-SA"/>
        </w:rPr>
        <w:t>, 8/1 (2006), p. 19-24 (</w:t>
      </w:r>
      <w:hyperlink r:id="rId518" w:history="1">
        <w:r w:rsidR="004575A6" w:rsidRPr="00FD2358">
          <w:rPr>
            <w:rStyle w:val="Hyperlink"/>
            <w:rFonts w:eastAsiaTheme="minorEastAsia"/>
            <w:kern w:val="0"/>
            <w:lang w:eastAsia="en-US" w:bidi="ar-SA"/>
          </w:rPr>
          <w:t>http://www.vka.nl/sites/ default/files/downloads/ZorgSpecial%20artikel%20RvdAssem%20-1-2006.pdf</w:t>
        </w:r>
      </w:hyperlink>
      <w:r w:rsidRPr="00D147A7">
        <w:rPr>
          <w:rFonts w:eastAsiaTheme="minorEastAsia"/>
          <w:kern w:val="0"/>
          <w:lang w:eastAsia="en-US" w:bidi="ar-SA"/>
        </w:rPr>
        <w:t>, laatst geraad</w:t>
      </w:r>
      <w:r w:rsidR="004575A6">
        <w:rPr>
          <w:rFonts w:eastAsiaTheme="minorEastAsia"/>
          <w:kern w:val="0"/>
          <w:lang w:eastAsia="en-US" w:bidi="ar-SA"/>
        </w:rPr>
        <w:t>-</w:t>
      </w:r>
      <w:r w:rsidRPr="00D147A7">
        <w:rPr>
          <w:rFonts w:eastAsiaTheme="minorEastAsia"/>
          <w:kern w:val="0"/>
          <w:lang w:eastAsia="en-US" w:bidi="ar-SA"/>
        </w:rPr>
        <w:t>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DER GOUW, J.L.; HARDENBERG, H.; VAN HOBOKEN, W.J.; PANHUYSEN, G.W.A.; </w:t>
      </w:r>
      <w:r w:rsidRPr="00D147A7">
        <w:rPr>
          <w:rFonts w:eastAsiaTheme="minorEastAsia"/>
          <w:i/>
          <w:kern w:val="0"/>
          <w:lang w:eastAsia="en-US" w:bidi="ar-SA"/>
        </w:rPr>
        <w:t>Nederlandse</w:t>
      </w:r>
      <w:r w:rsidRPr="00D147A7">
        <w:rPr>
          <w:rFonts w:eastAsiaTheme="minorEastAsia"/>
          <w:kern w:val="0"/>
          <w:lang w:eastAsia="en-US" w:bidi="ar-SA"/>
        </w:rPr>
        <w:t xml:space="preserve"> </w:t>
      </w:r>
      <w:r w:rsidRPr="00D147A7">
        <w:rPr>
          <w:rFonts w:eastAsiaTheme="minorEastAsia"/>
          <w:i/>
          <w:kern w:val="0"/>
          <w:lang w:eastAsia="en-US" w:bidi="ar-SA"/>
        </w:rPr>
        <w:t>archiefterminologie</w:t>
      </w:r>
      <w:r w:rsidRPr="00D147A7">
        <w:rPr>
          <w:rFonts w:eastAsiaTheme="minorEastAsia"/>
          <w:kern w:val="0"/>
          <w:lang w:eastAsia="en-US" w:bidi="ar-SA"/>
        </w:rPr>
        <w:t>, Zwolle, 1962, 42p.</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HERTEN, J.H.S., ‘Academische ziekenhuizen en medische dossiers’, </w:t>
      </w:r>
      <w:r w:rsidRPr="00D147A7">
        <w:rPr>
          <w:rFonts w:eastAsiaTheme="minorEastAsia"/>
          <w:i/>
          <w:kern w:val="0"/>
          <w:lang w:eastAsia="en-US" w:bidi="ar-SA"/>
        </w:rPr>
        <w:t>N.A.</w:t>
      </w:r>
      <w:r w:rsidRPr="00D147A7">
        <w:rPr>
          <w:rFonts w:eastAsiaTheme="minorEastAsia"/>
          <w:kern w:val="0"/>
          <w:lang w:eastAsia="en-US" w:bidi="ar-SA"/>
        </w:rPr>
        <w:t>, 91/2 (1987), p. 152-154.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VAN HERTEN, J.H.S., ‘De archiefwet en academische ziekenhuizen’,</w:t>
      </w:r>
      <w:r w:rsidRPr="00D147A7">
        <w:rPr>
          <w:rFonts w:eastAsiaTheme="minorEastAsia"/>
          <w:i/>
          <w:kern w:val="0"/>
          <w:lang w:eastAsia="en-US" w:bidi="ar-SA"/>
        </w:rPr>
        <w:t xml:space="preserve"> N.A.</w:t>
      </w:r>
      <w:r w:rsidRPr="00D147A7">
        <w:rPr>
          <w:rFonts w:eastAsiaTheme="minorEastAsia"/>
          <w:kern w:val="0"/>
          <w:lang w:eastAsia="en-US" w:bidi="ar-SA"/>
        </w:rPr>
        <w:t>, 91/2 (1987), p. 146-150.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HUTTEN, R.W.; SCHERMER VOEST, S.A.M.; VERHOEVEN, M.; VERSCHOOR, N.; </w:t>
      </w:r>
      <w:r w:rsidRPr="00D147A7">
        <w:rPr>
          <w:rFonts w:eastAsiaTheme="minorEastAsia"/>
          <w:i/>
          <w:kern w:val="0"/>
          <w:lang w:eastAsia="en-US" w:bidi="ar-SA"/>
        </w:rPr>
        <w:t>Bewaartermijnen Patiëntendossiers. Een pragmatische oplossing</w:t>
      </w:r>
      <w:r w:rsidRPr="00D147A7">
        <w:rPr>
          <w:rFonts w:eastAsiaTheme="minorEastAsia"/>
          <w:kern w:val="0"/>
          <w:lang w:eastAsia="en-US" w:bidi="ar-SA"/>
        </w:rPr>
        <w:t xml:space="preserve">, Hoorn, Nederlandse Vereniging voor Medische Administratie, 1994, 44p.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VAN LEEUWEN, F.E.; SCHORNAGEL, J.H.; ‘Bewaren of vernietigen? Het belang van het dossier voor de patiënt van gisteren en morgen’, </w:t>
      </w:r>
      <w:r w:rsidRPr="00D147A7">
        <w:rPr>
          <w:rFonts w:eastAsiaTheme="minorEastAsia"/>
          <w:i/>
          <w:kern w:val="0"/>
          <w:lang w:eastAsia="en-US" w:bidi="ar-SA"/>
        </w:rPr>
        <w:t>N.T.G.</w:t>
      </w:r>
      <w:r w:rsidRPr="00D147A7">
        <w:rPr>
          <w:rFonts w:eastAsiaTheme="minorEastAsia"/>
          <w:kern w:val="0"/>
          <w:lang w:eastAsia="en-US" w:bidi="ar-SA"/>
        </w:rPr>
        <w:t>, 145/10 (2001), p. 455-460.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VOLSKUIL, P.H.A., ‘Geschiedenis der geneeskunde: het medische dossier van Theo van Gogh’, </w:t>
      </w:r>
      <w:r w:rsidRPr="00D147A7">
        <w:rPr>
          <w:rFonts w:eastAsiaTheme="minorEastAsia"/>
          <w:i/>
          <w:kern w:val="0"/>
          <w:lang w:eastAsia="en-US" w:bidi="ar-SA"/>
        </w:rPr>
        <w:t>N.T.G.</w:t>
      </w:r>
      <w:r w:rsidRPr="00D147A7">
        <w:rPr>
          <w:rFonts w:eastAsiaTheme="minorEastAsia"/>
          <w:kern w:val="0"/>
          <w:lang w:eastAsia="en-US" w:bidi="ar-SA"/>
        </w:rPr>
        <w:t xml:space="preserve">, 136 (1992), p. 1777-1780.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VOLSKUIL, P.H.A., ‘De doodsoorzaak van Theo van Gogh (1857-1891)’, </w:t>
      </w:r>
      <w:r w:rsidRPr="00D147A7">
        <w:rPr>
          <w:rFonts w:eastAsiaTheme="minorEastAsia"/>
          <w:i/>
          <w:kern w:val="0"/>
          <w:lang w:eastAsia="en-US" w:bidi="ar-SA"/>
        </w:rPr>
        <w:t>N.T.G.</w:t>
      </w:r>
      <w:r w:rsidRPr="00D147A7">
        <w:rPr>
          <w:rFonts w:eastAsiaTheme="minorEastAsia"/>
          <w:kern w:val="0"/>
          <w:lang w:eastAsia="en-US" w:bidi="ar-SA"/>
        </w:rPr>
        <w:t>, 153/19 (2009), p. 362.</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2.5 Websites</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2E7E12" w:rsidP="000F560E">
      <w:pPr>
        <w:widowControl/>
        <w:suppressAutoHyphens w:val="0"/>
        <w:jc w:val="both"/>
        <w:rPr>
          <w:rFonts w:eastAsiaTheme="minorEastAsia"/>
          <w:kern w:val="0"/>
          <w:lang w:eastAsia="en-US" w:bidi="ar-SA"/>
        </w:rPr>
      </w:pPr>
      <w:hyperlink r:id="rId519" w:history="1">
        <w:r w:rsidR="000F560E" w:rsidRPr="00D147A7">
          <w:rPr>
            <w:rFonts w:eastAsiaTheme="minorEastAsia"/>
            <w:color w:val="0000FF"/>
            <w:kern w:val="0"/>
            <w:u w:val="single"/>
            <w:lang w:eastAsia="en-US" w:bidi="ar-SA"/>
          </w:rPr>
          <w:t>http://www.archieven.nl/</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0" w:history="1">
        <w:r w:rsidR="000F560E" w:rsidRPr="00D147A7">
          <w:rPr>
            <w:rFonts w:eastAsiaTheme="minorEastAsia"/>
            <w:color w:val="0000FF"/>
            <w:kern w:val="0"/>
            <w:u w:val="single"/>
            <w:lang w:eastAsia="en-US" w:bidi="ar-SA"/>
          </w:rPr>
          <w:t>http://www.domeinenrz.nl/</w:t>
        </w:r>
      </w:hyperlink>
      <w:r w:rsidR="000F560E" w:rsidRPr="00D147A7">
        <w:rPr>
          <w:rFonts w:eastAsiaTheme="minorEastAsia"/>
          <w:kern w:val="0"/>
          <w:lang w:eastAsia="en-US" w:bidi="ar-SA"/>
        </w:rPr>
        <w:t>.</w:t>
      </w:r>
    </w:p>
    <w:p w:rsidR="000F560E" w:rsidRPr="00D147A7" w:rsidRDefault="0009133E" w:rsidP="000F560E">
      <w:pPr>
        <w:widowControl/>
        <w:suppressAutoHyphens w:val="0"/>
        <w:jc w:val="both"/>
        <w:rPr>
          <w:rFonts w:eastAsiaTheme="minorEastAsia"/>
          <w:kern w:val="0"/>
          <w:lang w:eastAsia="en-US" w:bidi="ar-SA"/>
        </w:rPr>
      </w:pPr>
      <w:r w:rsidRPr="00D147A7">
        <w:rPr>
          <w:rFonts w:eastAsiaTheme="minorEastAsia"/>
          <w:color w:val="0000FF"/>
          <w:kern w:val="0"/>
          <w:u w:val="single"/>
          <w:lang w:eastAsia="en-US" w:bidi="ar-SA"/>
        </w:rPr>
        <w:t>http://www.erfgoedinspectie.nl/</w:t>
      </w:r>
      <w:r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1" w:history="1">
        <w:r w:rsidR="000F560E" w:rsidRPr="00D147A7">
          <w:rPr>
            <w:rFonts w:eastAsiaTheme="minorEastAsia"/>
            <w:color w:val="0000FF"/>
            <w:kern w:val="0"/>
            <w:u w:val="single"/>
            <w:lang w:eastAsia="en-US" w:bidi="ar-SA"/>
          </w:rPr>
          <w:t>http://www.flickr.com</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2" w:history="1">
        <w:r w:rsidR="000F560E" w:rsidRPr="00D147A7">
          <w:rPr>
            <w:rFonts w:eastAsiaTheme="minorEastAsia"/>
            <w:color w:val="0000FF"/>
            <w:kern w:val="0"/>
            <w:u w:val="single"/>
            <w:lang w:eastAsia="en-US" w:bidi="ar-SA"/>
          </w:rPr>
          <w:t>http://www.geheugenvannederland.nl</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3" w:history="1">
        <w:r w:rsidR="000F560E" w:rsidRPr="00D147A7">
          <w:rPr>
            <w:rFonts w:eastAsiaTheme="minorEastAsia"/>
            <w:color w:val="0000FF"/>
            <w:kern w:val="0"/>
            <w:u w:val="single"/>
            <w:lang w:eastAsia="en-US" w:bidi="ar-SA"/>
          </w:rPr>
          <w:t>http://www.gezondheidsraad.nl/</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4" w:history="1">
        <w:r w:rsidR="000F560E" w:rsidRPr="00D147A7">
          <w:rPr>
            <w:rFonts w:eastAsiaTheme="minorEastAsia"/>
            <w:color w:val="0000FF"/>
            <w:kern w:val="0"/>
            <w:u w:val="single"/>
            <w:lang w:eastAsia="en-US" w:bidi="ar-SA"/>
          </w:rPr>
          <w:t>http://www.handelingenbank.info/</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5" w:history="1">
        <w:r w:rsidR="000F560E" w:rsidRPr="00D147A7">
          <w:rPr>
            <w:rFonts w:eastAsiaTheme="minorEastAsia"/>
            <w:color w:val="0000FF"/>
            <w:kern w:val="0"/>
            <w:sz w:val="22"/>
            <w:szCs w:val="22"/>
            <w:u w:val="single"/>
            <w:lang w:eastAsia="en-US" w:bidi="ar-SA"/>
          </w:rPr>
          <w:t>http://</w:t>
        </w:r>
        <w:r w:rsidR="000F560E" w:rsidRPr="00D147A7">
          <w:rPr>
            <w:rFonts w:eastAsiaTheme="minorEastAsia"/>
            <w:color w:val="0000FF"/>
            <w:kern w:val="0"/>
            <w:u w:val="single"/>
            <w:lang w:eastAsia="en-US" w:bidi="ar-SA"/>
          </w:rPr>
          <w:t>www.iwabase.nl</w:t>
        </w:r>
      </w:hyperlink>
      <w:r w:rsidR="000F560E" w:rsidRPr="00D147A7">
        <w:rPr>
          <w:rFonts w:eastAsiaTheme="minorEastAsia"/>
          <w:kern w:val="0"/>
          <w:lang w:eastAsia="en-US" w:bidi="ar-SA"/>
        </w:rPr>
        <w:t xml:space="preserve">. </w:t>
      </w:r>
    </w:p>
    <w:p w:rsidR="000F560E" w:rsidRPr="00D147A7" w:rsidRDefault="002E7E12" w:rsidP="000F560E">
      <w:pPr>
        <w:widowControl/>
        <w:suppressAutoHyphens w:val="0"/>
        <w:jc w:val="both"/>
        <w:rPr>
          <w:rFonts w:eastAsiaTheme="minorEastAsia"/>
          <w:kern w:val="0"/>
          <w:lang w:eastAsia="en-US" w:bidi="ar-SA"/>
        </w:rPr>
      </w:pPr>
      <w:hyperlink r:id="rId526" w:history="1">
        <w:r w:rsidR="000F560E" w:rsidRPr="00D147A7">
          <w:rPr>
            <w:rFonts w:eastAsiaTheme="minorEastAsia"/>
            <w:color w:val="0000FF"/>
            <w:kern w:val="0"/>
            <w:u w:val="single"/>
            <w:lang w:eastAsia="en-US" w:bidi="ar-SA"/>
          </w:rPr>
          <w:t>http://www.lopai.nl/</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7" w:history="1">
        <w:r w:rsidR="000F560E" w:rsidRPr="00D147A7">
          <w:rPr>
            <w:rFonts w:eastAsiaTheme="minorEastAsia"/>
            <w:color w:val="0000FF"/>
            <w:kern w:val="0"/>
            <w:u w:val="single"/>
            <w:lang w:eastAsia="en-US" w:bidi="ar-SA"/>
          </w:rPr>
          <w:t>http://www.nfu.nl/</w:t>
        </w:r>
      </w:hyperlink>
      <w:r w:rsidR="000F560E" w:rsidRPr="00D147A7">
        <w:rPr>
          <w:rFonts w:eastAsiaTheme="minorEastAsia"/>
          <w:kern w:val="0"/>
          <w:lang w:eastAsia="en-US" w:bidi="ar-SA"/>
        </w:rPr>
        <w:t>.</w:t>
      </w:r>
    </w:p>
    <w:p w:rsidR="000F560E" w:rsidRPr="00D147A7" w:rsidRDefault="002E7E12" w:rsidP="000F560E">
      <w:pPr>
        <w:widowControl/>
        <w:suppressAutoHyphens w:val="0"/>
        <w:jc w:val="both"/>
        <w:rPr>
          <w:rFonts w:eastAsiaTheme="minorEastAsia"/>
          <w:kern w:val="0"/>
          <w:lang w:eastAsia="en-US" w:bidi="ar-SA"/>
        </w:rPr>
      </w:pPr>
      <w:hyperlink r:id="rId528" w:history="1">
        <w:r w:rsidR="000F560E" w:rsidRPr="00D147A7">
          <w:rPr>
            <w:rFonts w:eastAsiaTheme="minorEastAsia"/>
            <w:color w:val="0000FF"/>
            <w:kern w:val="0"/>
            <w:u w:val="single"/>
            <w:lang w:eastAsia="en-US" w:bidi="ar-SA"/>
          </w:rPr>
          <w:t>http://www.reisswolf.nl/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lang w:eastAsia="en-US" w:bidi="ar-SA"/>
        </w:rPr>
      </w:pPr>
      <w:hyperlink r:id="rId529" w:history="1">
        <w:r w:rsidR="000F560E" w:rsidRPr="00D147A7">
          <w:rPr>
            <w:rFonts w:eastAsiaTheme="minorEastAsia"/>
            <w:color w:val="0000FF"/>
            <w:kern w:val="0"/>
            <w:u w:val="single"/>
            <w:lang w:eastAsia="en-US" w:bidi="ar-SA"/>
          </w:rPr>
          <w:t>http://www.vka.nl/</w:t>
        </w:r>
      </w:hyperlink>
      <w:r w:rsidR="000F560E" w:rsidRPr="00D147A7">
        <w:rPr>
          <w:rFonts w:eastAsiaTheme="minorEastAsia"/>
          <w:kern w:val="0"/>
          <w:lang w:eastAsia="en-US" w:bidi="ar-SA"/>
        </w:rPr>
        <w:t>.</w:t>
      </w:r>
    </w:p>
    <w:p w:rsidR="000F560E" w:rsidRPr="00D147A7" w:rsidRDefault="002E7E12" w:rsidP="000F560E">
      <w:pPr>
        <w:widowControl/>
        <w:suppressAutoHyphens w:val="0"/>
        <w:rPr>
          <w:rFonts w:eastAsiaTheme="minorEastAsia"/>
          <w:kern w:val="0"/>
          <w:sz w:val="22"/>
          <w:szCs w:val="22"/>
          <w:lang w:eastAsia="en-US" w:bidi="ar-SA"/>
        </w:rPr>
      </w:pPr>
      <w:hyperlink r:id="rId530" w:history="1">
        <w:r w:rsidR="0009133E" w:rsidRPr="00D147A7">
          <w:rPr>
            <w:rStyle w:val="Hyperlink"/>
            <w:rFonts w:eastAsiaTheme="minorEastAsia"/>
            <w:kern w:val="0"/>
            <w:lang w:eastAsia="en-US" w:bidi="ar-SA"/>
          </w:rPr>
          <w:t>http://www.vumc.nl/afdelingen/metamedica/medischegeschiedenis1/</w:t>
        </w:r>
      </w:hyperlink>
      <w:r w:rsidR="0009133E" w:rsidRPr="00D147A7">
        <w:rPr>
          <w:rFonts w:eastAsiaTheme="minorEastAsia"/>
          <w:kern w:val="0"/>
          <w:lang w:eastAsia="en-US" w:bidi="ar-SA"/>
        </w:rPr>
        <w:t xml:space="preserve"> (l</w:t>
      </w:r>
      <w:r w:rsidR="000F560E" w:rsidRPr="00D147A7">
        <w:rPr>
          <w:rFonts w:eastAsiaTheme="minorEastAsia"/>
          <w:kern w:val="0"/>
          <w:lang w:eastAsia="en-US" w:bidi="ar-SA"/>
        </w:rPr>
        <w:t>aatst geraadpleegd op 23 juli 2012).</w:t>
      </w:r>
    </w:p>
    <w:p w:rsidR="000F560E" w:rsidRPr="00D147A7" w:rsidRDefault="000F560E" w:rsidP="000F560E">
      <w:pPr>
        <w:widowControl/>
        <w:suppressAutoHyphens w:val="0"/>
        <w:rPr>
          <w:rFonts w:eastAsiaTheme="minorEastAsia"/>
          <w:smallCaps/>
          <w:kern w:val="0"/>
          <w:highlight w:val="yellow"/>
          <w:lang w:eastAsia="en-US" w:bidi="ar-SA"/>
        </w:rPr>
      </w:pPr>
    </w:p>
    <w:p w:rsidR="000F560E" w:rsidRPr="00D147A7" w:rsidRDefault="000F560E" w:rsidP="000F560E">
      <w:pPr>
        <w:widowControl/>
        <w:suppressAutoHyphens w:val="0"/>
        <w:rPr>
          <w:rFonts w:eastAsiaTheme="minorEastAsia"/>
          <w:smallCaps/>
          <w:kern w:val="0"/>
          <w:highlight w:val="yellow"/>
          <w:lang w:eastAsia="en-US" w:bidi="ar-SA"/>
        </w:rPr>
      </w:pPr>
    </w:p>
    <w:p w:rsidR="000F560E" w:rsidRPr="00D147A7" w:rsidRDefault="000F560E" w:rsidP="000F560E">
      <w:pPr>
        <w:widowControl/>
        <w:suppressAutoHyphens w:val="0"/>
        <w:ind w:firstLine="708"/>
        <w:rPr>
          <w:rFonts w:eastAsiaTheme="minorEastAsia"/>
          <w:b/>
          <w:smallCaps/>
          <w:kern w:val="0"/>
          <w:lang w:eastAsia="en-US" w:bidi="ar-SA"/>
        </w:rPr>
      </w:pPr>
      <w:r w:rsidRPr="00D147A7">
        <w:rPr>
          <w:rFonts w:eastAsiaTheme="minorEastAsia"/>
          <w:b/>
          <w:smallCaps/>
          <w:kern w:val="0"/>
          <w:lang w:eastAsia="en-US" w:bidi="ar-SA"/>
        </w:rPr>
        <w:t>5.6.3. Frankrijk</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3.1 Parlementaire voorbereidingen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Advies van mevrouw Martine de Boisdeffre, directrice van de archives de France, bij art. 3 ontwerp van wet nr. 2008-696 van 15 juli 2008 in: GARREC, R., Rapport du Sénat, nr. 146, 19 décembre 2007 (</w:t>
      </w:r>
      <w:hyperlink r:id="rId531" w:history="1">
        <w:r w:rsidRPr="00D147A7">
          <w:rPr>
            <w:rFonts w:eastAsiaTheme="minorEastAsia"/>
            <w:color w:val="0000FF"/>
            <w:kern w:val="0"/>
            <w:u w:val="single"/>
            <w:lang w:eastAsia="en-US" w:bidi="ar-SA"/>
          </w:rPr>
          <w:t>http://www.senat.fr/rap/l07-146/l07-1463.html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3.2 Instructies, richtlijnen en rondzendbrieven</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Instructie DPACI/RES/2007/014 van 14 augustus 2007 betreffende de bewaring van het me</w:t>
      </w:r>
      <w:r w:rsidR="004575A6">
        <w:rPr>
          <w:rFonts w:eastAsiaTheme="minorEastAsia"/>
          <w:kern w:val="0"/>
          <w:lang w:eastAsia="en-US" w:bidi="ar-SA"/>
        </w:rPr>
        <w:t>-</w:t>
      </w:r>
      <w:r w:rsidRPr="00D147A7">
        <w:rPr>
          <w:rFonts w:eastAsiaTheme="minorEastAsia"/>
          <w:kern w:val="0"/>
          <w:lang w:eastAsia="en-US" w:bidi="ar-SA"/>
        </w:rPr>
        <w:t>disch dossier (</w:t>
      </w:r>
      <w:hyperlink r:id="rId532" w:history="1">
        <w:r w:rsidRPr="00D147A7">
          <w:rPr>
            <w:rFonts w:eastAsiaTheme="minorEastAsia"/>
            <w:color w:val="0000FF"/>
            <w:kern w:val="0"/>
            <w:u w:val="single"/>
            <w:lang w:eastAsia="en-US" w:bidi="ar-SA"/>
          </w:rPr>
          <w:t>http://www.archivesdefrance.culture.gouv.fr/static/1877</w:t>
        </w:r>
      </w:hyperlink>
      <w:r w:rsidRPr="00D147A7">
        <w:rPr>
          <w:rFonts w:eastAsiaTheme="minorEastAsia"/>
          <w:color w:val="0000FF"/>
          <w:kern w:val="0"/>
          <w:u w:val="single"/>
          <w:lang w:eastAsia="en-US" w:bidi="ar-SA"/>
        </w:rPr>
        <w:t xml:space="preserve">, </w:t>
      </w:r>
      <w:r w:rsidRPr="00D147A7">
        <w:rPr>
          <w:rFonts w:eastAsiaTheme="minorEastAsia"/>
          <w:kern w:val="0"/>
          <w:lang w:eastAsia="en-US" w:bidi="ar-SA"/>
        </w:rPr>
        <w:t>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Interministeriële richtlijn nr. DHOS/E1/DAF/DPACI/2007/322 en nr. DAF/DPACI/RES/</w:t>
      </w:r>
      <w:r w:rsidR="0009133E" w:rsidRPr="00D147A7">
        <w:rPr>
          <w:rFonts w:eastAsiaTheme="minorEastAsia"/>
          <w:kern w:val="0"/>
          <w:lang w:eastAsia="en-US" w:bidi="ar-SA"/>
        </w:rPr>
        <w:t xml:space="preserve"> </w:t>
      </w:r>
      <w:r w:rsidRPr="00D147A7">
        <w:rPr>
          <w:rFonts w:eastAsiaTheme="minorEastAsia"/>
          <w:kern w:val="0"/>
          <w:lang w:eastAsia="en-US" w:bidi="ar-SA"/>
        </w:rPr>
        <w:t>2007/014 van 14 augustus 2007 betreffende de bewaring van het medisch dossier (</w:t>
      </w:r>
      <w:hyperlink w:history="1">
        <w:r w:rsidR="0009133E" w:rsidRPr="00D147A7">
          <w:rPr>
            <w:rStyle w:val="Hyperlink"/>
            <w:rFonts w:eastAsiaTheme="minorEastAsia"/>
            <w:kern w:val="0"/>
            <w:lang w:eastAsia="en-US" w:bidi="ar-SA"/>
          </w:rPr>
          <w:t>http:// circulaire.legifrance.gouv.fr/pdf/2009/04/cir_7194.pdf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van 9 november 1835 betreffende de te geven bestemming bij de omzet van oude documenten.</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79/6 van 31 december 1979 betreffende de instructie over de behandeling van documenten in departementale archieven die na 10 juli 1940 gevormd werden (</w:t>
      </w:r>
      <w:hyperlink w:history="1">
        <w:r w:rsidR="004575A6" w:rsidRPr="00FD2358">
          <w:rPr>
            <w:rStyle w:val="Hyperlink"/>
            <w:rFonts w:eastAsiaTheme="minorEastAsia"/>
            <w:kern w:val="0"/>
            <w:lang w:eastAsia="en-US" w:bidi="ar-SA"/>
          </w:rPr>
          <w:t>http:// www.archivesdefrance.culture.gouv.fr/static/1091</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93-4 van 14 mei 1993, Archieven over hospitalisaties in openbare zieken</w:t>
      </w:r>
      <w:r w:rsidR="004575A6">
        <w:rPr>
          <w:rFonts w:eastAsiaTheme="minorEastAsia"/>
          <w:kern w:val="0"/>
          <w:lang w:eastAsia="en-US" w:bidi="ar-SA"/>
        </w:rPr>
        <w:t>-</w:t>
      </w:r>
      <w:r w:rsidRPr="00D147A7">
        <w:rPr>
          <w:rFonts w:eastAsiaTheme="minorEastAsia"/>
          <w:kern w:val="0"/>
          <w:lang w:eastAsia="en-US" w:bidi="ar-SA"/>
        </w:rPr>
        <w:t>huizen (</w:t>
      </w:r>
      <w:hyperlink r:id="rId533" w:history="1">
        <w:r w:rsidRPr="00D147A7">
          <w:rPr>
            <w:rFonts w:eastAsiaTheme="minorEastAsia"/>
            <w:color w:val="0000FF"/>
            <w:kern w:val="0"/>
            <w:u w:val="single"/>
            <w:lang w:eastAsia="en-US" w:bidi="ar-SA"/>
          </w:rPr>
          <w:t>http://www.archivesdefrance.culture.gouv.fr/static/957</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93-5 van 26 november 1993, Selectie en bewaring van archieven over hospitalisaties in openbare instellingen: bescheiden gevormd door de financiële en econo</w:t>
      </w:r>
      <w:r w:rsidR="004575A6">
        <w:rPr>
          <w:rFonts w:eastAsiaTheme="minorEastAsia"/>
          <w:kern w:val="0"/>
          <w:lang w:eastAsia="en-US" w:bidi="ar-SA"/>
        </w:rPr>
        <w:t>-</w:t>
      </w:r>
      <w:r w:rsidRPr="00D147A7">
        <w:rPr>
          <w:rFonts w:eastAsiaTheme="minorEastAsia"/>
          <w:kern w:val="0"/>
          <w:lang w:eastAsia="en-US" w:bidi="ar-SA"/>
        </w:rPr>
        <w:t>mische diensten na 1968 (</w:t>
      </w:r>
      <w:hyperlink r:id="rId534" w:history="1">
        <w:r w:rsidR="0009133E" w:rsidRPr="00D147A7">
          <w:rPr>
            <w:rStyle w:val="Hyperlink"/>
            <w:rFonts w:eastAsiaTheme="minorEastAsia"/>
            <w:kern w:val="0"/>
            <w:lang w:eastAsia="en-US" w:bidi="ar-SA"/>
          </w:rPr>
          <w:t>http://www.archivesdefrance.culture.gouv.fr/fr/circAD/ DAFad93-5.html</w:t>
        </w:r>
      </w:hyperlink>
      <w:r w:rsidRPr="00D147A7">
        <w:rPr>
          <w:rFonts w:eastAsiaTheme="minorEastAsia"/>
          <w:kern w:val="0"/>
          <w:lang w:eastAsia="en-US" w:bidi="ar-SA"/>
        </w:rPr>
        <w:t>,</w:t>
      </w:r>
      <w:r w:rsidRPr="00D147A7">
        <w:rPr>
          <w:rFonts w:eastAsiaTheme="minorEastAsia"/>
          <w:color w:val="0000FF"/>
          <w:kern w:val="0"/>
          <w:lang w:eastAsia="en-US" w:bidi="ar-SA"/>
        </w:rPr>
        <w:t xml:space="preserve"> </w:t>
      </w:r>
      <w:r w:rsidRPr="00D147A7">
        <w:rPr>
          <w:rFonts w:eastAsiaTheme="minorEastAsia"/>
          <w:kern w:val="0"/>
          <w:lang w:eastAsia="en-US" w:bidi="ar-SA"/>
        </w:rPr>
        <w:t>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94-2 van 18 januari 1994, Selectie en bewaring van de archieven van openbare verzorgingsinstellingen: bescheiden gevormd door de administratieve diensten be</w:t>
      </w:r>
      <w:r w:rsidR="004575A6">
        <w:rPr>
          <w:rFonts w:eastAsiaTheme="minorEastAsia"/>
          <w:kern w:val="0"/>
          <w:lang w:eastAsia="en-US" w:bidi="ar-SA"/>
        </w:rPr>
        <w:t>-</w:t>
      </w:r>
      <w:r w:rsidRPr="00D147A7">
        <w:rPr>
          <w:rFonts w:eastAsiaTheme="minorEastAsia"/>
          <w:kern w:val="0"/>
          <w:lang w:eastAsia="en-US" w:bidi="ar-SA"/>
        </w:rPr>
        <w:t>last met het beheer van ziekenhuisopnames en –consultaties na 1968 (</w:t>
      </w:r>
      <w:hyperlink w:history="1">
        <w:r w:rsidR="004575A6" w:rsidRPr="00FD2358">
          <w:rPr>
            <w:rStyle w:val="Hyperlink"/>
            <w:rFonts w:eastAsiaTheme="minorEastAsia"/>
            <w:kern w:val="0"/>
            <w:lang w:eastAsia="en-US" w:bidi="ar-SA"/>
          </w:rPr>
          <w:t>http://www. archivesdefrance.culture.gouv.fr/fr/circAD/DAFad94-2.html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94-6 du 18 juli 1994, Selectie en bewaring van de archieven van openbare verzorgingsinstellingen: bescheiden gevormd door de diensten belast met het personeelsbe</w:t>
      </w:r>
      <w:r w:rsidR="004575A6">
        <w:rPr>
          <w:rFonts w:eastAsiaTheme="minorEastAsia"/>
          <w:kern w:val="0"/>
          <w:lang w:eastAsia="en-US" w:bidi="ar-SA"/>
        </w:rPr>
        <w:t>-</w:t>
      </w:r>
      <w:r w:rsidRPr="00D147A7">
        <w:rPr>
          <w:rFonts w:eastAsiaTheme="minorEastAsia"/>
          <w:kern w:val="0"/>
          <w:lang w:eastAsia="en-US" w:bidi="ar-SA"/>
        </w:rPr>
        <w:t>heer en –vorming (</w:t>
      </w:r>
      <w:hyperlink r:id="rId535" w:history="1">
        <w:r w:rsidR="004575A6" w:rsidRPr="00FD2358">
          <w:rPr>
            <w:rStyle w:val="Hyperlink"/>
            <w:rFonts w:eastAsiaTheme="minorEastAsia"/>
            <w:kern w:val="0"/>
            <w:lang w:eastAsia="en-US" w:bidi="ar-SA"/>
          </w:rPr>
          <w:t>http://www.archivesdefrance.culture.gouv.fr/fr/circAD/DAFad94-6.html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Rondzendbrief AD 94-10 van 7 oktober 1994, Selectie en bewaring van de archieven van openbare verzorgingsinstellingen: bescheiden gevormd na 1968 en betreffende het grondbezit, </w:t>
      </w:r>
      <w:r w:rsidRPr="00D147A7">
        <w:rPr>
          <w:rFonts w:eastAsiaTheme="minorEastAsia"/>
          <w:kern w:val="0"/>
          <w:lang w:eastAsia="en-US" w:bidi="ar-SA"/>
        </w:rPr>
        <w:lastRenderedPageBreak/>
        <w:t>de roerende en onroerende goederen van de instellingen (</w:t>
      </w:r>
      <w:hyperlink w:history="1">
        <w:r w:rsidR="004575A6" w:rsidRPr="00FD2358">
          <w:rPr>
            <w:rStyle w:val="Hyperlink"/>
            <w:rFonts w:eastAsiaTheme="minorEastAsia"/>
            <w:kern w:val="0"/>
            <w:lang w:eastAsia="en-US" w:bidi="ar-SA"/>
          </w:rPr>
          <w:t>http://www.archivesdefrance.culture. gouv.fr/fr/circAD/DAFad94-10.html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Rondzendbrief AD 94-11 van 20 oktober 1994, Selectie en bewaring van bescheiden gevormd door openbare verzorgingsinstellingen na 1968: algemene administratieve archieven van de instellingen (</w:t>
      </w:r>
      <w:hyperlink r:id="rId536" w:history="1">
        <w:r w:rsidRPr="00D147A7">
          <w:rPr>
            <w:rFonts w:eastAsiaTheme="minorEastAsia"/>
            <w:color w:val="0000FF"/>
            <w:kern w:val="0"/>
            <w:u w:val="single"/>
            <w:lang w:eastAsia="en-US" w:bidi="ar-SA"/>
          </w:rPr>
          <w:t>http://www.archivesdefrance.culture.gouv.fr/fr/circAD/DAFad94-11.html</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ind w:firstLine="708"/>
        <w:jc w:val="both"/>
        <w:rPr>
          <w:rFonts w:eastAsiaTheme="minorEastAsia"/>
          <w:b/>
          <w:kern w:val="0"/>
          <w:highlight w:val="yellow"/>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3.3 Wetgeving</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van 11 maart 1968 houdende reglement van ziekenhuisarchieven (</w:t>
      </w:r>
      <w:r w:rsidRPr="00D147A7">
        <w:rPr>
          <w:rFonts w:eastAsiaTheme="minorEastAsia"/>
          <w:i/>
          <w:kern w:val="0"/>
          <w:lang w:eastAsia="en-US" w:bidi="ar-SA"/>
        </w:rPr>
        <w:t>JORF</w:t>
      </w:r>
      <w:r w:rsidRPr="00D147A7">
        <w:rPr>
          <w:rFonts w:eastAsiaTheme="minorEastAsia"/>
          <w:kern w:val="0"/>
          <w:lang w:eastAsia="en-US" w:bidi="ar-SA"/>
        </w:rPr>
        <w:t xml:space="preserve"> 25 oktober 1968).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78-753 van 17 juli 1978 houdende verschillende maatregelen ter bevordering van de relaties tussen overheidsadministraties en de burgers en houdende verschillende bepalingen van administratieve, sociale en fiscale aard (</w:t>
      </w:r>
      <w:r w:rsidRPr="00D147A7">
        <w:rPr>
          <w:rFonts w:eastAsiaTheme="minorEastAsia"/>
          <w:i/>
          <w:kern w:val="0"/>
          <w:lang w:eastAsia="en-US" w:bidi="ar-SA"/>
        </w:rPr>
        <w:t>JORF</w:t>
      </w:r>
      <w:r w:rsidRPr="00D147A7">
        <w:rPr>
          <w:rFonts w:eastAsiaTheme="minorEastAsia"/>
          <w:kern w:val="0"/>
          <w:lang w:eastAsia="en-US" w:bidi="ar-SA"/>
        </w:rPr>
        <w:t>, 18 juli 1978).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nr. 79-1037 van 3 december 1979 betreffende de bevoegdheid van openbare archief</w:t>
      </w:r>
      <w:r w:rsidR="004575A6">
        <w:rPr>
          <w:rFonts w:eastAsiaTheme="minorEastAsia"/>
          <w:kern w:val="0"/>
          <w:lang w:eastAsia="en-US" w:bidi="ar-SA"/>
        </w:rPr>
        <w:t>-</w:t>
      </w:r>
      <w:r w:rsidRPr="00D147A7">
        <w:rPr>
          <w:rFonts w:eastAsiaTheme="minorEastAsia"/>
          <w:kern w:val="0"/>
          <w:lang w:eastAsia="en-US" w:bidi="ar-SA"/>
        </w:rPr>
        <w:t>diensten en de samenwerking met administraties voor de acquisitie, bewaring en de terbe</w:t>
      </w:r>
      <w:r w:rsidR="004575A6">
        <w:rPr>
          <w:rFonts w:eastAsiaTheme="minorEastAsia"/>
          <w:kern w:val="0"/>
          <w:lang w:eastAsia="en-US" w:bidi="ar-SA"/>
        </w:rPr>
        <w:t>-</w:t>
      </w:r>
      <w:r w:rsidRPr="00D147A7">
        <w:rPr>
          <w:rFonts w:eastAsiaTheme="minorEastAsia"/>
          <w:kern w:val="0"/>
          <w:lang w:eastAsia="en-US" w:bidi="ar-SA"/>
        </w:rPr>
        <w:t>schikkingstelling van openbare archieven (</w:t>
      </w:r>
      <w:r w:rsidRPr="00D147A7">
        <w:rPr>
          <w:rFonts w:eastAsiaTheme="minorEastAsia"/>
          <w:i/>
          <w:kern w:val="0"/>
          <w:lang w:eastAsia="en-US" w:bidi="ar-SA"/>
        </w:rPr>
        <w:t>JORF</w:t>
      </w:r>
      <w:r w:rsidRPr="00D147A7">
        <w:rPr>
          <w:rFonts w:eastAsiaTheme="minorEastAsia"/>
          <w:kern w:val="0"/>
          <w:lang w:eastAsia="en-US" w:bidi="ar-SA"/>
        </w:rPr>
        <w:t>, 5 december 1979).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2000-230 van 13 maart 2000 houdende aanpassing van het bewijsrecht aan de infor</w:t>
      </w:r>
      <w:r w:rsidR="004575A6">
        <w:rPr>
          <w:rFonts w:eastAsiaTheme="minorEastAsia"/>
          <w:kern w:val="0"/>
          <w:lang w:eastAsia="en-US" w:bidi="ar-SA"/>
        </w:rPr>
        <w:t>-</w:t>
      </w:r>
      <w:r w:rsidRPr="00D147A7">
        <w:rPr>
          <w:rFonts w:eastAsiaTheme="minorEastAsia"/>
          <w:kern w:val="0"/>
          <w:lang w:eastAsia="en-US" w:bidi="ar-SA"/>
        </w:rPr>
        <w:t>matietechnologieën en betreffende de elektronische handtekening (</w:t>
      </w:r>
      <w:r w:rsidRPr="00D147A7">
        <w:rPr>
          <w:rFonts w:eastAsiaTheme="minorEastAsia"/>
          <w:i/>
          <w:kern w:val="0"/>
          <w:lang w:eastAsia="en-US" w:bidi="ar-SA"/>
        </w:rPr>
        <w:t>JORF</w:t>
      </w:r>
      <w:r w:rsidRPr="00D147A7">
        <w:rPr>
          <w:rFonts w:eastAsiaTheme="minorEastAsia"/>
          <w:kern w:val="0"/>
          <w:lang w:eastAsia="en-US" w:bidi="ar-SA"/>
        </w:rPr>
        <w:t xml:space="preserve"> 62, 14 maart 2000).</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Besluit nr. 2002-540 van 18 april 2002 betreffende de classificatie van afvalstoffen (JORF 93,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20 april 2002).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eastAsia="en-US" w:bidi="ar-SA"/>
        </w:rPr>
        <w:t xml:space="preserve">Besluit nr. 2002-637 van 29 april 2002 betreffende de toegang tot de door beroepsbeoefenaars en verzorgingsinstellingen bijgehouden persoonsgegevens in toepassing van art. </w:t>
      </w:r>
      <w:r w:rsidRPr="00D147A7">
        <w:rPr>
          <w:rFonts w:eastAsiaTheme="minorEastAsia"/>
          <w:kern w:val="0"/>
          <w:lang w:val="fr-BE" w:eastAsia="en-US" w:bidi="ar-SA"/>
        </w:rPr>
        <w:t xml:space="preserve">L. 1111-7 en art. L. 1112-1 van de </w:t>
      </w:r>
      <w:r w:rsidRPr="00D147A7">
        <w:rPr>
          <w:rFonts w:eastAsiaTheme="minorEastAsia"/>
          <w:i/>
          <w:kern w:val="0"/>
          <w:lang w:val="fr-BE" w:eastAsia="en-US" w:bidi="ar-SA"/>
        </w:rPr>
        <w:t>code de la santé publique</w:t>
      </w:r>
      <w:r w:rsidRPr="00D147A7">
        <w:rPr>
          <w:rFonts w:eastAsiaTheme="minorEastAsia"/>
          <w:kern w:val="0"/>
          <w:lang w:val="fr-BE" w:eastAsia="en-US" w:bidi="ar-SA"/>
        </w:rPr>
        <w:t xml:space="preserve"> (</w:t>
      </w:r>
      <w:r w:rsidRPr="00D147A7">
        <w:rPr>
          <w:rFonts w:eastAsiaTheme="minorEastAsia"/>
          <w:i/>
          <w:kern w:val="0"/>
          <w:lang w:val="fr-BE" w:eastAsia="en-US" w:bidi="ar-SA"/>
        </w:rPr>
        <w:t>JORF</w:t>
      </w:r>
      <w:r w:rsidRPr="00D147A7">
        <w:rPr>
          <w:rFonts w:eastAsiaTheme="minorEastAsia"/>
          <w:kern w:val="0"/>
          <w:lang w:val="fr-BE" w:eastAsia="en-US" w:bidi="ar-SA"/>
        </w:rPr>
        <w:t xml:space="preserve"> 101, 30 april 2002).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Besluit nr. 2003-462 van 21 mei 2003 betreffende de reglementaire bepalingen van delen I, II en III van de </w:t>
      </w:r>
      <w:r w:rsidRPr="00D147A7">
        <w:rPr>
          <w:rFonts w:eastAsiaTheme="minorEastAsia"/>
          <w:i/>
          <w:kern w:val="0"/>
          <w:lang w:eastAsia="en-US" w:bidi="ar-SA"/>
        </w:rPr>
        <w:t>code de la santé publique</w:t>
      </w:r>
      <w:r w:rsidRPr="00D147A7">
        <w:rPr>
          <w:rFonts w:eastAsiaTheme="minorEastAsia"/>
          <w:kern w:val="0"/>
          <w:lang w:eastAsia="en-US" w:bidi="ar-SA"/>
        </w:rPr>
        <w:t xml:space="preserve"> (</w:t>
      </w:r>
      <w:r w:rsidRPr="00D147A7">
        <w:rPr>
          <w:rFonts w:eastAsiaTheme="minorEastAsia"/>
          <w:i/>
          <w:kern w:val="0"/>
          <w:lang w:eastAsia="en-US" w:bidi="ar-SA"/>
        </w:rPr>
        <w:t>JORF</w:t>
      </w:r>
      <w:r w:rsidRPr="00D147A7">
        <w:rPr>
          <w:rFonts w:eastAsiaTheme="minorEastAsia"/>
          <w:kern w:val="0"/>
          <w:lang w:eastAsia="en-US" w:bidi="ar-SA"/>
        </w:rPr>
        <w:t xml:space="preserve"> 122, 27 mei 2003).</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Verordening nr. 2005-650 van 6 juni 2005 met betrekking tot de vrije toegang tot administra</w:t>
      </w:r>
      <w:r w:rsidR="004575A6">
        <w:rPr>
          <w:rFonts w:eastAsiaTheme="minorEastAsia"/>
          <w:kern w:val="0"/>
          <w:lang w:eastAsia="en-US" w:bidi="ar-SA"/>
        </w:rPr>
        <w:t>-</w:t>
      </w:r>
      <w:r w:rsidRPr="00D147A7">
        <w:rPr>
          <w:rFonts w:eastAsiaTheme="minorEastAsia"/>
          <w:kern w:val="0"/>
          <w:lang w:eastAsia="en-US" w:bidi="ar-SA"/>
        </w:rPr>
        <w:t>tieve documenten en tot het hergebruik van openbare informatie (</w:t>
      </w:r>
      <w:r w:rsidRPr="00D147A7">
        <w:rPr>
          <w:rFonts w:eastAsiaTheme="minorEastAsia"/>
          <w:i/>
          <w:kern w:val="0"/>
          <w:lang w:eastAsia="en-US" w:bidi="ar-SA"/>
        </w:rPr>
        <w:t>JORF</w:t>
      </w:r>
      <w:r w:rsidRPr="00D147A7">
        <w:rPr>
          <w:rFonts w:eastAsiaTheme="minorEastAsia"/>
          <w:kern w:val="0"/>
          <w:lang w:eastAsia="en-US" w:bidi="ar-SA"/>
        </w:rPr>
        <w:t xml:space="preserve"> 131, 7 juni 2005).</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Besluit nr. 2006-6 van 4 januari 2006 betreffende de bewaring van gezondheidsgegevens en ter wijziging van de </w:t>
      </w:r>
      <w:r w:rsidRPr="00D147A7">
        <w:rPr>
          <w:rFonts w:eastAsiaTheme="minorEastAsia"/>
          <w:i/>
          <w:kern w:val="0"/>
          <w:lang w:eastAsia="en-US" w:bidi="ar-SA"/>
        </w:rPr>
        <w:t>code de la santé publique</w:t>
      </w:r>
      <w:r w:rsidRPr="00D147A7">
        <w:rPr>
          <w:rFonts w:eastAsiaTheme="minorEastAsia"/>
          <w:kern w:val="0"/>
          <w:lang w:eastAsia="en-US" w:bidi="ar-SA"/>
        </w:rPr>
        <w:t xml:space="preserve"> (regelgevende bepalingen) (</w:t>
      </w:r>
      <w:r w:rsidRPr="00D147A7">
        <w:rPr>
          <w:rFonts w:eastAsiaTheme="minorEastAsia"/>
          <w:i/>
          <w:kern w:val="0"/>
          <w:lang w:eastAsia="en-US" w:bidi="ar-SA"/>
        </w:rPr>
        <w:t>JORF</w:t>
      </w:r>
      <w:r w:rsidRPr="00D147A7">
        <w:rPr>
          <w:rFonts w:eastAsiaTheme="minorEastAsia"/>
          <w:kern w:val="0"/>
          <w:lang w:eastAsia="en-US" w:bidi="ar-SA"/>
        </w:rPr>
        <w:t xml:space="preserve"> 4, 5 januari 2006).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Wet nr. 2008-696 van 15 juli 2008 betreffende archieven I (</w:t>
      </w:r>
      <w:r w:rsidRPr="00D147A7">
        <w:rPr>
          <w:rFonts w:eastAsiaTheme="minorEastAsia"/>
          <w:i/>
          <w:kern w:val="0"/>
          <w:lang w:eastAsia="en-US" w:bidi="ar-SA"/>
        </w:rPr>
        <w:t>JORF</w:t>
      </w:r>
      <w:r w:rsidRPr="00D147A7">
        <w:rPr>
          <w:rFonts w:eastAsiaTheme="minorEastAsia"/>
          <w:kern w:val="0"/>
          <w:lang w:eastAsia="en-US" w:bidi="ar-SA"/>
        </w:rPr>
        <w:t xml:space="preserve"> 164, 16 juli 2008).</w:t>
      </w:r>
    </w:p>
    <w:p w:rsidR="000F560E" w:rsidRPr="00D147A7" w:rsidRDefault="000F560E" w:rsidP="000F560E">
      <w:pPr>
        <w:widowControl/>
        <w:suppressAutoHyphens w:val="0"/>
        <w:jc w:val="both"/>
        <w:rPr>
          <w:rFonts w:eastAsiaTheme="minorEastAsia"/>
          <w:kern w:val="0"/>
          <w:sz w:val="22"/>
          <w:szCs w:val="22"/>
          <w:lang w:eastAsia="en-US" w:bidi="ar-SA"/>
        </w:rPr>
      </w:pPr>
      <w:r w:rsidRPr="00D147A7">
        <w:rPr>
          <w:rFonts w:eastAsiaTheme="minorEastAsia"/>
          <w:kern w:val="0"/>
          <w:sz w:val="22"/>
          <w:szCs w:val="22"/>
          <w:lang w:eastAsia="en-US" w:bidi="ar-SA"/>
        </w:rPr>
        <w:t>Verordening nr. 2009-483 van 29 april 2009 tot uitvoering van artikel 35 van wet nr. 2008-696 van 15 juli 2008 betreffende de archieven (</w:t>
      </w:r>
      <w:r w:rsidRPr="00D147A7">
        <w:rPr>
          <w:rFonts w:eastAsiaTheme="minorEastAsia"/>
          <w:i/>
          <w:kern w:val="0"/>
          <w:sz w:val="22"/>
          <w:szCs w:val="22"/>
          <w:lang w:eastAsia="en-US" w:bidi="ar-SA"/>
        </w:rPr>
        <w:t>JORF</w:t>
      </w:r>
      <w:r w:rsidRPr="00D147A7">
        <w:rPr>
          <w:rFonts w:eastAsiaTheme="minorEastAsia"/>
          <w:kern w:val="0"/>
          <w:sz w:val="22"/>
          <w:szCs w:val="22"/>
          <w:lang w:eastAsia="en-US" w:bidi="ar-SA"/>
        </w:rPr>
        <w:t xml:space="preserve"> 101, 30 april 2009).</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Besluit nr. 2009-1124 van 17 september 2009 ter wijziging van besluit nr. 79-1037 van 3 de</w:t>
      </w:r>
      <w:r w:rsidR="00476253">
        <w:rPr>
          <w:rFonts w:eastAsiaTheme="minorEastAsia"/>
          <w:kern w:val="0"/>
          <w:lang w:eastAsia="en-US" w:bidi="ar-SA"/>
        </w:rPr>
        <w:t>-</w:t>
      </w:r>
      <w:r w:rsidRPr="00D147A7">
        <w:rPr>
          <w:rFonts w:eastAsiaTheme="minorEastAsia"/>
          <w:kern w:val="0"/>
          <w:lang w:eastAsia="en-US" w:bidi="ar-SA"/>
        </w:rPr>
        <w:t>cember 1979 betreffende de bevoegdheid van openbare archiefdiensten en de samenwerking met administraties voor de acquisitie, bewaring en de terbeschikkingstelling van openbare ar</w:t>
      </w:r>
      <w:r w:rsidR="00476253">
        <w:rPr>
          <w:rFonts w:eastAsiaTheme="minorEastAsia"/>
          <w:kern w:val="0"/>
          <w:lang w:eastAsia="en-US" w:bidi="ar-SA"/>
        </w:rPr>
        <w:t>-</w:t>
      </w:r>
      <w:r w:rsidRPr="00D147A7">
        <w:rPr>
          <w:rFonts w:eastAsiaTheme="minorEastAsia"/>
          <w:kern w:val="0"/>
          <w:lang w:eastAsia="en-US" w:bidi="ar-SA"/>
        </w:rPr>
        <w:t>chieven (</w:t>
      </w:r>
      <w:r w:rsidRPr="00D147A7">
        <w:rPr>
          <w:rFonts w:eastAsiaTheme="minorEastAsia"/>
          <w:i/>
          <w:kern w:val="0"/>
          <w:lang w:eastAsia="en-US" w:bidi="ar-SA"/>
        </w:rPr>
        <w:t>JORF</w:t>
      </w:r>
      <w:r w:rsidRPr="00D147A7">
        <w:rPr>
          <w:rFonts w:eastAsiaTheme="minorEastAsia"/>
          <w:kern w:val="0"/>
          <w:lang w:eastAsia="en-US" w:bidi="ar-SA"/>
        </w:rPr>
        <w:t xml:space="preserve"> 216, 18 september 2009).</w:t>
      </w:r>
    </w:p>
    <w:p w:rsidR="000F560E" w:rsidRPr="00D147A7" w:rsidRDefault="000F560E" w:rsidP="000F560E">
      <w:pPr>
        <w:widowControl/>
        <w:suppressAutoHyphens w:val="0"/>
        <w:ind w:firstLine="708"/>
        <w:jc w:val="both"/>
        <w:rPr>
          <w:rFonts w:eastAsiaTheme="minorEastAsia"/>
          <w:b/>
          <w:kern w:val="0"/>
          <w:lang w:eastAsia="en-US" w:bidi="ar-SA"/>
        </w:rPr>
      </w:pPr>
    </w:p>
    <w:p w:rsidR="000F560E" w:rsidRPr="00D147A7" w:rsidRDefault="000F560E" w:rsidP="000F560E">
      <w:pPr>
        <w:widowControl/>
        <w:suppressAutoHyphens w:val="0"/>
        <w:ind w:left="708" w:firstLine="708"/>
        <w:jc w:val="both"/>
        <w:rPr>
          <w:rFonts w:eastAsiaTheme="minorEastAsia"/>
          <w:b/>
          <w:kern w:val="0"/>
          <w:lang w:eastAsia="en-US" w:bidi="ar-SA"/>
        </w:rPr>
      </w:pPr>
      <w:r w:rsidRPr="00D147A7">
        <w:rPr>
          <w:rFonts w:eastAsiaTheme="minorEastAsia"/>
          <w:b/>
          <w:smallCaps/>
          <w:kern w:val="0"/>
          <w:lang w:eastAsia="en-US" w:bidi="ar-SA"/>
        </w:rPr>
        <w:t>5.6.</w:t>
      </w:r>
      <w:r w:rsidRPr="00D147A7">
        <w:rPr>
          <w:rFonts w:eastAsiaTheme="minorEastAsia"/>
          <w:b/>
          <w:kern w:val="0"/>
          <w:lang w:eastAsia="en-US" w:bidi="ar-SA"/>
        </w:rPr>
        <w:t>3.4 CNIL</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 xml:space="preserve">Beraadslaging nr. 01-012 van 8 maart 2001 van de CNIL houdende advies over een ontwerp van uitspraak aangeboden door de </w:t>
      </w:r>
      <w:r w:rsidRPr="00D147A7">
        <w:rPr>
          <w:rFonts w:eastAsiaTheme="minorEastAsia"/>
          <w:i/>
          <w:kern w:val="0"/>
          <w:lang w:eastAsia="en-US" w:bidi="ar-SA"/>
        </w:rPr>
        <w:t>Association pour la bonne coordination médico-chirurgi</w:t>
      </w:r>
      <w:r w:rsidR="00476253">
        <w:rPr>
          <w:rFonts w:eastAsiaTheme="minorEastAsia"/>
          <w:i/>
          <w:kern w:val="0"/>
          <w:lang w:eastAsia="en-US" w:bidi="ar-SA"/>
        </w:rPr>
        <w:t>-</w:t>
      </w:r>
      <w:r w:rsidRPr="00D147A7">
        <w:rPr>
          <w:rFonts w:eastAsiaTheme="minorEastAsia"/>
          <w:i/>
          <w:kern w:val="0"/>
          <w:lang w:eastAsia="en-US" w:bidi="ar-SA"/>
        </w:rPr>
        <w:t xml:space="preserve">cale </w:t>
      </w:r>
      <w:r w:rsidRPr="00D147A7">
        <w:rPr>
          <w:rFonts w:eastAsiaTheme="minorEastAsia"/>
          <w:kern w:val="0"/>
          <w:lang w:eastAsia="en-US" w:bidi="ar-SA"/>
        </w:rPr>
        <w:t>betreffende de voorbereiding van een stedelijk ziekenhuisnetwerk dat het beheer en de archivering van patiëntendossiers op internet moet mogelijk maken, door de medisch-chirur</w:t>
      </w:r>
      <w:r w:rsidR="00476253">
        <w:rPr>
          <w:rFonts w:eastAsiaTheme="minorEastAsia"/>
          <w:kern w:val="0"/>
          <w:lang w:eastAsia="en-US" w:bidi="ar-SA"/>
        </w:rPr>
        <w:t>-</w:t>
      </w:r>
      <w:r w:rsidRPr="00D147A7">
        <w:rPr>
          <w:rFonts w:eastAsiaTheme="minorEastAsia"/>
          <w:kern w:val="0"/>
          <w:lang w:eastAsia="en-US" w:bidi="ar-SA"/>
        </w:rPr>
        <w:t xml:space="preserve">gische kosten op zich te nemen, CNIL, </w:t>
      </w:r>
      <w:r w:rsidRPr="00D147A7">
        <w:rPr>
          <w:rFonts w:eastAsiaTheme="minorEastAsia"/>
          <w:i/>
          <w:kern w:val="0"/>
          <w:lang w:eastAsia="en-US" w:bidi="ar-SA"/>
        </w:rPr>
        <w:t>21</w:t>
      </w:r>
      <w:r w:rsidRPr="00D147A7">
        <w:rPr>
          <w:rFonts w:eastAsiaTheme="minorEastAsia"/>
          <w:i/>
          <w:kern w:val="0"/>
          <w:vertAlign w:val="superscript"/>
          <w:lang w:eastAsia="en-US" w:bidi="ar-SA"/>
        </w:rPr>
        <w:t>e</w:t>
      </w:r>
      <w:r w:rsidRPr="00D147A7">
        <w:rPr>
          <w:rFonts w:eastAsiaTheme="minorEastAsia"/>
          <w:i/>
          <w:kern w:val="0"/>
          <w:lang w:eastAsia="en-US" w:bidi="ar-SA"/>
        </w:rPr>
        <w:t xml:space="preserve"> rapport d’activité 2000</w:t>
      </w:r>
      <w:r w:rsidRPr="00D147A7">
        <w:rPr>
          <w:rFonts w:eastAsiaTheme="minorEastAsia"/>
          <w:kern w:val="0"/>
          <w:lang w:eastAsia="en-US" w:bidi="ar-SA"/>
        </w:rPr>
        <w:t>,</w:t>
      </w:r>
      <w:r w:rsidRPr="00D147A7">
        <w:rPr>
          <w:rFonts w:eastAsiaTheme="minorEastAsia"/>
          <w:i/>
          <w:kern w:val="0"/>
          <w:lang w:eastAsia="en-US" w:bidi="ar-SA"/>
        </w:rPr>
        <w:t xml:space="preserve"> </w:t>
      </w:r>
      <w:r w:rsidRPr="00D147A7">
        <w:rPr>
          <w:rFonts w:eastAsiaTheme="minorEastAsia"/>
          <w:kern w:val="0"/>
          <w:lang w:eastAsia="en-US" w:bidi="ar-SA"/>
        </w:rPr>
        <w:t>Parijs, La Documentation française, 2001, p. 158-160 (</w:t>
      </w:r>
      <w:hyperlink r:id="rId537" w:history="1">
        <w:r w:rsidR="00476253" w:rsidRPr="00FD2358">
          <w:rPr>
            <w:rStyle w:val="Hyperlink"/>
            <w:rFonts w:eastAsiaTheme="minorEastAsia"/>
            <w:kern w:val="0"/>
            <w:lang w:eastAsia="en-US" w:bidi="ar-SA"/>
          </w:rPr>
          <w:t>http://www.ladocumentationfrancaise.fr/var/ storage/rapports-publics/014000460/0000.pdf</w:t>
        </w:r>
      </w:hyperlink>
      <w:r w:rsidRPr="00D147A7">
        <w:rPr>
          <w:rFonts w:eastAsiaTheme="minorEastAsia"/>
          <w:kern w:val="0"/>
          <w:lang w:eastAsia="en-US" w:bidi="ar-SA"/>
        </w:rPr>
        <w:t xml:space="preserve">, laatst geraadpleegd op 23 juli 2012). </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eastAsia="en-US" w:bidi="ar-SA"/>
        </w:rPr>
        <w:t>Beraadslaging nr. 01-013 van 8 maart 2001 van het CNIL houdende advies over een ontwerp</w:t>
      </w:r>
      <w:r w:rsidR="00476253">
        <w:rPr>
          <w:rFonts w:eastAsiaTheme="minorEastAsia"/>
          <w:kern w:val="0"/>
          <w:lang w:eastAsia="en-US" w:bidi="ar-SA"/>
        </w:rPr>
        <w:t>-</w:t>
      </w:r>
      <w:r w:rsidRPr="00D147A7">
        <w:rPr>
          <w:rFonts w:eastAsiaTheme="minorEastAsia"/>
          <w:kern w:val="0"/>
          <w:lang w:eastAsia="en-US" w:bidi="ar-SA"/>
        </w:rPr>
        <w:t xml:space="preserve">uitspraak door de </w:t>
      </w:r>
      <w:r w:rsidRPr="00D147A7">
        <w:rPr>
          <w:rFonts w:eastAsiaTheme="minorEastAsia"/>
          <w:i/>
          <w:kern w:val="0"/>
          <w:lang w:eastAsia="en-US" w:bidi="ar-SA"/>
        </w:rPr>
        <w:t xml:space="preserve">Association Intégrale Santé </w:t>
      </w:r>
      <w:r w:rsidRPr="00D147A7">
        <w:rPr>
          <w:rFonts w:eastAsiaTheme="minorEastAsia"/>
          <w:kern w:val="0"/>
          <w:lang w:eastAsia="en-US" w:bidi="ar-SA"/>
        </w:rPr>
        <w:t xml:space="preserve"> betreffende de voorbereiding van een zorgnet</w:t>
      </w:r>
      <w:r w:rsidR="00476253">
        <w:rPr>
          <w:rFonts w:eastAsiaTheme="minorEastAsia"/>
          <w:kern w:val="0"/>
          <w:lang w:eastAsia="en-US" w:bidi="ar-SA"/>
        </w:rPr>
        <w:t>-</w:t>
      </w:r>
      <w:r w:rsidRPr="00D147A7">
        <w:rPr>
          <w:rFonts w:eastAsiaTheme="minorEastAsia"/>
          <w:kern w:val="0"/>
          <w:lang w:eastAsia="en-US" w:bidi="ar-SA"/>
        </w:rPr>
        <w:lastRenderedPageBreak/>
        <w:t xml:space="preserve">werk in de regio Lens waarmee patiëntendossiers op internet beheerd en gearchiveerd zouden kunnen worden, CNIL, </w:t>
      </w:r>
      <w:r w:rsidRPr="00D147A7">
        <w:rPr>
          <w:rFonts w:eastAsiaTheme="minorEastAsia"/>
          <w:i/>
          <w:kern w:val="0"/>
          <w:lang w:eastAsia="en-US" w:bidi="ar-SA"/>
        </w:rPr>
        <w:t>21</w:t>
      </w:r>
      <w:r w:rsidRPr="00D147A7">
        <w:rPr>
          <w:rFonts w:eastAsiaTheme="minorEastAsia"/>
          <w:i/>
          <w:kern w:val="0"/>
          <w:vertAlign w:val="superscript"/>
          <w:lang w:eastAsia="en-US" w:bidi="ar-SA"/>
        </w:rPr>
        <w:t>e</w:t>
      </w:r>
      <w:r w:rsidRPr="00D147A7">
        <w:rPr>
          <w:rFonts w:eastAsiaTheme="minorEastAsia"/>
          <w:i/>
          <w:kern w:val="0"/>
          <w:lang w:eastAsia="en-US" w:bidi="ar-SA"/>
        </w:rPr>
        <w:t xml:space="preserve"> rapport d’activité 2000</w:t>
      </w:r>
      <w:r w:rsidRPr="00D147A7">
        <w:rPr>
          <w:rFonts w:eastAsiaTheme="minorEastAsia"/>
          <w:kern w:val="0"/>
          <w:lang w:eastAsia="en-US" w:bidi="ar-SA"/>
        </w:rPr>
        <w:t>,</w:t>
      </w:r>
      <w:r w:rsidRPr="00D147A7">
        <w:rPr>
          <w:rFonts w:eastAsiaTheme="minorEastAsia"/>
          <w:i/>
          <w:kern w:val="0"/>
          <w:lang w:eastAsia="en-US" w:bidi="ar-SA"/>
        </w:rPr>
        <w:t xml:space="preserve"> </w:t>
      </w:r>
      <w:r w:rsidRPr="00D147A7">
        <w:rPr>
          <w:rFonts w:eastAsiaTheme="minorEastAsia"/>
          <w:kern w:val="0"/>
          <w:lang w:eastAsia="en-US" w:bidi="ar-SA"/>
        </w:rPr>
        <w:t>Parijs, La Documentation française, 2001, p. 160-163 (</w:t>
      </w:r>
      <w:hyperlink r:id="rId538" w:history="1">
        <w:r w:rsidR="00476253" w:rsidRPr="00FD2358">
          <w:rPr>
            <w:rStyle w:val="Hyperlink"/>
            <w:rFonts w:eastAsiaTheme="minorEastAsia"/>
            <w:kern w:val="0"/>
            <w:lang w:eastAsia="en-US" w:bidi="ar-SA"/>
          </w:rPr>
          <w:t>http://www.ladocumentationfrancaise.fr/var/storage/rapportspublics/014000460/ 0000.pdf</w:t>
        </w:r>
      </w:hyperlink>
      <w:r w:rsidRPr="00D147A7">
        <w:rPr>
          <w:rFonts w:eastAsiaTheme="minorEastAsia"/>
          <w:kern w:val="0"/>
          <w:lang w:eastAsia="en-US" w:bidi="ar-SA"/>
        </w:rPr>
        <w:t xml:space="preserve">, laatst geraadpleegd op 23 juli 2012). </w:t>
      </w:r>
    </w:p>
    <w:p w:rsidR="000F560E" w:rsidRPr="00D147A7" w:rsidRDefault="000F560E" w:rsidP="000F560E">
      <w:pPr>
        <w:widowControl/>
        <w:suppressAutoHyphens w:val="0"/>
        <w:jc w:val="both"/>
        <w:rPr>
          <w:rFonts w:eastAsiaTheme="minorEastAsia"/>
          <w:kern w:val="0"/>
          <w:lang w:eastAsia="en-US" w:bidi="ar-SA"/>
        </w:rPr>
      </w:pPr>
    </w:p>
    <w:p w:rsidR="000F560E" w:rsidRPr="00D147A7" w:rsidRDefault="000F560E" w:rsidP="000F560E">
      <w:pPr>
        <w:widowControl/>
        <w:suppressAutoHyphens w:val="0"/>
        <w:ind w:left="708" w:firstLine="708"/>
        <w:jc w:val="both"/>
        <w:rPr>
          <w:rFonts w:eastAsiaTheme="minorEastAsia"/>
          <w:b/>
          <w:kern w:val="0"/>
          <w:lang w:val="fr-BE" w:eastAsia="en-US" w:bidi="ar-SA"/>
        </w:rPr>
      </w:pPr>
      <w:r w:rsidRPr="00D147A7">
        <w:rPr>
          <w:rFonts w:eastAsiaTheme="minorEastAsia"/>
          <w:b/>
          <w:smallCaps/>
          <w:kern w:val="0"/>
          <w:lang w:val="fr-BE" w:eastAsia="en-US" w:bidi="ar-SA"/>
        </w:rPr>
        <w:t>5.6.</w:t>
      </w:r>
      <w:r w:rsidRPr="00D147A7">
        <w:rPr>
          <w:rFonts w:eastAsiaTheme="minorEastAsia"/>
          <w:b/>
          <w:kern w:val="0"/>
          <w:lang w:val="fr-BE" w:eastAsia="en-US" w:bidi="ar-SA"/>
        </w:rPr>
        <w:t>3.5 Rechtsleer en literatuur</w:t>
      </w:r>
    </w:p>
    <w:p w:rsidR="000F560E" w:rsidRPr="00D147A7" w:rsidRDefault="000F560E" w:rsidP="000F560E">
      <w:pPr>
        <w:widowControl/>
        <w:suppressAutoHyphens w:val="0"/>
        <w:ind w:firstLine="708"/>
        <w:jc w:val="both"/>
        <w:rPr>
          <w:rFonts w:eastAsiaTheme="minorEastAsia"/>
          <w:kern w:val="0"/>
          <w:lang w:val="fr-BE" w:eastAsia="en-US" w:bidi="ar-SA"/>
        </w:rPr>
      </w:pP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i/>
          <w:kern w:val="0"/>
          <w:lang w:val="fr-BE" w:eastAsia="en-US" w:bidi="ar-SA"/>
        </w:rPr>
        <w:t>Gestion des départements de dossiers médicaux. Réglementation</w:t>
      </w:r>
      <w:r w:rsidRPr="00D147A7">
        <w:rPr>
          <w:rFonts w:eastAsiaTheme="minorEastAsia"/>
          <w:kern w:val="0"/>
          <w:lang w:val="fr-BE" w:eastAsia="en-US" w:bidi="ar-SA"/>
        </w:rPr>
        <w:t>, I, Fiches techniques d’orga</w:t>
      </w:r>
      <w:r w:rsidR="00476253">
        <w:rPr>
          <w:rFonts w:eastAsiaTheme="minorEastAsia"/>
          <w:kern w:val="0"/>
          <w:lang w:val="fr-BE" w:eastAsia="en-US" w:bidi="ar-SA"/>
        </w:rPr>
        <w:t>-</w:t>
      </w:r>
      <w:r w:rsidRPr="00D147A7">
        <w:rPr>
          <w:rFonts w:eastAsiaTheme="minorEastAsia"/>
          <w:kern w:val="0"/>
          <w:lang w:val="fr-BE" w:eastAsia="en-US" w:bidi="ar-SA"/>
        </w:rPr>
        <w:t xml:space="preserve">nisation hospitalières nr. 8 en Bulletin official, fascicule spécial nr. 80/39bis, Parijs, Ministère de la Santé et de la Sécurité Sociale, 1980, 95p.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‘L’élimination des archives hospitalières’ (</w:t>
      </w:r>
      <w:hyperlink r:id="rId539" w:history="1">
        <w:r w:rsidR="00F96F69" w:rsidRPr="00D147A7">
          <w:rPr>
            <w:rStyle w:val="Hyperlink"/>
            <w:rFonts w:eastAsiaTheme="minorEastAsia"/>
            <w:kern w:val="0"/>
            <w:lang w:val="fr-BE" w:eastAsia="en-US" w:bidi="ar-SA"/>
          </w:rPr>
          <w:t>http://basedaj.aphp.fr/daj/public/index/display/id_ theme/1754/id_fiche/8146</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ANAES, </w:t>
      </w:r>
      <w:r w:rsidRPr="00D147A7">
        <w:rPr>
          <w:rFonts w:eastAsiaTheme="minorEastAsia"/>
          <w:i/>
          <w:kern w:val="0"/>
          <w:lang w:val="fr-BE" w:eastAsia="en-US" w:bidi="ar-SA"/>
        </w:rPr>
        <w:t>Evaluation des pratiques professionnelles dans les établissements de santé. Dossier du patient: Réglementation et recommendations</w:t>
      </w:r>
      <w:r w:rsidRPr="00D147A7">
        <w:rPr>
          <w:rFonts w:eastAsiaTheme="minorEastAsia"/>
          <w:kern w:val="0"/>
          <w:lang w:val="fr-BE" w:eastAsia="en-US" w:bidi="ar-SA"/>
        </w:rPr>
        <w:t>, 2003, 57p. (</w:t>
      </w:r>
      <w:hyperlink r:id="rId540" w:history="1">
        <w:r w:rsidR="00F96F69" w:rsidRPr="00D147A7">
          <w:rPr>
            <w:rStyle w:val="Hyperlink"/>
            <w:rFonts w:eastAsiaTheme="minorEastAsia"/>
            <w:kern w:val="0"/>
            <w:lang w:val="fr-BE" w:eastAsia="en-US" w:bidi="ar-SA"/>
          </w:rPr>
          <w:t>http://www.has-sante.fr/portail/ upload/docs/application/pdf/2009-08/dossier_du_patient_-_fascicule_1_reglementation_et_ recommandations_-_2003.pdf</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BUSCAL, C., ‘Tableau de gestion: repérez, triez, tracez, conservez, détruisez’, </w:t>
      </w:r>
      <w:r w:rsidRPr="00D147A7">
        <w:rPr>
          <w:rFonts w:eastAsiaTheme="minorEastAsia"/>
          <w:i/>
          <w:kern w:val="0"/>
          <w:lang w:val="fr-BE" w:eastAsia="en-US" w:bidi="ar-SA"/>
        </w:rPr>
        <w:t>Archimag</w:t>
      </w:r>
      <w:r w:rsidRPr="00D147A7">
        <w:rPr>
          <w:rFonts w:eastAsiaTheme="minorEastAsia"/>
          <w:kern w:val="0"/>
          <w:lang w:val="fr-BE" w:eastAsia="en-US" w:bidi="ar-SA"/>
        </w:rPr>
        <w:t xml:space="preserve">, 159 (2002), p. 40-43.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CHAMPOLLION-FIGEAC, A., </w:t>
      </w:r>
      <w:r w:rsidRPr="00D147A7">
        <w:rPr>
          <w:rFonts w:eastAsiaTheme="minorEastAsia"/>
          <w:i/>
          <w:kern w:val="0"/>
          <w:lang w:val="fr-BE" w:eastAsia="en-US" w:bidi="ar-SA"/>
        </w:rPr>
        <w:t>Manuel de l’archiviste des préfectures, mairies et hospices (lois, décrets, ordonnances, règlements, circulaires et instructions relatifs au service des ar</w:t>
      </w:r>
      <w:r w:rsidR="00476253">
        <w:rPr>
          <w:rFonts w:eastAsiaTheme="minorEastAsia"/>
          <w:i/>
          <w:kern w:val="0"/>
          <w:lang w:val="fr-BE" w:eastAsia="en-US" w:bidi="ar-SA"/>
        </w:rPr>
        <w:t>-</w:t>
      </w:r>
      <w:r w:rsidRPr="00D147A7">
        <w:rPr>
          <w:rFonts w:eastAsiaTheme="minorEastAsia"/>
          <w:i/>
          <w:kern w:val="0"/>
          <w:lang w:val="fr-BE" w:eastAsia="en-US" w:bidi="ar-SA"/>
        </w:rPr>
        <w:t>chives)</w:t>
      </w:r>
      <w:r w:rsidRPr="00D147A7">
        <w:rPr>
          <w:rFonts w:eastAsiaTheme="minorEastAsia"/>
          <w:kern w:val="0"/>
          <w:lang w:val="fr-BE" w:eastAsia="en-US" w:bidi="ar-SA"/>
        </w:rPr>
        <w:t>, Parijs, Imprimerie et Librairie administratives de Paul-Dupont – Librairie de J.B. Du</w:t>
      </w:r>
      <w:r w:rsidR="00476253">
        <w:rPr>
          <w:rFonts w:eastAsiaTheme="minorEastAsia"/>
          <w:kern w:val="0"/>
          <w:lang w:val="fr-BE" w:eastAsia="en-US" w:bidi="ar-SA"/>
        </w:rPr>
        <w:t>-</w:t>
      </w:r>
      <w:r w:rsidRPr="00D147A7">
        <w:rPr>
          <w:rFonts w:eastAsiaTheme="minorEastAsia"/>
          <w:kern w:val="0"/>
          <w:lang w:val="fr-BE" w:eastAsia="en-US" w:bidi="ar-SA"/>
        </w:rPr>
        <w:t>moulin, 1860, 400p.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DUPUY, O., </w:t>
      </w:r>
      <w:r w:rsidRPr="00D147A7">
        <w:rPr>
          <w:rFonts w:eastAsiaTheme="minorEastAsia"/>
          <w:i/>
          <w:kern w:val="0"/>
          <w:lang w:val="fr-BE" w:eastAsia="en-US" w:bidi="ar-SA"/>
        </w:rPr>
        <w:t>Le dossier du patient en établissement de santé et en établissement d’héberge</w:t>
      </w:r>
      <w:r w:rsidR="00476253">
        <w:rPr>
          <w:rFonts w:eastAsiaTheme="minorEastAsia"/>
          <w:i/>
          <w:kern w:val="0"/>
          <w:lang w:val="fr-BE" w:eastAsia="en-US" w:bidi="ar-SA"/>
        </w:rPr>
        <w:t>-</w:t>
      </w:r>
      <w:r w:rsidRPr="00D147A7">
        <w:rPr>
          <w:rFonts w:eastAsiaTheme="minorEastAsia"/>
          <w:i/>
          <w:kern w:val="0"/>
          <w:lang w:val="fr-BE" w:eastAsia="en-US" w:bidi="ar-SA"/>
        </w:rPr>
        <w:t>ment pour personnes âgées dépendantes</w:t>
      </w:r>
      <w:r w:rsidRPr="00D147A7">
        <w:rPr>
          <w:rFonts w:eastAsiaTheme="minorEastAsia"/>
          <w:kern w:val="0"/>
          <w:lang w:val="fr-BE" w:eastAsia="en-US" w:bidi="ar-SA"/>
        </w:rPr>
        <w:t>, Parijs, Heures de France, 2009, 229p.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FAVIER, J.; NEIRINCK, D.; Direction des Archives de France; </w:t>
      </w:r>
      <w:r w:rsidRPr="00D147A7">
        <w:rPr>
          <w:rFonts w:eastAsiaTheme="minorEastAsia"/>
          <w:i/>
          <w:kern w:val="0"/>
          <w:lang w:val="fr-BE" w:eastAsia="en-US" w:bidi="ar-SA"/>
        </w:rPr>
        <w:t>La pratique archivistique française</w:t>
      </w:r>
      <w:r w:rsidRPr="00D147A7">
        <w:rPr>
          <w:rFonts w:eastAsiaTheme="minorEastAsia"/>
          <w:kern w:val="0"/>
          <w:lang w:val="fr-BE" w:eastAsia="en-US" w:bidi="ar-SA"/>
        </w:rPr>
        <w:t>, Parijs, Archives nationales, 2008², 712p.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FOURNIER, D., ‘Les tableaux de gestion de documents: une des clés du record manage</w:t>
      </w:r>
      <w:r w:rsidR="00476253">
        <w:rPr>
          <w:rFonts w:eastAsiaTheme="minorEastAsia"/>
          <w:kern w:val="0"/>
          <w:lang w:val="fr-BE" w:eastAsia="en-US" w:bidi="ar-SA"/>
        </w:rPr>
        <w:t>-</w:t>
      </w:r>
      <w:r w:rsidRPr="00D147A7">
        <w:rPr>
          <w:rFonts w:eastAsiaTheme="minorEastAsia"/>
          <w:kern w:val="0"/>
          <w:lang w:val="fr-BE" w:eastAsia="en-US" w:bidi="ar-SA"/>
        </w:rPr>
        <w:t xml:space="preserve">ment’, </w:t>
      </w:r>
      <w:r w:rsidRPr="00D147A7">
        <w:rPr>
          <w:rFonts w:eastAsiaTheme="minorEastAsia"/>
          <w:i/>
          <w:kern w:val="0"/>
          <w:lang w:val="fr-BE" w:eastAsia="en-US" w:bidi="ar-SA"/>
        </w:rPr>
        <w:t>Documentaliste</w:t>
      </w:r>
      <w:r w:rsidRPr="00D147A7">
        <w:rPr>
          <w:rFonts w:eastAsiaTheme="minorEastAsia"/>
          <w:kern w:val="0"/>
          <w:lang w:val="fr-BE" w:eastAsia="en-US" w:bidi="ar-SA"/>
        </w:rPr>
        <w:t>, 36/2 (1999), p. 89-96.</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GAUTIER, N. (red.), </w:t>
      </w:r>
      <w:r w:rsidRPr="00D147A7">
        <w:rPr>
          <w:rFonts w:eastAsiaTheme="minorEastAsia"/>
          <w:i/>
          <w:kern w:val="0"/>
          <w:lang w:val="fr-BE" w:eastAsia="en-US" w:bidi="ar-SA"/>
        </w:rPr>
        <w:t>Le panorama des établissements de santé – Edition 2010</w:t>
      </w:r>
      <w:r w:rsidRPr="00D147A7">
        <w:rPr>
          <w:rFonts w:eastAsiaTheme="minorEastAsia"/>
          <w:kern w:val="0"/>
          <w:lang w:val="fr-BE" w:eastAsia="en-US" w:bidi="ar-SA"/>
        </w:rPr>
        <w:t xml:space="preserve">, Collection études et statistiques, Parijs, Drees, 2010, 139p. </w:t>
      </w:r>
      <w:r w:rsidRPr="00D147A7">
        <w:rPr>
          <w:rFonts w:eastAsiaTheme="minorEastAsia"/>
          <w:kern w:val="0"/>
          <w:lang w:eastAsia="en-US" w:bidi="ar-SA"/>
        </w:rPr>
        <w:t>(</w:t>
      </w:r>
      <w:hyperlink r:id="rId541" w:history="1">
        <w:r w:rsidR="00F96F69" w:rsidRPr="00D147A7">
          <w:rPr>
            <w:rStyle w:val="Hyperlink"/>
            <w:rFonts w:eastAsiaTheme="minorEastAsia"/>
            <w:kern w:val="0"/>
            <w:lang w:eastAsia="en-US" w:bidi="ar-SA"/>
          </w:rPr>
          <w:t>http://www.sae-diffusion.sante.gouv.fr/ Collecte_2010/dwd_dwsdoc.aspx?CtrlListWebCat=76</w:t>
        </w:r>
      </w:hyperlink>
      <w:r w:rsidRPr="00D147A7">
        <w:rPr>
          <w:rFonts w:eastAsiaTheme="minorEastAsia"/>
          <w:kern w:val="0"/>
          <w:lang w:eastAsia="en-US" w:bidi="ar-SA"/>
        </w:rPr>
        <w:t>,</w:t>
      </w:r>
      <w:r w:rsidRPr="00D147A7">
        <w:rPr>
          <w:rFonts w:eastAsiaTheme="minorEastAsia"/>
          <w:kern w:val="0"/>
          <w:sz w:val="22"/>
          <w:szCs w:val="22"/>
          <w:lang w:eastAsia="en-US" w:bidi="ar-SA"/>
        </w:rPr>
        <w:t xml:space="preserve"> </w:t>
      </w:r>
      <w:r w:rsidRPr="00D147A7">
        <w:rPr>
          <w:rFonts w:eastAsiaTheme="minorEastAsia"/>
          <w:kern w:val="0"/>
          <w:lang w:eastAsia="en-US" w:bidi="ar-SA"/>
        </w:rPr>
        <w:t>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GAZILLOT, C.; BRUNESAUX, M.C.; SCUBLA, N.; ‘La collecte’, </w:t>
      </w:r>
      <w:r w:rsidRPr="00D147A7">
        <w:rPr>
          <w:rFonts w:eastAsiaTheme="minorEastAsia"/>
          <w:i/>
          <w:kern w:val="0"/>
          <w:lang w:val="fr-BE" w:eastAsia="en-US" w:bidi="ar-SA"/>
        </w:rPr>
        <w:t xml:space="preserve">Guide des archives hospitalières. </w:t>
      </w:r>
      <w:r w:rsidRPr="00D147A7">
        <w:rPr>
          <w:rFonts w:eastAsiaTheme="minorEastAsia"/>
          <w:i/>
          <w:kern w:val="0"/>
          <w:lang w:eastAsia="en-US" w:bidi="ar-SA"/>
        </w:rPr>
        <w:t>Volume 1: méthodologie et procedures</w:t>
      </w:r>
      <w:r w:rsidRPr="00D147A7">
        <w:rPr>
          <w:rFonts w:eastAsiaTheme="minorEastAsia"/>
          <w:kern w:val="0"/>
          <w:lang w:eastAsia="en-US" w:bidi="ar-SA"/>
        </w:rPr>
        <w:t>, s.l., 2008, 9p. (</w:t>
      </w:r>
      <w:hyperlink w:history="1">
        <w:r w:rsidR="00F96F69" w:rsidRPr="00D147A7">
          <w:rPr>
            <w:rStyle w:val="Hyperlink"/>
            <w:rFonts w:eastAsiaTheme="minorEastAsia"/>
            <w:kern w:val="0"/>
            <w:lang w:eastAsia="en-US" w:bidi="ar-SA"/>
          </w:rPr>
          <w:t>http://www.ascodocpsy. org/IMG/pdf/GuideArchives_compilation_volume1.pdf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GENOT-POK, I., ‘Des archives publiques aux archives hospitalières: points de droits’, </w:t>
      </w:r>
      <w:r w:rsidRPr="00D147A7">
        <w:rPr>
          <w:rFonts w:eastAsiaTheme="minorEastAsia"/>
          <w:i/>
          <w:kern w:val="0"/>
          <w:lang w:val="fr-BE" w:eastAsia="en-US" w:bidi="ar-SA"/>
        </w:rPr>
        <w:t>A.J.S.</w:t>
      </w:r>
      <w:r w:rsidRPr="00D147A7">
        <w:rPr>
          <w:rFonts w:eastAsiaTheme="minorEastAsia"/>
          <w:kern w:val="0"/>
          <w:lang w:val="fr-BE" w:eastAsia="en-US" w:bidi="ar-SA"/>
        </w:rPr>
        <w:t>, 69 (2010), p. 4-14.</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GILLE-LEFEVER, C., ‘Proposition de règlement intérieur: archivage administratif’, </w:t>
      </w:r>
      <w:r w:rsidRPr="00D147A7">
        <w:rPr>
          <w:rFonts w:eastAsiaTheme="minorEastAsia"/>
          <w:i/>
          <w:kern w:val="0"/>
          <w:lang w:val="fr-BE" w:eastAsia="en-US" w:bidi="ar-SA"/>
        </w:rPr>
        <w:t xml:space="preserve">Guide des archives hospitalières. </w:t>
      </w:r>
      <w:r w:rsidRPr="00D147A7">
        <w:rPr>
          <w:rFonts w:eastAsiaTheme="minorEastAsia"/>
          <w:i/>
          <w:kern w:val="0"/>
          <w:lang w:eastAsia="en-US" w:bidi="ar-SA"/>
        </w:rPr>
        <w:t>Volume 1: méthodologie et procédures</w:t>
      </w:r>
      <w:r w:rsidRPr="00D147A7">
        <w:rPr>
          <w:rFonts w:eastAsiaTheme="minorEastAsia"/>
          <w:kern w:val="0"/>
          <w:lang w:eastAsia="en-US" w:bidi="ar-SA"/>
        </w:rPr>
        <w:t>, s.l., 2008, 10p. (</w:t>
      </w:r>
      <w:hyperlink w:history="1">
        <w:r w:rsidR="00476253" w:rsidRPr="00FD2358">
          <w:rPr>
            <w:rStyle w:val="Hyperlink"/>
            <w:rFonts w:eastAsiaTheme="minorEastAsia"/>
            <w:kern w:val="0"/>
            <w:lang w:eastAsia="en-US" w:bidi="ar-SA"/>
          </w:rPr>
          <w:t>http:// www.ascodocpsy.org/IMG/pdf/GuideArchives_RI_admin_fev2008.pdf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GOUREVITCH, D.; GOUREVITCH, M.; ‘Maupassant et le Livre de la Loi’, </w:t>
      </w:r>
      <w:r w:rsidRPr="00D147A7">
        <w:rPr>
          <w:rFonts w:eastAsiaTheme="minorEastAsia"/>
          <w:i/>
          <w:kern w:val="0"/>
          <w:lang w:val="fr-BE" w:eastAsia="en-US" w:bidi="ar-SA"/>
        </w:rPr>
        <w:t>Histoire des sciences médicales</w:t>
      </w:r>
      <w:r w:rsidRPr="00D147A7">
        <w:rPr>
          <w:rFonts w:eastAsiaTheme="minorEastAsia"/>
          <w:kern w:val="0"/>
          <w:lang w:val="fr-BE" w:eastAsia="en-US" w:bidi="ar-SA"/>
        </w:rPr>
        <w:t>, 33/2 (1999), p. 129-133 (</w:t>
      </w:r>
      <w:hyperlink r:id="rId542" w:history="1">
        <w:r w:rsidR="00476253" w:rsidRPr="00FD2358">
          <w:rPr>
            <w:rStyle w:val="Hyperlink"/>
            <w:rFonts w:eastAsiaTheme="minorEastAsia"/>
            <w:kern w:val="0"/>
            <w:lang w:val="fr-BE" w:eastAsia="en-US" w:bidi="ar-SA"/>
          </w:rPr>
          <w:t>http://www.biusante.parisdescartes.fr/sfhm/hsm/ HSMx1999x033x002/HSMx1999x033x002x0129.pdf</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HONNORE, L., </w:t>
      </w:r>
      <w:r w:rsidRPr="00D147A7">
        <w:rPr>
          <w:rFonts w:eastAsiaTheme="minorEastAsia"/>
          <w:i/>
          <w:kern w:val="0"/>
          <w:lang w:val="fr-BE" w:eastAsia="en-US" w:bidi="ar-SA"/>
        </w:rPr>
        <w:t>Archives sociales, Archives médicales, archives scientifiques: La pratique française</w:t>
      </w:r>
      <w:r w:rsidRPr="00D147A7">
        <w:rPr>
          <w:rFonts w:eastAsiaTheme="minorEastAsia"/>
          <w:kern w:val="0"/>
          <w:lang w:val="fr-BE" w:eastAsia="en-US" w:bidi="ar-SA"/>
        </w:rPr>
        <w:t>, Miscellanea Archivistica Studia, 166, Brussel, Algemeen Rijksarch</w:t>
      </w:r>
      <w:r w:rsidR="00476253">
        <w:rPr>
          <w:rFonts w:eastAsiaTheme="minorEastAsia"/>
          <w:kern w:val="0"/>
          <w:lang w:val="fr-BE" w:eastAsia="en-US" w:bidi="ar-SA"/>
        </w:rPr>
        <w:t>ief en Rijks</w:t>
      </w:r>
      <w:r w:rsidRPr="00D147A7">
        <w:rPr>
          <w:rFonts w:eastAsiaTheme="minorEastAsia"/>
          <w:kern w:val="0"/>
          <w:lang w:val="fr-BE" w:eastAsia="en-US" w:bidi="ar-SA"/>
        </w:rPr>
        <w:t>ar</w:t>
      </w:r>
      <w:r w:rsidR="00476253">
        <w:rPr>
          <w:rFonts w:eastAsiaTheme="minorEastAsia"/>
          <w:kern w:val="0"/>
          <w:lang w:val="fr-BE" w:eastAsia="en-US" w:bidi="ar-SA"/>
        </w:rPr>
        <w:t>-</w:t>
      </w:r>
      <w:r w:rsidRPr="00D147A7">
        <w:rPr>
          <w:rFonts w:eastAsiaTheme="minorEastAsia"/>
          <w:kern w:val="0"/>
          <w:lang w:val="fr-BE" w:eastAsia="en-US" w:bidi="ar-SA"/>
        </w:rPr>
        <w:t>chief in de Provinciën, 2005, 61p.</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JACQUES, A., ‘Le dossier médical. Comment le conserver? Quand et comment le détruire?’, </w:t>
      </w:r>
      <w:r w:rsidRPr="00D147A7">
        <w:rPr>
          <w:rFonts w:eastAsiaTheme="minorEastAsia"/>
          <w:i/>
          <w:kern w:val="0"/>
          <w:lang w:val="fr-BE" w:eastAsia="en-US" w:bidi="ar-SA"/>
        </w:rPr>
        <w:t>Les cahiers de MedActuel – FMC</w:t>
      </w:r>
      <w:r w:rsidRPr="00D147A7">
        <w:rPr>
          <w:rFonts w:eastAsiaTheme="minorEastAsia"/>
          <w:kern w:val="0"/>
          <w:lang w:val="fr-BE" w:eastAsia="en-US" w:bidi="ar-SA"/>
        </w:rPr>
        <w:t>, 6/7 (2006), p. 33-34 (</w:t>
      </w:r>
      <w:hyperlink r:id="rId543" w:history="1">
        <w:r w:rsidR="00476253" w:rsidRPr="00FD2358">
          <w:rPr>
            <w:rStyle w:val="Hyperlink"/>
            <w:rFonts w:eastAsiaTheme="minorEastAsia"/>
            <w:kern w:val="0"/>
            <w:lang w:val="fr-BE" w:eastAsia="en-US" w:bidi="ar-SA"/>
          </w:rPr>
          <w:t>http://www.cmq.org/Medecins Membres/AmeliorationExercice/TenueDossiers/~/media/Files/Articles/tenue_dossiers_medactuel_fev2006.ashx?41217</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lastRenderedPageBreak/>
        <w:t xml:space="preserve">LACOEUILHE, G., ‘Dossier médical: composition, conservation et informatisation’, </w:t>
      </w:r>
      <w:r w:rsidRPr="00D147A7">
        <w:rPr>
          <w:rFonts w:eastAsiaTheme="minorEastAsia"/>
          <w:i/>
          <w:kern w:val="0"/>
          <w:lang w:val="fr-BE" w:eastAsia="en-US" w:bidi="ar-SA"/>
        </w:rPr>
        <w:t>C.M.</w:t>
      </w:r>
      <w:r w:rsidRPr="00D147A7">
        <w:rPr>
          <w:rFonts w:eastAsiaTheme="minorEastAsia"/>
          <w:kern w:val="0"/>
          <w:lang w:val="fr-BE" w:eastAsia="en-US" w:bidi="ar-SA"/>
        </w:rPr>
        <w:t>, 122/12 (2000), p. 859-862.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LENOIR, P., ‘Microfilm ou tradition: étude coût-efficacité en archivage médical’, </w:t>
      </w:r>
      <w:r w:rsidRPr="00D147A7">
        <w:rPr>
          <w:rFonts w:eastAsiaTheme="minorEastAsia"/>
          <w:i/>
          <w:kern w:val="0"/>
          <w:lang w:val="fr-BE" w:eastAsia="en-US" w:bidi="ar-SA"/>
        </w:rPr>
        <w:t>G.H.</w:t>
      </w:r>
      <w:r w:rsidRPr="00D147A7">
        <w:rPr>
          <w:rFonts w:eastAsiaTheme="minorEastAsia"/>
          <w:kern w:val="0"/>
          <w:lang w:val="fr-BE" w:eastAsia="en-US" w:bidi="ar-SA"/>
        </w:rPr>
        <w:t>, 184 (1979), p. 195-205.</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MAFTEI, M., ‘Le moment de tri dans la pratique archivistique française: réflexions théori</w:t>
      </w:r>
      <w:r w:rsidR="00476253">
        <w:rPr>
          <w:rFonts w:eastAsiaTheme="minorEastAsia"/>
          <w:kern w:val="0"/>
          <w:lang w:val="fr-BE" w:eastAsia="en-US" w:bidi="ar-SA"/>
        </w:rPr>
        <w:t>-</w:t>
      </w:r>
      <w:r w:rsidRPr="00D147A7">
        <w:rPr>
          <w:rFonts w:eastAsiaTheme="minorEastAsia"/>
          <w:kern w:val="0"/>
          <w:lang w:val="fr-BE" w:eastAsia="en-US" w:bidi="ar-SA"/>
        </w:rPr>
        <w:t>ques et applications pratiques’, Archives, 29/3-4 (1997-1998), p. 3-18 (</w:t>
      </w:r>
      <w:hyperlink w:history="1">
        <w:r w:rsidR="00476253" w:rsidRPr="00FD2358">
          <w:rPr>
            <w:rStyle w:val="Hyperlink"/>
            <w:rFonts w:eastAsiaTheme="minorEastAsia"/>
            <w:kern w:val="0"/>
            <w:lang w:val="fr-BE" w:eastAsia="en-US" w:bidi="ar-SA"/>
          </w:rPr>
          <w:t>http://www. archivistes.qc.ca/revuearchives/vol29_3-4/29-3-4-maftei.pdf</w:t>
        </w:r>
      </w:hyperlink>
      <w:r w:rsidR="00F96F69" w:rsidRPr="00D147A7">
        <w:rPr>
          <w:rFonts w:eastAsiaTheme="minorEastAsia"/>
          <w:kern w:val="0"/>
          <w:lang w:val="fr-BE" w:eastAsia="en-US" w:bidi="ar-SA"/>
        </w:rPr>
        <w:t>, l</w:t>
      </w:r>
      <w:r w:rsidRPr="00D147A7">
        <w:rPr>
          <w:rFonts w:eastAsiaTheme="minorEastAsia"/>
          <w:kern w:val="0"/>
          <w:lang w:val="fr-BE" w:eastAsia="en-US" w:bidi="ar-SA"/>
        </w:rPr>
        <w:t xml:space="preserve">aatst geraadpleegd op 23 juli 2012). </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PRADEAU, F., ‘Le dossier du patient dans les établissements de santé. Tenue, contenu, archi</w:t>
      </w:r>
      <w:r w:rsidR="00476253">
        <w:rPr>
          <w:rFonts w:eastAsiaTheme="minorEastAsia"/>
          <w:kern w:val="0"/>
          <w:lang w:val="fr-BE" w:eastAsia="en-US" w:bidi="ar-SA"/>
        </w:rPr>
        <w:t>-</w:t>
      </w:r>
      <w:r w:rsidRPr="00D147A7">
        <w:rPr>
          <w:rFonts w:eastAsiaTheme="minorEastAsia"/>
          <w:kern w:val="0"/>
          <w:lang w:val="fr-BE" w:eastAsia="en-US" w:bidi="ar-SA"/>
        </w:rPr>
        <w:t>vage et communication’, Poitiers, s.d., 6p. (</w:t>
      </w:r>
      <w:hyperlink r:id="rId544" w:history="1">
        <w:r w:rsidR="00476253" w:rsidRPr="00FD2358">
          <w:rPr>
            <w:rStyle w:val="Hyperlink"/>
            <w:rFonts w:eastAsiaTheme="minorEastAsia"/>
            <w:kern w:val="0"/>
            <w:lang w:val="fr-BE" w:eastAsia="en-US" w:bidi="ar-SA"/>
          </w:rPr>
          <w:t>http://membres.multimania.fr/pradeau/exposes/ DosMed/dossier_medical_synthese_011015.pdf</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 xml:space="preserve">ROUBERT, J., ‘Les archives médicales en France’, </w:t>
      </w:r>
      <w:r w:rsidRPr="00D147A7">
        <w:rPr>
          <w:rFonts w:eastAsiaTheme="minorEastAsia"/>
          <w:i/>
          <w:kern w:val="0"/>
          <w:lang w:val="fr-BE" w:eastAsia="en-US" w:bidi="ar-SA"/>
        </w:rPr>
        <w:t>Archivaria</w:t>
      </w:r>
      <w:r w:rsidRPr="00D147A7">
        <w:rPr>
          <w:rFonts w:eastAsiaTheme="minorEastAsia"/>
          <w:kern w:val="0"/>
          <w:lang w:val="fr-BE" w:eastAsia="en-US" w:bidi="ar-SA"/>
        </w:rPr>
        <w:t>, 10 (1980), p. 253-258.</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SALIOU, A.P., ‘Classement et tri’, Guide des archives hospitalières. </w:t>
      </w:r>
      <w:r w:rsidRPr="00D147A7">
        <w:rPr>
          <w:rFonts w:eastAsiaTheme="minorEastAsia"/>
          <w:kern w:val="0"/>
          <w:lang w:eastAsia="en-US" w:bidi="ar-SA"/>
        </w:rPr>
        <w:t>Volume 1: méthodologie et procédures, s.l., 2008, 8p. (</w:t>
      </w:r>
      <w:hyperlink r:id="rId545" w:history="1">
        <w:r w:rsidR="00476253" w:rsidRPr="00FD2358">
          <w:rPr>
            <w:rStyle w:val="Hyperlink"/>
            <w:rFonts w:eastAsiaTheme="minorEastAsia"/>
            <w:kern w:val="0"/>
            <w:lang w:eastAsia="en-US" w:bidi="ar-SA"/>
          </w:rPr>
          <w:t>http://www.ascodocpsy.org/IMG/pdf/GuideArchives_ Classement_Tri_fev2008.pdf</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eastAsia="en-US" w:bidi="ar-SA"/>
        </w:rPr>
      </w:pPr>
      <w:r w:rsidRPr="00D147A7">
        <w:rPr>
          <w:rFonts w:eastAsiaTheme="minorEastAsia"/>
          <w:kern w:val="0"/>
          <w:lang w:val="fr-BE" w:eastAsia="en-US" w:bidi="ar-SA"/>
        </w:rPr>
        <w:t xml:space="preserve">SIBILLE-DE GRIMOÜARD, C.; CAYA, M.; ‘Module 6 – section 3: Tri archivistique’, s.l.n.d., 20p. </w:t>
      </w:r>
      <w:r w:rsidRPr="00D147A7">
        <w:rPr>
          <w:rFonts w:eastAsiaTheme="minorEastAsia"/>
          <w:kern w:val="0"/>
          <w:lang w:eastAsia="en-US" w:bidi="ar-SA"/>
        </w:rPr>
        <w:t>(</w:t>
      </w:r>
      <w:hyperlink r:id="rId546" w:history="1">
        <w:r w:rsidRPr="00D147A7">
          <w:rPr>
            <w:rFonts w:eastAsiaTheme="minorEastAsia"/>
            <w:color w:val="0000FF"/>
            <w:kern w:val="0"/>
            <w:u w:val="single"/>
            <w:lang w:eastAsia="en-US" w:bidi="ar-SA"/>
          </w:rPr>
          <w:t>http://www.piaf-archives.org/espace-formation/mod/resource/view.php?r=106</w:t>
        </w:r>
      </w:hyperlink>
      <w:r w:rsidRPr="00D147A7">
        <w:rPr>
          <w:rFonts w:eastAsiaTheme="minorEastAsia"/>
          <w:kern w:val="0"/>
          <w:lang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r w:rsidRPr="00D147A7">
        <w:rPr>
          <w:rFonts w:eastAsiaTheme="minorEastAsia"/>
          <w:kern w:val="0"/>
          <w:lang w:val="fr-BE" w:eastAsia="en-US" w:bidi="ar-SA"/>
        </w:rPr>
        <w:t>TAMBURINI, S., ‘Perte et destruction du dossier médical’, s.l., 2007 (</w:t>
      </w:r>
      <w:hyperlink r:id="rId547" w:history="1">
        <w:r w:rsidR="00F96F69" w:rsidRPr="00D147A7">
          <w:rPr>
            <w:rStyle w:val="Hyperlink"/>
            <w:rFonts w:eastAsiaTheme="minorEastAsia"/>
            <w:kern w:val="0"/>
            <w:lang w:val="fr-BE" w:eastAsia="en-US" w:bidi="ar-SA"/>
          </w:rPr>
          <w:t>http://www.macsf.fr/ vous-informer/perte-et-destruction-dossier-medical.html</w:t>
        </w:r>
      </w:hyperlink>
      <w:r w:rsidRPr="00D147A7">
        <w:rPr>
          <w:rFonts w:eastAsiaTheme="minorEastAsia"/>
          <w:kern w:val="0"/>
          <w:lang w:val="fr-BE" w:eastAsia="en-US" w:bidi="ar-SA"/>
        </w:rPr>
        <w:t>, laatst geraadpleegd op 23 juli 2012).</w:t>
      </w:r>
    </w:p>
    <w:p w:rsidR="000F560E" w:rsidRPr="00D147A7" w:rsidRDefault="000F560E" w:rsidP="000F560E">
      <w:pPr>
        <w:widowControl/>
        <w:suppressAutoHyphens w:val="0"/>
        <w:jc w:val="both"/>
        <w:rPr>
          <w:rFonts w:eastAsiaTheme="minorEastAsia"/>
          <w:kern w:val="0"/>
          <w:lang w:val="fr-BE" w:eastAsia="en-US" w:bidi="ar-SA"/>
        </w:rPr>
      </w:pPr>
    </w:p>
    <w:p w:rsidR="000F560E" w:rsidRPr="00D147A7" w:rsidRDefault="000F560E" w:rsidP="000F560E">
      <w:pPr>
        <w:widowControl/>
        <w:suppressAutoHyphens w:val="0"/>
        <w:ind w:left="708" w:firstLine="708"/>
        <w:jc w:val="both"/>
        <w:rPr>
          <w:rFonts w:eastAsiaTheme="minorEastAsia"/>
          <w:b/>
          <w:kern w:val="0"/>
          <w:lang w:val="fr-BE" w:eastAsia="en-US" w:bidi="ar-SA"/>
        </w:rPr>
      </w:pPr>
      <w:r w:rsidRPr="00D147A7">
        <w:rPr>
          <w:rFonts w:eastAsiaTheme="minorEastAsia"/>
          <w:b/>
          <w:smallCaps/>
          <w:kern w:val="0"/>
          <w:lang w:val="fr-BE" w:eastAsia="en-US" w:bidi="ar-SA"/>
        </w:rPr>
        <w:t>5.6.</w:t>
      </w:r>
      <w:r w:rsidRPr="00D147A7">
        <w:rPr>
          <w:rFonts w:eastAsiaTheme="minorEastAsia"/>
          <w:b/>
          <w:kern w:val="0"/>
          <w:lang w:val="fr-BE" w:eastAsia="en-US" w:bidi="ar-SA"/>
        </w:rPr>
        <w:t>3.6 Websites</w:t>
      </w:r>
    </w:p>
    <w:p w:rsidR="000F560E" w:rsidRDefault="000F560E" w:rsidP="000F560E">
      <w:pPr>
        <w:widowControl/>
        <w:suppressAutoHyphens w:val="0"/>
        <w:jc w:val="both"/>
        <w:rPr>
          <w:rFonts w:eastAsiaTheme="minorEastAsia"/>
          <w:kern w:val="0"/>
          <w:lang w:val="fr-BE" w:eastAsia="en-US" w:bidi="ar-SA"/>
        </w:rPr>
      </w:pPr>
    </w:p>
    <w:p w:rsidR="00FF474A" w:rsidRPr="00D147A7" w:rsidRDefault="002E7E12" w:rsidP="000F560E">
      <w:pPr>
        <w:widowControl/>
        <w:suppressAutoHyphens w:val="0"/>
        <w:jc w:val="both"/>
        <w:rPr>
          <w:rFonts w:eastAsiaTheme="minorEastAsia"/>
          <w:kern w:val="0"/>
          <w:lang w:val="fr-BE" w:eastAsia="en-US" w:bidi="ar-SA"/>
        </w:rPr>
      </w:pPr>
      <w:hyperlink r:id="rId548" w:history="1">
        <w:r w:rsidR="00FF474A" w:rsidRPr="00D147A7">
          <w:rPr>
            <w:rFonts w:eastAsiaTheme="minorEastAsia"/>
            <w:color w:val="0000FF"/>
            <w:kern w:val="0"/>
            <w:u w:val="single"/>
            <w:lang w:val="fr-BE" w:eastAsia="en-US" w:bidi="ar-SA"/>
          </w:rPr>
          <w:t>http://basedaj.aphp.fr/</w:t>
        </w:r>
      </w:hyperlink>
      <w:r w:rsidR="00FF474A" w:rsidRPr="00D147A7">
        <w:rPr>
          <w:rFonts w:eastAsiaTheme="minorEastAsia"/>
          <w:kern w:val="0"/>
          <w:lang w:val="fr-BE" w:eastAsia="en-US" w:bidi="ar-SA"/>
        </w:rPr>
        <w:t>.</w:t>
      </w:r>
    </w:p>
    <w:p w:rsidR="00FF474A" w:rsidRPr="00FF474A" w:rsidRDefault="002E7E12" w:rsidP="000F560E">
      <w:pPr>
        <w:widowControl/>
        <w:suppressAutoHyphens w:val="0"/>
        <w:jc w:val="both"/>
        <w:rPr>
          <w:lang w:val="fr-BE"/>
        </w:rPr>
      </w:pPr>
      <w:hyperlink r:id="rId549" w:history="1">
        <w:r w:rsidR="00FF474A" w:rsidRPr="00D147A7">
          <w:rPr>
            <w:rFonts w:eastAsiaTheme="minorEastAsia"/>
            <w:color w:val="0000FF"/>
            <w:kern w:val="0"/>
            <w:u w:val="single"/>
            <w:lang w:val="fr-BE" w:eastAsia="en-US" w:bidi="ar-SA"/>
          </w:rPr>
          <w:t>http://membres.multimania.fr/pradeau/</w:t>
        </w:r>
      </w:hyperlink>
      <w:r w:rsidR="00FF474A"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0" w:history="1">
        <w:r w:rsidR="000F560E" w:rsidRPr="00D147A7">
          <w:rPr>
            <w:rFonts w:eastAsiaTheme="minorEastAsia"/>
            <w:color w:val="0000FF"/>
            <w:kern w:val="0"/>
            <w:u w:val="single"/>
            <w:lang w:val="fr-BE" w:eastAsia="en-US" w:bidi="ar-SA"/>
          </w:rPr>
          <w:t>http://www.archivesdefrance.culture.gouv.fr/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1" w:history="1">
        <w:r w:rsidR="000F560E" w:rsidRPr="00D147A7">
          <w:rPr>
            <w:rFonts w:eastAsiaTheme="minorEastAsia"/>
            <w:color w:val="0000FF"/>
            <w:kern w:val="0"/>
            <w:u w:val="single"/>
            <w:lang w:val="fr-BE" w:eastAsia="en-US" w:bidi="ar-SA"/>
          </w:rPr>
          <w:t>http://www.archivistes.qc.ca/</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2" w:history="1">
        <w:r w:rsidR="000F560E" w:rsidRPr="00D147A7">
          <w:rPr>
            <w:rFonts w:eastAsiaTheme="minorEastAsia"/>
            <w:color w:val="0000FF"/>
            <w:kern w:val="0"/>
            <w:u w:val="single"/>
            <w:lang w:val="fr-BE" w:eastAsia="en-US" w:bidi="ar-SA"/>
          </w:rPr>
          <w:t>http://www.ascodocpsy.org/</w:t>
        </w:r>
      </w:hyperlink>
      <w:r w:rsidR="00FF474A">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3" w:history="1">
        <w:r w:rsidR="000F560E" w:rsidRPr="00D147A7">
          <w:rPr>
            <w:rFonts w:eastAsiaTheme="minorEastAsia"/>
            <w:color w:val="0000FF"/>
            <w:kern w:val="0"/>
            <w:u w:val="single"/>
            <w:lang w:val="fr-BE" w:eastAsia="en-US" w:bidi="ar-SA"/>
          </w:rPr>
          <w:t>http://www.biusante.parisdescartes.fr/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4" w:history="1">
        <w:r w:rsidR="000F560E" w:rsidRPr="00D147A7">
          <w:rPr>
            <w:rFonts w:eastAsiaTheme="minorEastAsia"/>
            <w:color w:val="0000FF"/>
            <w:kern w:val="0"/>
            <w:u w:val="single"/>
            <w:lang w:val="fr-BE" w:eastAsia="en-US" w:bidi="ar-SA"/>
          </w:rPr>
          <w:t>http://www.cmq.org/</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5" w:history="1">
        <w:r w:rsidR="000F560E" w:rsidRPr="00D147A7">
          <w:rPr>
            <w:rFonts w:eastAsiaTheme="minorEastAsia"/>
            <w:color w:val="0000FF"/>
            <w:kern w:val="0"/>
            <w:u w:val="single"/>
            <w:lang w:val="fr-BE" w:eastAsia="en-US" w:bidi="ar-SA"/>
          </w:rPr>
          <w:t>http://www.has-sante.fr/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6" w:history="1">
        <w:r w:rsidR="000F560E" w:rsidRPr="00D147A7">
          <w:rPr>
            <w:rFonts w:eastAsiaTheme="minorEastAsia"/>
            <w:color w:val="0000FF"/>
            <w:kern w:val="0"/>
            <w:u w:val="single"/>
            <w:lang w:val="fr-BE" w:eastAsia="en-US" w:bidi="ar-SA"/>
          </w:rPr>
          <w:t>http://www.ladocumentationfrancaise.fr/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7" w:history="1">
        <w:r w:rsidR="000F560E" w:rsidRPr="00D147A7">
          <w:rPr>
            <w:rFonts w:eastAsiaTheme="minorEastAsia"/>
            <w:color w:val="0000FF"/>
            <w:kern w:val="0"/>
            <w:u w:val="single"/>
            <w:lang w:val="fr-BE" w:eastAsia="en-US" w:bidi="ar-SA"/>
          </w:rPr>
          <w:t>http://www.macsf.fr/</w:t>
        </w:r>
      </w:hyperlink>
      <w:r w:rsidR="00FF474A">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8" w:history="1">
        <w:r w:rsidR="000F560E" w:rsidRPr="00D147A7">
          <w:rPr>
            <w:rFonts w:eastAsiaTheme="minorEastAsia"/>
            <w:color w:val="0000FF"/>
            <w:kern w:val="0"/>
            <w:u w:val="single"/>
            <w:lang w:val="fr-BE" w:eastAsia="en-US" w:bidi="ar-SA"/>
          </w:rPr>
          <w:t>http://www.piaf-archives.org</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fr-BE" w:eastAsia="en-US" w:bidi="ar-SA"/>
        </w:rPr>
      </w:pPr>
      <w:hyperlink r:id="rId559" w:history="1">
        <w:r w:rsidR="000F560E" w:rsidRPr="00D147A7">
          <w:rPr>
            <w:rFonts w:eastAsiaTheme="minorEastAsia"/>
            <w:color w:val="0000FF"/>
            <w:kern w:val="0"/>
            <w:u w:val="single"/>
            <w:lang w:val="fr-BE" w:eastAsia="en-US" w:bidi="ar-SA"/>
          </w:rPr>
          <w:t>http://www.sae-diffusion.sante.gouv.fr/</w:t>
        </w:r>
      </w:hyperlink>
      <w:r w:rsidR="000F560E" w:rsidRPr="00D147A7">
        <w:rPr>
          <w:rFonts w:eastAsiaTheme="minorEastAsia"/>
          <w:kern w:val="0"/>
          <w:lang w:val="fr-BE" w:eastAsia="en-US" w:bidi="ar-SA"/>
        </w:rPr>
        <w:t>.</w:t>
      </w:r>
    </w:p>
    <w:p w:rsidR="000F560E" w:rsidRPr="00D147A7" w:rsidRDefault="002E7E12" w:rsidP="000F560E">
      <w:pPr>
        <w:widowControl/>
        <w:suppressAutoHyphens w:val="0"/>
        <w:jc w:val="both"/>
        <w:rPr>
          <w:rFonts w:eastAsiaTheme="minorEastAsia"/>
          <w:kern w:val="0"/>
          <w:lang w:val="en-US" w:eastAsia="en-US" w:bidi="ar-SA"/>
        </w:rPr>
      </w:pPr>
      <w:hyperlink r:id="rId560" w:history="1">
        <w:r w:rsidR="000F560E" w:rsidRPr="00D147A7">
          <w:rPr>
            <w:rFonts w:eastAsiaTheme="minorEastAsia"/>
            <w:color w:val="0000FF"/>
            <w:kern w:val="0"/>
            <w:u w:val="single"/>
            <w:lang w:val="en-US" w:eastAsia="en-US" w:bidi="ar-SA"/>
          </w:rPr>
          <w:t>http://www.senat.fr/</w:t>
        </w:r>
      </w:hyperlink>
      <w:r w:rsidR="000F560E" w:rsidRPr="00D147A7">
        <w:rPr>
          <w:rFonts w:eastAsiaTheme="minorEastAsia"/>
          <w:kern w:val="0"/>
          <w:lang w:val="en-US" w:eastAsia="en-US" w:bidi="ar-SA"/>
        </w:rPr>
        <w:t>.</w:t>
      </w:r>
    </w:p>
    <w:p w:rsidR="000F560E" w:rsidRPr="00D147A7" w:rsidRDefault="000F560E" w:rsidP="000F560E">
      <w:pPr>
        <w:widowControl/>
        <w:suppressAutoHyphens w:val="0"/>
        <w:jc w:val="both"/>
        <w:rPr>
          <w:rFonts w:eastAsiaTheme="minorEastAsia"/>
          <w:kern w:val="0"/>
          <w:lang w:eastAsia="en-US" w:bidi="ar-SA"/>
        </w:rPr>
      </w:pPr>
    </w:p>
    <w:p w:rsidR="00D20C20" w:rsidRDefault="00D20C20">
      <w:pPr>
        <w:widowControl/>
        <w:suppressAutoHyphens w:val="0"/>
        <w:spacing w:after="200" w:line="276" w:lineRule="auto"/>
        <w:rPr>
          <w:kern w:val="0"/>
          <w:lang w:eastAsia="en-US" w:bidi="ar-SA"/>
        </w:rPr>
      </w:pPr>
      <w:r>
        <w:br w:type="page"/>
      </w:r>
    </w:p>
    <w:p w:rsidR="009931C7" w:rsidRPr="002E6CAF" w:rsidRDefault="00D20C20" w:rsidP="00854FF3">
      <w:pPr>
        <w:pStyle w:val="Geenafstand"/>
        <w:rPr>
          <w:rFonts w:ascii="Times New Roman" w:hAnsi="Times New Roman" w:cs="Times New Roman"/>
          <w:smallCaps/>
          <w:sz w:val="24"/>
          <w:szCs w:val="24"/>
        </w:rPr>
      </w:pPr>
      <w:r w:rsidRPr="002E6CAF">
        <w:rPr>
          <w:rFonts w:ascii="Times New Roman" w:hAnsi="Times New Roman" w:cs="Times New Roman"/>
          <w:smallCaps/>
          <w:sz w:val="24"/>
          <w:szCs w:val="24"/>
        </w:rPr>
        <w:lastRenderedPageBreak/>
        <w:t>Besluit</w:t>
      </w:r>
    </w:p>
    <w:p w:rsidR="00B93B91" w:rsidRDefault="00B93B91" w:rsidP="00854FF3">
      <w:pPr>
        <w:pStyle w:val="Geenafstand"/>
        <w:rPr>
          <w:rFonts w:ascii="Times New Roman" w:hAnsi="Times New Roman" w:cs="Times New Roman"/>
          <w:sz w:val="24"/>
          <w:szCs w:val="24"/>
        </w:rPr>
      </w:pPr>
    </w:p>
    <w:p w:rsidR="008F15B6" w:rsidRPr="00521D42" w:rsidRDefault="008F15B6" w:rsidP="00521D42">
      <w:pPr>
        <w:pStyle w:val="Geenafstand"/>
        <w:jc w:val="both"/>
        <w:rPr>
          <w:rFonts w:ascii="Times New Roman" w:hAnsi="Times New Roman" w:cs="Times New Roman"/>
          <w:sz w:val="24"/>
          <w:szCs w:val="24"/>
        </w:rPr>
      </w:pPr>
      <w:r w:rsidRPr="00521D42">
        <w:rPr>
          <w:rFonts w:ascii="Times New Roman" w:hAnsi="Times New Roman" w:cs="Times New Roman"/>
          <w:sz w:val="24"/>
          <w:szCs w:val="24"/>
          <w:lang w:val="nl-NL"/>
        </w:rPr>
        <w:t xml:space="preserve">In overeenstemming met de verschillende fasen van het klassieke </w:t>
      </w:r>
      <w:r w:rsidRPr="00521D42">
        <w:rPr>
          <w:rFonts w:ascii="Times New Roman" w:hAnsi="Times New Roman" w:cs="Times New Roman"/>
          <w:i/>
          <w:sz w:val="24"/>
          <w:szCs w:val="24"/>
          <w:lang w:val="nl-NL"/>
        </w:rPr>
        <w:t>records lifecycle</w:t>
      </w:r>
      <w:r w:rsidRPr="00521D42">
        <w:rPr>
          <w:rFonts w:ascii="Times New Roman" w:hAnsi="Times New Roman" w:cs="Times New Roman"/>
          <w:sz w:val="24"/>
          <w:szCs w:val="24"/>
          <w:lang w:val="nl-NL"/>
        </w:rPr>
        <w:t xml:space="preserve">-model van Theodore Schellenberg is deze scriptie uit vijf delen opgebouwd. De vijf fasen zijn achtereen-volgens: creatie; </w:t>
      </w:r>
      <w:r w:rsidRPr="00521D42">
        <w:rPr>
          <w:rFonts w:ascii="Times New Roman" w:hAnsi="Times New Roman" w:cs="Times New Roman"/>
          <w:sz w:val="24"/>
          <w:szCs w:val="24"/>
        </w:rPr>
        <w:t>vastlegging; bewaring; gebruik; selectie, overdracht en vernietiging. Telkens werden de wetgeving, rechtsleer en archivistische literatuur respectievelijk voor België, Ne</w:t>
      </w:r>
      <w:r w:rsidR="008A7CE9">
        <w:rPr>
          <w:rFonts w:ascii="Times New Roman" w:hAnsi="Times New Roman" w:cs="Times New Roman"/>
          <w:sz w:val="24"/>
          <w:szCs w:val="24"/>
        </w:rPr>
        <w:t>-</w:t>
      </w:r>
      <w:r w:rsidRPr="00521D42">
        <w:rPr>
          <w:rFonts w:ascii="Times New Roman" w:hAnsi="Times New Roman" w:cs="Times New Roman"/>
          <w:sz w:val="24"/>
          <w:szCs w:val="24"/>
        </w:rPr>
        <w:t xml:space="preserve">derland en Frankrijk onderzocht teneinde de </w:t>
      </w:r>
      <w:r w:rsidR="00BA7BEA" w:rsidRPr="00521D42">
        <w:rPr>
          <w:rFonts w:ascii="Times New Roman" w:hAnsi="Times New Roman" w:cs="Times New Roman"/>
          <w:sz w:val="24"/>
          <w:szCs w:val="24"/>
        </w:rPr>
        <w:t xml:space="preserve">stand van zaken in deze drie landen te bestuderen en aan de hand van de bevindingen aanbevelingen </w:t>
      </w:r>
      <w:r w:rsidR="00BA7BEA" w:rsidRPr="00521D42">
        <w:rPr>
          <w:rFonts w:ascii="Times New Roman" w:hAnsi="Times New Roman" w:cs="Times New Roman"/>
          <w:i/>
          <w:sz w:val="24"/>
          <w:szCs w:val="24"/>
        </w:rPr>
        <w:t>de lege ferenda</w:t>
      </w:r>
      <w:r w:rsidR="00BA7BEA" w:rsidRPr="00521D42">
        <w:rPr>
          <w:rFonts w:ascii="Times New Roman" w:hAnsi="Times New Roman" w:cs="Times New Roman"/>
          <w:sz w:val="24"/>
          <w:szCs w:val="24"/>
        </w:rPr>
        <w:t xml:space="preserve"> aan de Belgische wetgever aan te reiken.</w:t>
      </w:r>
      <w:r w:rsidR="00B8263D">
        <w:rPr>
          <w:rFonts w:ascii="Times New Roman" w:hAnsi="Times New Roman" w:cs="Times New Roman"/>
          <w:sz w:val="24"/>
          <w:szCs w:val="24"/>
        </w:rPr>
        <w:t xml:space="preserve"> Enkel het vierde deel heeft een afwijkend opbouw, daar privacywetgeving in sterke mate geüniformeerd is in de lidstaten van de Europese Unie.</w:t>
      </w:r>
    </w:p>
    <w:p w:rsidR="00B8263D" w:rsidRDefault="00B8263D" w:rsidP="00521D42">
      <w:pPr>
        <w:pStyle w:val="Geenafstand"/>
        <w:jc w:val="both"/>
        <w:rPr>
          <w:rFonts w:ascii="Times New Roman" w:hAnsi="Times New Roman" w:cs="Times New Roman"/>
          <w:sz w:val="24"/>
          <w:szCs w:val="24"/>
        </w:rPr>
      </w:pPr>
    </w:p>
    <w:p w:rsidR="00305AE2" w:rsidRDefault="008F15B6" w:rsidP="00521D42">
      <w:pPr>
        <w:pStyle w:val="Geenafstand"/>
        <w:jc w:val="both"/>
        <w:rPr>
          <w:rFonts w:ascii="Times New Roman" w:hAnsi="Times New Roman" w:cs="Times New Roman"/>
          <w:sz w:val="24"/>
          <w:szCs w:val="24"/>
        </w:rPr>
      </w:pPr>
      <w:r w:rsidRPr="00521D42">
        <w:rPr>
          <w:rFonts w:ascii="Times New Roman" w:hAnsi="Times New Roman" w:cs="Times New Roman"/>
          <w:sz w:val="24"/>
          <w:szCs w:val="24"/>
        </w:rPr>
        <w:t xml:space="preserve">In het eerste deel </w:t>
      </w:r>
      <w:r w:rsidR="00BA7BEA" w:rsidRPr="00521D42">
        <w:rPr>
          <w:rFonts w:ascii="Times New Roman" w:hAnsi="Times New Roman" w:cs="Times New Roman"/>
          <w:sz w:val="24"/>
          <w:szCs w:val="24"/>
        </w:rPr>
        <w:t>kwamen</w:t>
      </w:r>
      <w:r w:rsidRPr="00521D42">
        <w:rPr>
          <w:rFonts w:ascii="Times New Roman" w:hAnsi="Times New Roman" w:cs="Times New Roman"/>
          <w:sz w:val="24"/>
          <w:szCs w:val="24"/>
        </w:rPr>
        <w:t xml:space="preserve"> vier grote </w:t>
      </w:r>
      <w:r w:rsidR="00BA7BEA" w:rsidRPr="00521D42">
        <w:rPr>
          <w:rFonts w:ascii="Times New Roman" w:hAnsi="Times New Roman" w:cs="Times New Roman"/>
          <w:sz w:val="24"/>
          <w:szCs w:val="24"/>
        </w:rPr>
        <w:t>thema’s</w:t>
      </w:r>
      <w:r w:rsidRPr="00521D42">
        <w:rPr>
          <w:rFonts w:ascii="Times New Roman" w:hAnsi="Times New Roman" w:cs="Times New Roman"/>
          <w:sz w:val="24"/>
          <w:szCs w:val="24"/>
        </w:rPr>
        <w:t xml:space="preserve"> </w:t>
      </w:r>
      <w:r w:rsidR="00BA7BEA" w:rsidRPr="00521D42">
        <w:rPr>
          <w:rFonts w:ascii="Times New Roman" w:hAnsi="Times New Roman" w:cs="Times New Roman"/>
          <w:sz w:val="24"/>
          <w:szCs w:val="24"/>
        </w:rPr>
        <w:t>aan bod: de dossierplicht van zorgverleners, de eigendom, vormvereisten en typologie van patiëntendossiers</w:t>
      </w:r>
      <w:r w:rsidRPr="00521D42">
        <w:rPr>
          <w:rFonts w:ascii="Times New Roman" w:hAnsi="Times New Roman" w:cs="Times New Roman"/>
          <w:sz w:val="24"/>
          <w:szCs w:val="24"/>
        </w:rPr>
        <w:t>.</w:t>
      </w:r>
      <w:r w:rsidR="00BA7BEA" w:rsidRPr="00521D42">
        <w:rPr>
          <w:rFonts w:ascii="Times New Roman" w:hAnsi="Times New Roman" w:cs="Times New Roman"/>
          <w:sz w:val="24"/>
          <w:szCs w:val="24"/>
        </w:rPr>
        <w:t xml:space="preserve"> Het is opmerkelijk dat </w:t>
      </w:r>
      <w:r w:rsidR="00521D42" w:rsidRPr="00521D42">
        <w:rPr>
          <w:rFonts w:ascii="Times New Roman" w:hAnsi="Times New Roman" w:cs="Times New Roman"/>
          <w:sz w:val="24"/>
          <w:szCs w:val="24"/>
        </w:rPr>
        <w:t xml:space="preserve">drie van </w:t>
      </w:r>
      <w:r w:rsidR="00BA7BEA" w:rsidRPr="00521D42">
        <w:rPr>
          <w:rFonts w:ascii="Times New Roman" w:hAnsi="Times New Roman" w:cs="Times New Roman"/>
          <w:sz w:val="24"/>
          <w:szCs w:val="24"/>
        </w:rPr>
        <w:t xml:space="preserve">deze kwesties </w:t>
      </w:r>
      <w:r w:rsidR="00521D42" w:rsidRPr="00521D42">
        <w:rPr>
          <w:rFonts w:ascii="Times New Roman" w:hAnsi="Times New Roman" w:cs="Times New Roman"/>
          <w:sz w:val="24"/>
          <w:szCs w:val="24"/>
        </w:rPr>
        <w:t>in de drie bestudeerde landen</w:t>
      </w:r>
      <w:r w:rsidR="00BA7BEA" w:rsidRPr="00521D42">
        <w:rPr>
          <w:rFonts w:ascii="Times New Roman" w:hAnsi="Times New Roman" w:cs="Times New Roman"/>
          <w:sz w:val="24"/>
          <w:szCs w:val="24"/>
        </w:rPr>
        <w:t xml:space="preserve"> </w:t>
      </w:r>
      <w:r w:rsidR="00521D42" w:rsidRPr="00521D42">
        <w:rPr>
          <w:rFonts w:ascii="Times New Roman" w:hAnsi="Times New Roman" w:cs="Times New Roman"/>
          <w:sz w:val="24"/>
          <w:szCs w:val="24"/>
        </w:rPr>
        <w:t>nagenoeg identiek worden benaderd</w:t>
      </w:r>
      <w:r w:rsidR="00BA7BEA" w:rsidRPr="00521D42">
        <w:rPr>
          <w:rFonts w:ascii="Times New Roman" w:hAnsi="Times New Roman" w:cs="Times New Roman"/>
          <w:sz w:val="24"/>
          <w:szCs w:val="24"/>
        </w:rPr>
        <w:t xml:space="preserve">. </w:t>
      </w:r>
    </w:p>
    <w:p w:rsidR="00305AE2" w:rsidRDefault="00521D42" w:rsidP="00521D42">
      <w:pPr>
        <w:pStyle w:val="Geenafstand"/>
        <w:jc w:val="both"/>
        <w:rPr>
          <w:rFonts w:ascii="Times New Roman" w:hAnsi="Times New Roman" w:cs="Times New Roman"/>
          <w:sz w:val="24"/>
          <w:szCs w:val="24"/>
        </w:rPr>
      </w:pPr>
      <w:r w:rsidRPr="00521D42">
        <w:rPr>
          <w:rFonts w:ascii="Times New Roman" w:hAnsi="Times New Roman" w:cs="Times New Roman"/>
          <w:sz w:val="24"/>
          <w:szCs w:val="24"/>
        </w:rPr>
        <w:t>Z</w:t>
      </w:r>
      <w:r w:rsidR="00BA7BEA" w:rsidRPr="00521D42">
        <w:rPr>
          <w:rFonts w:ascii="Times New Roman" w:hAnsi="Times New Roman" w:cs="Times New Roman"/>
          <w:sz w:val="24"/>
          <w:szCs w:val="24"/>
        </w:rPr>
        <w:t xml:space="preserve">orgverleners </w:t>
      </w:r>
      <w:r w:rsidRPr="00521D42">
        <w:rPr>
          <w:rFonts w:ascii="Times New Roman" w:hAnsi="Times New Roman" w:cs="Times New Roman"/>
          <w:sz w:val="24"/>
          <w:szCs w:val="24"/>
        </w:rPr>
        <w:t xml:space="preserve">zijn </w:t>
      </w:r>
      <w:r w:rsidR="00BA7BEA" w:rsidRPr="00521D42">
        <w:rPr>
          <w:rFonts w:ascii="Times New Roman" w:hAnsi="Times New Roman" w:cs="Times New Roman"/>
          <w:sz w:val="24"/>
          <w:szCs w:val="24"/>
        </w:rPr>
        <w:t xml:space="preserve">verplicht om voor iedere patiënt één dossier aan te maken, zorgvuldig aan te vullen en veilig te bewaren. </w:t>
      </w:r>
    </w:p>
    <w:p w:rsidR="00305AE2" w:rsidRDefault="00BA7BEA" w:rsidP="00521D42">
      <w:pPr>
        <w:pStyle w:val="Geenafstand"/>
        <w:jc w:val="both"/>
        <w:rPr>
          <w:rFonts w:ascii="Times New Roman" w:hAnsi="Times New Roman" w:cs="Times New Roman"/>
          <w:sz w:val="24"/>
          <w:szCs w:val="24"/>
        </w:rPr>
      </w:pPr>
      <w:r w:rsidRPr="00521D42">
        <w:rPr>
          <w:rFonts w:ascii="Times New Roman" w:hAnsi="Times New Roman" w:cs="Times New Roman"/>
          <w:sz w:val="24"/>
          <w:szCs w:val="24"/>
        </w:rPr>
        <w:t xml:space="preserve">Individuele zorgverleners (zoals huisartsen) </w:t>
      </w:r>
      <w:r w:rsidR="00521D42" w:rsidRPr="00521D42">
        <w:rPr>
          <w:rFonts w:ascii="Times New Roman" w:hAnsi="Times New Roman" w:cs="Times New Roman"/>
          <w:sz w:val="24"/>
          <w:szCs w:val="24"/>
        </w:rPr>
        <w:t xml:space="preserve">enerzijds </w:t>
      </w:r>
      <w:r w:rsidRPr="00521D42">
        <w:rPr>
          <w:rFonts w:ascii="Times New Roman" w:hAnsi="Times New Roman" w:cs="Times New Roman"/>
          <w:sz w:val="24"/>
          <w:szCs w:val="24"/>
        </w:rPr>
        <w:t xml:space="preserve">en verzorgingsinstellingen </w:t>
      </w:r>
      <w:r w:rsidR="00521D42" w:rsidRPr="00521D42">
        <w:rPr>
          <w:rFonts w:ascii="Times New Roman" w:hAnsi="Times New Roman" w:cs="Times New Roman"/>
          <w:sz w:val="24"/>
          <w:szCs w:val="24"/>
        </w:rPr>
        <w:t xml:space="preserve">anderzijds </w:t>
      </w:r>
      <w:r w:rsidRPr="00521D42">
        <w:rPr>
          <w:rFonts w:ascii="Times New Roman" w:hAnsi="Times New Roman" w:cs="Times New Roman"/>
          <w:sz w:val="24"/>
          <w:szCs w:val="24"/>
        </w:rPr>
        <w:t xml:space="preserve">worden </w:t>
      </w:r>
      <w:r w:rsidR="00521D42" w:rsidRPr="00521D42">
        <w:rPr>
          <w:rFonts w:ascii="Times New Roman" w:hAnsi="Times New Roman" w:cs="Times New Roman"/>
          <w:sz w:val="24"/>
          <w:szCs w:val="24"/>
        </w:rPr>
        <w:t xml:space="preserve">wel </w:t>
      </w:r>
      <w:r w:rsidRPr="00521D42">
        <w:rPr>
          <w:rFonts w:ascii="Times New Roman" w:hAnsi="Times New Roman" w:cs="Times New Roman"/>
          <w:sz w:val="24"/>
          <w:szCs w:val="24"/>
        </w:rPr>
        <w:t xml:space="preserve">als eigenaar van de gegevensdrager van het patiëntendossier gekwalificeerd, </w:t>
      </w:r>
      <w:r w:rsidR="00521D42" w:rsidRPr="00521D42">
        <w:rPr>
          <w:rFonts w:ascii="Times New Roman" w:hAnsi="Times New Roman" w:cs="Times New Roman"/>
          <w:sz w:val="24"/>
          <w:szCs w:val="24"/>
        </w:rPr>
        <w:t>maar van een</w:t>
      </w:r>
      <w:r w:rsidRPr="00521D42">
        <w:rPr>
          <w:rFonts w:ascii="Times New Roman" w:hAnsi="Times New Roman" w:cs="Times New Roman"/>
          <w:sz w:val="24"/>
          <w:szCs w:val="24"/>
        </w:rPr>
        <w:t xml:space="preserve"> exclusief aanspraak op het bezit van het patiëntendossier</w:t>
      </w:r>
      <w:r w:rsidR="00521D42" w:rsidRPr="00521D42">
        <w:rPr>
          <w:rFonts w:ascii="Times New Roman" w:hAnsi="Times New Roman" w:cs="Times New Roman"/>
          <w:sz w:val="24"/>
          <w:szCs w:val="24"/>
        </w:rPr>
        <w:t xml:space="preserve"> is nergens sprake</w:t>
      </w:r>
      <w:r w:rsidRPr="00521D42">
        <w:rPr>
          <w:rFonts w:ascii="Times New Roman" w:hAnsi="Times New Roman" w:cs="Times New Roman"/>
          <w:sz w:val="24"/>
          <w:szCs w:val="24"/>
        </w:rPr>
        <w:t xml:space="preserve">. Wel </w:t>
      </w:r>
      <w:r w:rsidR="00521D42" w:rsidRPr="00521D42">
        <w:rPr>
          <w:rFonts w:ascii="Times New Roman" w:hAnsi="Times New Roman" w:cs="Times New Roman"/>
          <w:sz w:val="24"/>
          <w:szCs w:val="24"/>
        </w:rPr>
        <w:t>krij</w:t>
      </w:r>
      <w:r w:rsidR="008A7CE9">
        <w:rPr>
          <w:rFonts w:ascii="Times New Roman" w:hAnsi="Times New Roman" w:cs="Times New Roman"/>
          <w:sz w:val="24"/>
          <w:szCs w:val="24"/>
        </w:rPr>
        <w:t>-</w:t>
      </w:r>
      <w:r w:rsidR="00521D42" w:rsidRPr="00521D42">
        <w:rPr>
          <w:rFonts w:ascii="Times New Roman" w:hAnsi="Times New Roman" w:cs="Times New Roman"/>
          <w:sz w:val="24"/>
          <w:szCs w:val="24"/>
        </w:rPr>
        <w:t>gen</w:t>
      </w:r>
      <w:r w:rsidRPr="00521D42">
        <w:rPr>
          <w:rFonts w:ascii="Times New Roman" w:hAnsi="Times New Roman" w:cs="Times New Roman"/>
          <w:sz w:val="24"/>
          <w:szCs w:val="24"/>
        </w:rPr>
        <w:t xml:space="preserve"> patiënten steeds meer regie </w:t>
      </w:r>
      <w:r w:rsidR="00521D42" w:rsidRPr="00521D42">
        <w:rPr>
          <w:rFonts w:ascii="Times New Roman" w:hAnsi="Times New Roman" w:cs="Times New Roman"/>
          <w:sz w:val="24"/>
          <w:szCs w:val="24"/>
        </w:rPr>
        <w:t xml:space="preserve">toebedeeld </w:t>
      </w:r>
      <w:r w:rsidRPr="00521D42">
        <w:rPr>
          <w:rFonts w:ascii="Times New Roman" w:hAnsi="Times New Roman" w:cs="Times New Roman"/>
          <w:sz w:val="24"/>
          <w:szCs w:val="24"/>
        </w:rPr>
        <w:t xml:space="preserve">over de hen betreffende dossiers. </w:t>
      </w:r>
    </w:p>
    <w:p w:rsidR="00305AE2" w:rsidRDefault="00B93B91" w:rsidP="00521D42">
      <w:pPr>
        <w:pStyle w:val="Geenafstand"/>
        <w:jc w:val="both"/>
        <w:rPr>
          <w:rFonts w:ascii="Times New Roman" w:hAnsi="Times New Roman" w:cs="Times New Roman"/>
          <w:sz w:val="24"/>
          <w:szCs w:val="24"/>
        </w:rPr>
      </w:pPr>
      <w:r w:rsidRPr="00521D42">
        <w:rPr>
          <w:rFonts w:ascii="Times New Roman" w:hAnsi="Times New Roman" w:cs="Times New Roman"/>
          <w:sz w:val="24"/>
          <w:szCs w:val="24"/>
        </w:rPr>
        <w:t>Ook wat de vormgeving van patiëntendossiers betreft wordt in België, Nederland en Frankrijk een gelijkluidende politiek gevoerd. Het is toegestaan om gezondheidsgegevens op elektro</w:t>
      </w:r>
      <w:r w:rsidR="008A7CE9">
        <w:rPr>
          <w:rFonts w:ascii="Times New Roman" w:hAnsi="Times New Roman" w:cs="Times New Roman"/>
          <w:sz w:val="24"/>
          <w:szCs w:val="24"/>
        </w:rPr>
        <w:t>-</w:t>
      </w:r>
      <w:r w:rsidRPr="00521D42">
        <w:rPr>
          <w:rFonts w:ascii="Times New Roman" w:hAnsi="Times New Roman" w:cs="Times New Roman"/>
          <w:sz w:val="24"/>
          <w:szCs w:val="24"/>
        </w:rPr>
        <w:t>nische gegevensdrager aan te brengen, op voorwaarde dat het een betrouwbare, duurzame en onuitwisbare drager betreft.</w:t>
      </w:r>
      <w:r w:rsidR="00521D42" w:rsidRPr="00521D42">
        <w:rPr>
          <w:rFonts w:ascii="Times New Roman" w:hAnsi="Times New Roman" w:cs="Times New Roman"/>
          <w:sz w:val="24"/>
          <w:szCs w:val="24"/>
        </w:rPr>
        <w:t xml:space="preserve"> Enkel wat de typologie betreft, heeft de Belgische wetgever er een aanzienlijk verschillende visie dan de Nederlandse en Franse wetgevers op nagehouden. </w:t>
      </w:r>
    </w:p>
    <w:p w:rsidR="00521D42" w:rsidRDefault="00521D42" w:rsidP="00521D42">
      <w:pPr>
        <w:pStyle w:val="Geenafstand"/>
        <w:jc w:val="both"/>
        <w:rPr>
          <w:rFonts w:ascii="Times New Roman" w:hAnsi="Times New Roman" w:cs="Times New Roman"/>
          <w:lang w:val="nl-NL"/>
        </w:rPr>
      </w:pPr>
      <w:r w:rsidRPr="00521D42">
        <w:rPr>
          <w:rFonts w:ascii="Times New Roman" w:hAnsi="Times New Roman" w:cs="Times New Roman"/>
          <w:sz w:val="24"/>
          <w:szCs w:val="24"/>
        </w:rPr>
        <w:t>Waar in Nederland en Frankrijk een consensuspolitiek m.b.t. patiëntendossiers gevoerd wordt, is de wetgeving in België in een mozaïek aan disparate bepalingen met betrekking tot patiënt</w:t>
      </w:r>
      <w:r w:rsidR="008A7CE9">
        <w:rPr>
          <w:rFonts w:ascii="Times New Roman" w:hAnsi="Times New Roman" w:cs="Times New Roman"/>
          <w:sz w:val="24"/>
          <w:szCs w:val="24"/>
        </w:rPr>
        <w:t>-</w:t>
      </w:r>
      <w:r w:rsidRPr="00521D42">
        <w:rPr>
          <w:rFonts w:ascii="Times New Roman" w:hAnsi="Times New Roman" w:cs="Times New Roman"/>
          <w:sz w:val="24"/>
          <w:szCs w:val="24"/>
        </w:rPr>
        <w:t xml:space="preserve">endossiers versplinterd. </w:t>
      </w:r>
      <w:r w:rsidRPr="00521D42">
        <w:rPr>
          <w:rFonts w:ascii="Times New Roman" w:hAnsi="Times New Roman" w:cs="Times New Roman"/>
          <w:sz w:val="24"/>
          <w:szCs w:val="24"/>
          <w:lang w:val="nl-NL"/>
        </w:rPr>
        <w:t>Het antwoord op de vraag welke visie de voorkeur geniet, moet schul</w:t>
      </w:r>
      <w:r w:rsidR="008A7CE9">
        <w:rPr>
          <w:rFonts w:ascii="Times New Roman" w:hAnsi="Times New Roman" w:cs="Times New Roman"/>
          <w:sz w:val="24"/>
          <w:szCs w:val="24"/>
          <w:lang w:val="nl-NL"/>
        </w:rPr>
        <w:t>-</w:t>
      </w:r>
      <w:r w:rsidRPr="00521D42">
        <w:rPr>
          <w:rFonts w:ascii="Times New Roman" w:hAnsi="Times New Roman" w:cs="Times New Roman"/>
          <w:sz w:val="24"/>
          <w:szCs w:val="24"/>
          <w:lang w:val="nl-NL"/>
        </w:rPr>
        <w:t>dig gebleven worden. Wel kan afgevraagd worden in hoeverre de gelijke behandeling bevor</w:t>
      </w:r>
      <w:r w:rsidR="008A7CE9">
        <w:rPr>
          <w:rFonts w:ascii="Times New Roman" w:hAnsi="Times New Roman" w:cs="Times New Roman"/>
          <w:sz w:val="24"/>
          <w:szCs w:val="24"/>
          <w:lang w:val="nl-NL"/>
        </w:rPr>
        <w:t>-</w:t>
      </w:r>
      <w:r w:rsidRPr="00521D42">
        <w:rPr>
          <w:rFonts w:ascii="Times New Roman" w:hAnsi="Times New Roman" w:cs="Times New Roman"/>
          <w:sz w:val="24"/>
          <w:szCs w:val="24"/>
          <w:lang w:val="nl-NL"/>
        </w:rPr>
        <w:t>derlijk is voor de gang van zaken in de praktijk. Voor bepaalde behandelingen zijn immers andere of bijkomende regels vereist en verschillende patiëntendossiers kunnen danig van el</w:t>
      </w:r>
      <w:r w:rsidR="008A7CE9">
        <w:rPr>
          <w:rFonts w:ascii="Times New Roman" w:hAnsi="Times New Roman" w:cs="Times New Roman"/>
          <w:sz w:val="24"/>
          <w:szCs w:val="24"/>
          <w:lang w:val="nl-NL"/>
        </w:rPr>
        <w:t>-</w:t>
      </w:r>
      <w:r w:rsidRPr="00521D42">
        <w:rPr>
          <w:rFonts w:ascii="Times New Roman" w:hAnsi="Times New Roman" w:cs="Times New Roman"/>
          <w:sz w:val="24"/>
          <w:szCs w:val="24"/>
          <w:lang w:val="nl-NL"/>
        </w:rPr>
        <w:t>kaar verschillen, waardoor het zeker geen evidentie is dat voor het gros van de patiëntendos</w:t>
      </w:r>
      <w:r w:rsidR="008A7CE9">
        <w:rPr>
          <w:rFonts w:ascii="Times New Roman" w:hAnsi="Times New Roman" w:cs="Times New Roman"/>
          <w:sz w:val="24"/>
          <w:szCs w:val="24"/>
          <w:lang w:val="nl-NL"/>
        </w:rPr>
        <w:t>-</w:t>
      </w:r>
      <w:r w:rsidRPr="00521D42">
        <w:rPr>
          <w:rFonts w:ascii="Times New Roman" w:hAnsi="Times New Roman" w:cs="Times New Roman"/>
          <w:sz w:val="24"/>
          <w:szCs w:val="24"/>
          <w:lang w:val="nl-NL"/>
        </w:rPr>
        <w:t>siers</w:t>
      </w:r>
      <w:r w:rsidRPr="00521D42">
        <w:rPr>
          <w:rFonts w:ascii="Times New Roman" w:hAnsi="Times New Roman" w:cs="Times New Roman"/>
          <w:lang w:val="nl-NL"/>
        </w:rPr>
        <w:t xml:space="preserve"> dezelfde regels van kracht zijn.</w:t>
      </w:r>
    </w:p>
    <w:p w:rsidR="00B8263D" w:rsidRDefault="00B8263D" w:rsidP="00521D42">
      <w:pPr>
        <w:pStyle w:val="Geenafstand"/>
        <w:jc w:val="both"/>
        <w:rPr>
          <w:rFonts w:ascii="Times New Roman" w:hAnsi="Times New Roman" w:cs="Times New Roman"/>
          <w:lang w:val="nl-NL"/>
        </w:rPr>
      </w:pPr>
    </w:p>
    <w:p w:rsidR="0085254A" w:rsidRPr="006478D4" w:rsidRDefault="00B8263D" w:rsidP="00521D42">
      <w:pPr>
        <w:pStyle w:val="Geenafstand"/>
        <w:jc w:val="both"/>
        <w:rPr>
          <w:rFonts w:ascii="Times New Roman" w:hAnsi="Times New Roman" w:cs="Times New Roman"/>
          <w:sz w:val="24"/>
          <w:szCs w:val="24"/>
          <w:lang w:val="nl-NL"/>
        </w:rPr>
      </w:pPr>
      <w:r w:rsidRPr="006478D4">
        <w:rPr>
          <w:rFonts w:ascii="Times New Roman" w:hAnsi="Times New Roman" w:cs="Times New Roman"/>
          <w:sz w:val="24"/>
          <w:szCs w:val="24"/>
          <w:lang w:val="nl-NL"/>
        </w:rPr>
        <w:t>In het tweede deel komt de vastlegging (i.e. registratie en classificatie) van patiëntendossiers aan bod. Omdat er in de medische sector erg veel documentbeheersystemen in zwang zijn, bleek het in het beperkte kader van deze verhandeling niet haalbaar om de vastlegging van pa</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tiëntendossiers in de verschillende informatiesystemen te bestuderen. In plaats daarvan werd het fenomeen eHealth onder de loep gelegd. Hoewel eHealth niet noodzakelijk een databank is en de opname van (delen van) patiëntendossiers in principe geen vastlegging is, kan het toch als een ‘secundaire classificatie’ worden aanschouwd. De finaliteit is immers dezelfde: het overzicht en de toegankelijkheid van archiefbescheiden bevorderen. In principe kan het vraagstuk rond eHealth ook in het vierde deel behandeld worden, daar de opname van (ver</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wijzingen naar) patiëntendossiers in het nationale eHealth-systeem een geautomatiseerde ver</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 xml:space="preserve">werking in de zin van de privacywet is. </w:t>
      </w:r>
      <w:r w:rsidR="0085254A" w:rsidRPr="006478D4">
        <w:rPr>
          <w:rFonts w:ascii="Times New Roman" w:hAnsi="Times New Roman" w:cs="Times New Roman"/>
          <w:sz w:val="24"/>
          <w:szCs w:val="24"/>
          <w:lang w:val="nl-NL"/>
        </w:rPr>
        <w:t>Maar hoewel de privacywet op Europees niveau ge</w:t>
      </w:r>
      <w:r w:rsidR="006478D4">
        <w:rPr>
          <w:rFonts w:ascii="Times New Roman" w:hAnsi="Times New Roman" w:cs="Times New Roman"/>
          <w:sz w:val="24"/>
          <w:szCs w:val="24"/>
          <w:lang w:val="nl-NL"/>
        </w:rPr>
        <w:t>-</w:t>
      </w:r>
      <w:r w:rsidR="0085254A" w:rsidRPr="006478D4">
        <w:rPr>
          <w:rFonts w:ascii="Times New Roman" w:hAnsi="Times New Roman" w:cs="Times New Roman"/>
          <w:sz w:val="24"/>
          <w:szCs w:val="24"/>
          <w:lang w:val="nl-NL"/>
        </w:rPr>
        <w:t>lijkgeschakeld werd, is dat wat eHealth betreft geenszins het geval! Hoewel eHealth in zekere zin nog in de kinderschoenen staat, dienen de Europese systemen toch beter op elkaar worden afgestemd. Het ultieme doel van eHealth is immers om zorgverlening over de landsgrenzen heen mogelijk te maken.</w:t>
      </w:r>
    </w:p>
    <w:p w:rsidR="0085254A" w:rsidRPr="006478D4" w:rsidRDefault="0085254A" w:rsidP="00521D42">
      <w:pPr>
        <w:pStyle w:val="Geenafstand"/>
        <w:jc w:val="both"/>
        <w:rPr>
          <w:rFonts w:ascii="Times New Roman" w:hAnsi="Times New Roman" w:cs="Times New Roman"/>
          <w:sz w:val="24"/>
          <w:szCs w:val="24"/>
          <w:lang w:val="nl-NL"/>
        </w:rPr>
      </w:pPr>
    </w:p>
    <w:p w:rsidR="00F156B1" w:rsidRPr="006478D4" w:rsidRDefault="00516F4E" w:rsidP="00521D42">
      <w:pPr>
        <w:pStyle w:val="Geenafstand"/>
        <w:jc w:val="both"/>
        <w:rPr>
          <w:rFonts w:ascii="Times New Roman" w:hAnsi="Times New Roman" w:cs="Times New Roman"/>
          <w:sz w:val="24"/>
          <w:szCs w:val="24"/>
          <w:lang w:val="nl-NL"/>
        </w:rPr>
      </w:pPr>
      <w:r w:rsidRPr="006478D4">
        <w:rPr>
          <w:rFonts w:ascii="Times New Roman" w:hAnsi="Times New Roman" w:cs="Times New Roman"/>
          <w:sz w:val="24"/>
          <w:szCs w:val="24"/>
          <w:lang w:val="nl-NL"/>
        </w:rPr>
        <w:lastRenderedPageBreak/>
        <w:t>Een van de thema’s die in het eerste deel aan bod kwam, met name de dossierplicht, wordt in het derde van deze verhandeling nader uitgewerkt. Het heeft immers geen enkel nut dat zorg</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verleners voor iedere patiënt een dossier aanleggen als deze vervolgens niet goed worden be</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waard. Nagegaan wordt wie voor de archiefzorg en het archiefbeheer van dynamische en se</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 xml:space="preserve">mi-dynamische patiëntendossiers verantwoordelijk is, waar en hoelang patiëntendossiers krachtens de vigerende wetgeving bewaard moeten worden. </w:t>
      </w:r>
    </w:p>
    <w:p w:rsidR="00305AE2" w:rsidRPr="006478D4" w:rsidRDefault="00F156B1" w:rsidP="00521D42">
      <w:pPr>
        <w:pStyle w:val="Geenafstand"/>
        <w:jc w:val="both"/>
        <w:rPr>
          <w:rFonts w:ascii="Times New Roman" w:hAnsi="Times New Roman" w:cs="Times New Roman"/>
          <w:sz w:val="24"/>
          <w:szCs w:val="24"/>
          <w:lang w:val="nl-NL"/>
        </w:rPr>
      </w:pPr>
      <w:r w:rsidRPr="006478D4">
        <w:rPr>
          <w:rFonts w:ascii="Times New Roman" w:hAnsi="Times New Roman" w:cs="Times New Roman"/>
          <w:sz w:val="24"/>
          <w:szCs w:val="24"/>
          <w:lang w:val="nl-NL"/>
        </w:rPr>
        <w:t>De</w:t>
      </w:r>
      <w:r w:rsidR="00305AE2" w:rsidRPr="006478D4">
        <w:rPr>
          <w:rFonts w:ascii="Times New Roman" w:hAnsi="Times New Roman" w:cs="Times New Roman"/>
          <w:sz w:val="24"/>
          <w:szCs w:val="24"/>
          <w:lang w:val="nl-NL"/>
        </w:rPr>
        <w:t xml:space="preserve"> verantwoordelijk</w:t>
      </w:r>
      <w:r w:rsidRPr="006478D4">
        <w:rPr>
          <w:rFonts w:ascii="Times New Roman" w:hAnsi="Times New Roman" w:cs="Times New Roman"/>
          <w:sz w:val="24"/>
          <w:szCs w:val="24"/>
          <w:lang w:val="nl-NL"/>
        </w:rPr>
        <w:t>heden voor de bewaring van patiëntendossiers wordt in België, Neder</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 xml:space="preserve">land en </w:t>
      </w:r>
      <w:r w:rsidR="008A7CE9" w:rsidRPr="006478D4">
        <w:rPr>
          <w:rFonts w:ascii="Times New Roman" w:hAnsi="Times New Roman" w:cs="Times New Roman"/>
          <w:sz w:val="24"/>
          <w:szCs w:val="24"/>
          <w:lang w:val="nl-NL"/>
        </w:rPr>
        <w:t>Frankrijk</w:t>
      </w:r>
      <w:r w:rsidRPr="006478D4">
        <w:rPr>
          <w:rFonts w:ascii="Times New Roman" w:hAnsi="Times New Roman" w:cs="Times New Roman"/>
          <w:sz w:val="24"/>
          <w:szCs w:val="24"/>
          <w:lang w:val="nl-NL"/>
        </w:rPr>
        <w:t xml:space="preserve"> nagenoeg identiek behandeld. Individuele zorgverleners zijn voor zowel</w:t>
      </w:r>
      <w:r w:rsidR="00305AE2" w:rsidRPr="006478D4">
        <w:rPr>
          <w:rFonts w:ascii="Times New Roman" w:hAnsi="Times New Roman" w:cs="Times New Roman"/>
          <w:sz w:val="24"/>
          <w:szCs w:val="24"/>
          <w:lang w:val="nl-NL"/>
        </w:rPr>
        <w:t xml:space="preserve"> d</w:t>
      </w:r>
      <w:r w:rsidR="00516F4E" w:rsidRPr="006478D4">
        <w:rPr>
          <w:rFonts w:ascii="Times New Roman" w:hAnsi="Times New Roman" w:cs="Times New Roman"/>
          <w:sz w:val="24"/>
          <w:szCs w:val="24"/>
          <w:lang w:val="nl-NL"/>
        </w:rPr>
        <w:t xml:space="preserve">e zorg </w:t>
      </w:r>
      <w:r w:rsidRPr="006478D4">
        <w:rPr>
          <w:rFonts w:ascii="Times New Roman" w:hAnsi="Times New Roman" w:cs="Times New Roman"/>
          <w:sz w:val="24"/>
          <w:szCs w:val="24"/>
          <w:lang w:val="nl-NL"/>
        </w:rPr>
        <w:t>als</w:t>
      </w:r>
      <w:r w:rsidR="00516F4E" w:rsidRPr="006478D4">
        <w:rPr>
          <w:rFonts w:ascii="Times New Roman" w:hAnsi="Times New Roman" w:cs="Times New Roman"/>
          <w:sz w:val="24"/>
          <w:szCs w:val="24"/>
          <w:lang w:val="nl-NL"/>
        </w:rPr>
        <w:t xml:space="preserve"> het beheer </w:t>
      </w:r>
      <w:r w:rsidR="00305AE2" w:rsidRPr="006478D4">
        <w:rPr>
          <w:rFonts w:ascii="Times New Roman" w:hAnsi="Times New Roman" w:cs="Times New Roman"/>
          <w:sz w:val="24"/>
          <w:szCs w:val="24"/>
          <w:lang w:val="nl-NL"/>
        </w:rPr>
        <w:t>van de door hen gevormde patiëntendossiers</w:t>
      </w:r>
      <w:r w:rsidRPr="006478D4">
        <w:rPr>
          <w:rFonts w:ascii="Times New Roman" w:hAnsi="Times New Roman" w:cs="Times New Roman"/>
          <w:sz w:val="24"/>
          <w:szCs w:val="24"/>
          <w:lang w:val="nl-NL"/>
        </w:rPr>
        <w:t xml:space="preserve"> verantwoordelijk</w:t>
      </w:r>
      <w:r w:rsidR="00305AE2" w:rsidRPr="006478D4">
        <w:rPr>
          <w:rFonts w:ascii="Times New Roman" w:hAnsi="Times New Roman" w:cs="Times New Roman"/>
          <w:sz w:val="24"/>
          <w:szCs w:val="24"/>
          <w:lang w:val="nl-NL"/>
        </w:rPr>
        <w:t>. Ook de ar</w:t>
      </w:r>
      <w:r w:rsid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chiefzorg in verzorgingsinstellingen wordt aan dezelfde persoon toegekend</w:t>
      </w:r>
      <w:r w:rsidRP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 xml:space="preserve"> </w:t>
      </w:r>
      <w:r w:rsidRPr="006478D4">
        <w:rPr>
          <w:rFonts w:ascii="Times New Roman" w:hAnsi="Times New Roman" w:cs="Times New Roman"/>
          <w:sz w:val="24"/>
          <w:szCs w:val="24"/>
          <w:lang w:val="nl-NL"/>
        </w:rPr>
        <w:t>namelijk</w:t>
      </w:r>
      <w:r w:rsidR="00305AE2" w:rsidRPr="006478D4">
        <w:rPr>
          <w:rFonts w:ascii="Times New Roman" w:hAnsi="Times New Roman" w:cs="Times New Roman"/>
          <w:sz w:val="24"/>
          <w:szCs w:val="24"/>
          <w:lang w:val="nl-NL"/>
        </w:rPr>
        <w:t xml:space="preserve"> aan de beheerder van de instelling</w:t>
      </w:r>
      <w:r w:rsidRPr="006478D4">
        <w:rPr>
          <w:rFonts w:ascii="Times New Roman" w:hAnsi="Times New Roman" w:cs="Times New Roman"/>
          <w:sz w:val="24"/>
          <w:szCs w:val="24"/>
          <w:lang w:val="nl-NL"/>
        </w:rPr>
        <w:t xml:space="preserve"> in kwestie</w:t>
      </w:r>
      <w:r w:rsidR="00305AE2" w:rsidRPr="006478D4">
        <w:rPr>
          <w:rFonts w:ascii="Times New Roman" w:hAnsi="Times New Roman" w:cs="Times New Roman"/>
          <w:sz w:val="24"/>
          <w:szCs w:val="24"/>
          <w:lang w:val="nl-NL"/>
        </w:rPr>
        <w:t xml:space="preserve">. In België en Frankrijk berust het archiefbeheer </w:t>
      </w:r>
      <w:r w:rsidRPr="006478D4">
        <w:rPr>
          <w:rFonts w:ascii="Times New Roman" w:hAnsi="Times New Roman" w:cs="Times New Roman"/>
          <w:sz w:val="24"/>
          <w:szCs w:val="24"/>
          <w:lang w:val="nl-NL"/>
        </w:rPr>
        <w:t>in ver</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 xml:space="preserve">zorgingsinstellingen </w:t>
      </w:r>
      <w:r w:rsidR="00305AE2" w:rsidRPr="006478D4">
        <w:rPr>
          <w:rFonts w:ascii="Times New Roman" w:hAnsi="Times New Roman" w:cs="Times New Roman"/>
          <w:sz w:val="24"/>
          <w:szCs w:val="24"/>
          <w:lang w:val="nl-NL"/>
        </w:rPr>
        <w:t>– i.t.t. in Nederland – bij een speciaal daartoe aangestelde geneesheer. De privacywet stelt immers dat gezondheidsgegevens uitsluitend onder het toezicht van een be</w:t>
      </w:r>
      <w:r w:rsid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roepsbeoefenaar in de gezondheidszorg verwerkt mogen worden. Hoewel in Nederland hier geen afzonderlijke geneesheer voor aangesteld wordt (en het archiefbeheer bij de archiefvor</w:t>
      </w:r>
      <w:r w:rsid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mende zorgverleners berust), blijven ook Belgische en Franse zorgverleners die in een verzor</w:t>
      </w:r>
      <w:r w:rsid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gingsinstelling werken medeverantwoordelijk voor de goede archivering van de door hen ge</w:t>
      </w:r>
      <w:r w:rsidR="006478D4">
        <w:rPr>
          <w:rFonts w:ascii="Times New Roman" w:hAnsi="Times New Roman" w:cs="Times New Roman"/>
          <w:sz w:val="24"/>
          <w:szCs w:val="24"/>
          <w:lang w:val="nl-NL"/>
        </w:rPr>
        <w:t>-</w:t>
      </w:r>
      <w:r w:rsidR="00305AE2" w:rsidRPr="006478D4">
        <w:rPr>
          <w:rFonts w:ascii="Times New Roman" w:hAnsi="Times New Roman" w:cs="Times New Roman"/>
          <w:sz w:val="24"/>
          <w:szCs w:val="24"/>
          <w:lang w:val="nl-NL"/>
        </w:rPr>
        <w:t xml:space="preserve">vormde patiëntendossiers. </w:t>
      </w:r>
    </w:p>
    <w:p w:rsidR="00F156B1" w:rsidRPr="006478D4" w:rsidRDefault="00305AE2" w:rsidP="00521D42">
      <w:pPr>
        <w:pStyle w:val="Geenafstand"/>
        <w:jc w:val="both"/>
        <w:rPr>
          <w:rFonts w:ascii="Times New Roman" w:hAnsi="Times New Roman" w:cs="Times New Roman"/>
          <w:sz w:val="24"/>
          <w:szCs w:val="24"/>
          <w:lang w:val="nl-NL"/>
        </w:rPr>
      </w:pPr>
      <w:r w:rsidRPr="006478D4">
        <w:rPr>
          <w:rFonts w:ascii="Times New Roman" w:hAnsi="Times New Roman" w:cs="Times New Roman"/>
          <w:sz w:val="24"/>
          <w:szCs w:val="24"/>
          <w:lang w:val="nl-NL"/>
        </w:rPr>
        <w:t xml:space="preserve">Vervolgens komt de vraag aan bod </w:t>
      </w:r>
      <w:r w:rsidR="00F156B1" w:rsidRPr="006478D4">
        <w:rPr>
          <w:rFonts w:ascii="Times New Roman" w:hAnsi="Times New Roman" w:cs="Times New Roman"/>
          <w:sz w:val="24"/>
          <w:szCs w:val="24"/>
          <w:lang w:val="nl-NL"/>
        </w:rPr>
        <w:t xml:space="preserve">over de plaats </w:t>
      </w:r>
      <w:r w:rsidRPr="006478D4">
        <w:rPr>
          <w:rFonts w:ascii="Times New Roman" w:hAnsi="Times New Roman" w:cs="Times New Roman"/>
          <w:sz w:val="24"/>
          <w:szCs w:val="24"/>
          <w:lang w:val="nl-NL"/>
        </w:rPr>
        <w:t xml:space="preserve">waar patiëntendossiers bewaard moeten worden. </w:t>
      </w:r>
      <w:r w:rsidR="00F156B1" w:rsidRPr="006478D4">
        <w:rPr>
          <w:rFonts w:ascii="Times New Roman" w:hAnsi="Times New Roman" w:cs="Times New Roman"/>
          <w:sz w:val="24"/>
          <w:szCs w:val="24"/>
          <w:lang w:val="nl-NL"/>
        </w:rPr>
        <w:t>Hoewel zorgverleners op ieder ogenblik het dossier van patiënt x moeten kunnen raadplegen, hadden vooral</w:t>
      </w:r>
      <w:r w:rsidRPr="006478D4">
        <w:rPr>
          <w:rFonts w:ascii="Times New Roman" w:hAnsi="Times New Roman" w:cs="Times New Roman"/>
          <w:sz w:val="24"/>
          <w:szCs w:val="24"/>
          <w:lang w:val="nl-NL"/>
        </w:rPr>
        <w:t xml:space="preserve"> </w:t>
      </w:r>
      <w:r w:rsidR="00F156B1" w:rsidRPr="006478D4">
        <w:rPr>
          <w:rFonts w:ascii="Times New Roman" w:hAnsi="Times New Roman" w:cs="Times New Roman"/>
          <w:sz w:val="24"/>
          <w:szCs w:val="24"/>
          <w:lang w:val="nl-NL"/>
        </w:rPr>
        <w:t>verzorgingsinstellingen met een chronisch gebrek aan opslag</w:t>
      </w:r>
      <w:r w:rsidR="006478D4">
        <w:rPr>
          <w:rFonts w:ascii="Times New Roman" w:hAnsi="Times New Roman" w:cs="Times New Roman"/>
          <w:sz w:val="24"/>
          <w:szCs w:val="24"/>
          <w:lang w:val="nl-NL"/>
        </w:rPr>
        <w:t>-</w:t>
      </w:r>
      <w:r w:rsidR="00F156B1" w:rsidRPr="006478D4">
        <w:rPr>
          <w:rFonts w:ascii="Times New Roman" w:hAnsi="Times New Roman" w:cs="Times New Roman"/>
          <w:sz w:val="24"/>
          <w:szCs w:val="24"/>
          <w:lang w:val="nl-NL"/>
        </w:rPr>
        <w:t>ruimte te kampen. In de drie bestudeerde landen blijkt het inderdaad mogelijk om de bewaring van (papieren) patiëntendossiers aan een derde partij uit te besteden. Hoewel het probleem van gebrek aan opslagruimte zich in de digitale samenleving niet meer (of althans steeds min</w:t>
      </w:r>
      <w:r w:rsidR="006478D4">
        <w:rPr>
          <w:rFonts w:ascii="Times New Roman" w:hAnsi="Times New Roman" w:cs="Times New Roman"/>
          <w:sz w:val="24"/>
          <w:szCs w:val="24"/>
          <w:lang w:val="nl-NL"/>
        </w:rPr>
        <w:t>-</w:t>
      </w:r>
      <w:r w:rsidR="00F156B1" w:rsidRPr="006478D4">
        <w:rPr>
          <w:rFonts w:ascii="Times New Roman" w:hAnsi="Times New Roman" w:cs="Times New Roman"/>
          <w:sz w:val="24"/>
          <w:szCs w:val="24"/>
          <w:lang w:val="nl-NL"/>
        </w:rPr>
        <w:t xml:space="preserve">der) stelt, is de vraag </w:t>
      </w:r>
      <w:r w:rsidR="008A7CE9" w:rsidRPr="006478D4">
        <w:rPr>
          <w:rFonts w:ascii="Times New Roman" w:hAnsi="Times New Roman" w:cs="Times New Roman"/>
          <w:sz w:val="24"/>
          <w:szCs w:val="24"/>
          <w:lang w:val="nl-NL"/>
        </w:rPr>
        <w:t>naar de mogelijkheid om de bewa</w:t>
      </w:r>
      <w:r w:rsidR="00F156B1" w:rsidRPr="006478D4">
        <w:rPr>
          <w:rFonts w:ascii="Times New Roman" w:hAnsi="Times New Roman" w:cs="Times New Roman"/>
          <w:sz w:val="24"/>
          <w:szCs w:val="24"/>
          <w:lang w:val="nl-NL"/>
        </w:rPr>
        <w:t>ring van patiëntendossiers aan derden uit te besteden nog steeds</w:t>
      </w:r>
      <w:r w:rsidR="008A7CE9" w:rsidRPr="006478D4">
        <w:rPr>
          <w:rFonts w:ascii="Times New Roman" w:hAnsi="Times New Roman" w:cs="Times New Roman"/>
          <w:sz w:val="24"/>
          <w:szCs w:val="24"/>
          <w:lang w:val="nl-NL"/>
        </w:rPr>
        <w:t xml:space="preserve"> relevant. Ook elektronische pa</w:t>
      </w:r>
      <w:r w:rsidR="00F156B1" w:rsidRPr="006478D4">
        <w:rPr>
          <w:rFonts w:ascii="Times New Roman" w:hAnsi="Times New Roman" w:cs="Times New Roman"/>
          <w:sz w:val="24"/>
          <w:szCs w:val="24"/>
          <w:lang w:val="nl-NL"/>
        </w:rPr>
        <w:t>tiëntendossiers kunnen door een ex</w:t>
      </w:r>
      <w:r w:rsidR="006478D4">
        <w:rPr>
          <w:rFonts w:ascii="Times New Roman" w:hAnsi="Times New Roman" w:cs="Times New Roman"/>
          <w:sz w:val="24"/>
          <w:szCs w:val="24"/>
          <w:lang w:val="nl-NL"/>
        </w:rPr>
        <w:t>-</w:t>
      </w:r>
      <w:r w:rsidR="00F156B1" w:rsidRPr="006478D4">
        <w:rPr>
          <w:rFonts w:ascii="Times New Roman" w:hAnsi="Times New Roman" w:cs="Times New Roman"/>
          <w:sz w:val="24"/>
          <w:szCs w:val="24"/>
          <w:lang w:val="nl-NL"/>
        </w:rPr>
        <w:t xml:space="preserve">terne provider of </w:t>
      </w:r>
      <w:r w:rsidR="00F156B1" w:rsidRPr="006478D4">
        <w:rPr>
          <w:rFonts w:ascii="Times New Roman" w:hAnsi="Times New Roman" w:cs="Times New Roman"/>
          <w:i/>
          <w:sz w:val="24"/>
          <w:szCs w:val="24"/>
          <w:lang w:val="nl-NL"/>
        </w:rPr>
        <w:t>host</w:t>
      </w:r>
      <w:r w:rsidR="00F156B1" w:rsidRPr="006478D4">
        <w:rPr>
          <w:rFonts w:ascii="Times New Roman" w:hAnsi="Times New Roman" w:cs="Times New Roman"/>
          <w:sz w:val="24"/>
          <w:szCs w:val="24"/>
          <w:lang w:val="nl-NL"/>
        </w:rPr>
        <w:t xml:space="preserve"> bewaard worden. Als de bewaring van het (papieren of elektronisch) dossier van een patiënt effectief wordt uitbesteed, moet de betrokken patiënt hier eerst zijn </w:t>
      </w:r>
      <w:r w:rsidR="00FC2956" w:rsidRPr="006478D4">
        <w:rPr>
          <w:rFonts w:ascii="Times New Roman" w:hAnsi="Times New Roman" w:cs="Times New Roman"/>
          <w:sz w:val="24"/>
          <w:szCs w:val="24"/>
          <w:lang w:val="nl-NL"/>
        </w:rPr>
        <w:t>of haar toestemming voor geven. Indien hij of zij hiermee akkoord gaat, moet hij of zij de gege</w:t>
      </w:r>
      <w:r w:rsidR="006478D4">
        <w:rPr>
          <w:rFonts w:ascii="Times New Roman" w:hAnsi="Times New Roman" w:cs="Times New Roman"/>
          <w:sz w:val="24"/>
          <w:szCs w:val="24"/>
          <w:lang w:val="nl-NL"/>
        </w:rPr>
        <w:t>-</w:t>
      </w:r>
      <w:r w:rsidR="00FC2956" w:rsidRPr="006478D4">
        <w:rPr>
          <w:rFonts w:ascii="Times New Roman" w:hAnsi="Times New Roman" w:cs="Times New Roman"/>
          <w:sz w:val="24"/>
          <w:szCs w:val="24"/>
          <w:lang w:val="nl-NL"/>
        </w:rPr>
        <w:t>vens over de bewaarnemer van de verantwoordelijke voor de archiefzorg verkrijgen.</w:t>
      </w:r>
    </w:p>
    <w:p w:rsidR="00FC2956" w:rsidRPr="006478D4" w:rsidRDefault="00FC2956" w:rsidP="00521D42">
      <w:pPr>
        <w:pStyle w:val="Geenafstand"/>
        <w:jc w:val="both"/>
        <w:rPr>
          <w:rFonts w:ascii="Times New Roman" w:hAnsi="Times New Roman" w:cs="Times New Roman"/>
          <w:sz w:val="24"/>
          <w:szCs w:val="24"/>
          <w:lang w:val="nl-NL"/>
        </w:rPr>
      </w:pPr>
      <w:r w:rsidRPr="006478D4">
        <w:rPr>
          <w:rFonts w:ascii="Times New Roman" w:hAnsi="Times New Roman" w:cs="Times New Roman"/>
          <w:sz w:val="24"/>
          <w:szCs w:val="24"/>
          <w:lang w:val="nl-NL"/>
        </w:rPr>
        <w:t>Bewaartermijnen duiden de periode aan tijdens dewelke archiefbescheiden juridische waarde hebben. Daarom wordt de bewaartermijnen van patiëntendossiers doorgaans op de verjarings</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termijn afgestemd worden. Omdat de verjaringstermijn van medische fouten voor alle zorg</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verleners dezelfde is, gelden in Nederland en Frankrijk algemene bewaartermijnen (met een aantal uitzondering op de regel). In België daarentegen zijn op de verschillende soorten pa</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tiëntendossiers verschillende bewaartermijnen van toepassing. Zelfs voor de onderdelen van het patiëntendossier in ziekenhuisverband, het verpleegkundig en het medisch dossier, zijn aan een verschillend bewaarregime onderworpen. Wat het aanvangspunt van de bewaartermij</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nen betreft, is er geen onenigheid. De bewaartermijn vangt na het laatste contact tussen zorg</w:t>
      </w:r>
      <w:r w:rsidR="006478D4">
        <w:rPr>
          <w:rFonts w:ascii="Times New Roman" w:hAnsi="Times New Roman" w:cs="Times New Roman"/>
          <w:sz w:val="24"/>
          <w:szCs w:val="24"/>
          <w:lang w:val="nl-NL"/>
        </w:rPr>
        <w:t>-</w:t>
      </w:r>
      <w:r w:rsidRPr="006478D4">
        <w:rPr>
          <w:rFonts w:ascii="Times New Roman" w:hAnsi="Times New Roman" w:cs="Times New Roman"/>
          <w:sz w:val="24"/>
          <w:szCs w:val="24"/>
          <w:lang w:val="nl-NL"/>
        </w:rPr>
        <w:t>verlener en patiënt aan (i.e. het laatste moment waarop een medische fout kan worden begaan) of vanaf het moment dat de minderjarige patiënt de leeftijd van 18 jaar bereikt heeft.</w:t>
      </w:r>
    </w:p>
    <w:p w:rsidR="00FC2956" w:rsidRPr="006478D4" w:rsidRDefault="00FC2956" w:rsidP="00521D42">
      <w:pPr>
        <w:pStyle w:val="Geenafstand"/>
        <w:jc w:val="both"/>
        <w:rPr>
          <w:rFonts w:ascii="Times New Roman" w:hAnsi="Times New Roman" w:cs="Times New Roman"/>
          <w:sz w:val="24"/>
          <w:szCs w:val="24"/>
          <w:lang w:val="nl-NL"/>
        </w:rPr>
      </w:pPr>
    </w:p>
    <w:p w:rsidR="00FC2956" w:rsidRPr="006478D4" w:rsidRDefault="00FC2956" w:rsidP="00521D42">
      <w:pPr>
        <w:pStyle w:val="Geenafstand"/>
        <w:jc w:val="both"/>
        <w:rPr>
          <w:rFonts w:ascii="Times New Roman" w:hAnsi="Times New Roman" w:cs="Times New Roman"/>
          <w:sz w:val="24"/>
          <w:szCs w:val="24"/>
        </w:rPr>
      </w:pPr>
      <w:r w:rsidRPr="006478D4">
        <w:rPr>
          <w:rFonts w:ascii="Times New Roman" w:hAnsi="Times New Roman" w:cs="Times New Roman"/>
          <w:sz w:val="24"/>
          <w:szCs w:val="24"/>
          <w:lang w:val="nl-NL"/>
        </w:rPr>
        <w:t xml:space="preserve">Het vierde deel biedt een overzicht van de </w:t>
      </w:r>
      <w:r w:rsidR="00E82D16" w:rsidRPr="006478D4">
        <w:rPr>
          <w:rFonts w:ascii="Times New Roman" w:hAnsi="Times New Roman" w:cs="Times New Roman"/>
          <w:sz w:val="24"/>
          <w:szCs w:val="24"/>
          <w:lang w:val="nl-NL"/>
        </w:rPr>
        <w:t>Europese wetgevende initiatieven met betrekking tot de bescherming van de privacy. De meest belangrijke begrippen worden gedefinieerd en besproken, teneinde een goed begrip van de privacywetgeving te bekomen. Meteen wordt hierdoor ook het toepassingsgebied van de privacywet bepaald. Vervolgens worden de alge</w:t>
      </w:r>
      <w:r w:rsidR="006478D4">
        <w:rPr>
          <w:rFonts w:ascii="Times New Roman" w:hAnsi="Times New Roman" w:cs="Times New Roman"/>
          <w:sz w:val="24"/>
          <w:szCs w:val="24"/>
          <w:lang w:val="nl-NL"/>
        </w:rPr>
        <w:t>-</w:t>
      </w:r>
      <w:r w:rsidR="00E82D16" w:rsidRPr="006478D4">
        <w:rPr>
          <w:rFonts w:ascii="Times New Roman" w:hAnsi="Times New Roman" w:cs="Times New Roman"/>
          <w:sz w:val="24"/>
          <w:szCs w:val="24"/>
          <w:lang w:val="nl-NL"/>
        </w:rPr>
        <w:t>mene voorwaarden opgesomd waaraan een verwerking van persoonsgegevens moet voldoen, wat gevolgd wordt door de specifieke schikking die bij de verwerking van gezondheidsgege</w:t>
      </w:r>
      <w:r w:rsidR="006478D4">
        <w:rPr>
          <w:rFonts w:ascii="Times New Roman" w:hAnsi="Times New Roman" w:cs="Times New Roman"/>
          <w:sz w:val="24"/>
          <w:szCs w:val="24"/>
          <w:lang w:val="nl-NL"/>
        </w:rPr>
        <w:t>-</w:t>
      </w:r>
      <w:r w:rsidR="00E82D16" w:rsidRPr="006478D4">
        <w:rPr>
          <w:rFonts w:ascii="Times New Roman" w:hAnsi="Times New Roman" w:cs="Times New Roman"/>
          <w:sz w:val="24"/>
          <w:szCs w:val="24"/>
          <w:lang w:val="nl-NL"/>
        </w:rPr>
        <w:t xml:space="preserve">vens </w:t>
      </w:r>
      <w:r w:rsidR="008A7CE9" w:rsidRPr="006478D4">
        <w:rPr>
          <w:rFonts w:ascii="Times New Roman" w:hAnsi="Times New Roman" w:cs="Times New Roman"/>
          <w:sz w:val="24"/>
          <w:szCs w:val="24"/>
          <w:lang w:val="nl-NL"/>
        </w:rPr>
        <w:t xml:space="preserve">in acht genomen moeten worden. </w:t>
      </w:r>
      <w:r w:rsidR="008A7CE9" w:rsidRPr="006478D4">
        <w:rPr>
          <w:rFonts w:ascii="Times New Roman" w:eastAsiaTheme="minorEastAsia" w:hAnsi="Times New Roman" w:cs="Times New Roman"/>
          <w:sz w:val="24"/>
          <w:szCs w:val="24"/>
        </w:rPr>
        <w:t>G</w:t>
      </w:r>
      <w:r w:rsidR="008A7CE9" w:rsidRPr="006478D4">
        <w:rPr>
          <w:rFonts w:ascii="Times New Roman" w:eastAsiaTheme="minorEastAsia" w:hAnsi="Times New Roman" w:cs="Times New Roman"/>
          <w:sz w:val="24"/>
          <w:szCs w:val="24"/>
        </w:rPr>
        <w:t xml:space="preserve">ezondheidsgegevens </w:t>
      </w:r>
      <w:r w:rsidR="008A7CE9" w:rsidRPr="006478D4">
        <w:rPr>
          <w:rFonts w:ascii="Times New Roman" w:eastAsiaTheme="minorEastAsia" w:hAnsi="Times New Roman" w:cs="Times New Roman"/>
          <w:sz w:val="24"/>
          <w:szCs w:val="24"/>
        </w:rPr>
        <w:t xml:space="preserve">mogen </w:t>
      </w:r>
      <w:r w:rsidR="008A7CE9" w:rsidRPr="006478D4">
        <w:rPr>
          <w:rFonts w:ascii="Times New Roman" w:eastAsiaTheme="minorEastAsia" w:hAnsi="Times New Roman" w:cs="Times New Roman"/>
          <w:sz w:val="24"/>
          <w:szCs w:val="24"/>
        </w:rPr>
        <w:t xml:space="preserve">doorgaans alleen onder de verantwoordelijkheid van een beroepsbeoefenaar in de gezondheidszorg verwerkt worden, </w:t>
      </w:r>
      <w:r w:rsidR="008A7CE9" w:rsidRPr="006478D4">
        <w:rPr>
          <w:rFonts w:ascii="Times New Roman" w:eastAsiaTheme="minorEastAsia" w:hAnsi="Times New Roman" w:cs="Times New Roman"/>
          <w:sz w:val="24"/>
          <w:szCs w:val="24"/>
        </w:rPr>
        <w:lastRenderedPageBreak/>
        <w:t xml:space="preserve">aangezien </w:t>
      </w:r>
      <w:r w:rsidR="008A7CE9" w:rsidRPr="006478D4">
        <w:rPr>
          <w:rFonts w:ascii="Times New Roman" w:eastAsiaTheme="minorEastAsia" w:hAnsi="Times New Roman" w:cs="Times New Roman"/>
          <w:sz w:val="24"/>
          <w:szCs w:val="24"/>
        </w:rPr>
        <w:t>hij</w:t>
      </w:r>
      <w:r w:rsidR="008A7CE9" w:rsidRPr="006478D4">
        <w:rPr>
          <w:rFonts w:ascii="Times New Roman" w:eastAsiaTheme="minorEastAsia" w:hAnsi="Times New Roman" w:cs="Times New Roman"/>
          <w:sz w:val="24"/>
          <w:szCs w:val="24"/>
        </w:rPr>
        <w:t xml:space="preserve"> aan het medisch beroepsgeheim gebonden </w:t>
      </w:r>
      <w:r w:rsidR="008A7CE9" w:rsidRPr="006478D4">
        <w:rPr>
          <w:rFonts w:ascii="Times New Roman" w:eastAsiaTheme="minorEastAsia" w:hAnsi="Times New Roman" w:cs="Times New Roman"/>
          <w:sz w:val="24"/>
          <w:szCs w:val="24"/>
        </w:rPr>
        <w:t>is</w:t>
      </w:r>
      <w:r w:rsidR="008A7CE9" w:rsidRPr="006478D4">
        <w:rPr>
          <w:rFonts w:ascii="Times New Roman" w:eastAsiaTheme="minorEastAsia" w:hAnsi="Times New Roman" w:cs="Times New Roman"/>
          <w:sz w:val="24"/>
          <w:szCs w:val="24"/>
        </w:rPr>
        <w:t>.</w:t>
      </w:r>
      <w:r w:rsidR="008A7CE9" w:rsidRPr="006478D4">
        <w:rPr>
          <w:rFonts w:ascii="Times New Roman" w:eastAsiaTheme="minorEastAsia" w:hAnsi="Times New Roman" w:cs="Times New Roman"/>
          <w:sz w:val="24"/>
          <w:szCs w:val="24"/>
        </w:rPr>
        <w:t xml:space="preserve"> </w:t>
      </w:r>
      <w:r w:rsidR="008A7CE9" w:rsidRPr="006478D4">
        <w:rPr>
          <w:rFonts w:ascii="Times New Roman" w:eastAsiaTheme="minorEastAsia" w:hAnsi="Times New Roman" w:cs="Times New Roman"/>
          <w:sz w:val="24"/>
          <w:szCs w:val="24"/>
        </w:rPr>
        <w:t>Omdat gezondheidsgegevens uiterst privacygevoelig zijn, geldt een principieel verwerkingsverbod waar slechts in een be</w:t>
      </w:r>
      <w:r w:rsidR="006478D4">
        <w:rPr>
          <w:rFonts w:ascii="Times New Roman" w:eastAsiaTheme="minorEastAsia" w:hAnsi="Times New Roman" w:cs="Times New Roman"/>
          <w:sz w:val="24"/>
          <w:szCs w:val="24"/>
        </w:rPr>
        <w:t>-</w:t>
      </w:r>
      <w:r w:rsidR="008A7CE9" w:rsidRPr="006478D4">
        <w:rPr>
          <w:rFonts w:ascii="Times New Roman" w:eastAsiaTheme="minorEastAsia" w:hAnsi="Times New Roman" w:cs="Times New Roman"/>
          <w:sz w:val="24"/>
          <w:szCs w:val="24"/>
        </w:rPr>
        <w:t>perkt aantal, bij wet opgesomde gevallen mag worden afgewe</w:t>
      </w:r>
      <w:r w:rsidR="008A7CE9" w:rsidRPr="006478D4">
        <w:rPr>
          <w:rFonts w:ascii="Times New Roman" w:eastAsiaTheme="minorEastAsia" w:hAnsi="Times New Roman" w:cs="Times New Roman"/>
          <w:sz w:val="24"/>
          <w:szCs w:val="24"/>
        </w:rPr>
        <w:t xml:space="preserve">ken. </w:t>
      </w:r>
      <w:r w:rsidR="00E82D16" w:rsidRPr="006478D4">
        <w:rPr>
          <w:rFonts w:ascii="Times New Roman" w:eastAsiaTheme="minorEastAsia" w:hAnsi="Times New Roman" w:cs="Times New Roman"/>
          <w:sz w:val="24"/>
          <w:szCs w:val="24"/>
        </w:rPr>
        <w:t>De verantwoordelijke voor de verwerking moet persoonsgegevens op een eerlijke en rechtmatige wijze bekomen</w:t>
      </w:r>
      <w:r w:rsidR="008A7CE9" w:rsidRPr="006478D4">
        <w:rPr>
          <w:rFonts w:ascii="Times New Roman" w:eastAsiaTheme="minorEastAsia" w:hAnsi="Times New Roman" w:cs="Times New Roman"/>
          <w:sz w:val="24"/>
          <w:szCs w:val="24"/>
        </w:rPr>
        <w:t xml:space="preserve"> en mag</w:t>
      </w:r>
      <w:r w:rsidR="00E82D16" w:rsidRPr="006478D4">
        <w:rPr>
          <w:rFonts w:ascii="Times New Roman" w:eastAsiaTheme="minorEastAsia" w:hAnsi="Times New Roman" w:cs="Times New Roman"/>
          <w:sz w:val="24"/>
          <w:szCs w:val="24"/>
        </w:rPr>
        <w:t xml:space="preserve"> pas </w:t>
      </w:r>
      <w:r w:rsidR="008A7CE9" w:rsidRPr="006478D4">
        <w:rPr>
          <w:rFonts w:ascii="Times New Roman" w:eastAsiaTheme="minorEastAsia" w:hAnsi="Times New Roman" w:cs="Times New Roman"/>
          <w:sz w:val="24"/>
          <w:szCs w:val="24"/>
        </w:rPr>
        <w:t xml:space="preserve">tot de </w:t>
      </w:r>
      <w:r w:rsidR="00E82D16" w:rsidRPr="006478D4">
        <w:rPr>
          <w:rFonts w:ascii="Times New Roman" w:eastAsiaTheme="minorEastAsia" w:hAnsi="Times New Roman" w:cs="Times New Roman"/>
          <w:sz w:val="24"/>
          <w:szCs w:val="24"/>
        </w:rPr>
        <w:t>verwerk</w:t>
      </w:r>
      <w:r w:rsidR="008A7CE9" w:rsidRPr="006478D4">
        <w:rPr>
          <w:rFonts w:ascii="Times New Roman" w:eastAsiaTheme="minorEastAsia" w:hAnsi="Times New Roman" w:cs="Times New Roman"/>
          <w:sz w:val="24"/>
          <w:szCs w:val="24"/>
        </w:rPr>
        <w:t>ing overgaan</w:t>
      </w:r>
      <w:r w:rsidR="00E82D16" w:rsidRPr="006478D4">
        <w:rPr>
          <w:rFonts w:ascii="Times New Roman" w:eastAsiaTheme="minorEastAsia" w:hAnsi="Times New Roman" w:cs="Times New Roman"/>
          <w:sz w:val="24"/>
          <w:szCs w:val="24"/>
        </w:rPr>
        <w:t xml:space="preserve"> nadat de betrokkene hiervoor zijn geïnformeerde, uitdrukke</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lijke goedkeuring voor verleend heeft</w:t>
      </w:r>
      <w:r w:rsidR="008A7CE9" w:rsidRPr="006478D4">
        <w:rPr>
          <w:rFonts w:ascii="Times New Roman" w:eastAsiaTheme="minorEastAsia" w:hAnsi="Times New Roman" w:cs="Times New Roman"/>
          <w:sz w:val="24"/>
          <w:szCs w:val="24"/>
        </w:rPr>
        <w:t xml:space="preserve"> (</w:t>
      </w:r>
      <w:r w:rsidR="00E82D16" w:rsidRPr="006478D4">
        <w:rPr>
          <w:rFonts w:ascii="Times New Roman" w:eastAsiaTheme="minorEastAsia" w:hAnsi="Times New Roman" w:cs="Times New Roman"/>
          <w:sz w:val="24"/>
          <w:szCs w:val="24"/>
        </w:rPr>
        <w:t>die te allen tijde weer kan worden ingetrokken</w:t>
      </w:r>
      <w:r w:rsidR="008A7CE9" w:rsidRP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w:t>
      </w:r>
      <w:r w:rsidR="008A7CE9" w:rsidRPr="006478D4">
        <w:rPr>
          <w:rFonts w:ascii="Times New Roman" w:eastAsiaTheme="minorEastAsia" w:hAnsi="Times New Roman" w:cs="Times New Roman"/>
          <w:sz w:val="24"/>
          <w:szCs w:val="24"/>
        </w:rPr>
        <w:t xml:space="preserve"> De be</w:t>
      </w:r>
      <w:r w:rsidR="006478D4">
        <w:rPr>
          <w:rFonts w:ascii="Times New Roman" w:eastAsiaTheme="minorEastAsia" w:hAnsi="Times New Roman" w:cs="Times New Roman"/>
          <w:sz w:val="24"/>
          <w:szCs w:val="24"/>
        </w:rPr>
        <w:t>-</w:t>
      </w:r>
      <w:r w:rsidR="008A7CE9" w:rsidRPr="006478D4">
        <w:rPr>
          <w:rFonts w:ascii="Times New Roman" w:eastAsiaTheme="minorEastAsia" w:hAnsi="Times New Roman" w:cs="Times New Roman"/>
          <w:sz w:val="24"/>
          <w:szCs w:val="24"/>
        </w:rPr>
        <w:t>trokkene moet o.m. geïnfor</w:t>
      </w:r>
      <w:r w:rsidR="00E82D16" w:rsidRPr="006478D4">
        <w:rPr>
          <w:rFonts w:ascii="Times New Roman" w:eastAsiaTheme="minorEastAsia" w:hAnsi="Times New Roman" w:cs="Times New Roman"/>
          <w:sz w:val="24"/>
          <w:szCs w:val="24"/>
        </w:rPr>
        <w:t>meerd worden over de identiteit van de verantwoordelijke en over de doeleinden van de verwerking. Eenieder heeft het recht om de hem of haar betreffende ge</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gevens in te kijken en deze – indien nodig – kosteloos te laten verbeteren, aanvullen of ver</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wijderen. In diezelfde optiek moet de verantwoordelijke voor de verwerking alle nodige maat</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regelen treffen om de kwaliteit van de persoonsgegevens tijdens de volledige verwerkingspe</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riode te verzekeren. N</w:t>
      </w:r>
      <w:r w:rsidR="008A7CE9" w:rsidRPr="006478D4">
        <w:rPr>
          <w:rFonts w:ascii="Times New Roman" w:eastAsiaTheme="minorEastAsia" w:hAnsi="Times New Roman" w:cs="Times New Roman"/>
          <w:sz w:val="24"/>
          <w:szCs w:val="24"/>
        </w:rPr>
        <w:t>aast</w:t>
      </w:r>
      <w:r w:rsidR="00E82D16" w:rsidRPr="006478D4">
        <w:rPr>
          <w:rFonts w:ascii="Times New Roman" w:eastAsiaTheme="minorEastAsia" w:hAnsi="Times New Roman" w:cs="Times New Roman"/>
          <w:sz w:val="24"/>
          <w:szCs w:val="24"/>
        </w:rPr>
        <w:t xml:space="preserve"> de betrokkene moet </w:t>
      </w:r>
      <w:r w:rsidR="008A7CE9" w:rsidRPr="006478D4">
        <w:rPr>
          <w:rFonts w:ascii="Times New Roman" w:eastAsiaTheme="minorEastAsia" w:hAnsi="Times New Roman" w:cs="Times New Roman"/>
          <w:sz w:val="24"/>
          <w:szCs w:val="24"/>
        </w:rPr>
        <w:t>ook de nationale privacycommissie zijn fiat geven alvorens persoonsgegevens verwerkt kunnen worden.</w:t>
      </w:r>
      <w:r w:rsidR="00E82D16" w:rsidRPr="006478D4">
        <w:rPr>
          <w:rFonts w:ascii="Times New Roman" w:eastAsiaTheme="minorEastAsia" w:hAnsi="Times New Roman" w:cs="Times New Roman"/>
          <w:sz w:val="24"/>
          <w:szCs w:val="24"/>
        </w:rPr>
        <w:t xml:space="preserve"> </w:t>
      </w:r>
      <w:r w:rsidR="008A7CE9" w:rsidRPr="006478D4">
        <w:rPr>
          <w:rFonts w:ascii="Times New Roman" w:eastAsiaTheme="minorEastAsia" w:hAnsi="Times New Roman" w:cs="Times New Roman"/>
          <w:sz w:val="24"/>
          <w:szCs w:val="24"/>
        </w:rPr>
        <w:t>D</w:t>
      </w:r>
      <w:r w:rsidR="00E82D16" w:rsidRPr="006478D4">
        <w:rPr>
          <w:rFonts w:ascii="Times New Roman" w:eastAsiaTheme="minorEastAsia" w:hAnsi="Times New Roman" w:cs="Times New Roman"/>
          <w:sz w:val="24"/>
          <w:szCs w:val="24"/>
        </w:rPr>
        <w:t xml:space="preserve">e verantwoordelijke voor de verwerking </w:t>
      </w:r>
      <w:r w:rsidR="008A7CE9" w:rsidRPr="006478D4">
        <w:rPr>
          <w:rFonts w:ascii="Times New Roman" w:eastAsiaTheme="minorEastAsia" w:hAnsi="Times New Roman" w:cs="Times New Roman"/>
          <w:sz w:val="24"/>
          <w:szCs w:val="24"/>
        </w:rPr>
        <w:t xml:space="preserve">mag </w:t>
      </w:r>
      <w:r w:rsidR="00E82D16" w:rsidRPr="006478D4">
        <w:rPr>
          <w:rFonts w:ascii="Times New Roman" w:eastAsiaTheme="minorEastAsia" w:hAnsi="Times New Roman" w:cs="Times New Roman"/>
          <w:sz w:val="24"/>
          <w:szCs w:val="24"/>
        </w:rPr>
        <w:t>niet meer, maar ook niet minder relevante persoonsgegevens verwerken dan nodig om de doeleinden van de verwerking te verwezenlijken. Deze doeleinden moeten over</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 xml:space="preserve">eenstemmen met de redenen waarvoor de gegevens bekomen werden. Is dat niet het geval, dan betreft het een nieuwe verwerking </w:t>
      </w:r>
      <w:r w:rsidR="008A7CE9" w:rsidRPr="006478D4">
        <w:rPr>
          <w:rFonts w:ascii="Times New Roman" w:eastAsiaTheme="minorEastAsia" w:hAnsi="Times New Roman" w:cs="Times New Roman"/>
          <w:sz w:val="24"/>
          <w:szCs w:val="24"/>
        </w:rPr>
        <w:t>en moet</w:t>
      </w:r>
      <w:r w:rsidR="00E82D16" w:rsidRPr="006478D4">
        <w:rPr>
          <w:rFonts w:ascii="Times New Roman" w:eastAsiaTheme="minorEastAsia" w:hAnsi="Times New Roman" w:cs="Times New Roman"/>
          <w:sz w:val="24"/>
          <w:szCs w:val="24"/>
        </w:rPr>
        <w:t xml:space="preserve"> opnieuw de goedkeuring van de betrokkene en de privacycommissie bekomen</w:t>
      </w:r>
      <w:r w:rsidR="008A7CE9" w:rsidRPr="006478D4">
        <w:rPr>
          <w:rFonts w:ascii="Times New Roman" w:eastAsiaTheme="minorEastAsia" w:hAnsi="Times New Roman" w:cs="Times New Roman"/>
          <w:sz w:val="24"/>
          <w:szCs w:val="24"/>
        </w:rPr>
        <w:t xml:space="preserve"> </w:t>
      </w:r>
      <w:r w:rsidR="008A7CE9" w:rsidRPr="006478D4">
        <w:rPr>
          <w:rFonts w:ascii="Times New Roman" w:eastAsiaTheme="minorEastAsia" w:hAnsi="Times New Roman" w:cs="Times New Roman"/>
          <w:sz w:val="24"/>
          <w:szCs w:val="24"/>
        </w:rPr>
        <w:t>worden</w:t>
      </w:r>
      <w:r w:rsidR="00E82D16" w:rsidRPr="006478D4">
        <w:rPr>
          <w:rFonts w:ascii="Times New Roman" w:eastAsiaTheme="minorEastAsia" w:hAnsi="Times New Roman" w:cs="Times New Roman"/>
          <w:sz w:val="24"/>
          <w:szCs w:val="24"/>
        </w:rPr>
        <w:t>. Er is evenwel een apart regime voor historisch, we</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tenschappelijk en statistisch onderzoek voorzien, waarbij persoonsgegevens wel voor andere dan de oorspronkelijke doeleinden verwerkt mogen worden. In principe mogen persoonsge</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gevens in deze gevallen alleen in geanonimiseerde vorm verwerkt worden. Als de beoogde doeleinden hier</w:t>
      </w:r>
      <w:r w:rsidR="008A7CE9" w:rsidRPr="006478D4">
        <w:rPr>
          <w:rFonts w:ascii="Times New Roman" w:eastAsiaTheme="minorEastAsia" w:hAnsi="Times New Roman" w:cs="Times New Roman"/>
          <w:sz w:val="24"/>
          <w:szCs w:val="24"/>
        </w:rPr>
        <w:t>mee</w:t>
      </w:r>
      <w:r w:rsidR="00E82D16" w:rsidRPr="006478D4">
        <w:rPr>
          <w:rFonts w:ascii="Times New Roman" w:eastAsiaTheme="minorEastAsia" w:hAnsi="Times New Roman" w:cs="Times New Roman"/>
          <w:sz w:val="24"/>
          <w:szCs w:val="24"/>
        </w:rPr>
        <w:t xml:space="preserve"> niet gerealiseerd kunnen worden, kan in een volgende fase overgegaan worden tot de verwerking van gecodeerde gegevens. Enkel als het echt niet anders kan, mo</w:t>
      </w:r>
      <w:r w:rsidR="006478D4">
        <w:rPr>
          <w:rFonts w:ascii="Times New Roman" w:eastAsiaTheme="minorEastAsia" w:hAnsi="Times New Roman" w:cs="Times New Roman"/>
          <w:sz w:val="24"/>
          <w:szCs w:val="24"/>
        </w:rPr>
        <w:t>-</w:t>
      </w:r>
      <w:r w:rsidR="00E82D16" w:rsidRPr="006478D4">
        <w:rPr>
          <w:rFonts w:ascii="Times New Roman" w:eastAsiaTheme="minorEastAsia" w:hAnsi="Times New Roman" w:cs="Times New Roman"/>
          <w:sz w:val="24"/>
          <w:szCs w:val="24"/>
        </w:rPr>
        <w:t>gen de persoonsgegevens in niet-gecodeerde vorm verwerkt worden.</w:t>
      </w:r>
    </w:p>
    <w:p w:rsidR="00FC2956" w:rsidRPr="006478D4" w:rsidRDefault="00FC2956" w:rsidP="00521D42">
      <w:pPr>
        <w:pStyle w:val="Geenafstand"/>
        <w:jc w:val="both"/>
        <w:rPr>
          <w:rFonts w:ascii="Times New Roman" w:hAnsi="Times New Roman" w:cs="Times New Roman"/>
          <w:sz w:val="24"/>
          <w:szCs w:val="24"/>
        </w:rPr>
      </w:pPr>
    </w:p>
    <w:p w:rsidR="00E82D16" w:rsidRPr="006478D4" w:rsidRDefault="008A7CE9" w:rsidP="00E82D16">
      <w:pPr>
        <w:widowControl/>
        <w:suppressAutoHyphens w:val="0"/>
        <w:jc w:val="both"/>
        <w:rPr>
          <w:rFonts w:eastAsiaTheme="minorEastAsia"/>
          <w:kern w:val="0"/>
          <w:lang w:eastAsia="en-US" w:bidi="ar-SA"/>
        </w:rPr>
      </w:pPr>
      <w:r w:rsidRPr="006478D4">
        <w:rPr>
          <w:rFonts w:eastAsiaTheme="minorEastAsia"/>
          <w:kern w:val="0"/>
          <w:lang w:eastAsia="en-US" w:bidi="ar-SA"/>
        </w:rPr>
        <w:t>Tot slot wordt de aandacht op de selectie, de overdracht en de vernietiging van patiëntendos-siers gevestigd.</w:t>
      </w:r>
      <w:r w:rsidR="006478D4">
        <w:rPr>
          <w:rFonts w:eastAsiaTheme="minorEastAsia"/>
          <w:kern w:val="0"/>
          <w:lang w:eastAsia="en-US" w:bidi="ar-SA"/>
        </w:rPr>
        <w:t xml:space="preserve"> </w:t>
      </w:r>
      <w:r w:rsidR="00E82D16" w:rsidRPr="006478D4">
        <w:rPr>
          <w:rFonts w:eastAsiaTheme="minorEastAsia"/>
          <w:kern w:val="0"/>
          <w:lang w:eastAsia="en-US" w:bidi="ar-SA"/>
        </w:rPr>
        <w:t>Tijdens de selectie worden archiefbescheiden die voor permanente bewaring in aanmerking komen van te vernietigen bescheiden afgezonderd. Om tal van redenen is het in eenieders be</w:t>
      </w:r>
      <w:r w:rsidR="006478D4">
        <w:rPr>
          <w:rFonts w:eastAsiaTheme="minorEastAsia"/>
          <w:kern w:val="0"/>
          <w:lang w:eastAsia="en-US" w:bidi="ar-SA"/>
        </w:rPr>
        <w:t>lang om</w:t>
      </w:r>
      <w:r w:rsidR="00E82D16" w:rsidRPr="006478D4">
        <w:rPr>
          <w:rFonts w:eastAsiaTheme="minorEastAsia"/>
          <w:kern w:val="0"/>
          <w:lang w:eastAsia="en-US" w:bidi="ar-SA"/>
        </w:rPr>
        <w:t xml:space="preserve"> de selectie zo vroeg mogelijk in de </w:t>
      </w:r>
      <w:r w:rsidR="00E82D16" w:rsidRPr="006478D4">
        <w:rPr>
          <w:rFonts w:eastAsiaTheme="minorEastAsia"/>
          <w:i/>
          <w:kern w:val="0"/>
          <w:lang w:eastAsia="en-US" w:bidi="ar-SA"/>
        </w:rPr>
        <w:t xml:space="preserve">records lifecycle </w:t>
      </w:r>
      <w:r w:rsidR="00E82D16" w:rsidRPr="006478D4">
        <w:rPr>
          <w:rFonts w:eastAsiaTheme="minorEastAsia"/>
          <w:kern w:val="0"/>
          <w:lang w:eastAsia="en-US" w:bidi="ar-SA"/>
        </w:rPr>
        <w:t>uit</w:t>
      </w:r>
      <w:r w:rsidR="006478D4">
        <w:rPr>
          <w:rFonts w:eastAsiaTheme="minorEastAsia"/>
          <w:kern w:val="0"/>
          <w:lang w:eastAsia="en-US" w:bidi="ar-SA"/>
        </w:rPr>
        <w:t xml:space="preserve"> te </w:t>
      </w:r>
      <w:r w:rsidR="00E82D16" w:rsidRPr="006478D4">
        <w:rPr>
          <w:rFonts w:eastAsiaTheme="minorEastAsia"/>
          <w:kern w:val="0"/>
          <w:lang w:eastAsia="en-US" w:bidi="ar-SA"/>
        </w:rPr>
        <w:t>voer</w:t>
      </w:r>
      <w:r w:rsidR="006478D4">
        <w:rPr>
          <w:rFonts w:eastAsiaTheme="minorEastAsia"/>
          <w:kern w:val="0"/>
          <w:lang w:eastAsia="en-US" w:bidi="ar-SA"/>
        </w:rPr>
        <w:t>en</w:t>
      </w:r>
      <w:r w:rsidR="00E82D16" w:rsidRPr="006478D4">
        <w:rPr>
          <w:rFonts w:eastAsiaTheme="minorEastAsia"/>
          <w:kern w:val="0"/>
          <w:lang w:eastAsia="en-US" w:bidi="ar-SA"/>
        </w:rPr>
        <w:t>. Ar</w:t>
      </w:r>
      <w:r w:rsidR="006478D4">
        <w:rPr>
          <w:rFonts w:eastAsiaTheme="minorEastAsia"/>
          <w:kern w:val="0"/>
          <w:lang w:eastAsia="en-US" w:bidi="ar-SA"/>
        </w:rPr>
        <w:t>-</w:t>
      </w:r>
      <w:r w:rsidR="00E82D16" w:rsidRPr="006478D4">
        <w:rPr>
          <w:rFonts w:eastAsiaTheme="minorEastAsia"/>
          <w:kern w:val="0"/>
          <w:lang w:eastAsia="en-US" w:bidi="ar-SA"/>
        </w:rPr>
        <w:t>chiefbescheiden hebben immers meerdere waarden: administratieve, juridische en fiscale waarde voor de archiefvormer in de dynamische en semi-dynamische fase en informatieve waarde voor archiefvormers en onderzoekers in de statische fase. Archieven zijn, als onder</w:t>
      </w:r>
      <w:r w:rsidR="006478D4">
        <w:rPr>
          <w:rFonts w:eastAsiaTheme="minorEastAsia"/>
          <w:kern w:val="0"/>
          <w:lang w:eastAsia="en-US" w:bidi="ar-SA"/>
        </w:rPr>
        <w:t>-</w:t>
      </w:r>
      <w:r w:rsidR="00E82D16" w:rsidRPr="006478D4">
        <w:rPr>
          <w:rFonts w:eastAsiaTheme="minorEastAsia"/>
          <w:kern w:val="0"/>
          <w:lang w:eastAsia="en-US" w:bidi="ar-SA"/>
        </w:rPr>
        <w:t>deel van het cultureel erfgoed, een afspiegeling van de maatschappij waarin ze gebruikt</w:t>
      </w:r>
      <w:r w:rsidR="006478D4" w:rsidRPr="006478D4">
        <w:rPr>
          <w:rFonts w:eastAsiaTheme="minorEastAsia"/>
          <w:kern w:val="0"/>
          <w:lang w:eastAsia="en-US" w:bidi="ar-SA"/>
        </w:rPr>
        <w:t xml:space="preserve"> </w:t>
      </w:r>
      <w:r w:rsidR="006478D4" w:rsidRPr="006478D4">
        <w:rPr>
          <w:rFonts w:eastAsiaTheme="minorEastAsia"/>
          <w:kern w:val="0"/>
          <w:lang w:eastAsia="en-US" w:bidi="ar-SA"/>
        </w:rPr>
        <w:t>wer</w:t>
      </w:r>
      <w:r w:rsidR="006478D4">
        <w:rPr>
          <w:rFonts w:eastAsiaTheme="minorEastAsia"/>
          <w:kern w:val="0"/>
          <w:lang w:eastAsia="en-US" w:bidi="ar-SA"/>
        </w:rPr>
        <w:t>-</w:t>
      </w:r>
      <w:r w:rsidR="006478D4" w:rsidRPr="006478D4">
        <w:rPr>
          <w:rFonts w:eastAsiaTheme="minorEastAsia"/>
          <w:kern w:val="0"/>
          <w:lang w:eastAsia="en-US" w:bidi="ar-SA"/>
        </w:rPr>
        <w:t>den</w:t>
      </w:r>
      <w:r w:rsidR="00E82D16" w:rsidRPr="006478D4">
        <w:rPr>
          <w:rFonts w:eastAsiaTheme="minorEastAsia"/>
          <w:kern w:val="0"/>
          <w:lang w:eastAsia="en-US" w:bidi="ar-SA"/>
        </w:rPr>
        <w:t xml:space="preserve">. Het is de taak van archivarissen en </w:t>
      </w:r>
      <w:r w:rsidR="00E82D16" w:rsidRPr="006478D4">
        <w:rPr>
          <w:rFonts w:eastAsiaTheme="minorEastAsia"/>
          <w:i/>
          <w:kern w:val="0"/>
          <w:lang w:eastAsia="en-US" w:bidi="ar-SA"/>
        </w:rPr>
        <w:t xml:space="preserve">records managers </w:t>
      </w:r>
      <w:r w:rsidR="00E82D16" w:rsidRPr="006478D4">
        <w:rPr>
          <w:rFonts w:eastAsiaTheme="minorEastAsia"/>
          <w:kern w:val="0"/>
          <w:lang w:eastAsia="en-US" w:bidi="ar-SA"/>
        </w:rPr>
        <w:t xml:space="preserve">om zodanige selectiecriteria te kiezen dat met een minimum aan (permanent te bewaren) </w:t>
      </w:r>
      <w:r w:rsidR="006478D4">
        <w:rPr>
          <w:rFonts w:eastAsiaTheme="minorEastAsia"/>
          <w:kern w:val="0"/>
          <w:lang w:eastAsia="en-US" w:bidi="ar-SA"/>
        </w:rPr>
        <w:t xml:space="preserve">patiëntendossiers </w:t>
      </w:r>
      <w:r w:rsidR="00E82D16" w:rsidRPr="006478D4">
        <w:rPr>
          <w:rFonts w:eastAsiaTheme="minorEastAsia"/>
          <w:kern w:val="0"/>
          <w:lang w:eastAsia="en-US" w:bidi="ar-SA"/>
        </w:rPr>
        <w:t>een zo represen</w:t>
      </w:r>
      <w:r w:rsidR="006478D4">
        <w:rPr>
          <w:rFonts w:eastAsiaTheme="minorEastAsia"/>
          <w:kern w:val="0"/>
          <w:lang w:eastAsia="en-US" w:bidi="ar-SA"/>
        </w:rPr>
        <w:t>-</w:t>
      </w:r>
      <w:r w:rsidR="00E82D16" w:rsidRPr="006478D4">
        <w:rPr>
          <w:rFonts w:eastAsiaTheme="minorEastAsia"/>
          <w:kern w:val="0"/>
          <w:lang w:eastAsia="en-US" w:bidi="ar-SA"/>
        </w:rPr>
        <w:t xml:space="preserve">tatief beeld van de samenleving </w:t>
      </w:r>
      <w:r w:rsidR="006478D4">
        <w:rPr>
          <w:rFonts w:eastAsiaTheme="minorEastAsia"/>
          <w:kern w:val="0"/>
          <w:lang w:eastAsia="en-US" w:bidi="ar-SA"/>
        </w:rPr>
        <w:t>(</w:t>
      </w:r>
      <w:r w:rsidR="006478D4" w:rsidRPr="006478D4">
        <w:rPr>
          <w:rFonts w:eastAsiaTheme="minorEastAsia"/>
          <w:i/>
          <w:kern w:val="0"/>
          <w:lang w:eastAsia="en-US" w:bidi="ar-SA"/>
        </w:rPr>
        <w:t>in casu</w:t>
      </w:r>
      <w:r w:rsidR="006478D4">
        <w:rPr>
          <w:rFonts w:eastAsiaTheme="minorEastAsia"/>
          <w:kern w:val="0"/>
          <w:lang w:eastAsia="en-US" w:bidi="ar-SA"/>
        </w:rPr>
        <w:t xml:space="preserve"> de volksgezondheid) </w:t>
      </w:r>
      <w:r w:rsidR="006478D4" w:rsidRPr="006478D4">
        <w:rPr>
          <w:rFonts w:eastAsiaTheme="minorEastAsia"/>
          <w:kern w:val="0"/>
          <w:lang w:eastAsia="en-US" w:bidi="ar-SA"/>
        </w:rPr>
        <w:t>wordt</w:t>
      </w:r>
      <w:r w:rsidR="006478D4" w:rsidRPr="006478D4">
        <w:rPr>
          <w:rFonts w:eastAsiaTheme="minorEastAsia"/>
          <w:kern w:val="0"/>
          <w:lang w:eastAsia="en-US" w:bidi="ar-SA"/>
        </w:rPr>
        <w:t xml:space="preserve"> </w:t>
      </w:r>
      <w:r w:rsidR="00E82D16" w:rsidRPr="006478D4">
        <w:rPr>
          <w:rFonts w:eastAsiaTheme="minorEastAsia"/>
          <w:kern w:val="0"/>
          <w:lang w:eastAsia="en-US" w:bidi="ar-SA"/>
        </w:rPr>
        <w:t>geschetst. Voor ieder soort archief worden de selectiecriteria vastgesteld aan de hand van archivistisch onderzoek, waarvan de resultaten in een selectielijst gegoten worden. Op basis van deze selectielijsten weten archiefvormers welke archiefstukken aan het einde van de bewaartermijn vernietigd mogen worden en welke stukken naar het Rijksarchief moeten worden overgebracht. Zelfs als er op basis van de selectielijst vernietigd wordt, moet men hiervoor de goedkeuring van het Rijksarchief bekomen. Omgekeerd kan het Rijksarchief geen (overgedragen) archiefbeschei</w:t>
      </w:r>
      <w:r w:rsidR="006478D4">
        <w:rPr>
          <w:rFonts w:eastAsiaTheme="minorEastAsia"/>
          <w:kern w:val="0"/>
          <w:lang w:eastAsia="en-US" w:bidi="ar-SA"/>
        </w:rPr>
        <w:t>-</w:t>
      </w:r>
      <w:r w:rsidR="00E82D16" w:rsidRPr="006478D4">
        <w:rPr>
          <w:rFonts w:eastAsiaTheme="minorEastAsia"/>
          <w:kern w:val="0"/>
          <w:lang w:eastAsia="en-US" w:bidi="ar-SA"/>
        </w:rPr>
        <w:t>den vernietigen zonder de toestemming van de archiefvormer. Patiëntendossiers moeten – als uiterst privacygevoelige archiefbescheiden – erg zorgvuldig en onomkeerbaar vernietigd wor</w:t>
      </w:r>
      <w:r w:rsidR="00022E98">
        <w:rPr>
          <w:rFonts w:eastAsiaTheme="minorEastAsia"/>
          <w:kern w:val="0"/>
          <w:lang w:eastAsia="en-US" w:bidi="ar-SA"/>
        </w:rPr>
        <w:t>-</w:t>
      </w:r>
      <w:r w:rsidR="00E82D16" w:rsidRPr="006478D4">
        <w:rPr>
          <w:rFonts w:eastAsiaTheme="minorEastAsia"/>
          <w:kern w:val="0"/>
          <w:lang w:eastAsia="en-US" w:bidi="ar-SA"/>
        </w:rPr>
        <w:t xml:space="preserve">den. </w:t>
      </w:r>
    </w:p>
    <w:p w:rsidR="00E82D16" w:rsidRPr="006478D4" w:rsidRDefault="00E82D16" w:rsidP="00E82D16">
      <w:pPr>
        <w:widowControl/>
        <w:suppressAutoHyphens w:val="0"/>
        <w:jc w:val="both"/>
        <w:rPr>
          <w:rFonts w:eastAsiaTheme="minorEastAsia"/>
          <w:kern w:val="0"/>
          <w:lang w:eastAsia="en-US" w:bidi="ar-SA"/>
        </w:rPr>
      </w:pPr>
      <w:r w:rsidRPr="006478D4">
        <w:rPr>
          <w:rFonts w:eastAsiaTheme="minorEastAsia"/>
          <w:kern w:val="0"/>
          <w:lang w:eastAsia="en-US" w:bidi="ar-SA"/>
        </w:rPr>
        <w:t>Permanent te bewaren archiefstukken van overheidsadministraties moeten in toegankelijke en geordende staat naar het Rijksarchief worden overgebracht. In principe zijn deze bescheiden meteen na de overdracht door alle burgers vrij geraadpleegd. Het is evenwel duidelijk dat de</w:t>
      </w:r>
      <w:r w:rsidR="00022E98">
        <w:rPr>
          <w:rFonts w:eastAsiaTheme="minorEastAsia"/>
          <w:kern w:val="0"/>
          <w:lang w:eastAsia="en-US" w:bidi="ar-SA"/>
        </w:rPr>
        <w:t>-</w:t>
      </w:r>
      <w:r w:rsidRPr="006478D4">
        <w:rPr>
          <w:rFonts w:eastAsiaTheme="minorEastAsia"/>
          <w:kern w:val="0"/>
          <w:lang w:eastAsia="en-US" w:bidi="ar-SA"/>
        </w:rPr>
        <w:t xml:space="preserve">ze stelregel niet van toepassing is op patiëntendossiers </w:t>
      </w:r>
      <w:r w:rsidR="004C3BF6">
        <w:rPr>
          <w:rFonts w:eastAsiaTheme="minorEastAsia"/>
          <w:kern w:val="0"/>
          <w:lang w:eastAsia="en-US" w:bidi="ar-SA"/>
        </w:rPr>
        <w:t>uit</w:t>
      </w:r>
      <w:r w:rsidRPr="006478D4">
        <w:rPr>
          <w:rFonts w:eastAsiaTheme="minorEastAsia"/>
          <w:kern w:val="0"/>
          <w:lang w:eastAsia="en-US" w:bidi="ar-SA"/>
        </w:rPr>
        <w:t xml:space="preserve"> openbare ziekenhuizen. De Belgi</w:t>
      </w:r>
      <w:r w:rsidR="00022E98">
        <w:rPr>
          <w:rFonts w:eastAsiaTheme="minorEastAsia"/>
          <w:kern w:val="0"/>
          <w:lang w:eastAsia="en-US" w:bidi="ar-SA"/>
        </w:rPr>
        <w:t>-</w:t>
      </w:r>
      <w:r w:rsidRPr="006478D4">
        <w:rPr>
          <w:rFonts w:eastAsiaTheme="minorEastAsia"/>
          <w:kern w:val="0"/>
          <w:lang w:eastAsia="en-US" w:bidi="ar-SA"/>
        </w:rPr>
        <w:t>sche wetgever heeft niet vastgelegd wanneer deze patiëntendossiers openbaar worden. Daar-</w:t>
      </w:r>
      <w:r w:rsidRPr="006478D4">
        <w:rPr>
          <w:rFonts w:eastAsiaTheme="minorEastAsia"/>
          <w:kern w:val="0"/>
          <w:lang w:eastAsia="en-US" w:bidi="ar-SA"/>
        </w:rPr>
        <w:lastRenderedPageBreak/>
        <w:t>om vroeg het Algemeen Rijksarchief – na goedkeuring van de Orde der geneesheren – in 2008 aan de Privacycommissie of dossiers van openbare ziekenhuizen 150 jaar na de geboorte van de betrokken patiënten in de openbaarheid mogen worden gebracht. Hoewel de Privacy-commissie dit een goede algemene stelregel vindt (waarvan in bepaalde gevallen moet kunnen worden afgeweken – bijvoorbeeld als een dossier gegevens m.b.t. nog levende personen be-vat), is deze termijn m.i. veel te lang. In Nederland en Frankrijk is de openbaarheidstermijn van patiëntendossiers minstens 30 jaar korter. Om het (historisch) onderzoek op basis van pa</w:t>
      </w:r>
      <w:r w:rsidR="006478D4">
        <w:rPr>
          <w:rFonts w:eastAsiaTheme="minorEastAsia"/>
          <w:kern w:val="0"/>
          <w:lang w:eastAsia="en-US" w:bidi="ar-SA"/>
        </w:rPr>
        <w:t>-</w:t>
      </w:r>
      <w:r w:rsidRPr="006478D4">
        <w:rPr>
          <w:rFonts w:eastAsiaTheme="minorEastAsia"/>
          <w:kern w:val="0"/>
          <w:lang w:eastAsia="en-US" w:bidi="ar-SA"/>
        </w:rPr>
        <w:t>tiëntendossiers te bevorderen, is het aangewezen dat het Algemeen Rijksarchief aansluiting zoekt bij de regeling van onze Noorder- en Zuiderburen. Hoewel Belgische openbare zieken-huizen nog nooit patiëntendossiers naar het Rijksarchief hebben overgebracht – waardoor de wijziging van deze termijn niet uiterst urgent is –, wordt hier toch best zo snel mogelijk werk van gemaakt.</w:t>
      </w:r>
    </w:p>
    <w:p w:rsidR="00E82D16" w:rsidRPr="006478D4" w:rsidRDefault="00E82D16" w:rsidP="00E82D16">
      <w:pPr>
        <w:widowControl/>
        <w:suppressAutoHyphens w:val="0"/>
        <w:jc w:val="both"/>
        <w:rPr>
          <w:rFonts w:eastAsiaTheme="minorEastAsia"/>
          <w:kern w:val="0"/>
          <w:lang w:eastAsia="en-US" w:bidi="ar-SA"/>
        </w:rPr>
      </w:pPr>
      <w:r w:rsidRPr="006478D4">
        <w:rPr>
          <w:rFonts w:eastAsiaTheme="minorEastAsia"/>
          <w:kern w:val="0"/>
          <w:lang w:eastAsia="en-US" w:bidi="ar-SA"/>
        </w:rPr>
        <w:t>Alleen overheidsinstellingen kunnen ertoe verplicht worden om over een selectielijst te be-schikken daar enkel overheidsarchieven aan het Rijksarchief moeten worden overdragen. Toch is het aangewezen dat ook privaatrechtelijke instellingen over een selectielijst beschik-ken en archiefbescheiden met potentiële onderzoekwaarde na het verstrijken van de burger-rechtelijke bewaartermijn aan het Rijksarchief schenken. Dit is echter een naïeve gedachte, daar archieven aan verschillende criteria moeten beantwo</w:t>
      </w:r>
      <w:r w:rsidR="006478D4">
        <w:rPr>
          <w:rFonts w:eastAsiaTheme="minorEastAsia"/>
          <w:kern w:val="0"/>
          <w:lang w:eastAsia="en-US" w:bidi="ar-SA"/>
        </w:rPr>
        <w:t>orden alvorens ze aan het Rijks</w:t>
      </w:r>
      <w:r w:rsidRPr="006478D4">
        <w:rPr>
          <w:rFonts w:eastAsiaTheme="minorEastAsia"/>
          <w:kern w:val="0"/>
          <w:lang w:eastAsia="en-US" w:bidi="ar-SA"/>
        </w:rPr>
        <w:t>ar</w:t>
      </w:r>
      <w:r w:rsidR="006478D4">
        <w:rPr>
          <w:rFonts w:eastAsiaTheme="minorEastAsia"/>
          <w:kern w:val="0"/>
          <w:lang w:eastAsia="en-US" w:bidi="ar-SA"/>
        </w:rPr>
        <w:t>-</w:t>
      </w:r>
      <w:r w:rsidRPr="006478D4">
        <w:rPr>
          <w:rFonts w:eastAsiaTheme="minorEastAsia"/>
          <w:kern w:val="0"/>
          <w:lang w:eastAsia="en-US" w:bidi="ar-SA"/>
        </w:rPr>
        <w:t xml:space="preserve">chief mogen worden overgebracht. Het is veel eenvoudiger (en goedkoper) om archiefbe-scheiden te vernietigen als hun administratief, juridisch en fiscaal nut verstreken is. Toch moet een mogelijkheid gezocht worden om ook huisartsarchieven permanent te bewaren. Huisartsen vervullen immers een sleutelrol in het zorgverleningsproces zodat de neerslag van hun handelingen het meest typerende (en representatieve) beeld van de volksgezondheid bie-den. </w:t>
      </w:r>
      <w:r w:rsidRPr="006478D4">
        <w:rPr>
          <w:kern w:val="0"/>
        </w:rPr>
        <w:t>Mogelijk komen de patiëntendossiers in aanmerking van huisartsen wiens praktijk wor-den stopgezet en niet opgevolgd worden. In dat geval zullen de dossiers van patiënten die zich niet (tijdig) aangemeld hebben door de bevoegde Provinciale Raad van de Orde der genees-heren in bewaring genomen worden. Dit gebeurt niet op basis van de wetgeving, maar aan de hand van de C.G.P.</w:t>
      </w:r>
      <w:r w:rsidRPr="006478D4">
        <w:rPr>
          <w:bCs/>
          <w:vertAlign w:val="superscript"/>
        </w:rPr>
        <w:footnoteReference w:id="1468"/>
      </w:r>
      <w:r w:rsidRPr="006478D4">
        <w:rPr>
          <w:kern w:val="0"/>
        </w:rPr>
        <w:t xml:space="preserve"> Vooralsnog is het niet duidelijk welke invloed deze bewaargeving op het statuut van patiëntendossiers heeft. </w:t>
      </w:r>
      <w:r w:rsidRPr="006478D4">
        <w:rPr>
          <w:rFonts w:eastAsiaTheme="minorEastAsia"/>
          <w:kern w:val="0"/>
          <w:lang w:eastAsia="en-US" w:bidi="ar-SA"/>
        </w:rPr>
        <w:t>Een andere vraag die zich stelt, is hoe frequent huis-artsenarchieven (permanent) bewaard moeten worden. De maatschappij is immers geen sta-tisch gegeven. Dit zou nader onderzocht moeten worden door een interdisciplinaire werk-groep van het Algemeen Rijksarchief. Ook universiteiten en hogescholen moeten hun steentje bijdragen. Zij hebben immers de verantwoordelijkheid om</w:t>
      </w:r>
      <w:r w:rsidR="006478D4">
        <w:rPr>
          <w:rFonts w:eastAsiaTheme="minorEastAsia"/>
          <w:kern w:val="0"/>
          <w:lang w:eastAsia="en-US" w:bidi="ar-SA"/>
        </w:rPr>
        <w:t xml:space="preserve"> alle studenten (inclusief zorg</w:t>
      </w:r>
      <w:r w:rsidRPr="006478D4">
        <w:rPr>
          <w:rFonts w:eastAsiaTheme="minorEastAsia"/>
          <w:kern w:val="0"/>
          <w:lang w:eastAsia="en-US" w:bidi="ar-SA"/>
        </w:rPr>
        <w:t>ver</w:t>
      </w:r>
      <w:r w:rsidR="006478D4">
        <w:rPr>
          <w:rFonts w:eastAsiaTheme="minorEastAsia"/>
          <w:kern w:val="0"/>
          <w:lang w:eastAsia="en-US" w:bidi="ar-SA"/>
        </w:rPr>
        <w:t>-</w:t>
      </w:r>
      <w:r w:rsidRPr="006478D4">
        <w:rPr>
          <w:rFonts w:eastAsiaTheme="minorEastAsia"/>
          <w:kern w:val="0"/>
          <w:lang w:eastAsia="en-US" w:bidi="ar-SA"/>
        </w:rPr>
        <w:t>leners in spe) een historisch bewustzijn bij te brengen. Dit kan m.i. alleen door ‘Medische ge</w:t>
      </w:r>
      <w:r w:rsidR="006478D4">
        <w:rPr>
          <w:rFonts w:eastAsiaTheme="minorEastAsia"/>
          <w:kern w:val="0"/>
          <w:lang w:eastAsia="en-US" w:bidi="ar-SA"/>
        </w:rPr>
        <w:t>-</w:t>
      </w:r>
      <w:r w:rsidRPr="006478D4">
        <w:rPr>
          <w:rFonts w:eastAsiaTheme="minorEastAsia"/>
          <w:kern w:val="0"/>
          <w:lang w:eastAsia="en-US" w:bidi="ar-SA"/>
        </w:rPr>
        <w:t>schiedenis’ als verplicht te volgen bachelorvak in het curricu</w:t>
      </w:r>
      <w:r w:rsidR="006478D4">
        <w:rPr>
          <w:rFonts w:eastAsiaTheme="minorEastAsia"/>
          <w:kern w:val="0"/>
          <w:lang w:eastAsia="en-US" w:bidi="ar-SA"/>
        </w:rPr>
        <w:t>lum van zorgverleners in wor-</w:t>
      </w:r>
      <w:r w:rsidRPr="006478D4">
        <w:rPr>
          <w:rFonts w:eastAsiaTheme="minorEastAsia"/>
          <w:kern w:val="0"/>
          <w:lang w:eastAsia="en-US" w:bidi="ar-SA"/>
        </w:rPr>
        <w:t xml:space="preserve">ding op te nemen – waarbij in </w:t>
      </w:r>
      <w:r w:rsidRPr="006478D4">
        <w:rPr>
          <w:rFonts w:eastAsiaTheme="minorEastAsia"/>
          <w:i/>
          <w:kern w:val="0"/>
          <w:lang w:eastAsia="en-US" w:bidi="ar-SA"/>
        </w:rPr>
        <w:t>capita selecta</w:t>
      </w:r>
      <w:r w:rsidRPr="006478D4">
        <w:rPr>
          <w:rFonts w:eastAsiaTheme="minorEastAsia"/>
          <w:kern w:val="0"/>
          <w:lang w:eastAsia="en-US" w:bidi="ar-SA"/>
        </w:rPr>
        <w:t xml:space="preserve"> ook de krijtl</w:t>
      </w:r>
      <w:r w:rsidR="006478D4">
        <w:rPr>
          <w:rFonts w:eastAsiaTheme="minorEastAsia"/>
          <w:kern w:val="0"/>
          <w:lang w:eastAsia="en-US" w:bidi="ar-SA"/>
        </w:rPr>
        <w:t>ijnen van hedendaags documentbe-</w:t>
      </w:r>
      <w:r w:rsidRPr="006478D4">
        <w:rPr>
          <w:rFonts w:eastAsiaTheme="minorEastAsia"/>
          <w:kern w:val="0"/>
          <w:lang w:eastAsia="en-US" w:bidi="ar-SA"/>
        </w:rPr>
        <w:t>heer aan bod zouden moeten komen – en aan studenten de mogelijkheid te bieden om zich hier in de masterjaren verder in te specialiseren. Er moet een zodanig evenwicht gezocht worden dat dit het vak en de specialisatierichting ook voor geschiedenisstudenten toegankelijk is. Een lastige opgave, die zeker en vast in overweging genomen zou moeten worden.</w:t>
      </w:r>
    </w:p>
    <w:p w:rsidR="00B8263D" w:rsidRPr="006478D4" w:rsidRDefault="00E82D16" w:rsidP="00E82D16">
      <w:pPr>
        <w:widowControl/>
        <w:suppressAutoHyphens w:val="0"/>
        <w:jc w:val="both"/>
        <w:rPr>
          <w:rFonts w:eastAsiaTheme="minorEastAsia"/>
          <w:kern w:val="0"/>
          <w:lang w:eastAsia="en-US" w:bidi="ar-SA"/>
        </w:rPr>
      </w:pPr>
      <w:r w:rsidRPr="006478D4">
        <w:rPr>
          <w:rFonts w:eastAsiaTheme="minorEastAsia"/>
          <w:kern w:val="0"/>
          <w:lang w:eastAsia="en-US" w:bidi="ar-SA"/>
        </w:rPr>
        <w:t xml:space="preserve">Archiefvormers moeten niet altijd wachten tot de bewaartermijn verstreken is om archiefbe-scheiden te vernietigen. Zeker niet als het om ‘schoningsacties’ gaat, waarbij schaduwarchie-ven en waardeloze documenten zoals persoonlijke notities, kopieën en blanco formulieren vernietigd worden. Ook kunnen bescheiden vroegtijdig vernietigd worden als de gegevens-drager van originele bescheiden vervangen wordt. Wel moet met verschillende zaken reke-ning gehouden opdat aan reproducties dezelfde bewijswaarde als aan originele documenten kan worden toegekend. Het is m.i. aanbevelenswaardig om originele archiefbescheiden nog enkele jaren na de substitutie bij te houden. Dat is zeker in de medische wereld nodig, daar </w:t>
      </w:r>
      <w:r w:rsidRPr="006478D4">
        <w:rPr>
          <w:rFonts w:eastAsiaTheme="minorEastAsia"/>
          <w:kern w:val="0"/>
          <w:lang w:eastAsia="en-US" w:bidi="ar-SA"/>
        </w:rPr>
        <w:lastRenderedPageBreak/>
        <w:t>patiënten almaar mondiger worden en steeds sneller een rechtszaak tegen hun arts zullen aan-spannen.</w:t>
      </w:r>
      <w:r w:rsidRPr="006478D4">
        <w:rPr>
          <w:rFonts w:eastAsiaTheme="minorEastAsia"/>
          <w:kern w:val="0"/>
          <w:vertAlign w:val="superscript"/>
          <w:lang w:eastAsia="en-US" w:bidi="ar-SA"/>
        </w:rPr>
        <w:footnoteReference w:id="1469"/>
      </w:r>
      <w:r w:rsidRPr="006478D4">
        <w:rPr>
          <w:rFonts w:eastAsiaTheme="minorEastAsia"/>
          <w:kern w:val="0"/>
          <w:lang w:eastAsia="en-US" w:bidi="ar-SA"/>
        </w:rPr>
        <w:t xml:space="preserve"> Tot slot kunnen patiënten in Nederland hun artsen verzoeken om (delen van) hun patiëntendossier te vernietigen. Hoewel dit ook in de Franse rechtsleer mogelijk wordt geacht, is dit m.i. geen goede zaak. Dat de patiënt cruciale informatie over en voor de zorgverlening verliest wanneer zijn patiëntendossier vernietigd wordt, is zijn eigen keuze. Het probleem ligt ook niet bij het feit dat gegevens uit het patiëntendossier van belang kunnen zijn voor de zorg-verlener (om zich in rechte te verdedigen). Dit kan immers opgelost worden door de desbe-treffende patiënt een akte van vernietiging te laten ondertekenen. Maar gezondheidsgegevens zijn steeds vaker voor aanverwanten van de patiënt van belang. Immers wat vandaag niet als een erfelijke aandoening wordt beschouwd, is dat morgen misschien wel. Bovendien kunnen patiëntendossiers – met name in openbare ziekenhuizen – belangrijk bronnenmateriaal zijn voor toekomstige (historische, medisch-wetenschappelijke,…) onderzoekers. Het verzoek om het eigen patiëntendossier vroegtijdig te vernietigen is m.i. een kortzichtige, egoïstische be-slissing.</w:t>
      </w:r>
      <w:r w:rsidRPr="006478D4">
        <w:rPr>
          <w:rFonts w:eastAsiaTheme="minorEastAsia"/>
          <w:kern w:val="0"/>
          <w:vertAlign w:val="superscript"/>
          <w:lang w:eastAsia="en-US" w:bidi="ar-SA"/>
        </w:rPr>
        <w:footnoteReference w:id="1470"/>
      </w:r>
    </w:p>
    <w:sectPr w:rsidR="00B8263D" w:rsidRPr="006478D4" w:rsidSect="004F1A1D">
      <w:headerReference w:type="default" r:id="rId5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16" w:rsidRDefault="00E82D16" w:rsidP="003E1E00">
      <w:r>
        <w:separator/>
      </w:r>
    </w:p>
  </w:endnote>
  <w:endnote w:type="continuationSeparator" w:id="0">
    <w:p w:rsidR="00E82D16" w:rsidRDefault="00E82D16" w:rsidP="003E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16" w:rsidRDefault="00E82D16" w:rsidP="003E1E00">
      <w:r>
        <w:separator/>
      </w:r>
    </w:p>
  </w:footnote>
  <w:footnote w:type="continuationSeparator" w:id="0">
    <w:p w:rsidR="00E82D16" w:rsidRDefault="00E82D16" w:rsidP="003E1E00">
      <w:r>
        <w:continuationSeparator/>
      </w:r>
    </w:p>
  </w:footnote>
  <w:footnote w:id="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in deze verhandeling gehanteerde afkortingensysteem is conform de juridische normen. Daarvoor werd gebruik gemaakt van: </w:t>
      </w:r>
      <w:r w:rsidRPr="00426625">
        <w:rPr>
          <w:rFonts w:ascii="Times New Roman" w:hAnsi="Times New Roman"/>
          <w:i/>
        </w:rPr>
        <w:t>Juridische verwijzingen en afkortingen</w:t>
      </w:r>
      <w:r w:rsidRPr="00426625">
        <w:rPr>
          <w:rFonts w:ascii="Times New Roman" w:hAnsi="Times New Roman"/>
        </w:rPr>
        <w:t>, Mechelen, Kluwer, 2008</w:t>
      </w:r>
      <w:r w:rsidRPr="00426625">
        <w:rPr>
          <w:rFonts w:ascii="Times New Roman" w:hAnsi="Times New Roman"/>
          <w:vertAlign w:val="superscript"/>
        </w:rPr>
        <w:t>4</w:t>
      </w:r>
      <w:r w:rsidRPr="00426625">
        <w:rPr>
          <w:rFonts w:ascii="Times New Roman" w:hAnsi="Times New Roman"/>
        </w:rPr>
        <w:t>, 170p. (</w:t>
      </w:r>
      <w:hyperlink w:history="1">
        <w:r w:rsidRPr="00EA26DD">
          <w:rPr>
            <w:rStyle w:val="Hyperlink"/>
            <w:rFonts w:ascii="Times New Roman" w:hAnsi="Times New Roman"/>
          </w:rPr>
          <w:t>http://www. legalworld.be/legalworld/juridische-verwijzingen-en-afkortingen.html?LangType=2067</w:t>
        </w:r>
      </w:hyperlink>
      <w:r w:rsidRPr="00426625">
        <w:rPr>
          <w:rFonts w:ascii="Times New Roman" w:hAnsi="Times New Roman"/>
        </w:rPr>
        <w:t xml:space="preserve">). </w:t>
      </w:r>
    </w:p>
  </w:footnote>
  <w:footnote w:id="2">
    <w:p w:rsidR="00E82D16" w:rsidRPr="00D147A7"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D147A7">
        <w:rPr>
          <w:rFonts w:ascii="Times New Roman" w:hAnsi="Times New Roman"/>
          <w:lang w:val="en-US"/>
        </w:rPr>
        <w:t xml:space="preserve"> </w:t>
      </w:r>
      <w:hyperlink r:id="rId1" w:anchor="P38_1190" w:history="1">
        <w:r w:rsidRPr="00D147A7">
          <w:rPr>
            <w:rStyle w:val="Hyperlink"/>
            <w:rFonts w:ascii="Times New Roman" w:hAnsi="Times New Roman"/>
            <w:lang w:val="en-US"/>
          </w:rPr>
          <w:t>http://www.coe.int/T/CM/adoptedTexts_en.asp#P38_1190</w:t>
        </w:r>
      </w:hyperlink>
      <w:r w:rsidRPr="00D147A7">
        <w:rPr>
          <w:rFonts w:ascii="Times New Roman" w:hAnsi="Times New Roman"/>
          <w:lang w:val="en-US"/>
        </w:rPr>
        <w:t xml:space="preserve">; </w:t>
      </w:r>
      <w:hyperlink r:id="rId2" w:history="1">
        <w:r w:rsidRPr="0054166E">
          <w:rPr>
            <w:rStyle w:val="Hyperlink"/>
            <w:rFonts w:ascii="Times New Roman" w:hAnsi="Times New Roman"/>
            <w:lang w:val="en-US"/>
          </w:rPr>
          <w:t>http://www.coe.int/t/dghl/standardsetting/ dataprotection/dataprotcompil_en.pdf</w:t>
        </w:r>
      </w:hyperlink>
      <w:r w:rsidRPr="00D147A7">
        <w:rPr>
          <w:rFonts w:ascii="Times New Roman" w:hAnsi="Times New Roman"/>
          <w:lang w:val="en-US"/>
        </w:rPr>
        <w:t>.</w:t>
      </w:r>
    </w:p>
  </w:footnote>
  <w:footnote w:id="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meeste kamerstukken werden opgezocht op de websites </w:t>
      </w:r>
      <w:hyperlink r:id="rId3" w:history="1">
        <w:r w:rsidRPr="00426625">
          <w:rPr>
            <w:rStyle w:val="Hyperlink"/>
            <w:rFonts w:ascii="Times New Roman" w:hAnsi="Times New Roman"/>
          </w:rPr>
          <w:t>liigl.nl</w:t>
        </w:r>
      </w:hyperlink>
      <w:r w:rsidRPr="00426625">
        <w:rPr>
          <w:rFonts w:ascii="Times New Roman" w:hAnsi="Times New Roman"/>
        </w:rPr>
        <w:t xml:space="preserve"> en </w:t>
      </w:r>
      <w:hyperlink r:id="rId4" w:history="1">
        <w:r w:rsidRPr="00426625">
          <w:rPr>
            <w:rStyle w:val="Hyperlink"/>
            <w:rFonts w:ascii="Times New Roman" w:hAnsi="Times New Roman"/>
          </w:rPr>
          <w:t>http://www.statengeneraaldigitaal.nl</w:t>
        </w:r>
      </w:hyperlink>
      <w:r w:rsidRPr="00426625">
        <w:rPr>
          <w:rFonts w:ascii="Times New Roman" w:hAnsi="Times New Roman"/>
        </w:rPr>
        <w:t>.</w:t>
      </w:r>
    </w:p>
  </w:footnote>
  <w:footnote w:id="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5" w:history="1">
        <w:r w:rsidRPr="00426625">
          <w:rPr>
            <w:rStyle w:val="Hyperlink"/>
            <w:rFonts w:ascii="Times New Roman" w:hAnsi="Times New Roman"/>
          </w:rPr>
          <w:t>www.fysionet.nl</w:t>
        </w:r>
      </w:hyperlink>
      <w:r w:rsidRPr="00426625">
        <w:rPr>
          <w:rFonts w:ascii="Times New Roman" w:hAnsi="Times New Roman"/>
        </w:rPr>
        <w:t xml:space="preserve"> en </w:t>
      </w:r>
      <w:hyperlink r:id="rId6" w:history="1">
        <w:r w:rsidRPr="00426625">
          <w:rPr>
            <w:rStyle w:val="Hyperlink"/>
            <w:rFonts w:ascii="Times New Roman" w:hAnsi="Times New Roman"/>
          </w:rPr>
          <w:t>www.kngfrichtlijnen.nl</w:t>
        </w:r>
      </w:hyperlink>
      <w:r w:rsidRPr="00426625">
        <w:rPr>
          <w:rFonts w:ascii="Times New Roman" w:hAnsi="Times New Roman"/>
        </w:rPr>
        <w:t xml:space="preserve">. </w:t>
      </w:r>
    </w:p>
  </w:footnote>
  <w:footnote w:id="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I.e. de Nederlandse variant van de Nationale Raad van de Orde der geneesheren. Zie </w:t>
      </w:r>
      <w:hyperlink r:id="rId7" w:history="1">
        <w:r w:rsidRPr="00426625">
          <w:rPr>
            <w:rStyle w:val="Hyperlink"/>
            <w:rFonts w:ascii="Times New Roman" w:hAnsi="Times New Roman"/>
          </w:rPr>
          <w:t>knmg.artsennet.nl</w:t>
        </w:r>
      </w:hyperlink>
      <w:r w:rsidRPr="00426625">
        <w:rPr>
          <w:rFonts w:ascii="Times New Roman" w:hAnsi="Times New Roman"/>
        </w:rPr>
        <w:t>.</w:t>
      </w:r>
    </w:p>
  </w:footnote>
  <w:footnote w:id="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I.e. de beroeps- en brancheorganisatie voor Nederlandse apothekers. Zie </w:t>
      </w:r>
      <w:hyperlink r:id="rId8" w:history="1">
        <w:r w:rsidRPr="00426625">
          <w:rPr>
            <w:rStyle w:val="Hyperlink"/>
            <w:rFonts w:ascii="Times New Roman" w:hAnsi="Times New Roman"/>
          </w:rPr>
          <w:t>www.knmp.nl</w:t>
        </w:r>
      </w:hyperlink>
      <w:r w:rsidRPr="00426625">
        <w:rPr>
          <w:rFonts w:ascii="Times New Roman" w:hAnsi="Times New Roman"/>
        </w:rPr>
        <w:t xml:space="preserve"> .</w:t>
      </w:r>
    </w:p>
  </w:footnote>
  <w:footnote w:id="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9" w:history="1">
        <w:r w:rsidRPr="00426625">
          <w:rPr>
            <w:rStyle w:val="Hyperlink"/>
            <w:rFonts w:ascii="Times New Roman" w:hAnsi="Times New Roman"/>
          </w:rPr>
          <w:t>lhv.artsennet.nl</w:t>
        </w:r>
      </w:hyperlink>
      <w:r w:rsidRPr="00426625">
        <w:rPr>
          <w:rFonts w:ascii="Times New Roman" w:hAnsi="Times New Roman"/>
        </w:rPr>
        <w:t xml:space="preserve">. </w:t>
      </w:r>
    </w:p>
  </w:footnote>
  <w:footnote w:id="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I.e. de wetenschappelijke vereniging voor huisartsen. Zie </w:t>
      </w:r>
      <w:hyperlink r:id="rId10" w:history="1">
        <w:r w:rsidRPr="00426625">
          <w:rPr>
            <w:rStyle w:val="Hyperlink"/>
            <w:rFonts w:ascii="Times New Roman" w:hAnsi="Times New Roman"/>
          </w:rPr>
          <w:t>nhg.artsennet.nl</w:t>
        </w:r>
      </w:hyperlink>
      <w:r w:rsidRPr="00426625">
        <w:rPr>
          <w:rFonts w:ascii="Times New Roman" w:hAnsi="Times New Roman"/>
        </w:rPr>
        <w:t>.</w:t>
      </w:r>
    </w:p>
  </w:footnote>
  <w:footnote w:id="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1" w:history="1">
        <w:r w:rsidRPr="00426625">
          <w:rPr>
            <w:rStyle w:val="Hyperlink"/>
            <w:rFonts w:ascii="Times New Roman" w:hAnsi="Times New Roman"/>
          </w:rPr>
          <w:t>www.tandartsennet.nl</w:t>
        </w:r>
      </w:hyperlink>
      <w:r w:rsidRPr="00426625">
        <w:rPr>
          <w:rFonts w:ascii="Times New Roman" w:hAnsi="Times New Roman"/>
        </w:rPr>
        <w:t xml:space="preserve">. </w:t>
      </w:r>
    </w:p>
  </w:footnote>
  <w:footnote w:id="1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2" w:history="1">
        <w:r w:rsidRPr="00426625">
          <w:rPr>
            <w:rStyle w:val="Hyperlink"/>
            <w:rFonts w:ascii="Times New Roman" w:hAnsi="Times New Roman"/>
          </w:rPr>
          <w:t>www.orde.nl</w:t>
        </w:r>
      </w:hyperlink>
      <w:r w:rsidRPr="00426625">
        <w:rPr>
          <w:rFonts w:ascii="Times New Roman" w:hAnsi="Times New Roman"/>
        </w:rPr>
        <w:t xml:space="preserve">. </w:t>
      </w:r>
    </w:p>
  </w:footnote>
  <w:footnote w:id="1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3" w:history="1">
        <w:r w:rsidRPr="00426625">
          <w:rPr>
            <w:rStyle w:val="Hyperlink"/>
            <w:rFonts w:ascii="Times New Roman" w:hAnsi="Times New Roman"/>
          </w:rPr>
          <w:t>www.venvn.nl</w:t>
        </w:r>
      </w:hyperlink>
      <w:r w:rsidRPr="00426625">
        <w:rPr>
          <w:rFonts w:ascii="Times New Roman" w:hAnsi="Times New Roman"/>
        </w:rPr>
        <w:t xml:space="preserve">. </w:t>
      </w:r>
    </w:p>
  </w:footnote>
  <w:footnote w:id="1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4" w:history="1">
        <w:r w:rsidRPr="00426625">
          <w:rPr>
            <w:rStyle w:val="Hyperlink"/>
            <w:rFonts w:ascii="Times New Roman" w:hAnsi="Times New Roman"/>
          </w:rPr>
          <w:t>vhn.artsennet.nl</w:t>
        </w:r>
      </w:hyperlink>
      <w:r w:rsidRPr="00426625">
        <w:rPr>
          <w:rFonts w:ascii="Times New Roman" w:hAnsi="Times New Roman"/>
        </w:rPr>
        <w:t xml:space="preserve">. </w:t>
      </w:r>
    </w:p>
  </w:footnote>
  <w:footnote w:id="1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I.e. de Franse Privacycommissie.</w:t>
      </w:r>
    </w:p>
  </w:footnote>
  <w:footnote w:id="1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15" w:history="1">
        <w:r w:rsidRPr="00426625">
          <w:rPr>
            <w:rStyle w:val="Hyperlink"/>
            <w:rFonts w:ascii="Times New Roman" w:hAnsi="Times New Roman"/>
          </w:rPr>
          <w:t>www.jmir.org/</w:t>
        </w:r>
      </w:hyperlink>
      <w:r w:rsidRPr="00426625">
        <w:rPr>
          <w:rFonts w:ascii="Times New Roman" w:hAnsi="Times New Roman"/>
        </w:rPr>
        <w:t>.</w:t>
      </w:r>
    </w:p>
  </w:footnote>
  <w:footnote w:id="1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Alle aanbevelingen kunnen geraadpleegd worden op: </w:t>
      </w:r>
      <w:hyperlink r:id="rId16" w:history="1">
        <w:r w:rsidRPr="00EA26DD">
          <w:rPr>
            <w:rStyle w:val="Hyperlink"/>
            <w:rFonts w:ascii="Times New Roman" w:hAnsi="Times New Roman"/>
          </w:rPr>
          <w:t>http://www.coe.int/T/E/Legal_affairs/Legal_co-operation/Data_protection/Documents</w:t>
        </w:r>
      </w:hyperlink>
      <w:r w:rsidRPr="00426625">
        <w:rPr>
          <w:rFonts w:ascii="Times New Roman" w:hAnsi="Times New Roman"/>
        </w:rPr>
        <w:t>.</w:t>
      </w:r>
    </w:p>
  </w:footnote>
  <w:footnote w:id="1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gecoördineerde versie van KB nr. 78 kan geraadpleegd worden op: </w:t>
      </w:r>
      <w:hyperlink r:id="rId17" w:history="1">
        <w:r w:rsidRPr="002E0847">
          <w:rPr>
            <w:rStyle w:val="Hyperlink"/>
            <w:rFonts w:ascii="Times New Roman" w:hAnsi="Times New Roman"/>
          </w:rPr>
          <w:t>http://www.hrzkmo.fgov.be/Portals/ hrzkmo/nl/Wetgeving/Intellectuele%20beroepen/Gezondheidszorgberoepen.pdf</w:t>
        </w:r>
      </w:hyperlink>
      <w:r w:rsidRPr="00426625">
        <w:rPr>
          <w:rFonts w:ascii="Times New Roman" w:hAnsi="Times New Roman"/>
        </w:rPr>
        <w:t>.</w:t>
      </w:r>
    </w:p>
  </w:footnote>
  <w:footnote w:id="17">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CRAIG, B.L., </w:t>
      </w:r>
      <w:r w:rsidRPr="00426625">
        <w:rPr>
          <w:rFonts w:ascii="Times New Roman" w:hAnsi="Times New Roman" w:cs="Times New Roman"/>
          <w:i/>
          <w:sz w:val="20"/>
          <w:szCs w:val="20"/>
          <w:lang w:val="en-US"/>
        </w:rPr>
        <w:t>Medical Archives: what they are and how to keep them. An introduction and some basic advice for individuals and institutions</w:t>
      </w:r>
      <w:r w:rsidRPr="00426625">
        <w:rPr>
          <w:rFonts w:ascii="Times New Roman" w:hAnsi="Times New Roman" w:cs="Times New Roman"/>
          <w:sz w:val="20"/>
          <w:szCs w:val="20"/>
          <w:lang w:val="en-US"/>
        </w:rPr>
        <w:t>, Toronto, 2000², p. v.</w:t>
      </w:r>
    </w:p>
  </w:footnote>
  <w:footnote w:id="18">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HUFFMAN, E.K., </w:t>
      </w:r>
      <w:r w:rsidRPr="00426625">
        <w:rPr>
          <w:rFonts w:ascii="Times New Roman" w:hAnsi="Times New Roman" w:cs="Times New Roman"/>
          <w:i/>
          <w:sz w:val="20"/>
          <w:szCs w:val="20"/>
          <w:lang w:val="en-US"/>
        </w:rPr>
        <w:t>Medical Record Management</w:t>
      </w:r>
      <w:r w:rsidRPr="00426625">
        <w:rPr>
          <w:rFonts w:ascii="Times New Roman" w:hAnsi="Times New Roman" w:cs="Times New Roman"/>
          <w:sz w:val="20"/>
          <w:szCs w:val="20"/>
          <w:lang w:val="en-US"/>
        </w:rPr>
        <w:t>, Berwyn, Physicians’ Record Company, 1976</w:t>
      </w:r>
      <w:r w:rsidRPr="00426625">
        <w:rPr>
          <w:rFonts w:ascii="Times New Roman" w:hAnsi="Times New Roman" w:cs="Times New Roman"/>
          <w:sz w:val="20"/>
          <w:szCs w:val="20"/>
          <w:vertAlign w:val="superscript"/>
          <w:lang w:val="en-US"/>
        </w:rPr>
        <w:t>6</w:t>
      </w:r>
      <w:r w:rsidRPr="00426625">
        <w:rPr>
          <w:rFonts w:ascii="Times New Roman" w:hAnsi="Times New Roman" w:cs="Times New Roman"/>
          <w:sz w:val="20"/>
          <w:szCs w:val="20"/>
          <w:lang w:val="en-US"/>
        </w:rPr>
        <w:t>, p. 1-11.</w:t>
      </w:r>
    </w:p>
  </w:footnote>
  <w:footnote w:id="19">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BAHN, P.G., </w:t>
      </w:r>
      <w:r w:rsidRPr="00426625">
        <w:rPr>
          <w:rFonts w:ascii="Times New Roman" w:hAnsi="Times New Roman" w:cs="Times New Roman"/>
          <w:i/>
          <w:sz w:val="20"/>
          <w:szCs w:val="20"/>
          <w:lang w:val="en-US"/>
        </w:rPr>
        <w:t>Cave Art: A Guide to the Decorated Ice Age Caves of Europe</w:t>
      </w:r>
      <w:r w:rsidRPr="00426625">
        <w:rPr>
          <w:rFonts w:ascii="Times New Roman" w:hAnsi="Times New Roman" w:cs="Times New Roman"/>
          <w:sz w:val="20"/>
          <w:szCs w:val="20"/>
          <w:lang w:val="en-US"/>
        </w:rPr>
        <w:t xml:space="preserve">, Londen, Frances Lincoln, 2007, p. 112-118 (224p.); MOODIE, R.L., </w:t>
      </w:r>
      <w:r w:rsidRPr="00426625">
        <w:rPr>
          <w:rFonts w:ascii="Times New Roman" w:hAnsi="Times New Roman" w:cs="Times New Roman"/>
          <w:i/>
          <w:sz w:val="20"/>
          <w:szCs w:val="20"/>
          <w:lang w:val="en-US"/>
        </w:rPr>
        <w:t>The antiquity of disease</w:t>
      </w:r>
      <w:r w:rsidRPr="00426625">
        <w:rPr>
          <w:rFonts w:ascii="Times New Roman" w:hAnsi="Times New Roman" w:cs="Times New Roman"/>
          <w:sz w:val="20"/>
          <w:szCs w:val="20"/>
          <w:lang w:val="en-US"/>
        </w:rPr>
        <w:t>, Chicago, the University of Chicago Press, 1923, p. 105-106.</w:t>
      </w:r>
    </w:p>
  </w:footnote>
  <w:footnote w:id="2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Idem.</w:t>
      </w:r>
    </w:p>
  </w:footnote>
  <w:footnote w:id="2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MOODIE, p. 106.</w:t>
      </w:r>
    </w:p>
  </w:footnote>
  <w:footnote w:id="2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BAHN, p. 113; </w:t>
      </w:r>
      <w:hyperlink r:id="rId18" w:history="1">
        <w:r w:rsidRPr="00426625">
          <w:rPr>
            <w:rStyle w:val="Hyperlink"/>
            <w:rFonts w:ascii="Times New Roman" w:hAnsi="Times New Roman" w:cs="Times New Roman"/>
            <w:sz w:val="20"/>
            <w:szCs w:val="20"/>
          </w:rPr>
          <w:t>http://www.bradshawfoundation.com/hand_paintings_rock_art.php</w:t>
        </w:r>
      </w:hyperlink>
      <w:r w:rsidRPr="00426625">
        <w:rPr>
          <w:rFonts w:ascii="Times New Roman" w:hAnsi="Times New Roman" w:cs="Times New Roman"/>
          <w:sz w:val="20"/>
          <w:szCs w:val="20"/>
        </w:rPr>
        <w:t xml:space="preserve">, laatst geraadpleegd op 23 juli 2012. </w:t>
      </w:r>
    </w:p>
  </w:footnote>
  <w:footnote w:id="2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oudste is het Papyrus Edwin Smith uit de 16</w:t>
      </w:r>
      <w:r w:rsidRPr="00426625">
        <w:rPr>
          <w:rFonts w:ascii="Times New Roman" w:hAnsi="Times New Roman" w:cs="Times New Roman"/>
          <w:sz w:val="20"/>
          <w:szCs w:val="20"/>
          <w:vertAlign w:val="superscript"/>
        </w:rPr>
        <w:t>de</w:t>
      </w:r>
      <w:r w:rsidRPr="00426625">
        <w:rPr>
          <w:rFonts w:ascii="Times New Roman" w:hAnsi="Times New Roman" w:cs="Times New Roman"/>
          <w:sz w:val="20"/>
          <w:szCs w:val="20"/>
        </w:rPr>
        <w:t xml:space="preserve"> – 17</w:t>
      </w:r>
      <w:r w:rsidRPr="00426625">
        <w:rPr>
          <w:rFonts w:ascii="Times New Roman" w:hAnsi="Times New Roman" w:cs="Times New Roman"/>
          <w:sz w:val="20"/>
          <w:szCs w:val="20"/>
          <w:vertAlign w:val="superscript"/>
        </w:rPr>
        <w:t>de</w:t>
      </w:r>
      <w:r w:rsidRPr="00426625">
        <w:rPr>
          <w:rFonts w:ascii="Times New Roman" w:hAnsi="Times New Roman" w:cs="Times New Roman"/>
          <w:sz w:val="20"/>
          <w:szCs w:val="20"/>
        </w:rPr>
        <w:t xml:space="preserve"> Dynastie (Tweede Tussenperiode) van het Oude Egypte, circa 1500 v.o.t. ALLEN, J.P.</w:t>
      </w:r>
      <w:r>
        <w:rPr>
          <w:rFonts w:ascii="Times New Roman" w:hAnsi="Times New Roman" w:cs="Times New Roman"/>
          <w:sz w:val="20"/>
          <w:szCs w:val="20"/>
        </w:rPr>
        <w:t xml:space="preserve"> et al.</w:t>
      </w:r>
      <w:r w:rsidRPr="00426625">
        <w:rPr>
          <w:rFonts w:ascii="Times New Roman" w:hAnsi="Times New Roman" w:cs="Times New Roman"/>
          <w:sz w:val="20"/>
          <w:szCs w:val="20"/>
        </w:rPr>
        <w:t xml:space="preserve">, </w:t>
      </w:r>
      <w:r w:rsidRPr="00426625">
        <w:rPr>
          <w:rFonts w:ascii="Times New Roman" w:hAnsi="Times New Roman" w:cs="Times New Roman"/>
          <w:i/>
          <w:sz w:val="20"/>
          <w:szCs w:val="20"/>
        </w:rPr>
        <w:t>The Art of Medicine in Ancient Egypt</w:t>
      </w:r>
      <w:r w:rsidRPr="00426625">
        <w:rPr>
          <w:rFonts w:ascii="Times New Roman" w:hAnsi="Times New Roman" w:cs="Times New Roman"/>
          <w:sz w:val="20"/>
          <w:szCs w:val="20"/>
        </w:rPr>
        <w:t xml:space="preserve">, New York, The Metropolitan Museum of Art, 2005, p. 70. Het traktaat kan online geraadpleegd worden op: </w:t>
      </w:r>
      <w:hyperlink r:id="rId19" w:history="1">
        <w:r w:rsidRPr="002E0847">
          <w:rPr>
            <w:rStyle w:val="Hyperlink"/>
            <w:rFonts w:ascii="Times New Roman" w:hAnsi="Times New Roman" w:cs="Times New Roman"/>
            <w:sz w:val="20"/>
            <w:szCs w:val="20"/>
          </w:rPr>
          <w:t>http://archive.nlm.nih.gov/proj/ttp/ smith_home.html</w:t>
        </w:r>
      </w:hyperlink>
      <w:r w:rsidRPr="00426625">
        <w:rPr>
          <w:rFonts w:ascii="Times New Roman" w:hAnsi="Times New Roman" w:cs="Times New Roman"/>
          <w:sz w:val="20"/>
          <w:szCs w:val="20"/>
        </w:rPr>
        <w:t xml:space="preserve">, laatst geraadpleegd op 23 juli 2012. Voor een lijst met andere medische traktaten uit het Oude Egypte, zie: </w:t>
      </w:r>
      <w:hyperlink r:id="rId20" w:history="1">
        <w:r w:rsidRPr="00426625">
          <w:rPr>
            <w:rStyle w:val="Hyperlink"/>
            <w:rFonts w:ascii="Times New Roman" w:hAnsi="Times New Roman" w:cs="Times New Roman"/>
            <w:sz w:val="20"/>
            <w:szCs w:val="20"/>
          </w:rPr>
          <w:t>http://www.aams.org.au/contents.php?subdir=library/history/&amp;filename=pharonic_egypt</w:t>
        </w:r>
      </w:hyperlink>
      <w:r w:rsidRPr="00426625">
        <w:rPr>
          <w:rFonts w:ascii="Times New Roman" w:hAnsi="Times New Roman" w:cs="Times New Roman"/>
          <w:sz w:val="20"/>
          <w:szCs w:val="20"/>
        </w:rPr>
        <w:t>, laatst ge</w:t>
      </w:r>
      <w:r>
        <w:rPr>
          <w:rFonts w:ascii="Times New Roman" w:hAnsi="Times New Roman" w:cs="Times New Roman"/>
          <w:sz w:val="20"/>
          <w:szCs w:val="20"/>
        </w:rPr>
        <w:t>-</w:t>
      </w:r>
      <w:r w:rsidRPr="00426625">
        <w:rPr>
          <w:rFonts w:ascii="Times New Roman" w:hAnsi="Times New Roman" w:cs="Times New Roman"/>
          <w:sz w:val="20"/>
          <w:szCs w:val="20"/>
        </w:rPr>
        <w:t>raadpleegd op 23 juli 2012.</w:t>
      </w:r>
    </w:p>
  </w:footnote>
  <w:footnote w:id="2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SERVAIS, P.; ROGER, F.H.; ‘Archives médicales et histoire de la santé’, </w:t>
      </w:r>
      <w:r w:rsidRPr="00E333B6">
        <w:rPr>
          <w:rFonts w:ascii="Times New Roman" w:hAnsi="Times New Roman" w:cs="Times New Roman"/>
          <w:i/>
          <w:sz w:val="20"/>
          <w:szCs w:val="20"/>
          <w:lang w:val="fr-BE"/>
        </w:rPr>
        <w:t xml:space="preserve">Congres de Comines, 28-31 VIII 1980. </w:t>
      </w:r>
      <w:r w:rsidRPr="00426625">
        <w:rPr>
          <w:rFonts w:ascii="Times New Roman" w:hAnsi="Times New Roman" w:cs="Times New Roman"/>
          <w:i/>
          <w:sz w:val="20"/>
          <w:szCs w:val="20"/>
        </w:rPr>
        <w:t>Actes – Handelingen – Akten</w:t>
      </w:r>
      <w:r w:rsidRPr="00426625">
        <w:rPr>
          <w:rFonts w:ascii="Times New Roman" w:hAnsi="Times New Roman" w:cs="Times New Roman"/>
          <w:sz w:val="20"/>
          <w:szCs w:val="20"/>
        </w:rPr>
        <w:t>, Congres van de federatie van kringen voor oudheidkunde en geschiedenis van België, XLV, Comines, 1980, p. 411-412.</w:t>
      </w:r>
    </w:p>
  </w:footnote>
  <w:footnote w:id="2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Pr>
          <w:rFonts w:ascii="Times New Roman" w:hAnsi="Times New Roman" w:cs="Times New Roman"/>
          <w:sz w:val="20"/>
          <w:szCs w:val="20"/>
        </w:rPr>
        <w:t>Idem,</w:t>
      </w:r>
      <w:r w:rsidRPr="00426625">
        <w:rPr>
          <w:rFonts w:ascii="Times New Roman" w:hAnsi="Times New Roman" w:cs="Times New Roman"/>
          <w:sz w:val="20"/>
          <w:szCs w:val="20"/>
        </w:rPr>
        <w:t xml:space="preserve"> p. 412.</w:t>
      </w:r>
    </w:p>
  </w:footnote>
  <w:footnote w:id="2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9 juni 1951 betreffende de repatriëring, door toedoen van de Staat, der lijken van sommigen der slachtoffers van de oorlog 1940-1945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15 juli 1951). Zie ook: KB van 9 augustus 1954 tot regeling van de Rijksbijdrage in zake de overbrenging en de repatriëring der lijken van de slachtoffers uit de oorlog 1940-1945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augustus 1954).</w:t>
      </w:r>
    </w:p>
  </w:footnote>
  <w:footnote w:id="2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Dossiernummer PCCA 29845, fol. 10, Cel Militaire Begraafplaatsen, Dienst Herinnering &amp; Communicatie, Instituut voor Veteranen, Nationaal Instituut voor Oorlogsinvaliden, Oud-strijders en Oorlogsslachtoffers (</w:t>
      </w:r>
      <w:hyperlink r:id="rId21" w:history="1">
        <w:r w:rsidRPr="00426625">
          <w:rPr>
            <w:rStyle w:val="Hyperlink"/>
            <w:rFonts w:ascii="Times New Roman" w:hAnsi="Times New Roman" w:cs="Times New Roman"/>
            <w:sz w:val="20"/>
            <w:szCs w:val="20"/>
          </w:rPr>
          <w:t>www.</w:t>
        </w:r>
        <w:r>
          <w:rPr>
            <w:rStyle w:val="Hyperlink"/>
            <w:rFonts w:ascii="Times New Roman" w:hAnsi="Times New Roman" w:cs="Times New Roman"/>
            <w:sz w:val="20"/>
            <w:szCs w:val="20"/>
          </w:rPr>
          <w:t xml:space="preserve"> </w:t>
        </w:r>
        <w:r w:rsidRPr="00426625">
          <w:rPr>
            <w:rStyle w:val="Hyperlink"/>
            <w:rFonts w:ascii="Times New Roman" w:hAnsi="Times New Roman" w:cs="Times New Roman"/>
            <w:sz w:val="20"/>
            <w:szCs w:val="20"/>
          </w:rPr>
          <w:t>warveterans.be</w:t>
        </w:r>
      </w:hyperlink>
      <w:r w:rsidRPr="00426625">
        <w:rPr>
          <w:rFonts w:ascii="Times New Roman" w:hAnsi="Times New Roman" w:cs="Times New Roman"/>
          <w:sz w:val="20"/>
          <w:szCs w:val="20"/>
        </w:rPr>
        <w:t>). Met dank aan Luc Vandeweyer en Willem Segers.</w:t>
      </w:r>
    </w:p>
  </w:footnote>
  <w:footnote w:id="2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SERVAIS; ROGER; p. 413.</w:t>
      </w:r>
    </w:p>
  </w:footnote>
  <w:footnote w:id="29">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Besluitwet van 28 december 1944 betreffende de maatschappelijke zekerheid der arbeiders (BS 30 december 1944), herzien door de wet van 27 juni 1969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25 juli 1969); SERVAIS, P., </w:t>
      </w:r>
      <w:r w:rsidRPr="00426625">
        <w:rPr>
          <w:rFonts w:ascii="Times New Roman" w:hAnsi="Times New Roman" w:cs="Times New Roman"/>
          <w:i/>
          <w:sz w:val="20"/>
          <w:szCs w:val="20"/>
        </w:rPr>
        <w:t xml:space="preserve">L’information médicale clinique. </w:t>
      </w:r>
      <w:r w:rsidRPr="00E333B6">
        <w:rPr>
          <w:rFonts w:ascii="Times New Roman" w:hAnsi="Times New Roman" w:cs="Times New Roman"/>
          <w:i/>
          <w:sz w:val="20"/>
          <w:szCs w:val="20"/>
          <w:lang w:val="fr-BE"/>
        </w:rPr>
        <w:t>Archivage, utilisation et gestion du dossier médical</w:t>
      </w:r>
      <w:r w:rsidRPr="00E333B6">
        <w:rPr>
          <w:rFonts w:ascii="Times New Roman" w:hAnsi="Times New Roman" w:cs="Times New Roman"/>
          <w:sz w:val="20"/>
          <w:szCs w:val="20"/>
          <w:lang w:val="fr-BE"/>
        </w:rPr>
        <w:t>, Rencontres de bibliothéconomie, 7, Louvain-la-Neuve, Aca</w:t>
      </w:r>
      <w:r>
        <w:rPr>
          <w:rFonts w:ascii="Times New Roman" w:hAnsi="Times New Roman" w:cs="Times New Roman"/>
          <w:sz w:val="20"/>
          <w:szCs w:val="20"/>
          <w:lang w:val="fr-BE"/>
        </w:rPr>
        <w:t>-</w:t>
      </w:r>
      <w:r w:rsidRPr="00E333B6">
        <w:rPr>
          <w:rFonts w:ascii="Times New Roman" w:hAnsi="Times New Roman" w:cs="Times New Roman"/>
          <w:sz w:val="20"/>
          <w:szCs w:val="20"/>
          <w:lang w:val="fr-BE"/>
        </w:rPr>
        <w:t>demia-Bruylant, 1996, p. 8.</w:t>
      </w:r>
    </w:p>
  </w:footnote>
  <w:footnote w:id="30">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PRADEAU, ‘Le dossier du patient dans les établissements de santé. Tenue, contenue, archivage et communi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cation’, p. 2.</w:t>
      </w:r>
    </w:p>
  </w:footnote>
  <w:footnote w:id="31">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Bron: PRADEAU, F., ‘Le dossier du patient dans les établissements de santé. Tenue, contenue, archivage et communication’, Poitiers, s.d., p. 5. </w:t>
      </w:r>
    </w:p>
  </w:footnote>
  <w:footnote w:id="3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SCHELLENBERG, T.R., Modern Archives. </w:t>
      </w:r>
      <w:r w:rsidRPr="00426625">
        <w:rPr>
          <w:rFonts w:ascii="Times New Roman" w:hAnsi="Times New Roman" w:cs="Times New Roman"/>
          <w:sz w:val="20"/>
          <w:szCs w:val="20"/>
          <w:lang w:val="en-US"/>
        </w:rPr>
        <w:t>Principles &amp; Techniques, Chicago, The Society of American Ar</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chivists, 2003³, p. 28-30. </w:t>
      </w:r>
      <w:r w:rsidRPr="00E40390">
        <w:rPr>
          <w:rFonts w:ascii="Times New Roman" w:hAnsi="Times New Roman" w:cs="Times New Roman"/>
          <w:sz w:val="20"/>
          <w:szCs w:val="20"/>
        </w:rPr>
        <w:t>Zi</w:t>
      </w:r>
      <w:r w:rsidRPr="00426625">
        <w:rPr>
          <w:rFonts w:ascii="Times New Roman" w:hAnsi="Times New Roman" w:cs="Times New Roman"/>
          <w:sz w:val="20"/>
          <w:szCs w:val="20"/>
        </w:rPr>
        <w:t>e deel 5.</w:t>
      </w:r>
    </w:p>
  </w:footnote>
  <w:footnote w:id="33">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Zie en vgl. VAN DER STOCK, M., ‘Medisch dossier. Synthesenota V.V.I.-A.C.C.-werkgroep’, </w:t>
      </w:r>
      <w:r w:rsidRPr="00426625">
        <w:rPr>
          <w:rFonts w:ascii="Times New Roman" w:hAnsi="Times New Roman" w:cs="Times New Roman"/>
          <w:i/>
          <w:sz w:val="20"/>
          <w:szCs w:val="20"/>
        </w:rPr>
        <w:t>Hospitalia</w:t>
      </w:r>
      <w:r w:rsidRPr="00426625">
        <w:rPr>
          <w:rFonts w:ascii="Times New Roman" w:hAnsi="Times New Roman" w:cs="Times New Roman"/>
          <w:sz w:val="20"/>
          <w:szCs w:val="20"/>
        </w:rPr>
        <w:t>, 1986, p. 213; Werkgroep VAN DE VLOED, ‘Functies van het elektronisch medisch dossier bij de huisarts’, bij</w:t>
      </w:r>
      <w:r>
        <w:rPr>
          <w:rFonts w:ascii="Times New Roman" w:hAnsi="Times New Roman" w:cs="Times New Roman"/>
          <w:sz w:val="20"/>
          <w:szCs w:val="20"/>
        </w:rPr>
        <w:t>-</w:t>
      </w:r>
      <w:r w:rsidRPr="00426625">
        <w:rPr>
          <w:rFonts w:ascii="Times New Roman" w:hAnsi="Times New Roman" w:cs="Times New Roman"/>
          <w:sz w:val="20"/>
          <w:szCs w:val="20"/>
        </w:rPr>
        <w:t>lage in VAN DAMME, J.; NYS, H.; VAN DAMME, T.; De patiënt, de huisarts en zijn dossier, Antwerpen, In</w:t>
      </w:r>
      <w:r>
        <w:rPr>
          <w:rFonts w:ascii="Times New Roman" w:hAnsi="Times New Roman" w:cs="Times New Roman"/>
          <w:sz w:val="20"/>
          <w:szCs w:val="20"/>
        </w:rPr>
        <w:t>-</w:t>
      </w:r>
      <w:r w:rsidRPr="00426625">
        <w:rPr>
          <w:rFonts w:ascii="Times New Roman" w:hAnsi="Times New Roman" w:cs="Times New Roman"/>
          <w:sz w:val="20"/>
          <w:szCs w:val="20"/>
        </w:rPr>
        <w:t xml:space="preserve">tersentia, 2003, p. 209; LUTTE, I., ‘Le dossier concernant le patient’, THIRY, E. (red.), </w:t>
      </w:r>
      <w:r w:rsidRPr="00426625">
        <w:rPr>
          <w:rFonts w:ascii="Times New Roman" w:hAnsi="Times New Roman" w:cs="Times New Roman"/>
          <w:i/>
          <w:sz w:val="20"/>
          <w:szCs w:val="20"/>
        </w:rPr>
        <w:t>Actualités de droit médi</w:t>
      </w:r>
      <w:r>
        <w:rPr>
          <w:rFonts w:ascii="Times New Roman" w:hAnsi="Times New Roman" w:cs="Times New Roman"/>
          <w:i/>
          <w:sz w:val="20"/>
          <w:szCs w:val="20"/>
        </w:rPr>
        <w:t>-</w:t>
      </w:r>
      <w:r w:rsidRPr="00426625">
        <w:rPr>
          <w:rFonts w:ascii="Times New Roman" w:hAnsi="Times New Roman" w:cs="Times New Roman"/>
          <w:i/>
          <w:sz w:val="20"/>
          <w:szCs w:val="20"/>
        </w:rPr>
        <w:t>cal</w:t>
      </w:r>
      <w:r w:rsidRPr="00426625">
        <w:rPr>
          <w:rFonts w:ascii="Times New Roman" w:hAnsi="Times New Roman" w:cs="Times New Roman"/>
          <w:sz w:val="20"/>
          <w:szCs w:val="20"/>
        </w:rPr>
        <w:t xml:space="preserve">, UB³, 10, Brussel, Bruylant, 2006, p. 104-106; LOCOGE, T., ‘Le dossier médical et sa communication’, LUCAS, P.; STEHMAN, M. (reds.); </w:t>
      </w:r>
      <w:r w:rsidRPr="00426625">
        <w:rPr>
          <w:rFonts w:ascii="Times New Roman" w:hAnsi="Times New Roman" w:cs="Times New Roman"/>
          <w:i/>
          <w:sz w:val="20"/>
          <w:szCs w:val="20"/>
        </w:rPr>
        <w:t xml:space="preserve">Actualité du dommage corporel. </w:t>
      </w:r>
      <w:r w:rsidRPr="00E333B6">
        <w:rPr>
          <w:rFonts w:ascii="Times New Roman" w:hAnsi="Times New Roman" w:cs="Times New Roman"/>
          <w:i/>
          <w:sz w:val="20"/>
          <w:szCs w:val="20"/>
          <w:lang w:val="fr-BE"/>
        </w:rPr>
        <w:t>La responsabilité médicale</w:t>
      </w:r>
      <w:r w:rsidRPr="00E333B6">
        <w:rPr>
          <w:rFonts w:ascii="Times New Roman" w:hAnsi="Times New Roman" w:cs="Times New Roman"/>
          <w:sz w:val="20"/>
          <w:szCs w:val="20"/>
          <w:lang w:val="fr-BE"/>
        </w:rPr>
        <w:t>, Brussel, Juri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doc, 2003, p. 95; LAFFINEUR, J., ‘Dossier médical et droits du patient’, </w:t>
      </w:r>
      <w:r w:rsidRPr="00E333B6">
        <w:rPr>
          <w:rFonts w:ascii="Times New Roman" w:hAnsi="Times New Roman" w:cs="Times New Roman"/>
          <w:i/>
          <w:sz w:val="20"/>
          <w:szCs w:val="20"/>
          <w:lang w:val="fr-BE"/>
        </w:rPr>
        <w:t>D.C.C.R.</w:t>
      </w:r>
      <w:r w:rsidRPr="00E333B6">
        <w:rPr>
          <w:rFonts w:ascii="Times New Roman" w:hAnsi="Times New Roman" w:cs="Times New Roman"/>
          <w:sz w:val="20"/>
          <w:szCs w:val="20"/>
          <w:lang w:val="fr-BE"/>
        </w:rPr>
        <w:t>, 1991-1992, p. 968.</w:t>
      </w:r>
    </w:p>
  </w:footnote>
  <w:footnote w:id="3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Cf. VANSWEEVELT, T.; DEWALLENS, F.; </w:t>
      </w:r>
      <w:r w:rsidRPr="00426625">
        <w:rPr>
          <w:rFonts w:ascii="Times New Roman" w:hAnsi="Times New Roman" w:cs="Times New Roman"/>
          <w:i/>
          <w:sz w:val="20"/>
          <w:szCs w:val="20"/>
        </w:rPr>
        <w:t>Het patiëntendossier</w:t>
      </w:r>
      <w:r w:rsidRPr="00426625">
        <w:rPr>
          <w:rFonts w:ascii="Times New Roman" w:hAnsi="Times New Roman" w:cs="Times New Roman"/>
          <w:sz w:val="20"/>
          <w:szCs w:val="20"/>
        </w:rPr>
        <w:t>, Antwerpen, Intersentia, 2011, p. 65-146.</w:t>
      </w:r>
    </w:p>
  </w:footnote>
  <w:footnote w:id="3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7° van het KB van 15 december 1987 houdende uitvoering van de artikels 13 tot en met 17 van de wet op de ziekenhuizen, zoals gecoördineerd door het KB van 7 augustus 1987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25 december 1987).</w:t>
      </w:r>
    </w:p>
  </w:footnote>
  <w:footnote w:id="36">
    <w:p w:rsidR="00E82D16" w:rsidRPr="00821A23" w:rsidRDefault="00E82D16" w:rsidP="00D939AB">
      <w:pPr>
        <w:pStyle w:val="Geenafstand"/>
        <w:jc w:val="both"/>
        <w:rPr>
          <w:rFonts w:ascii="Times New Roman" w:hAnsi="Times New Roman" w:cs="Times New Roman"/>
          <w:sz w:val="20"/>
          <w:szCs w:val="20"/>
        </w:rPr>
      </w:pPr>
      <w:r w:rsidRPr="00821A23">
        <w:rPr>
          <w:rStyle w:val="Voetnootmarkering"/>
          <w:rFonts w:ascii="Times New Roman" w:hAnsi="Times New Roman" w:cs="Times New Roman"/>
          <w:sz w:val="20"/>
          <w:szCs w:val="20"/>
        </w:rPr>
        <w:footnoteRef/>
      </w:r>
      <w:r w:rsidRPr="00821A23">
        <w:rPr>
          <w:rFonts w:ascii="Times New Roman" w:hAnsi="Times New Roman" w:cs="Times New Roman"/>
          <w:sz w:val="20"/>
          <w:szCs w:val="20"/>
        </w:rPr>
        <w:t xml:space="preserve"> HOUWAART, E.S., ‘Terug naar het hart van de medische praktijk. Het historisch belang van medische ar-chieven’, </w:t>
      </w:r>
      <w:r w:rsidRPr="00821A23">
        <w:rPr>
          <w:rFonts w:ascii="Times New Roman" w:hAnsi="Times New Roman" w:cs="Times New Roman"/>
          <w:i/>
          <w:iCs/>
          <w:sz w:val="20"/>
          <w:szCs w:val="20"/>
        </w:rPr>
        <w:t>Archievenblad</w:t>
      </w:r>
      <w:r w:rsidRPr="00821A23">
        <w:rPr>
          <w:rFonts w:ascii="Times New Roman" w:hAnsi="Times New Roman" w:cs="Times New Roman"/>
          <w:sz w:val="20"/>
          <w:szCs w:val="20"/>
        </w:rPr>
        <w:t xml:space="preserve">, 1998, 9, p. 20-23; KUHN, T.S., </w:t>
      </w:r>
      <w:r w:rsidRPr="00821A23">
        <w:rPr>
          <w:rFonts w:ascii="Times New Roman" w:hAnsi="Times New Roman" w:cs="Times New Roman"/>
          <w:i/>
          <w:sz w:val="20"/>
          <w:szCs w:val="20"/>
        </w:rPr>
        <w:t>The Structure of Scientific Revolutions</w:t>
      </w:r>
      <w:r w:rsidRPr="00821A23">
        <w:rPr>
          <w:rFonts w:ascii="Times New Roman" w:hAnsi="Times New Roman" w:cs="Times New Roman"/>
          <w:sz w:val="20"/>
          <w:szCs w:val="20"/>
        </w:rPr>
        <w:t xml:space="preserve">, Chicago, Uni-versity of Chicago Press, 1962, 210p.; THOMASSEN, T.H.P.M., ‘Paradigmatische veranderingen in de archief-wetenschap’, HORSMAN, P.J.; KETELAAR, F.C.J.; THOMASSEN, T.H.P.M.; </w:t>
      </w:r>
      <w:r w:rsidRPr="00821A23">
        <w:rPr>
          <w:rFonts w:ascii="Times New Roman" w:hAnsi="Times New Roman" w:cs="Times New Roman"/>
          <w:i/>
          <w:sz w:val="20"/>
          <w:szCs w:val="20"/>
        </w:rPr>
        <w:t>Naar een nieuw paradigma in de archivistiek</w:t>
      </w:r>
      <w:r w:rsidRPr="00821A23">
        <w:rPr>
          <w:rFonts w:ascii="Times New Roman" w:hAnsi="Times New Roman" w:cs="Times New Roman"/>
          <w:sz w:val="20"/>
          <w:szCs w:val="20"/>
        </w:rPr>
        <w:t>, ’s Gravenhage, Stichting Archiefpublicaties, 1999, p. 69-79.</w:t>
      </w:r>
    </w:p>
  </w:footnote>
  <w:footnote w:id="37">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HUNT, L.A. (red.), </w:t>
      </w:r>
      <w:r w:rsidRPr="00821A23">
        <w:rPr>
          <w:rFonts w:ascii="Times New Roman" w:hAnsi="Times New Roman"/>
          <w:i/>
          <w:lang w:val="en-US"/>
        </w:rPr>
        <w:t>The new cultural history</w:t>
      </w:r>
      <w:r w:rsidRPr="00821A23">
        <w:rPr>
          <w:rFonts w:ascii="Times New Roman" w:hAnsi="Times New Roman"/>
          <w:lang w:val="en-US"/>
        </w:rPr>
        <w:t xml:space="preserve">, Studies on the history of society and culture, 6, Berkeley, Uni-versity of California press, 1989, 244p.; VAN EE, A.; BOMMELJE, B. (verts.); BURKE, P.; </w:t>
      </w:r>
      <w:r w:rsidRPr="00821A23">
        <w:rPr>
          <w:rFonts w:ascii="Times New Roman" w:hAnsi="Times New Roman"/>
          <w:i/>
          <w:lang w:val="en-US"/>
        </w:rPr>
        <w:t>Wat is Cultuurge-schiedenis?</w:t>
      </w:r>
      <w:r w:rsidRPr="00821A23">
        <w:rPr>
          <w:rFonts w:ascii="Times New Roman" w:hAnsi="Times New Roman"/>
          <w:lang w:val="en-US"/>
        </w:rPr>
        <w:t>, Utrecht, Bijleveld, 2007, p. 79.</w:t>
      </w:r>
    </w:p>
  </w:footnote>
  <w:footnote w:id="38">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BURKE, P., ‘Overture: the New History, its Past and its Future’, ID. (red.), </w:t>
      </w:r>
      <w:r w:rsidRPr="00821A23">
        <w:rPr>
          <w:rFonts w:ascii="Times New Roman" w:hAnsi="Times New Roman"/>
          <w:i/>
          <w:lang w:val="en-US"/>
        </w:rPr>
        <w:t>New Perspectives on Historical Writing</w:t>
      </w:r>
      <w:r w:rsidRPr="00821A23">
        <w:rPr>
          <w:rFonts w:ascii="Times New Roman" w:hAnsi="Times New Roman"/>
          <w:lang w:val="en-US"/>
        </w:rPr>
        <w:t>, Cambridge, Polity Press, 1991, p. 3-6</w:t>
      </w:r>
      <w:r>
        <w:rPr>
          <w:rFonts w:ascii="Times New Roman" w:hAnsi="Times New Roman"/>
          <w:lang w:val="en-US"/>
        </w:rPr>
        <w:t>.</w:t>
      </w:r>
    </w:p>
  </w:footnote>
  <w:footnote w:id="39">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BRAUDEL, F., ‘History and the Social Sciences’, ID., </w:t>
      </w:r>
      <w:r w:rsidRPr="00821A23">
        <w:rPr>
          <w:rFonts w:ascii="Times New Roman" w:hAnsi="Times New Roman"/>
          <w:i/>
          <w:lang w:val="en-US"/>
        </w:rPr>
        <w:t>On History</w:t>
      </w:r>
      <w:r w:rsidRPr="00821A23">
        <w:rPr>
          <w:rFonts w:ascii="Times New Roman" w:hAnsi="Times New Roman"/>
          <w:lang w:val="en-US"/>
        </w:rPr>
        <w:t>, Chicago, The University of Chica</w:t>
      </w:r>
      <w:r>
        <w:rPr>
          <w:rFonts w:ascii="Times New Roman" w:hAnsi="Times New Roman"/>
          <w:lang w:val="en-US"/>
        </w:rPr>
        <w:t>go Press, 1982, p. 25-54.</w:t>
      </w:r>
    </w:p>
  </w:footnote>
  <w:footnote w:id="40">
    <w:p w:rsidR="00E82D16" w:rsidRPr="00912968" w:rsidRDefault="00E82D16" w:rsidP="00912968">
      <w:pPr>
        <w:pStyle w:val="Voetnoottekst"/>
        <w:jc w:val="both"/>
        <w:rPr>
          <w:rFonts w:ascii="Times New Roman" w:hAnsi="Times New Roman"/>
        </w:rPr>
      </w:pPr>
      <w:r w:rsidRPr="00912968">
        <w:rPr>
          <w:rStyle w:val="Voetnootmarkering"/>
          <w:rFonts w:ascii="Times New Roman" w:hAnsi="Times New Roman"/>
        </w:rPr>
        <w:footnoteRef/>
      </w:r>
      <w:r w:rsidRPr="00912968">
        <w:rPr>
          <w:rFonts w:ascii="Times New Roman" w:hAnsi="Times New Roman"/>
          <w:lang w:val="en-US"/>
        </w:rPr>
        <w:t xml:space="preserve"> DE SCHRIJVER, R., </w:t>
      </w:r>
      <w:r w:rsidRPr="00912968">
        <w:rPr>
          <w:rFonts w:ascii="Times New Roman" w:hAnsi="Times New Roman"/>
          <w:i/>
          <w:lang w:val="en-US"/>
        </w:rPr>
        <w:t xml:space="preserve">Historiografie. </w:t>
      </w:r>
      <w:r w:rsidRPr="00912968">
        <w:rPr>
          <w:rFonts w:ascii="Times New Roman" w:hAnsi="Times New Roman"/>
          <w:i/>
        </w:rPr>
        <w:t>Vijfentwintig eeuwen geschiedschrijving van West-Europa</w:t>
      </w:r>
      <w:r w:rsidRPr="00912968">
        <w:rPr>
          <w:rFonts w:ascii="Times New Roman" w:hAnsi="Times New Roman"/>
        </w:rPr>
        <w:t>, Ancorae. Steunpunten voor studie en onderwijs, 8, Leuven, Universitaire Pers Leuven, 1997³, p. 363.</w:t>
      </w:r>
    </w:p>
  </w:footnote>
  <w:footnote w:id="41">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ACKERKNECHT, E.H., ‘A plea for a ‘Behaviorist’ Approach in Writing the History of Medicine’, </w:t>
      </w:r>
      <w:r w:rsidRPr="00821A23">
        <w:rPr>
          <w:rFonts w:ascii="Times New Roman" w:hAnsi="Times New Roman"/>
          <w:i/>
          <w:lang w:val="en-US"/>
        </w:rPr>
        <w:t>Journal of the History of Medicine and Allied Sciences</w:t>
      </w:r>
      <w:r w:rsidRPr="00821A23">
        <w:rPr>
          <w:rFonts w:ascii="Times New Roman" w:hAnsi="Times New Roman"/>
          <w:lang w:val="en-US"/>
        </w:rPr>
        <w:t>, 22/3 (1967), p. 211-214.</w:t>
      </w:r>
    </w:p>
  </w:footnote>
  <w:footnote w:id="42">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DAVIS, G., </w:t>
      </w:r>
      <w:r w:rsidRPr="00821A23">
        <w:rPr>
          <w:rFonts w:ascii="Times New Roman" w:hAnsi="Times New Roman"/>
          <w:i/>
          <w:lang w:val="en-US"/>
        </w:rPr>
        <w:t>‘The Cruel Madness of Love’: Sex, Syphilis and Psychiatry in Scotland, 1880-1930</w:t>
      </w:r>
      <w:r w:rsidRPr="00821A23">
        <w:rPr>
          <w:rFonts w:ascii="Times New Roman" w:hAnsi="Times New Roman"/>
          <w:lang w:val="en-US"/>
        </w:rPr>
        <w:t xml:space="preserve">, The Wellcome Series in the History of Medicine, Amsterdam, Rodopi, 2008, p. 39 (nr. 48); FOUCAULT, M.; SHERIDAN, A.M. (vert.); </w:t>
      </w:r>
      <w:r w:rsidRPr="00821A23">
        <w:rPr>
          <w:rFonts w:ascii="Times New Roman" w:hAnsi="Times New Roman"/>
          <w:i/>
          <w:lang w:val="en-US"/>
        </w:rPr>
        <w:t>The Birth of the Clinic. An archaeology of medical perception</w:t>
      </w:r>
      <w:r w:rsidRPr="00821A23">
        <w:rPr>
          <w:rFonts w:ascii="Times New Roman" w:hAnsi="Times New Roman"/>
          <w:lang w:val="en-US"/>
        </w:rPr>
        <w:t xml:space="preserve">, Routledge Classics, Londen – New York, Routledge, 2003, p. 113. Cf. NYE, R.A., ‘The evolution of the concept of medicalization in the late twentieth century’, </w:t>
      </w:r>
      <w:r w:rsidRPr="00821A23">
        <w:rPr>
          <w:rFonts w:ascii="Times New Roman" w:hAnsi="Times New Roman"/>
          <w:i/>
          <w:lang w:val="en-US"/>
        </w:rPr>
        <w:t>Journal of History of the Behavorial Sciences</w:t>
      </w:r>
      <w:r w:rsidRPr="00821A23">
        <w:rPr>
          <w:rFonts w:ascii="Times New Roman" w:hAnsi="Times New Roman"/>
          <w:lang w:val="en-US"/>
        </w:rPr>
        <w:t>, 39/2 (2003), p. 115-129 (</w:t>
      </w:r>
      <w:hyperlink w:history="1">
        <w:r w:rsidRPr="000805E8">
          <w:rPr>
            <w:rStyle w:val="Hyperlink"/>
            <w:rFonts w:ascii="Times New Roman" w:hAnsi="Times New Roman"/>
            <w:lang w:val="en-US"/>
          </w:rPr>
          <w:t>http://www.pageout. net/user/www/m/i/mitchellberman/history%20readings/history%20of%20medicalization.pdf</w:t>
        </w:r>
      </w:hyperlink>
      <w:r w:rsidRPr="00821A23">
        <w:rPr>
          <w:rFonts w:ascii="Times New Roman" w:hAnsi="Times New Roman"/>
          <w:lang w:val="en-US"/>
        </w:rPr>
        <w:t>).</w:t>
      </w:r>
    </w:p>
  </w:footnote>
  <w:footnote w:id="43">
    <w:p w:rsidR="00E82D16" w:rsidRPr="00921F71" w:rsidRDefault="00E82D16">
      <w:pPr>
        <w:pStyle w:val="Voetnoottekst"/>
        <w:rPr>
          <w:rFonts w:ascii="Times New Roman" w:hAnsi="Times New Roman"/>
        </w:rPr>
      </w:pPr>
      <w:r w:rsidRPr="00921F71">
        <w:rPr>
          <w:rStyle w:val="Voetnootmarkering"/>
          <w:rFonts w:ascii="Times New Roman" w:hAnsi="Times New Roman"/>
        </w:rPr>
        <w:footnoteRef/>
      </w:r>
      <w:r w:rsidRPr="00921F71">
        <w:rPr>
          <w:rFonts w:ascii="Times New Roman" w:hAnsi="Times New Roman"/>
        </w:rPr>
        <w:t xml:space="preserve"> VIJSELAAR, J., </w:t>
      </w:r>
      <w:r w:rsidRPr="00921F71">
        <w:rPr>
          <w:rFonts w:ascii="Times New Roman" w:hAnsi="Times New Roman"/>
          <w:i/>
        </w:rPr>
        <w:t>Het gesticht. Enkele reis of retour</w:t>
      </w:r>
      <w:r w:rsidRPr="00921F71">
        <w:rPr>
          <w:rFonts w:ascii="Times New Roman" w:hAnsi="Times New Roman"/>
        </w:rPr>
        <w:t>, Amsterdam, Uitgeverij Boom, 2010, p. 13.</w:t>
      </w:r>
    </w:p>
  </w:footnote>
  <w:footnote w:id="44">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w:t>
      </w:r>
      <w:r w:rsidRPr="00821A23">
        <w:rPr>
          <w:rFonts w:ascii="Times New Roman" w:eastAsiaTheme="minorEastAsia" w:hAnsi="Times New Roman"/>
          <w:lang w:val="en-US"/>
        </w:rPr>
        <w:t xml:space="preserve">PORTER, R., ‘The patient’s view. Doing medical history from below’, </w:t>
      </w:r>
      <w:r w:rsidRPr="00821A23">
        <w:rPr>
          <w:rFonts w:ascii="Times New Roman" w:eastAsiaTheme="minorEastAsia" w:hAnsi="Times New Roman"/>
          <w:i/>
          <w:lang w:val="en-US"/>
        </w:rPr>
        <w:t>Theory and Society</w:t>
      </w:r>
      <w:r w:rsidRPr="00821A23">
        <w:rPr>
          <w:rFonts w:ascii="Times New Roman" w:eastAsiaTheme="minorEastAsia" w:hAnsi="Times New Roman"/>
          <w:lang w:val="en-US"/>
        </w:rPr>
        <w:t>, 14/2 (1985), p. 175-198.</w:t>
      </w:r>
    </w:p>
  </w:footnote>
  <w:footnote w:id="45">
    <w:p w:rsidR="00E82D16" w:rsidRPr="00821A23" w:rsidRDefault="00E82D16" w:rsidP="00D939AB">
      <w:pPr>
        <w:pStyle w:val="Voetnoottekst"/>
        <w:jc w:val="both"/>
        <w:rPr>
          <w:rFonts w:ascii="Times New Roman" w:hAnsi="Times New Roman"/>
          <w:lang w:val="en-US"/>
        </w:rPr>
      </w:pPr>
      <w:r w:rsidRPr="00821A23">
        <w:rPr>
          <w:rStyle w:val="Voetnootmarkering"/>
          <w:rFonts w:ascii="Times New Roman" w:hAnsi="Times New Roman"/>
        </w:rPr>
        <w:footnoteRef/>
      </w:r>
      <w:r w:rsidRPr="00821A23">
        <w:rPr>
          <w:rFonts w:ascii="Times New Roman" w:hAnsi="Times New Roman"/>
          <w:lang w:val="en-US"/>
        </w:rPr>
        <w:t xml:space="preserve"> SHORTT, S., ‘The New Social History of Medicine: Some Implications for Reasearch’, </w:t>
      </w:r>
      <w:r w:rsidRPr="00821A23">
        <w:rPr>
          <w:rFonts w:ascii="Times New Roman" w:hAnsi="Times New Roman"/>
          <w:i/>
          <w:lang w:val="en-US"/>
        </w:rPr>
        <w:t>Archivaria</w:t>
      </w:r>
      <w:r w:rsidRPr="00821A23">
        <w:rPr>
          <w:rFonts w:ascii="Times New Roman" w:hAnsi="Times New Roman"/>
          <w:lang w:val="en-US"/>
        </w:rPr>
        <w:t>, 10 (1980), p. 5-22.</w:t>
      </w:r>
    </w:p>
  </w:footnote>
  <w:footnote w:id="46">
    <w:p w:rsidR="00E82D16" w:rsidRPr="00921F71" w:rsidRDefault="00E82D16">
      <w:pPr>
        <w:pStyle w:val="Voetnoottekst"/>
        <w:rPr>
          <w:rFonts w:ascii="Times New Roman" w:hAnsi="Times New Roman"/>
        </w:rPr>
      </w:pPr>
      <w:r w:rsidRPr="00921F71">
        <w:rPr>
          <w:rStyle w:val="Voetnootmarkering"/>
          <w:rFonts w:ascii="Times New Roman" w:hAnsi="Times New Roman"/>
        </w:rPr>
        <w:footnoteRef/>
      </w:r>
      <w:r w:rsidRPr="00921F71">
        <w:rPr>
          <w:rFonts w:ascii="Times New Roman" w:hAnsi="Times New Roman"/>
        </w:rPr>
        <w:t xml:space="preserve"> VIJSELAAR, J., </w:t>
      </w:r>
      <w:r w:rsidRPr="00921F71">
        <w:rPr>
          <w:rFonts w:ascii="Times New Roman" w:hAnsi="Times New Roman"/>
          <w:i/>
        </w:rPr>
        <w:t>Het gesticht. Enkele reis of retour</w:t>
      </w:r>
      <w:r w:rsidRPr="00921F71">
        <w:rPr>
          <w:rFonts w:ascii="Times New Roman" w:hAnsi="Times New Roman"/>
        </w:rPr>
        <w:t>, p. 13.</w:t>
      </w:r>
    </w:p>
  </w:footnote>
  <w:footnote w:id="47">
    <w:p w:rsidR="00E82D16" w:rsidRPr="00921F71" w:rsidRDefault="00E82D16" w:rsidP="00921F71">
      <w:pPr>
        <w:pStyle w:val="Voetnoottekst"/>
        <w:jc w:val="both"/>
        <w:rPr>
          <w:rFonts w:ascii="Times New Roman" w:hAnsi="Times New Roman"/>
        </w:rPr>
      </w:pPr>
      <w:r w:rsidRPr="00921F71">
        <w:rPr>
          <w:rStyle w:val="Voetnootmarkering"/>
          <w:rFonts w:ascii="Times New Roman" w:hAnsi="Times New Roman"/>
        </w:rPr>
        <w:footnoteRef/>
      </w:r>
      <w:r w:rsidRPr="00921F71">
        <w:rPr>
          <w:rFonts w:ascii="Times New Roman" w:hAnsi="Times New Roman"/>
        </w:rPr>
        <w:t xml:space="preserve"> KLIJN, A., ‘Een retourtje Venray. Over het belang van patiëntendossiers voor het historisch onderzoek naar de geschiedenis van de psychiatrie’, </w:t>
      </w:r>
      <w:r w:rsidRPr="00921F71">
        <w:rPr>
          <w:rFonts w:ascii="Times New Roman" w:hAnsi="Times New Roman"/>
          <w:i/>
        </w:rPr>
        <w:t>Studie</w:t>
      </w:r>
      <w:r>
        <w:rPr>
          <w:rFonts w:ascii="Times New Roman" w:hAnsi="Times New Roman"/>
          <w:i/>
        </w:rPr>
        <w:t>s over de sociaal-economische g</w:t>
      </w:r>
      <w:r w:rsidRPr="00921F71">
        <w:rPr>
          <w:rFonts w:ascii="Times New Roman" w:hAnsi="Times New Roman"/>
          <w:i/>
        </w:rPr>
        <w:t>-schiedenis van Limburg</w:t>
      </w:r>
      <w:r w:rsidRPr="00921F71">
        <w:rPr>
          <w:rFonts w:ascii="Times New Roman" w:hAnsi="Times New Roman"/>
        </w:rPr>
        <w:t>, 48 (2003), p. 178-1</w:t>
      </w:r>
      <w:r>
        <w:rPr>
          <w:rFonts w:ascii="Times New Roman" w:hAnsi="Times New Roman"/>
        </w:rPr>
        <w:t>80</w:t>
      </w:r>
      <w:r w:rsidRPr="00921F71">
        <w:rPr>
          <w:rFonts w:ascii="Times New Roman" w:hAnsi="Times New Roman"/>
        </w:rPr>
        <w:t>.</w:t>
      </w:r>
    </w:p>
  </w:footnote>
  <w:footnote w:id="48">
    <w:p w:rsidR="00E82D16" w:rsidRPr="00921F71" w:rsidRDefault="00E82D16" w:rsidP="00921F71">
      <w:pPr>
        <w:pStyle w:val="Voetnoottekst"/>
        <w:jc w:val="both"/>
        <w:rPr>
          <w:rFonts w:ascii="Times New Roman" w:hAnsi="Times New Roman"/>
        </w:rPr>
      </w:pPr>
      <w:r w:rsidRPr="00921F71">
        <w:rPr>
          <w:rStyle w:val="Voetnootmarkering"/>
          <w:rFonts w:ascii="Times New Roman" w:hAnsi="Times New Roman"/>
        </w:rPr>
        <w:footnoteRef/>
      </w:r>
      <w:r w:rsidRPr="00921F71">
        <w:rPr>
          <w:rFonts w:ascii="Times New Roman" w:hAnsi="Times New Roman"/>
        </w:rPr>
        <w:t xml:space="preserve"> IDEM, p. 181.</w:t>
      </w:r>
    </w:p>
  </w:footnote>
  <w:footnote w:id="49">
    <w:p w:rsidR="00E82D16" w:rsidRPr="00921F71"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921F71">
        <w:rPr>
          <w:rFonts w:ascii="Times New Roman" w:hAnsi="Times New Roman" w:cs="Times New Roman"/>
          <w:sz w:val="20"/>
          <w:szCs w:val="20"/>
        </w:rPr>
        <w:t xml:space="preserve"> HOUWAART, p. 20-21.</w:t>
      </w:r>
    </w:p>
  </w:footnote>
  <w:footnote w:id="50">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D147A7">
        <w:rPr>
          <w:rFonts w:ascii="Times New Roman" w:hAnsi="Times New Roman" w:cs="Times New Roman"/>
          <w:sz w:val="20"/>
          <w:szCs w:val="20"/>
          <w:lang w:val="en-US"/>
        </w:rPr>
        <w:t xml:space="preserve"> SCHELLENBERG, T., </w:t>
      </w:r>
      <w:r w:rsidRPr="00D147A7">
        <w:rPr>
          <w:rFonts w:ascii="Times New Roman" w:hAnsi="Times New Roman" w:cs="Times New Roman"/>
          <w:i/>
          <w:sz w:val="20"/>
          <w:szCs w:val="20"/>
          <w:lang w:val="en-US"/>
        </w:rPr>
        <w:t xml:space="preserve">Modern archives. </w:t>
      </w:r>
      <w:r w:rsidRPr="00426625">
        <w:rPr>
          <w:rFonts w:ascii="Times New Roman" w:hAnsi="Times New Roman" w:cs="Times New Roman"/>
          <w:i/>
          <w:sz w:val="20"/>
          <w:szCs w:val="20"/>
          <w:lang w:val="en-US"/>
        </w:rPr>
        <w:t>Principles and techniques</w:t>
      </w:r>
      <w:r w:rsidRPr="00426625">
        <w:rPr>
          <w:rFonts w:ascii="Times New Roman" w:hAnsi="Times New Roman" w:cs="Times New Roman"/>
          <w:sz w:val="20"/>
          <w:szCs w:val="20"/>
          <w:lang w:val="en-US"/>
        </w:rPr>
        <w:t>, Chicago, The Society of American Ar</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chivists, 2003³, p. 36; SHEPHERD, E.; YEO, G.; </w:t>
      </w:r>
      <w:r w:rsidRPr="00426625">
        <w:rPr>
          <w:rFonts w:ascii="Times New Roman" w:hAnsi="Times New Roman" w:cs="Times New Roman"/>
          <w:i/>
          <w:sz w:val="20"/>
          <w:szCs w:val="20"/>
          <w:lang w:val="en-US"/>
        </w:rPr>
        <w:t>Managing records: a handbook of principles and practice</w:t>
      </w:r>
      <w:r w:rsidRPr="00426625">
        <w:rPr>
          <w:rFonts w:ascii="Times New Roman" w:hAnsi="Times New Roman" w:cs="Times New Roman"/>
          <w:sz w:val="20"/>
          <w:szCs w:val="20"/>
          <w:lang w:val="en-US"/>
        </w:rPr>
        <w:t xml:space="preserve">, Londen, Facet Publishing, 2003, p. 5-8.  </w:t>
      </w:r>
    </w:p>
  </w:footnote>
  <w:footnote w:id="51">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UPWARD, F., ‘Structuring the Records Continuum. Part one: Post-custodial Principes and Proporties’, </w:t>
      </w:r>
      <w:r w:rsidRPr="00426625">
        <w:rPr>
          <w:rFonts w:ascii="Times New Roman" w:hAnsi="Times New Roman" w:cs="Times New Roman"/>
          <w:i/>
          <w:sz w:val="20"/>
          <w:szCs w:val="20"/>
          <w:lang w:val="en-US"/>
        </w:rPr>
        <w:t>Archi</w:t>
      </w:r>
      <w:r>
        <w:rPr>
          <w:rFonts w:ascii="Times New Roman" w:hAnsi="Times New Roman" w:cs="Times New Roman"/>
          <w:i/>
          <w:sz w:val="20"/>
          <w:szCs w:val="20"/>
          <w:lang w:val="en-US"/>
        </w:rPr>
        <w:t>-</w:t>
      </w:r>
      <w:r w:rsidRPr="00426625">
        <w:rPr>
          <w:rFonts w:ascii="Times New Roman" w:hAnsi="Times New Roman" w:cs="Times New Roman"/>
          <w:i/>
          <w:sz w:val="20"/>
          <w:szCs w:val="20"/>
          <w:lang w:val="en-US"/>
        </w:rPr>
        <w:t>ves and Manuscripts</w:t>
      </w:r>
      <w:r w:rsidRPr="00426625">
        <w:rPr>
          <w:rFonts w:ascii="Times New Roman" w:hAnsi="Times New Roman" w:cs="Times New Roman"/>
          <w:sz w:val="20"/>
          <w:szCs w:val="20"/>
          <w:lang w:val="en-US"/>
        </w:rPr>
        <w:t xml:space="preserve">, 24/2 (1996), p. 268-285; ID., ‘Structuring the Records Continuum. Part two: Structuration Theory and Recordkeeping’, </w:t>
      </w:r>
      <w:r w:rsidRPr="00426625">
        <w:rPr>
          <w:rFonts w:ascii="Times New Roman" w:hAnsi="Times New Roman" w:cs="Times New Roman"/>
          <w:i/>
          <w:sz w:val="20"/>
          <w:szCs w:val="20"/>
          <w:lang w:val="en-US"/>
        </w:rPr>
        <w:t>Archives and Manuscripts</w:t>
      </w:r>
      <w:r w:rsidRPr="00426625">
        <w:rPr>
          <w:rFonts w:ascii="Times New Roman" w:hAnsi="Times New Roman" w:cs="Times New Roman"/>
          <w:sz w:val="20"/>
          <w:szCs w:val="20"/>
          <w:lang w:val="en-US"/>
        </w:rPr>
        <w:t>, 25/1 (1997), p. 10-35.</w:t>
      </w:r>
    </w:p>
  </w:footnote>
  <w:footnote w:id="52">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HONNORE, L., </w:t>
      </w:r>
      <w:r w:rsidRPr="00E333B6">
        <w:rPr>
          <w:rFonts w:ascii="Times New Roman" w:hAnsi="Times New Roman" w:cs="Times New Roman"/>
          <w:i/>
          <w:sz w:val="20"/>
          <w:szCs w:val="20"/>
          <w:lang w:val="fr-BE"/>
        </w:rPr>
        <w:t>Archives sociales, Archives médicales, archives scientifiques: La pratique française</w:t>
      </w:r>
      <w:r w:rsidRPr="00E333B6">
        <w:rPr>
          <w:rFonts w:ascii="Times New Roman" w:hAnsi="Times New Roman" w:cs="Times New Roman"/>
          <w:sz w:val="20"/>
          <w:szCs w:val="20"/>
          <w:lang w:val="fr-BE"/>
        </w:rPr>
        <w:t>, Miscel</w:t>
      </w:r>
      <w:r>
        <w:rPr>
          <w:rFonts w:ascii="Times New Roman" w:hAnsi="Times New Roman" w:cs="Times New Roman"/>
          <w:sz w:val="20"/>
          <w:szCs w:val="20"/>
          <w:lang w:val="fr-BE"/>
        </w:rPr>
        <w:t>-</w:t>
      </w:r>
      <w:r w:rsidRPr="00E333B6">
        <w:rPr>
          <w:rFonts w:ascii="Times New Roman" w:hAnsi="Times New Roman" w:cs="Times New Roman"/>
          <w:sz w:val="20"/>
          <w:szCs w:val="20"/>
          <w:lang w:val="fr-BE"/>
        </w:rPr>
        <w:t>lanea Archivistica Studia, 166, Brussel, Algemeen Rijksarchief en Rijksarchieven in de Provinciën, 2005, p. 22.</w:t>
      </w:r>
    </w:p>
  </w:footnote>
  <w:footnote w:id="53">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w:t>
      </w:r>
      <w:hyperlink r:id="rId22" w:history="1">
        <w:r w:rsidRPr="00426625">
          <w:rPr>
            <w:rStyle w:val="Hyperlink"/>
            <w:rFonts w:ascii="Times New Roman" w:hAnsi="Times New Roman" w:cs="Times New Roman"/>
            <w:sz w:val="20"/>
            <w:szCs w:val="20"/>
            <w:lang w:val="en-US"/>
          </w:rPr>
          <w:t>www.nhs.uk/</w:t>
        </w:r>
      </w:hyperlink>
      <w:r w:rsidRPr="00426625">
        <w:rPr>
          <w:rFonts w:ascii="Times New Roman" w:hAnsi="Times New Roman" w:cs="Times New Roman"/>
          <w:sz w:val="20"/>
          <w:szCs w:val="20"/>
          <w:lang w:val="en-US"/>
        </w:rPr>
        <w:t xml:space="preserve">. Zie ook: BECKER, M.Y., </w:t>
      </w:r>
      <w:r w:rsidRPr="00426625">
        <w:rPr>
          <w:rFonts w:ascii="Times New Roman" w:hAnsi="Times New Roman" w:cs="Times New Roman"/>
          <w:i/>
          <w:iCs/>
          <w:sz w:val="20"/>
          <w:szCs w:val="20"/>
          <w:lang w:val="en-US"/>
        </w:rPr>
        <w:t>A formal security policy for an NHS electronic health record service</w:t>
      </w:r>
      <w:r w:rsidRPr="00426625">
        <w:rPr>
          <w:rFonts w:ascii="Times New Roman" w:hAnsi="Times New Roman" w:cs="Times New Roman"/>
          <w:sz w:val="20"/>
          <w:szCs w:val="20"/>
          <w:lang w:val="en-US"/>
        </w:rPr>
        <w:t>, Technical Report Nummer 628, Cambridge, 2005, 81p.; BROWN, K., ‘‘If its old and dusty, it belongs in the Ar</w:t>
      </w:r>
      <w:r>
        <w:rPr>
          <w:rFonts w:ascii="Times New Roman" w:hAnsi="Times New Roman" w:cs="Times New Roman"/>
          <w:sz w:val="20"/>
          <w:szCs w:val="20"/>
          <w:lang w:val="en-US"/>
        </w:rPr>
        <w:t>-</w:t>
      </w:r>
      <w:r w:rsidRPr="00426625">
        <w:rPr>
          <w:rFonts w:ascii="Times New Roman" w:hAnsi="Times New Roman" w:cs="Times New Roman"/>
          <w:sz w:val="20"/>
          <w:szCs w:val="20"/>
          <w:lang w:val="en-US"/>
        </w:rPr>
        <w:t>chives’: the Hospital Archivist as Medical Museum Curator in the English National Health Service’, HONNO</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RÉ, L. (red.), </w:t>
      </w:r>
      <w:r w:rsidRPr="00426625">
        <w:rPr>
          <w:rFonts w:ascii="Times New Roman" w:hAnsi="Times New Roman" w:cs="Times New Roman"/>
          <w:i/>
          <w:iCs/>
          <w:sz w:val="20"/>
          <w:szCs w:val="20"/>
          <w:lang w:val="en-US"/>
        </w:rPr>
        <w:t>Handelingen van het Internationaal Colloquium ‘Het geheugen van onze gezondheid. Het medisch archief en zijn hulpbronnen’. Brussel 15-17 maart 2007</w:t>
      </w:r>
      <w:r w:rsidRPr="00426625">
        <w:rPr>
          <w:rFonts w:ascii="Times New Roman" w:hAnsi="Times New Roman" w:cs="Times New Roman"/>
          <w:sz w:val="20"/>
          <w:szCs w:val="20"/>
          <w:lang w:val="en-US"/>
        </w:rPr>
        <w:t xml:space="preserve">, A.B.B., extranummer 86, Brussel, 2008, p. 135-144; Digital Information Policy (DH), </w:t>
      </w:r>
      <w:r w:rsidRPr="00426625">
        <w:rPr>
          <w:rFonts w:ascii="Times New Roman" w:hAnsi="Times New Roman" w:cs="Times New Roman"/>
          <w:i/>
          <w:sz w:val="20"/>
          <w:szCs w:val="20"/>
          <w:lang w:val="en-US"/>
        </w:rPr>
        <w:t>Records Management: NHS Code of Practice</w:t>
      </w:r>
      <w:r w:rsidRPr="00426625">
        <w:rPr>
          <w:rFonts w:ascii="Times New Roman" w:hAnsi="Times New Roman" w:cs="Times New Roman"/>
          <w:sz w:val="20"/>
          <w:szCs w:val="20"/>
          <w:lang w:val="en-US"/>
        </w:rPr>
        <w:t xml:space="preserve">, I, Londen, Department of Health, 2006, 89p.; ID., </w:t>
      </w:r>
      <w:r w:rsidRPr="00426625">
        <w:rPr>
          <w:rFonts w:ascii="Times New Roman" w:hAnsi="Times New Roman" w:cs="Times New Roman"/>
          <w:i/>
          <w:sz w:val="20"/>
          <w:szCs w:val="20"/>
          <w:lang w:val="en-US"/>
        </w:rPr>
        <w:t>Records Management: NHS Code of Practice</w:t>
      </w:r>
      <w:r w:rsidRPr="00426625">
        <w:rPr>
          <w:rFonts w:ascii="Times New Roman" w:hAnsi="Times New Roman" w:cs="Times New Roman"/>
          <w:sz w:val="20"/>
          <w:szCs w:val="20"/>
          <w:lang w:val="en-US"/>
        </w:rPr>
        <w:t xml:space="preserve">, II, Londen, Department of Health, 2006, 107p. </w:t>
      </w:r>
    </w:p>
  </w:footnote>
  <w:footnote w:id="54">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w:t>
      </w:r>
      <w:hyperlink r:id="rId23" w:history="1">
        <w:r w:rsidRPr="00426625">
          <w:rPr>
            <w:rStyle w:val="Hyperlink"/>
            <w:rFonts w:ascii="Times New Roman" w:hAnsi="Times New Roman" w:cs="Times New Roman"/>
            <w:sz w:val="20"/>
            <w:szCs w:val="20"/>
            <w:lang w:val="en-US"/>
          </w:rPr>
          <w:t>http://www.wellcome.ac.uk/</w:t>
        </w:r>
      </w:hyperlink>
      <w:r w:rsidRPr="00426625">
        <w:rPr>
          <w:rFonts w:ascii="Times New Roman" w:hAnsi="Times New Roman" w:cs="Times New Roman"/>
          <w:sz w:val="20"/>
          <w:szCs w:val="20"/>
          <w:lang w:val="en-US"/>
        </w:rPr>
        <w:t xml:space="preserve">. Zie ook: LOWRANCE, W.W., </w:t>
      </w:r>
      <w:r w:rsidRPr="00426625">
        <w:rPr>
          <w:rFonts w:ascii="Times New Roman" w:hAnsi="Times New Roman" w:cs="Times New Roman"/>
          <w:i/>
          <w:iCs/>
          <w:sz w:val="20"/>
          <w:szCs w:val="20"/>
          <w:lang w:val="en-US"/>
        </w:rPr>
        <w:t>Access to collections of data and materials for health research. A report to the Medical Research Coucil and the Wellcome Trust</w:t>
      </w:r>
      <w:r w:rsidRPr="00426625">
        <w:rPr>
          <w:rFonts w:ascii="Times New Roman" w:hAnsi="Times New Roman" w:cs="Times New Roman"/>
          <w:sz w:val="20"/>
          <w:szCs w:val="20"/>
          <w:lang w:val="en-US"/>
        </w:rPr>
        <w:t>, s.l., 2006, 39p.; MARE</w:t>
      </w:r>
      <w:r>
        <w:rPr>
          <w:rFonts w:ascii="Times New Roman" w:hAnsi="Times New Roman" w:cs="Times New Roman"/>
          <w:sz w:val="20"/>
          <w:szCs w:val="20"/>
          <w:lang w:val="en-US"/>
        </w:rPr>
        <w:t>-</w:t>
      </w:r>
      <w:r w:rsidRPr="00426625">
        <w:rPr>
          <w:rFonts w:ascii="Times New Roman" w:hAnsi="Times New Roman" w:cs="Times New Roman"/>
          <w:sz w:val="20"/>
          <w:szCs w:val="20"/>
          <w:lang w:val="en-US"/>
        </w:rPr>
        <w:t>CHAL, G., ‘Het centrum voor hedendaagse medische archieven in het Wellcome Institute for the History of Me</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dicine’, </w:t>
      </w:r>
      <w:r w:rsidRPr="00426625">
        <w:rPr>
          <w:rFonts w:ascii="Times New Roman" w:hAnsi="Times New Roman" w:cs="Times New Roman"/>
          <w:i/>
          <w:sz w:val="20"/>
          <w:szCs w:val="20"/>
          <w:lang w:val="en-US"/>
        </w:rPr>
        <w:t>B.A.G.</w:t>
      </w:r>
      <w:r w:rsidRPr="00426625">
        <w:rPr>
          <w:rFonts w:ascii="Times New Roman" w:hAnsi="Times New Roman" w:cs="Times New Roman"/>
          <w:sz w:val="20"/>
          <w:szCs w:val="20"/>
          <w:lang w:val="en-US"/>
        </w:rPr>
        <w:t>, 65/2 (1989), p. 165-170.</w:t>
      </w:r>
    </w:p>
  </w:footnote>
  <w:footnote w:id="5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RUNNINGTON, C.; HALE, M.; </w:t>
      </w:r>
      <w:r w:rsidRPr="00426625">
        <w:rPr>
          <w:rFonts w:ascii="Times New Roman" w:hAnsi="Times New Roman" w:cs="Times New Roman"/>
          <w:i/>
          <w:sz w:val="20"/>
          <w:szCs w:val="20"/>
          <w:lang w:val="en-US"/>
        </w:rPr>
        <w:t>The history of the common law of England</w:t>
      </w:r>
      <w:r w:rsidRPr="00426625">
        <w:rPr>
          <w:rFonts w:ascii="Times New Roman" w:hAnsi="Times New Roman" w:cs="Times New Roman"/>
          <w:sz w:val="20"/>
          <w:szCs w:val="20"/>
          <w:lang w:val="en-US"/>
        </w:rPr>
        <w:t xml:space="preserve">, Londen, 1820, p. 143-158; SAUVEPLANNE, J.G., </w:t>
      </w:r>
      <w:r w:rsidRPr="00426625">
        <w:rPr>
          <w:rFonts w:ascii="Times New Roman" w:hAnsi="Times New Roman" w:cs="Times New Roman"/>
          <w:i/>
          <w:sz w:val="20"/>
          <w:szCs w:val="20"/>
          <w:lang w:val="en-US"/>
        </w:rPr>
        <w:t>Codified and judge made law: the role of courts and legislators in civil and common law systems</w:t>
      </w:r>
      <w:r w:rsidRPr="00426625">
        <w:rPr>
          <w:rFonts w:ascii="Times New Roman" w:hAnsi="Times New Roman" w:cs="Times New Roman"/>
          <w:sz w:val="20"/>
          <w:szCs w:val="20"/>
          <w:lang w:val="en-US"/>
        </w:rPr>
        <w:t xml:space="preserve">, Mededelingen der Koninklijke Nederlandse akademie van wetenschappen. </w:t>
      </w:r>
      <w:r w:rsidRPr="00426625">
        <w:rPr>
          <w:rFonts w:ascii="Times New Roman" w:hAnsi="Times New Roman" w:cs="Times New Roman"/>
          <w:sz w:val="20"/>
          <w:szCs w:val="20"/>
        </w:rPr>
        <w:t xml:space="preserve">Afdeling letterkunde. N.R., 45/4, Amsterdam, North-Holland, 1982, p. 9. </w:t>
      </w:r>
    </w:p>
  </w:footnote>
  <w:footnote w:id="5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ZWALVE, W.J., </w:t>
      </w:r>
      <w:r w:rsidRPr="00426625">
        <w:rPr>
          <w:rFonts w:ascii="Times New Roman" w:hAnsi="Times New Roman" w:cs="Times New Roman"/>
          <w:i/>
          <w:sz w:val="20"/>
          <w:szCs w:val="20"/>
        </w:rPr>
        <w:t>C.Æ Uniken Venema’s Common la wand civil law: inleiding tot het Anglo-Amerikaanse recht in vergelijking met het Nederlandse</w:t>
      </w:r>
      <w:r w:rsidRPr="00426625">
        <w:rPr>
          <w:rFonts w:ascii="Times New Roman" w:hAnsi="Times New Roman" w:cs="Times New Roman"/>
          <w:sz w:val="20"/>
          <w:szCs w:val="20"/>
        </w:rPr>
        <w:t>, Deventer, Kluwer, 2000, p. 26-29.</w:t>
      </w:r>
    </w:p>
  </w:footnote>
  <w:footnote w:id="5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Idem, p. 40-43.</w:t>
      </w:r>
    </w:p>
  </w:footnote>
  <w:footnote w:id="5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HEIRBAUT, D., </w:t>
      </w:r>
      <w:r w:rsidRPr="00426625">
        <w:rPr>
          <w:rFonts w:ascii="Times New Roman" w:hAnsi="Times New Roman" w:cs="Times New Roman"/>
          <w:i/>
          <w:sz w:val="20"/>
          <w:szCs w:val="20"/>
        </w:rPr>
        <w:t>Privaatrechtsgeschiedenis van de Romeinen tot heden</w:t>
      </w:r>
      <w:r w:rsidRPr="00426625">
        <w:rPr>
          <w:rFonts w:ascii="Times New Roman" w:hAnsi="Times New Roman" w:cs="Times New Roman"/>
          <w:sz w:val="20"/>
          <w:szCs w:val="20"/>
        </w:rPr>
        <w:t>, Gent, Academia Press, 2005, p. 119.</w:t>
      </w:r>
    </w:p>
  </w:footnote>
  <w:footnote w:id="59">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BRAND, P., ‘Judges and judging 1176-1307’, BRAND, P.; GETZLER, J. (reds.); </w:t>
      </w:r>
      <w:r w:rsidRPr="00426625">
        <w:rPr>
          <w:rFonts w:ascii="Times New Roman" w:hAnsi="Times New Roman" w:cs="Times New Roman"/>
          <w:i/>
          <w:sz w:val="20"/>
          <w:szCs w:val="20"/>
          <w:lang w:val="en-US"/>
        </w:rPr>
        <w:t>Judges and Judging in the History of the Common Law and the Civil Law</w:t>
      </w:r>
      <w:r w:rsidRPr="00426625">
        <w:rPr>
          <w:rFonts w:ascii="Times New Roman" w:hAnsi="Times New Roman" w:cs="Times New Roman"/>
          <w:sz w:val="20"/>
          <w:szCs w:val="20"/>
          <w:lang w:val="en-US"/>
        </w:rPr>
        <w:t>, Cambridge, Cambridge University Press, 2012, p. 3-36.</w:t>
      </w:r>
    </w:p>
  </w:footnote>
  <w:footnote w:id="60">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ZWALVE, p. 43-51.</w:t>
      </w:r>
    </w:p>
  </w:footnote>
  <w:footnote w:id="61">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RYAN, K.W., </w:t>
      </w:r>
      <w:r w:rsidRPr="00426625">
        <w:rPr>
          <w:rFonts w:ascii="Times New Roman" w:hAnsi="Times New Roman" w:cs="Times New Roman"/>
          <w:i/>
          <w:sz w:val="20"/>
          <w:szCs w:val="20"/>
          <w:lang w:val="en-US"/>
        </w:rPr>
        <w:t>An introduction to the Civil law</w:t>
      </w:r>
      <w:r w:rsidRPr="00426625">
        <w:rPr>
          <w:rFonts w:ascii="Times New Roman" w:hAnsi="Times New Roman" w:cs="Times New Roman"/>
          <w:sz w:val="20"/>
          <w:szCs w:val="20"/>
          <w:lang w:val="en-US"/>
        </w:rPr>
        <w:t>, Brisbane, Law Book co. of Australia, p. 1-2.</w:t>
      </w:r>
    </w:p>
  </w:footnote>
  <w:footnote w:id="62">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DE FERRIERE, C.J.; ESQ, J.B. (vert.); </w:t>
      </w:r>
      <w:r w:rsidRPr="00426625">
        <w:rPr>
          <w:rFonts w:ascii="Times New Roman" w:hAnsi="Times New Roman" w:cs="Times New Roman"/>
          <w:i/>
          <w:sz w:val="20"/>
          <w:szCs w:val="20"/>
          <w:lang w:val="en-US"/>
        </w:rPr>
        <w:t>The history of the Roman or Civil Law</w:t>
      </w:r>
      <w:r w:rsidRPr="00426625">
        <w:rPr>
          <w:rFonts w:ascii="Times New Roman" w:hAnsi="Times New Roman" w:cs="Times New Roman"/>
          <w:sz w:val="20"/>
          <w:szCs w:val="20"/>
          <w:lang w:val="en-US"/>
        </w:rPr>
        <w:t>, Clark, The Lawbook Ex</w:t>
      </w:r>
      <w:r>
        <w:rPr>
          <w:rFonts w:ascii="Times New Roman" w:hAnsi="Times New Roman" w:cs="Times New Roman"/>
          <w:sz w:val="20"/>
          <w:szCs w:val="20"/>
          <w:lang w:val="en-US"/>
        </w:rPr>
        <w:t>-</w:t>
      </w:r>
      <w:r w:rsidRPr="00426625">
        <w:rPr>
          <w:rFonts w:ascii="Times New Roman" w:hAnsi="Times New Roman" w:cs="Times New Roman"/>
          <w:sz w:val="20"/>
          <w:szCs w:val="20"/>
          <w:lang w:val="en-US"/>
        </w:rPr>
        <w:t>change, 2005, p. 103-105; HEIRBAUT, p. 78.</w:t>
      </w:r>
    </w:p>
  </w:footnote>
  <w:footnote w:id="6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FERRIERE; ESQ; p. 105-107.</w:t>
      </w:r>
    </w:p>
  </w:footnote>
  <w:footnote w:id="6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STEVENS, F., </w:t>
      </w:r>
      <w:r w:rsidRPr="00426625">
        <w:rPr>
          <w:rFonts w:ascii="Times New Roman" w:hAnsi="Times New Roman" w:cs="Times New Roman"/>
          <w:i/>
          <w:sz w:val="20"/>
          <w:szCs w:val="20"/>
        </w:rPr>
        <w:t>Geschiedenis van het publiekrecht</w:t>
      </w:r>
      <w:r w:rsidRPr="00426625">
        <w:rPr>
          <w:rFonts w:ascii="Times New Roman" w:hAnsi="Times New Roman" w:cs="Times New Roman"/>
          <w:sz w:val="20"/>
          <w:szCs w:val="20"/>
        </w:rPr>
        <w:t>, Leuven, Acco, 2009</w:t>
      </w:r>
      <w:r w:rsidRPr="00426625">
        <w:rPr>
          <w:rFonts w:ascii="Times New Roman" w:hAnsi="Times New Roman" w:cs="Times New Roman"/>
          <w:sz w:val="20"/>
          <w:szCs w:val="20"/>
          <w:vertAlign w:val="superscript"/>
        </w:rPr>
        <w:t>7</w:t>
      </w:r>
      <w:r w:rsidRPr="00426625">
        <w:rPr>
          <w:rFonts w:ascii="Times New Roman" w:hAnsi="Times New Roman" w:cs="Times New Roman"/>
          <w:sz w:val="20"/>
          <w:szCs w:val="20"/>
        </w:rPr>
        <w:t>, p. 7-8.</w:t>
      </w:r>
    </w:p>
  </w:footnote>
  <w:footnote w:id="65">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HEIRBAUT, p. 99-100; RYAN, p. 13-15.</w:t>
      </w:r>
    </w:p>
  </w:footnote>
  <w:footnote w:id="66">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HEIRBAUT, p. 114-115.</w:t>
      </w:r>
    </w:p>
  </w:footnote>
  <w:footnote w:id="67">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BERGER, K.P., ‘Harmonisation of European contract law: the influence of comparative law’, </w:t>
      </w:r>
      <w:r w:rsidRPr="00426625">
        <w:rPr>
          <w:rFonts w:ascii="Times New Roman" w:hAnsi="Times New Roman" w:cs="Times New Roman"/>
          <w:i/>
          <w:sz w:val="20"/>
          <w:szCs w:val="20"/>
          <w:lang w:val="en-US"/>
        </w:rPr>
        <w:t>The Internatio</w:t>
      </w:r>
      <w:r>
        <w:rPr>
          <w:rFonts w:ascii="Times New Roman" w:hAnsi="Times New Roman" w:cs="Times New Roman"/>
          <w:i/>
          <w:sz w:val="20"/>
          <w:szCs w:val="20"/>
          <w:lang w:val="en-US"/>
        </w:rPr>
        <w:t>-</w:t>
      </w:r>
      <w:r w:rsidRPr="00426625">
        <w:rPr>
          <w:rFonts w:ascii="Times New Roman" w:hAnsi="Times New Roman" w:cs="Times New Roman"/>
          <w:i/>
          <w:sz w:val="20"/>
          <w:szCs w:val="20"/>
          <w:lang w:val="en-US"/>
        </w:rPr>
        <w:t>nal and Comparative Law Quarterly</w:t>
      </w:r>
      <w:r w:rsidRPr="00426625">
        <w:rPr>
          <w:rFonts w:ascii="Times New Roman" w:hAnsi="Times New Roman" w:cs="Times New Roman"/>
          <w:sz w:val="20"/>
          <w:szCs w:val="20"/>
          <w:lang w:val="en-US"/>
        </w:rPr>
        <w:t xml:space="preserve">, 50/4 (2001), p. 881-882; PROBST, T., ‘Civil law et Common law: Code contre case’, DUNAND, J.; WINIGER, B.; </w:t>
      </w:r>
      <w:r w:rsidRPr="00426625">
        <w:rPr>
          <w:rFonts w:ascii="Times New Roman" w:hAnsi="Times New Roman" w:cs="Times New Roman"/>
          <w:i/>
          <w:sz w:val="20"/>
          <w:szCs w:val="20"/>
          <w:lang w:val="en-US"/>
        </w:rPr>
        <w:t>Le Code civil français dans le droit européen</w:t>
      </w:r>
      <w:r w:rsidRPr="00426625">
        <w:rPr>
          <w:rFonts w:ascii="Times New Roman" w:hAnsi="Times New Roman" w:cs="Times New Roman"/>
          <w:sz w:val="20"/>
          <w:szCs w:val="20"/>
          <w:lang w:val="en-US"/>
        </w:rPr>
        <w:t xml:space="preserve">, Brussel, Bruylant, 2005, p. 220-223; SAUVEPLANNE, </w:t>
      </w:r>
      <w:r w:rsidRPr="00426625">
        <w:rPr>
          <w:rFonts w:ascii="Times New Roman" w:hAnsi="Times New Roman" w:cs="Times New Roman"/>
          <w:i/>
          <w:sz w:val="20"/>
          <w:szCs w:val="20"/>
          <w:lang w:val="en-US"/>
        </w:rPr>
        <w:t>Codified and judge made law</w:t>
      </w:r>
      <w:r w:rsidRPr="00426625">
        <w:rPr>
          <w:rFonts w:ascii="Times New Roman" w:hAnsi="Times New Roman" w:cs="Times New Roman"/>
          <w:sz w:val="20"/>
          <w:szCs w:val="20"/>
          <w:lang w:val="en-US"/>
        </w:rPr>
        <w:t>, p. 25.</w:t>
      </w:r>
    </w:p>
  </w:footnote>
  <w:footnote w:id="68">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9 § 1 Wet Patiëntenrechten. </w:t>
      </w:r>
    </w:p>
  </w:footnote>
  <w:footnote w:id="6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CALLENS, S.; GOOSSENS, M.; CIERKENS, K.; ‘Omgaan met gegevens in de gezondheidszorg’, CAL</w:t>
      </w:r>
      <w:r>
        <w:rPr>
          <w:rFonts w:ascii="Times New Roman" w:hAnsi="Times New Roman"/>
        </w:rPr>
        <w:t>-</w:t>
      </w:r>
      <w:r w:rsidRPr="00426625">
        <w:rPr>
          <w:rFonts w:ascii="Times New Roman" w:hAnsi="Times New Roman"/>
        </w:rPr>
        <w:t xml:space="preserve">LENS, S.; PEERS, J. (reds.); </w:t>
      </w:r>
      <w:r w:rsidRPr="00426625">
        <w:rPr>
          <w:rFonts w:ascii="Times New Roman" w:hAnsi="Times New Roman"/>
          <w:i/>
          <w:iCs/>
        </w:rPr>
        <w:t>Organisatie van de gezondheidszorg</w:t>
      </w:r>
      <w:r w:rsidRPr="00426625">
        <w:rPr>
          <w:rFonts w:ascii="Times New Roman" w:hAnsi="Times New Roman"/>
        </w:rPr>
        <w:t>, Antwerpen-Oxford, Intersentia, 2008², p. 300.</w:t>
      </w:r>
    </w:p>
  </w:footnote>
  <w:footnote w:id="7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1382 en art. 1383 BW. FORRIER, R. (red.), </w:t>
      </w:r>
      <w:r w:rsidRPr="00426625">
        <w:rPr>
          <w:rFonts w:ascii="Times New Roman" w:hAnsi="Times New Roman"/>
          <w:i/>
          <w:iCs/>
        </w:rPr>
        <w:t>De Larcier Wetboeken</w:t>
      </w:r>
      <w:r w:rsidRPr="00426625">
        <w:rPr>
          <w:rFonts w:ascii="Times New Roman" w:hAnsi="Times New Roman"/>
        </w:rPr>
        <w:t>, I: Burgerlijk en Gerechtelijk Recht, Brussel, 2010, Boek III, Titel IV, Hoofdstuk II, p. 112-115. Cf. de wet van 31 maart 2010 betreffende de ver</w:t>
      </w:r>
      <w:r>
        <w:rPr>
          <w:rFonts w:ascii="Times New Roman" w:hAnsi="Times New Roman"/>
        </w:rPr>
        <w:t>-</w:t>
      </w:r>
      <w:r w:rsidRPr="00426625">
        <w:rPr>
          <w:rFonts w:ascii="Times New Roman" w:hAnsi="Times New Roman"/>
        </w:rPr>
        <w:t>goeding van schade als gevolg van gezondheidszorg (</w:t>
      </w:r>
      <w:r w:rsidRPr="00426625">
        <w:rPr>
          <w:rFonts w:ascii="Times New Roman" w:hAnsi="Times New Roman"/>
          <w:i/>
        </w:rPr>
        <w:t>BS</w:t>
      </w:r>
      <w:r w:rsidRPr="00426625">
        <w:rPr>
          <w:rFonts w:ascii="Times New Roman" w:hAnsi="Times New Roman"/>
        </w:rPr>
        <w:t xml:space="preserve"> 2 april 2010); wet van 2 juni 2010 tot wijziging van het Gerechtelijk Wetboek in het kader van de wet van 31 maart 2010 betreffende de vergoeding van schade als ge</w:t>
      </w:r>
      <w:r>
        <w:rPr>
          <w:rFonts w:ascii="Times New Roman" w:hAnsi="Times New Roman"/>
        </w:rPr>
        <w:t>-</w:t>
      </w:r>
      <w:r w:rsidRPr="00426625">
        <w:rPr>
          <w:rFonts w:ascii="Times New Roman" w:hAnsi="Times New Roman"/>
        </w:rPr>
        <w:t>volg van gezondheidszorg (</w:t>
      </w:r>
      <w:r w:rsidRPr="00426625">
        <w:rPr>
          <w:rFonts w:ascii="Times New Roman" w:hAnsi="Times New Roman"/>
          <w:i/>
        </w:rPr>
        <w:t>BS</w:t>
      </w:r>
      <w:r w:rsidRPr="00426625">
        <w:rPr>
          <w:rFonts w:ascii="Times New Roman" w:hAnsi="Times New Roman"/>
        </w:rPr>
        <w:t xml:space="preserve"> 1 juli 2010). Zie ook: BOONE, I.; LIERMAN, S. (reds.); </w:t>
      </w:r>
      <w:r w:rsidRPr="00426625">
        <w:rPr>
          <w:rFonts w:ascii="Times New Roman" w:hAnsi="Times New Roman"/>
          <w:i/>
        </w:rPr>
        <w:t>Vergoeding van slacht</w:t>
      </w:r>
      <w:r>
        <w:rPr>
          <w:rFonts w:ascii="Times New Roman" w:hAnsi="Times New Roman"/>
          <w:i/>
        </w:rPr>
        <w:t>-</w:t>
      </w:r>
      <w:r w:rsidRPr="00426625">
        <w:rPr>
          <w:rFonts w:ascii="Times New Roman" w:hAnsi="Times New Roman"/>
          <w:i/>
        </w:rPr>
        <w:t>offers van medische ongevallen. Praktijkgerichte analyse van de wet van 31 maart 2010</w:t>
      </w:r>
      <w:r w:rsidRPr="00426625">
        <w:rPr>
          <w:rFonts w:ascii="Times New Roman" w:hAnsi="Times New Roman"/>
        </w:rPr>
        <w:t>, Reeks Gezondheids</w:t>
      </w:r>
      <w:r>
        <w:rPr>
          <w:rFonts w:ascii="Times New Roman" w:hAnsi="Times New Roman"/>
        </w:rPr>
        <w:t>-</w:t>
      </w:r>
      <w:r w:rsidRPr="00426625">
        <w:rPr>
          <w:rFonts w:ascii="Times New Roman" w:hAnsi="Times New Roman"/>
        </w:rPr>
        <w:t>recht, 1, Antwerpen-Cambridge, Intersentia, 2011, 115p.; DE KEZEL, E., ‘Derde keer goede keer: nieuwe rege</w:t>
      </w:r>
      <w:r>
        <w:rPr>
          <w:rFonts w:ascii="Times New Roman" w:hAnsi="Times New Roman"/>
        </w:rPr>
        <w:t>-</w:t>
      </w:r>
      <w:r w:rsidRPr="00426625">
        <w:rPr>
          <w:rFonts w:ascii="Times New Roman" w:hAnsi="Times New Roman"/>
        </w:rPr>
        <w:t xml:space="preserve">ling vergoeding medische schade’, </w:t>
      </w:r>
      <w:r w:rsidRPr="00426625">
        <w:rPr>
          <w:rFonts w:ascii="Times New Roman" w:hAnsi="Times New Roman"/>
          <w:i/>
        </w:rPr>
        <w:t>Juristenkrant</w:t>
      </w:r>
      <w:r w:rsidRPr="00426625">
        <w:rPr>
          <w:rFonts w:ascii="Times New Roman" w:hAnsi="Times New Roman"/>
        </w:rPr>
        <w:t xml:space="preserve">, 210 (2010), p. 4; MORBE, E., </w:t>
      </w:r>
      <w:r w:rsidRPr="00426625">
        <w:rPr>
          <w:rFonts w:ascii="Times New Roman" w:hAnsi="Times New Roman"/>
          <w:i/>
        </w:rPr>
        <w:t>Vergoeding van schade als ge</w:t>
      </w:r>
      <w:r>
        <w:rPr>
          <w:rFonts w:ascii="Times New Roman" w:hAnsi="Times New Roman"/>
          <w:i/>
        </w:rPr>
        <w:t>-</w:t>
      </w:r>
      <w:r w:rsidRPr="00426625">
        <w:rPr>
          <w:rFonts w:ascii="Times New Roman" w:hAnsi="Times New Roman"/>
          <w:i/>
        </w:rPr>
        <w:t>volg van gezondheidszorg</w:t>
      </w:r>
      <w:r w:rsidRPr="00426625">
        <w:rPr>
          <w:rFonts w:ascii="Times New Roman" w:hAnsi="Times New Roman"/>
        </w:rPr>
        <w:t xml:space="preserve">, Kortrijk-Heule, UGA, 2012, 118p.; NYS, H.; NYS, H.; </w:t>
      </w:r>
      <w:r w:rsidRPr="00426625">
        <w:rPr>
          <w:rFonts w:ascii="Times New Roman" w:hAnsi="Times New Roman"/>
          <w:i/>
        </w:rPr>
        <w:t>Nieuwe wetgeving inzake de vergoeding van schade als gevolg van gezondheidszorg</w:t>
      </w:r>
      <w:r w:rsidRPr="00426625">
        <w:rPr>
          <w:rFonts w:ascii="Times New Roman" w:hAnsi="Times New Roman"/>
        </w:rPr>
        <w:t xml:space="preserve">, Mechelen, Kluwer, 2010, 275p.; NYS, H., ‘Schade als gevolg van gezondheidszorg in de wet van 31 maart 2010’, NYS, H.; CALLENS, S.; </w:t>
      </w:r>
      <w:r w:rsidRPr="00426625">
        <w:rPr>
          <w:rFonts w:ascii="Times New Roman" w:hAnsi="Times New Roman"/>
          <w:i/>
        </w:rPr>
        <w:t>Medisch recht</w:t>
      </w:r>
      <w:r w:rsidRPr="00426625">
        <w:rPr>
          <w:rFonts w:ascii="Times New Roman" w:hAnsi="Times New Roman"/>
        </w:rPr>
        <w:t>, Themis. School voor postacademische juridische vorming. Vormingsonderdeel, 63, Brugge, die Keure, 2011, p. 1-14</w:t>
      </w:r>
    </w:p>
  </w:footnote>
  <w:footnote w:id="7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NYS, H., </w:t>
      </w:r>
      <w:r w:rsidRPr="00426625">
        <w:rPr>
          <w:rFonts w:ascii="Times New Roman" w:hAnsi="Times New Roman"/>
          <w:i/>
          <w:iCs/>
        </w:rPr>
        <w:t>Recht en bio-ethiek. Wegwijs voor mensen in de gezondheidszorg</w:t>
      </w:r>
      <w:r w:rsidRPr="00426625">
        <w:rPr>
          <w:rFonts w:ascii="Times New Roman" w:hAnsi="Times New Roman"/>
        </w:rPr>
        <w:t>, Tielt, Lannoo Campus, 2010, p. 64.</w:t>
      </w:r>
    </w:p>
  </w:footnote>
  <w:footnote w:id="7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ziekenhuizen, zie: art. 70 Ziekenhuiswet (1). Deze bepaling is analoog aan art. 68 Ziekenhuiswet (2). Voor huisartsen, zie: art. 10, 3° van het MB van 1 maart 2010 tot vaststelling van de criteria voor de erkenning van huisartsen (</w:t>
      </w:r>
      <w:r w:rsidRPr="00426625">
        <w:rPr>
          <w:rFonts w:ascii="Times New Roman" w:hAnsi="Times New Roman"/>
          <w:i/>
        </w:rPr>
        <w:t>BS</w:t>
      </w:r>
      <w:r w:rsidRPr="00426625">
        <w:rPr>
          <w:rFonts w:ascii="Times New Roman" w:hAnsi="Times New Roman"/>
        </w:rPr>
        <w:t xml:space="preserve"> 4 maart 2010).</w:t>
      </w:r>
    </w:p>
  </w:footnote>
  <w:footnote w:id="7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17</w:t>
      </w:r>
      <w:r w:rsidRPr="00426625">
        <w:rPr>
          <w:rFonts w:ascii="Times New Roman" w:hAnsi="Times New Roman" w:cs="Times New Roman"/>
          <w:i/>
          <w:iCs/>
          <w:sz w:val="20"/>
          <w:szCs w:val="20"/>
        </w:rPr>
        <w:t xml:space="preserve">quater </w:t>
      </w:r>
      <w:r w:rsidRPr="00426625">
        <w:rPr>
          <w:rFonts w:ascii="Times New Roman" w:hAnsi="Times New Roman" w:cs="Times New Roman"/>
          <w:sz w:val="20"/>
          <w:szCs w:val="20"/>
        </w:rPr>
        <w:t>§ 1 Ziekenhuiswet (1); art. 25 § 1 Ziekenhuiswet (2); DE BRUYCKERE, L., ‘[De rechtsver</w:t>
      </w:r>
      <w:r>
        <w:rPr>
          <w:rFonts w:ascii="Times New Roman" w:hAnsi="Times New Roman" w:cs="Times New Roman"/>
          <w:sz w:val="20"/>
          <w:szCs w:val="20"/>
        </w:rPr>
        <w:t>-</w:t>
      </w:r>
      <w:r w:rsidRPr="00426625">
        <w:rPr>
          <w:rFonts w:ascii="Times New Roman" w:hAnsi="Times New Roman" w:cs="Times New Roman"/>
          <w:sz w:val="20"/>
          <w:szCs w:val="20"/>
        </w:rPr>
        <w:t xml:space="preserve">houding tussen patiënt en ziekenhuis]’, </w:t>
      </w:r>
      <w:r w:rsidRPr="00426625">
        <w:rPr>
          <w:rFonts w:ascii="Times New Roman" w:hAnsi="Times New Roman" w:cs="Times New Roman"/>
          <w:i/>
          <w:sz w:val="20"/>
          <w:szCs w:val="20"/>
        </w:rPr>
        <w:t>T.Gez.</w:t>
      </w:r>
      <w:r w:rsidRPr="00426625">
        <w:rPr>
          <w:rFonts w:ascii="Times New Roman" w:hAnsi="Times New Roman" w:cs="Times New Roman"/>
          <w:sz w:val="20"/>
          <w:szCs w:val="20"/>
        </w:rPr>
        <w:t>, 1999-2000, p. 293-294.</w:t>
      </w:r>
    </w:p>
  </w:footnote>
  <w:footnote w:id="74">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 3° Wet Patiëntenrechten. </w:t>
      </w:r>
    </w:p>
  </w:footnote>
  <w:footnote w:id="7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2-4, art. 5 § 2, art. 21</w:t>
      </w:r>
      <w:r w:rsidRPr="00426625">
        <w:rPr>
          <w:rFonts w:ascii="Times New Roman" w:hAnsi="Times New Roman"/>
          <w:i/>
          <w:iCs/>
        </w:rPr>
        <w:t>bis</w:t>
      </w:r>
      <w:r w:rsidRPr="00426625">
        <w:rPr>
          <w:rFonts w:ascii="Times New Roman" w:hAnsi="Times New Roman"/>
        </w:rPr>
        <w:t>, art. 21</w:t>
      </w:r>
      <w:r w:rsidRPr="00426625">
        <w:rPr>
          <w:rFonts w:ascii="Times New Roman" w:hAnsi="Times New Roman"/>
          <w:i/>
          <w:iCs/>
        </w:rPr>
        <w:t>quater</w:t>
      </w:r>
      <w:r w:rsidRPr="00426625">
        <w:rPr>
          <w:rFonts w:ascii="Times New Roman" w:hAnsi="Times New Roman"/>
        </w:rPr>
        <w:t xml:space="preserve"> en art. 22 van KB nr. 78.</w:t>
      </w:r>
    </w:p>
  </w:footnote>
  <w:footnote w:id="7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van het KB van 2 juli 2009 tot vaststelling van de lijst van de paramedische beroepen (</w:t>
      </w:r>
      <w:r w:rsidRPr="00426625">
        <w:rPr>
          <w:rFonts w:ascii="Times New Roman" w:hAnsi="Times New Roman"/>
          <w:i/>
          <w:iCs/>
        </w:rPr>
        <w:t>BS</w:t>
      </w:r>
      <w:r w:rsidRPr="00426625">
        <w:rPr>
          <w:rFonts w:ascii="Times New Roman" w:hAnsi="Times New Roman"/>
        </w:rPr>
        <w:t xml:space="preserve"> 17 augustus 2009).</w:t>
      </w:r>
    </w:p>
  </w:footnote>
  <w:footnote w:id="7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 1, 2° van de wet van 29 april 1999 betreffende de niet-conventionele praktijken inzake de geneeskun</w:t>
      </w:r>
      <w:r>
        <w:rPr>
          <w:rFonts w:ascii="Times New Roman" w:hAnsi="Times New Roman"/>
        </w:rPr>
        <w:t>-</w:t>
      </w:r>
      <w:r w:rsidRPr="00426625">
        <w:rPr>
          <w:rFonts w:ascii="Times New Roman" w:hAnsi="Times New Roman"/>
        </w:rPr>
        <w:t>de, de artsenijbereidkunde, de kinesitherapie, de verpleegkunde en de paramedische beroepen</w:t>
      </w:r>
      <w:r w:rsidRPr="00426625">
        <w:rPr>
          <w:rFonts w:ascii="Times New Roman" w:hAnsi="Times New Roman"/>
          <w:i/>
          <w:iCs/>
        </w:rPr>
        <w:t xml:space="preserve"> </w:t>
      </w:r>
      <w:r w:rsidRPr="00426625">
        <w:rPr>
          <w:rFonts w:ascii="Times New Roman" w:hAnsi="Times New Roman"/>
        </w:rPr>
        <w:t>(</w:t>
      </w:r>
      <w:r w:rsidRPr="00426625">
        <w:rPr>
          <w:rFonts w:ascii="Times New Roman" w:hAnsi="Times New Roman"/>
          <w:i/>
          <w:iCs/>
        </w:rPr>
        <w:t xml:space="preserve">BS </w:t>
      </w:r>
      <w:r w:rsidRPr="00426625">
        <w:rPr>
          <w:rFonts w:ascii="Times New Roman" w:hAnsi="Times New Roman"/>
        </w:rPr>
        <w:t>24 juni 1999)</w:t>
      </w:r>
    </w:p>
  </w:footnote>
  <w:footnote w:id="7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iCs/>
        </w:rPr>
        <w:t>Parl. St.</w:t>
      </w:r>
      <w:r w:rsidRPr="00426625">
        <w:rPr>
          <w:rFonts w:ascii="Times New Roman" w:hAnsi="Times New Roman"/>
        </w:rPr>
        <w:t xml:space="preserve"> Kamer 2009-2010, 2240/001, p. 19; art. 2 van het KB van 6 april 2010 houdende erkenning van be</w:t>
      </w:r>
      <w:r>
        <w:rPr>
          <w:rFonts w:ascii="Times New Roman" w:hAnsi="Times New Roman"/>
        </w:rPr>
        <w:t>-</w:t>
      </w:r>
      <w:r w:rsidRPr="00426625">
        <w:rPr>
          <w:rFonts w:ascii="Times New Roman" w:hAnsi="Times New Roman"/>
        </w:rPr>
        <w:t>roepsorganisaties van een niet-conventionele praktijk of van een praktijk die in aanmerking kan komen om als niet-conventionele praktijk gekwalificeerd te worden (</w:t>
      </w:r>
      <w:r w:rsidRPr="00426625">
        <w:rPr>
          <w:rFonts w:ascii="Times New Roman" w:hAnsi="Times New Roman"/>
          <w:i/>
          <w:iCs/>
        </w:rPr>
        <w:t>BS</w:t>
      </w:r>
      <w:r w:rsidRPr="00426625">
        <w:rPr>
          <w:rFonts w:ascii="Times New Roman" w:hAnsi="Times New Roman"/>
        </w:rPr>
        <w:t xml:space="preserve"> 12 april 2010); </w:t>
      </w:r>
      <w:r w:rsidRPr="00426625">
        <w:rPr>
          <w:rFonts w:ascii="Times New Roman" w:eastAsia="Times New Roman" w:hAnsi="Times New Roman"/>
          <w:color w:val="000000"/>
          <w:lang w:eastAsia="nl-BE"/>
        </w:rPr>
        <w:t>NYS, H., ‘De wet van 29 april 1999 be</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 xml:space="preserve">treffende de uitoefening van niet-conventionele praktijken inzake de geneeskunde’, </w:t>
      </w:r>
      <w:r w:rsidRPr="00426625">
        <w:rPr>
          <w:rFonts w:ascii="Times New Roman" w:eastAsia="Times New Roman" w:hAnsi="Times New Roman"/>
          <w:i/>
          <w:iCs/>
          <w:color w:val="000000"/>
          <w:lang w:eastAsia="nl-BE"/>
        </w:rPr>
        <w:t>R.W.</w:t>
      </w:r>
      <w:r w:rsidRPr="00426625">
        <w:rPr>
          <w:rFonts w:ascii="Times New Roman" w:eastAsia="Times New Roman" w:hAnsi="Times New Roman"/>
          <w:color w:val="000000"/>
          <w:lang w:eastAsia="nl-BE"/>
        </w:rPr>
        <w:t>, 1999-2000, 22, k. 729-737.</w:t>
      </w:r>
    </w:p>
  </w:footnote>
  <w:footnote w:id="79">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VANSWEEVELT, T., ‘Definities en toepassingsgebied van de Wet Patiëntenrechten’, </w:t>
      </w:r>
      <w:r w:rsidRPr="00426625">
        <w:rPr>
          <w:rFonts w:ascii="Times New Roman" w:hAnsi="Times New Roman" w:cs="Times New Roman"/>
          <w:i/>
          <w:iCs/>
          <w:sz w:val="20"/>
          <w:szCs w:val="20"/>
        </w:rPr>
        <w:t>T.Gez.</w:t>
      </w:r>
      <w:r w:rsidRPr="00426625">
        <w:rPr>
          <w:rFonts w:ascii="Times New Roman" w:hAnsi="Times New Roman" w:cs="Times New Roman"/>
          <w:sz w:val="20"/>
          <w:szCs w:val="20"/>
        </w:rPr>
        <w:t>, 2003-2004, p. 67.</w:t>
      </w:r>
    </w:p>
  </w:footnote>
  <w:footnote w:id="8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algemene zorgvuldigheidsplicht is verankerd in art. 1147 en art. 1382 BW. FORRIER, Boek III, Titel III, Hoofdstuk III, p. 95; ID., Boek III, Titel IV, Hoofdstuk II, p. 115.</w:t>
      </w:r>
    </w:p>
  </w:footnote>
  <w:footnote w:id="8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21</w:t>
      </w:r>
      <w:r w:rsidRPr="00426625">
        <w:rPr>
          <w:rFonts w:ascii="Times New Roman" w:hAnsi="Times New Roman"/>
          <w:i/>
          <w:iCs/>
        </w:rPr>
        <w:t xml:space="preserve">quinquies </w:t>
      </w:r>
      <w:r w:rsidRPr="00426625">
        <w:rPr>
          <w:rFonts w:ascii="Times New Roman" w:hAnsi="Times New Roman"/>
        </w:rPr>
        <w:t>§ 2 van KB nr. 78; art. 15 § 1 en art. 17</w:t>
      </w:r>
      <w:r w:rsidRPr="00426625">
        <w:rPr>
          <w:rFonts w:ascii="Times New Roman" w:hAnsi="Times New Roman"/>
          <w:i/>
          <w:iCs/>
        </w:rPr>
        <w:t>quater</w:t>
      </w:r>
      <w:r w:rsidRPr="00426625">
        <w:rPr>
          <w:rFonts w:ascii="Times New Roman" w:hAnsi="Times New Roman"/>
        </w:rPr>
        <w:t xml:space="preserve"> § 1 Ziekenhuiswet (1) en art. 20 § 1 en art. 25 § 1 Ziekenhuiswet (2); art. N1, II, 6° van het KB van 7 november 1988 tot wijziging van het KB van 23 oktober 1964 tot bepaling van de normen die door de ziekenhuizen en hun diensten moeten worden nageleefd (</w:t>
      </w:r>
      <w:r w:rsidRPr="00426625">
        <w:rPr>
          <w:rFonts w:ascii="Times New Roman" w:hAnsi="Times New Roman"/>
          <w:i/>
          <w:iCs/>
        </w:rPr>
        <w:t xml:space="preserve">BS </w:t>
      </w:r>
      <w:r w:rsidRPr="00426625">
        <w:rPr>
          <w:rFonts w:ascii="Times New Roman" w:hAnsi="Times New Roman"/>
        </w:rPr>
        <w:t>24 no</w:t>
      </w:r>
      <w:r>
        <w:rPr>
          <w:rFonts w:ascii="Times New Roman" w:hAnsi="Times New Roman"/>
        </w:rPr>
        <w:t>-</w:t>
      </w:r>
      <w:r w:rsidRPr="00426625">
        <w:rPr>
          <w:rFonts w:ascii="Times New Roman" w:hAnsi="Times New Roman"/>
        </w:rPr>
        <w:t>vember 1988); art. 2 van het KB van 3 mei 1999 (1); art. 1 § 1 van het KB van 3 mei 1999 (2); art. 35 § 2 van de wet van 10 augustus 2001 houdende maatregelen inzake de gezondheidszorg (</w:t>
      </w:r>
      <w:r w:rsidRPr="00426625">
        <w:rPr>
          <w:rFonts w:ascii="Times New Roman" w:hAnsi="Times New Roman"/>
          <w:i/>
          <w:iCs/>
        </w:rPr>
        <w:t xml:space="preserve">BS </w:t>
      </w:r>
      <w:r w:rsidRPr="00426625">
        <w:rPr>
          <w:rFonts w:ascii="Times New Roman" w:hAnsi="Times New Roman"/>
        </w:rPr>
        <w:t xml:space="preserve">1 september 2001); </w:t>
      </w:r>
      <w:r w:rsidRPr="00426625">
        <w:rPr>
          <w:rFonts w:ascii="Times New Roman" w:hAnsi="Times New Roman"/>
          <w:color w:val="000000"/>
        </w:rPr>
        <w:t>art. 108, 4° van de wet van 14 januari 2002 houdende maatregelen inzake gezondheidszorg (</w:t>
      </w:r>
      <w:r w:rsidRPr="00426625">
        <w:rPr>
          <w:rFonts w:ascii="Times New Roman" w:hAnsi="Times New Roman"/>
          <w:i/>
          <w:iCs/>
          <w:color w:val="000000"/>
        </w:rPr>
        <w:t xml:space="preserve">BS </w:t>
      </w:r>
      <w:r w:rsidRPr="00426625">
        <w:rPr>
          <w:rFonts w:ascii="Times New Roman" w:hAnsi="Times New Roman"/>
          <w:color w:val="000000"/>
        </w:rPr>
        <w:t xml:space="preserve">22 februari 2002); </w:t>
      </w:r>
      <w:r w:rsidRPr="00426625">
        <w:rPr>
          <w:rFonts w:ascii="Times New Roman" w:hAnsi="Times New Roman"/>
        </w:rPr>
        <w:t>art. 9 § 1 Wet Patiëntenrechten; art. 3 § 3 van het KB van 12 januari 2006 tot vaststelling van de verpleegkundige activi</w:t>
      </w:r>
      <w:r>
        <w:rPr>
          <w:rFonts w:ascii="Times New Roman" w:hAnsi="Times New Roman"/>
        </w:rPr>
        <w:t>-</w:t>
      </w:r>
      <w:r w:rsidRPr="00426625">
        <w:rPr>
          <w:rFonts w:ascii="Times New Roman" w:hAnsi="Times New Roman"/>
        </w:rPr>
        <w:t>teiten die de zorgkundigen mogen uitvoeren en de voorwaarden waaronder de zorgkundigen deze handelingen mogen stellen (</w:t>
      </w:r>
      <w:r w:rsidRPr="00426625">
        <w:rPr>
          <w:rFonts w:ascii="Times New Roman" w:hAnsi="Times New Roman"/>
          <w:i/>
          <w:iCs/>
        </w:rPr>
        <w:t xml:space="preserve">BS </w:t>
      </w:r>
      <w:r w:rsidRPr="00426625">
        <w:rPr>
          <w:rFonts w:ascii="Times New Roman" w:hAnsi="Times New Roman"/>
        </w:rPr>
        <w:t>3 februari 2006); art. 1 § 1 van het KB van 28 december 2006. Bovendien zijn zorgverleners deontologisch verplicht om voor iedere patiënt een dossier aan te leggen en bij te houden: art. 38 C.G.P.</w:t>
      </w:r>
    </w:p>
  </w:footnote>
  <w:footnote w:id="8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VANSWEEVELT, T.; DEWALLENS, F.; </w:t>
      </w:r>
      <w:r w:rsidRPr="00426625">
        <w:rPr>
          <w:rFonts w:ascii="Times New Roman" w:hAnsi="Times New Roman"/>
          <w:i/>
          <w:iCs/>
        </w:rPr>
        <w:t>Het patiëntendossier</w:t>
      </w:r>
      <w:r w:rsidRPr="00426625">
        <w:rPr>
          <w:rFonts w:ascii="Times New Roman" w:hAnsi="Times New Roman"/>
        </w:rPr>
        <w:t>, Reeks Gezondheidsrecht, 2, Antwerpen, In</w:t>
      </w:r>
      <w:r>
        <w:rPr>
          <w:rFonts w:ascii="Times New Roman" w:hAnsi="Times New Roman"/>
        </w:rPr>
        <w:t>-</w:t>
      </w:r>
      <w:r w:rsidRPr="00426625">
        <w:rPr>
          <w:rFonts w:ascii="Times New Roman" w:hAnsi="Times New Roman"/>
        </w:rPr>
        <w:t>tersentia, 2011, p. 4.</w:t>
      </w:r>
    </w:p>
  </w:footnote>
  <w:footnote w:id="8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GOFFIN, T., </w:t>
      </w:r>
      <w:r w:rsidRPr="00426625">
        <w:rPr>
          <w:rFonts w:ascii="Times New Roman" w:hAnsi="Times New Roman" w:cs="Times New Roman"/>
          <w:i/>
          <w:iCs/>
          <w:sz w:val="20"/>
          <w:szCs w:val="20"/>
        </w:rPr>
        <w:t>De professionele autonomie van de arts. De rechtspositie van de arts in de arts-patiëntenrelatie</w:t>
      </w:r>
      <w:r w:rsidRPr="00426625">
        <w:rPr>
          <w:rFonts w:ascii="Times New Roman" w:hAnsi="Times New Roman" w:cs="Times New Roman"/>
          <w:sz w:val="20"/>
          <w:szCs w:val="20"/>
        </w:rPr>
        <w:t xml:space="preserve">, Brugge, die Keure, 2011, p. 404. </w:t>
      </w:r>
    </w:p>
  </w:footnote>
  <w:footnote w:id="8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TILLEMAN, B.; DEMARSIN, B.; </w:t>
      </w:r>
      <w:r w:rsidRPr="00426625">
        <w:rPr>
          <w:rFonts w:ascii="Times New Roman" w:hAnsi="Times New Roman"/>
          <w:i/>
          <w:iCs/>
        </w:rPr>
        <w:t>Inleiding tot het recht</w:t>
      </w:r>
      <w:r w:rsidRPr="00426625">
        <w:rPr>
          <w:rFonts w:ascii="Times New Roman" w:hAnsi="Times New Roman"/>
        </w:rPr>
        <w:t>, I, Leuven, Acco, 2011</w:t>
      </w:r>
      <w:r w:rsidRPr="00426625">
        <w:rPr>
          <w:rFonts w:ascii="Times New Roman" w:hAnsi="Times New Roman"/>
          <w:vertAlign w:val="superscript"/>
        </w:rPr>
        <w:t>9</w:t>
      </w:r>
      <w:r w:rsidRPr="00426625">
        <w:rPr>
          <w:rFonts w:ascii="Times New Roman" w:hAnsi="Times New Roman"/>
        </w:rPr>
        <w:t xml:space="preserve">, p. 10 (nr. 20); DIRIX, E.; TILLEMAN, B.; VAN ORSHOVEN, P. (reds.); </w:t>
      </w:r>
      <w:r w:rsidRPr="00426625">
        <w:rPr>
          <w:rFonts w:ascii="Times New Roman" w:hAnsi="Times New Roman"/>
          <w:i/>
          <w:iCs/>
        </w:rPr>
        <w:t>De Valks Juridisch Woordenboek</w:t>
      </w:r>
      <w:r w:rsidRPr="00426625">
        <w:rPr>
          <w:rFonts w:ascii="Times New Roman" w:hAnsi="Times New Roman"/>
        </w:rPr>
        <w:t>, Antwerpen-Oxford, Inter</w:t>
      </w:r>
      <w:r>
        <w:rPr>
          <w:rFonts w:ascii="Times New Roman" w:hAnsi="Times New Roman"/>
        </w:rPr>
        <w:t>-</w:t>
      </w:r>
      <w:r w:rsidRPr="00426625">
        <w:rPr>
          <w:rFonts w:ascii="Times New Roman" w:hAnsi="Times New Roman"/>
        </w:rPr>
        <w:t>sentia, 2010³, p. 355.</w:t>
      </w:r>
    </w:p>
  </w:footnote>
  <w:footnote w:id="8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DIRIX; TILLEMAN; VAN ORSHOVEN; p. 209; GOFFIN, T., ‘De medische behandelingsovereenkomst’, ID., </w:t>
      </w:r>
      <w:r w:rsidRPr="00426625">
        <w:rPr>
          <w:rFonts w:ascii="Times New Roman" w:hAnsi="Times New Roman"/>
          <w:i/>
        </w:rPr>
        <w:t>De professionele autonomie van de arts</w:t>
      </w:r>
      <w:r w:rsidRPr="00426625">
        <w:rPr>
          <w:rFonts w:ascii="Times New Roman" w:hAnsi="Times New Roman"/>
        </w:rPr>
        <w:t xml:space="preserve">, p. 275-314; TILLEMAN; DEMARSIN; p. 10 (nr. 20). Zie ook: VALCKENBORGH, L., ‘De kwalificatie van een verbintenis als resultaats- of middelenverbintenis’, </w:t>
      </w:r>
      <w:r w:rsidRPr="00426625">
        <w:rPr>
          <w:rFonts w:ascii="Times New Roman" w:hAnsi="Times New Roman"/>
          <w:i/>
          <w:iCs/>
        </w:rPr>
        <w:t>T.B.B.R.</w:t>
      </w:r>
      <w:r w:rsidRPr="00426625">
        <w:rPr>
          <w:rFonts w:ascii="Times New Roman" w:hAnsi="Times New Roman"/>
        </w:rPr>
        <w:t>, 2011, 5, p. 222-231.</w:t>
      </w:r>
    </w:p>
  </w:footnote>
  <w:footnote w:id="8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infra.</w:t>
      </w:r>
    </w:p>
  </w:footnote>
  <w:footnote w:id="8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3° van het MB van 1 maart 2010 tot vaststelling van de criteria voor de erkenning van huisartsen (</w:t>
      </w:r>
      <w:r w:rsidRPr="00426625">
        <w:rPr>
          <w:rFonts w:ascii="Times New Roman" w:hAnsi="Times New Roman"/>
          <w:i/>
          <w:iCs/>
        </w:rPr>
        <w:t>BS</w:t>
      </w:r>
      <w:r w:rsidRPr="00426625">
        <w:rPr>
          <w:rFonts w:ascii="Times New Roman" w:hAnsi="Times New Roman"/>
        </w:rPr>
        <w:t xml:space="preserve"> 4 maart 2010). Zie voetnoot 6 en deel 3.</w:t>
      </w:r>
    </w:p>
  </w:footnote>
  <w:footnote w:id="8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N1, B, 3, c) van het KB van 21 september 2004; CLEPKENS, C., ‘Overhandigen van medische gegevens uit het RVT-dossier’, WOSTYN, L.; BOUCQUEY, K.; SCHOUCKAERT, F. (reds.); </w:t>
      </w:r>
      <w:r w:rsidRPr="00426625">
        <w:rPr>
          <w:rFonts w:ascii="Times New Roman" w:hAnsi="Times New Roman"/>
          <w:i/>
        </w:rPr>
        <w:t>Overhandigen medische gegevens</w:t>
      </w:r>
      <w:r w:rsidRPr="00426625">
        <w:rPr>
          <w:rFonts w:ascii="Times New Roman" w:hAnsi="Times New Roman"/>
        </w:rPr>
        <w:t>, Gent, Academia Press, 2009², p. 182.</w:t>
      </w:r>
    </w:p>
  </w:footnote>
  <w:footnote w:id="8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VERDEYEN, V., </w:t>
      </w:r>
      <w:r w:rsidRPr="00426625">
        <w:rPr>
          <w:rFonts w:ascii="Times New Roman" w:hAnsi="Times New Roman"/>
          <w:i/>
          <w:iCs/>
        </w:rPr>
        <w:t>Patiëntenrechten. Een nieuwe wet: overdreven juridisering van de zorgrelatie?</w:t>
      </w:r>
      <w:r w:rsidRPr="00426625">
        <w:rPr>
          <w:rFonts w:ascii="Times New Roman" w:hAnsi="Times New Roman"/>
        </w:rPr>
        <w:t>, Actuele thema’s voor de gezondheidszorg, Mechelen, Kluwer, 2003, p. 48.</w:t>
      </w:r>
    </w:p>
  </w:footnote>
  <w:footnote w:id="9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36</w:t>
      </w:r>
      <w:r w:rsidRPr="00426625">
        <w:rPr>
          <w:rFonts w:ascii="Times New Roman" w:hAnsi="Times New Roman"/>
          <w:i/>
          <w:iCs/>
        </w:rPr>
        <w:t>sexies</w:t>
      </w:r>
      <w:r w:rsidRPr="00426625">
        <w:rPr>
          <w:rFonts w:ascii="Times New Roman" w:hAnsi="Times New Roman"/>
        </w:rPr>
        <w:t xml:space="preserve"> van de wet betreffende de verplichte verzekering voor geneeskundige verzorging en uitkeringen, gecoördineerd op 14 juli 1994 (</w:t>
      </w:r>
      <w:r w:rsidRPr="00426625">
        <w:rPr>
          <w:rFonts w:ascii="Times New Roman" w:hAnsi="Times New Roman"/>
          <w:i/>
          <w:iCs/>
        </w:rPr>
        <w:t>BS</w:t>
      </w:r>
      <w:r w:rsidRPr="00426625">
        <w:rPr>
          <w:rFonts w:ascii="Times New Roman" w:hAnsi="Times New Roman"/>
        </w:rPr>
        <w:t xml:space="preserve"> 27 augustus 1994), ingevoegd bij art. 5 van de wet van 22 augustus 2002 hou</w:t>
      </w:r>
      <w:r>
        <w:rPr>
          <w:rFonts w:ascii="Times New Roman" w:hAnsi="Times New Roman"/>
        </w:rPr>
        <w:t>-</w:t>
      </w:r>
      <w:r w:rsidRPr="00426625">
        <w:rPr>
          <w:rFonts w:ascii="Times New Roman" w:hAnsi="Times New Roman"/>
        </w:rPr>
        <w:t>dende maatregelen inzake gezondheidszorg (</w:t>
      </w:r>
      <w:r w:rsidRPr="00426625">
        <w:rPr>
          <w:rFonts w:ascii="Times New Roman" w:hAnsi="Times New Roman"/>
          <w:i/>
          <w:iCs/>
        </w:rPr>
        <w:t>BS</w:t>
      </w:r>
      <w:r w:rsidRPr="00426625">
        <w:rPr>
          <w:rFonts w:ascii="Times New Roman" w:hAnsi="Times New Roman"/>
        </w:rPr>
        <w:t xml:space="preserve"> 10 september 2002). Vooralsnog heeft de Koning tweemaal ge</w:t>
      </w:r>
      <w:r>
        <w:rPr>
          <w:rFonts w:ascii="Times New Roman" w:hAnsi="Times New Roman"/>
        </w:rPr>
        <w:t>-</w:t>
      </w:r>
      <w:r w:rsidRPr="00426625">
        <w:rPr>
          <w:rFonts w:ascii="Times New Roman" w:hAnsi="Times New Roman"/>
        </w:rPr>
        <w:t>bruik gemaakt van deze bevoegdheid: het KB van 18 februari 2005 tot bepaling van de voorwaarden en de nade</w:t>
      </w:r>
      <w:r>
        <w:rPr>
          <w:rFonts w:ascii="Times New Roman" w:hAnsi="Times New Roman"/>
        </w:rPr>
        <w:t>-</w:t>
      </w:r>
      <w:r w:rsidRPr="00426625">
        <w:rPr>
          <w:rFonts w:ascii="Times New Roman" w:hAnsi="Times New Roman"/>
        </w:rPr>
        <w:t>re regels overeenkomstig dewelke de verplichte verzekering voor geneeskundige verzorgingen en uitkeringen een financiële tegemoetkoming verleent aan de kinesitherapeuten voor het gebruik van telematica en het elek</w:t>
      </w:r>
      <w:r>
        <w:rPr>
          <w:rFonts w:ascii="Times New Roman" w:hAnsi="Times New Roman"/>
        </w:rPr>
        <w:t>-</w:t>
      </w:r>
      <w:r w:rsidRPr="00426625">
        <w:rPr>
          <w:rFonts w:ascii="Times New Roman" w:hAnsi="Times New Roman"/>
        </w:rPr>
        <w:t>tronisch beheer van dossiers (</w:t>
      </w:r>
      <w:r w:rsidRPr="00426625">
        <w:rPr>
          <w:rFonts w:ascii="Times New Roman" w:hAnsi="Times New Roman"/>
          <w:i/>
          <w:iCs/>
        </w:rPr>
        <w:t>BS</w:t>
      </w:r>
      <w:r w:rsidRPr="00426625">
        <w:rPr>
          <w:rFonts w:ascii="Times New Roman" w:hAnsi="Times New Roman"/>
        </w:rPr>
        <w:t xml:space="preserve"> 28 februari 2005); het KB van 21 april 2007 tot bepaling van de voorwaarden en de nadere regels overeenkomstig dewelke de verplichte verzekering voor geneeskundige verzorging en uitke</w:t>
      </w:r>
      <w:r>
        <w:rPr>
          <w:rFonts w:ascii="Times New Roman" w:hAnsi="Times New Roman"/>
        </w:rPr>
        <w:t>-</w:t>
      </w:r>
      <w:r w:rsidRPr="00426625">
        <w:rPr>
          <w:rFonts w:ascii="Times New Roman" w:hAnsi="Times New Roman"/>
        </w:rPr>
        <w:t>ringen een financiële tegemoetkoming verleent aan de verpleegkundigen voor het gebruik van telematica en het elektronisch beheer van dossiers (</w:t>
      </w:r>
      <w:r w:rsidRPr="00426625">
        <w:rPr>
          <w:rFonts w:ascii="Times New Roman" w:hAnsi="Times New Roman"/>
          <w:i/>
          <w:iCs/>
        </w:rPr>
        <w:t xml:space="preserve">BS </w:t>
      </w:r>
      <w:r w:rsidRPr="00426625">
        <w:rPr>
          <w:rFonts w:ascii="Times New Roman" w:hAnsi="Times New Roman"/>
        </w:rPr>
        <w:t>4 mei 2007).</w:t>
      </w:r>
    </w:p>
  </w:footnote>
  <w:footnote w:id="9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36</w:t>
      </w:r>
      <w:r w:rsidRPr="00426625">
        <w:rPr>
          <w:rFonts w:ascii="Times New Roman" w:hAnsi="Times New Roman"/>
          <w:i/>
          <w:iCs/>
        </w:rPr>
        <w:t>septies</w:t>
      </w:r>
      <w:r w:rsidRPr="00426625">
        <w:rPr>
          <w:rFonts w:ascii="Times New Roman" w:hAnsi="Times New Roman"/>
        </w:rPr>
        <w:t xml:space="preserve"> van de gecoördineerde wet van 14 juli 1994. Cf. het KB van 18 februari 2004 tot vaststelling van de voorwaarden en regels overeenkomstig dewelke de verplichte verzekering voor geneeskundige verzor</w:t>
      </w:r>
      <w:r>
        <w:rPr>
          <w:rFonts w:ascii="Times New Roman" w:hAnsi="Times New Roman"/>
        </w:rPr>
        <w:t>-</w:t>
      </w:r>
      <w:r w:rsidRPr="00426625">
        <w:rPr>
          <w:rFonts w:ascii="Times New Roman" w:hAnsi="Times New Roman"/>
        </w:rPr>
        <w:t>ging en uitkeringen aan de erkende huisarts een honorarium betaalt voor het beheer van het globaal medisch dos</w:t>
      </w:r>
      <w:r>
        <w:rPr>
          <w:rFonts w:ascii="Times New Roman" w:hAnsi="Times New Roman"/>
        </w:rPr>
        <w:t>-</w:t>
      </w:r>
      <w:r w:rsidRPr="00426625">
        <w:rPr>
          <w:rFonts w:ascii="Times New Roman" w:hAnsi="Times New Roman"/>
        </w:rPr>
        <w:t>sier (</w:t>
      </w:r>
      <w:r w:rsidRPr="00426625">
        <w:rPr>
          <w:rFonts w:ascii="Times New Roman" w:hAnsi="Times New Roman"/>
          <w:i/>
          <w:iCs/>
        </w:rPr>
        <w:t>BS</w:t>
      </w:r>
      <w:r w:rsidRPr="00426625">
        <w:rPr>
          <w:rFonts w:ascii="Times New Roman" w:hAnsi="Times New Roman"/>
        </w:rPr>
        <w:t xml:space="preserve"> 24 februari 2004). </w:t>
      </w:r>
    </w:p>
  </w:footnote>
  <w:footnote w:id="9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VERDEYEN, V., </w:t>
      </w:r>
      <w:r w:rsidRPr="00426625">
        <w:rPr>
          <w:rFonts w:ascii="Times New Roman" w:hAnsi="Times New Roman"/>
          <w:i/>
          <w:iCs/>
        </w:rPr>
        <w:t>Patiëntenrechten. Een nieuwe wet: overdreven juridisering van de zorgrelatie?</w:t>
      </w:r>
      <w:r w:rsidRPr="00426625">
        <w:rPr>
          <w:rFonts w:ascii="Times New Roman" w:hAnsi="Times New Roman"/>
        </w:rPr>
        <w:t>, p. 106 (noot 23).</w:t>
      </w:r>
    </w:p>
  </w:footnote>
  <w:footnote w:id="9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‘Remgeldverlaging GMD [Globaal Medisch Dossier]’, </w:t>
      </w:r>
      <w:r w:rsidRPr="00426625">
        <w:rPr>
          <w:rFonts w:ascii="Times New Roman" w:hAnsi="Times New Roman"/>
          <w:i/>
        </w:rPr>
        <w:t>N.J.W.</w:t>
      </w:r>
      <w:r w:rsidRPr="00426625">
        <w:rPr>
          <w:rFonts w:ascii="Times New Roman" w:hAnsi="Times New Roman"/>
        </w:rPr>
        <w:t>, 252 (2011), p. 712. Zie infra.</w:t>
      </w:r>
    </w:p>
  </w:footnote>
  <w:footnote w:id="9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‘Kwart meer globaal medische dossiers op 2 jaar tijd’, </w:t>
      </w:r>
      <w:r w:rsidRPr="00426625">
        <w:rPr>
          <w:rFonts w:ascii="Times New Roman" w:hAnsi="Times New Roman"/>
          <w:i/>
        </w:rPr>
        <w:t>De Standaard</w:t>
      </w:r>
      <w:r w:rsidRPr="00426625">
        <w:rPr>
          <w:rFonts w:ascii="Times New Roman" w:hAnsi="Times New Roman"/>
        </w:rPr>
        <w:t>, 3 augustus 2009.</w:t>
      </w:r>
    </w:p>
  </w:footnote>
  <w:footnote w:id="95">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iCs/>
          <w:sz w:val="20"/>
          <w:szCs w:val="20"/>
        </w:rPr>
        <w:t xml:space="preserve">Hand. </w:t>
      </w:r>
      <w:r w:rsidRPr="00426625">
        <w:rPr>
          <w:rFonts w:ascii="Times New Roman" w:hAnsi="Times New Roman" w:cs="Times New Roman"/>
          <w:sz w:val="20"/>
          <w:szCs w:val="20"/>
        </w:rPr>
        <w:t xml:space="preserve">Kamer, 2001-2002, nr. 50-256, p. 87; GOFFIN, T., </w:t>
      </w:r>
      <w:r w:rsidRPr="00426625">
        <w:rPr>
          <w:rFonts w:ascii="Times New Roman" w:hAnsi="Times New Roman" w:cs="Times New Roman"/>
          <w:i/>
          <w:iCs/>
          <w:sz w:val="20"/>
          <w:szCs w:val="20"/>
        </w:rPr>
        <w:t>De professionele autonomie van de arts. De rechts</w:t>
      </w:r>
      <w:r>
        <w:rPr>
          <w:rFonts w:ascii="Times New Roman" w:hAnsi="Times New Roman" w:cs="Times New Roman"/>
          <w:i/>
          <w:iCs/>
          <w:sz w:val="20"/>
          <w:szCs w:val="20"/>
        </w:rPr>
        <w:t>-</w:t>
      </w:r>
      <w:r w:rsidRPr="00426625">
        <w:rPr>
          <w:rFonts w:ascii="Times New Roman" w:hAnsi="Times New Roman" w:cs="Times New Roman"/>
          <w:i/>
          <w:iCs/>
          <w:sz w:val="20"/>
          <w:szCs w:val="20"/>
        </w:rPr>
        <w:t>positie van de arts in de arts-patiëntrelatie</w:t>
      </w:r>
      <w:r w:rsidRPr="00426625">
        <w:rPr>
          <w:rFonts w:ascii="Times New Roman" w:hAnsi="Times New Roman" w:cs="Times New Roman"/>
          <w:sz w:val="20"/>
          <w:szCs w:val="20"/>
        </w:rPr>
        <w:t xml:space="preserve">, p. 399; NYS, H., </w:t>
      </w:r>
      <w:r w:rsidRPr="00426625">
        <w:rPr>
          <w:rFonts w:ascii="Times New Roman" w:hAnsi="Times New Roman" w:cs="Times New Roman"/>
          <w:i/>
          <w:iCs/>
          <w:sz w:val="20"/>
          <w:szCs w:val="20"/>
        </w:rPr>
        <w:t>Geneeskunde – Recht en Medisch Handelen</w:t>
      </w:r>
      <w:r w:rsidRPr="00426625">
        <w:rPr>
          <w:rFonts w:ascii="Times New Roman" w:hAnsi="Times New Roman" w:cs="Times New Roman"/>
          <w:sz w:val="20"/>
          <w:szCs w:val="20"/>
        </w:rPr>
        <w:t xml:space="preserve">, Gent, Story-Scientia, 2005, p. 169 (nr. 374); VERDEYEN, V., </w:t>
      </w:r>
      <w:r w:rsidRPr="00426625">
        <w:rPr>
          <w:rFonts w:ascii="Times New Roman" w:hAnsi="Times New Roman" w:cs="Times New Roman"/>
          <w:i/>
          <w:iCs/>
          <w:sz w:val="20"/>
          <w:szCs w:val="20"/>
        </w:rPr>
        <w:t>Patiëntenrechten. Een nieuwe wet: overdreven juridise</w:t>
      </w:r>
      <w:r>
        <w:rPr>
          <w:rFonts w:ascii="Times New Roman" w:hAnsi="Times New Roman" w:cs="Times New Roman"/>
          <w:i/>
          <w:iCs/>
          <w:sz w:val="20"/>
          <w:szCs w:val="20"/>
        </w:rPr>
        <w:t>-</w:t>
      </w:r>
      <w:r w:rsidRPr="00426625">
        <w:rPr>
          <w:rFonts w:ascii="Times New Roman" w:hAnsi="Times New Roman" w:cs="Times New Roman"/>
          <w:i/>
          <w:iCs/>
          <w:sz w:val="20"/>
          <w:szCs w:val="20"/>
        </w:rPr>
        <w:t>ring van de zorgrelatie?</w:t>
      </w:r>
      <w:r w:rsidRPr="00426625">
        <w:rPr>
          <w:rFonts w:ascii="Times New Roman" w:hAnsi="Times New Roman" w:cs="Times New Roman"/>
          <w:sz w:val="20"/>
          <w:szCs w:val="20"/>
        </w:rPr>
        <w:t>, p. 48.</w:t>
      </w:r>
    </w:p>
  </w:footnote>
  <w:footnote w:id="96">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Andere bepalingen m.b.t. de inhoud van het patiëntendossier zijn: art. 7 § 2-§ 4, art. 8 § 1, art. 8 § 4-§ 5 en art. 15 § 3 Wet Patiëntenrechten. GOFFIN, T., </w:t>
      </w:r>
      <w:r w:rsidRPr="00426625">
        <w:rPr>
          <w:rFonts w:ascii="Times New Roman" w:hAnsi="Times New Roman" w:cs="Times New Roman"/>
          <w:i/>
          <w:iCs/>
          <w:sz w:val="20"/>
          <w:szCs w:val="20"/>
        </w:rPr>
        <w:t>De professionele autonomie van de arts</w:t>
      </w:r>
      <w:r w:rsidRPr="00426625">
        <w:rPr>
          <w:rFonts w:ascii="Times New Roman" w:hAnsi="Times New Roman" w:cs="Times New Roman"/>
          <w:sz w:val="20"/>
          <w:szCs w:val="20"/>
        </w:rPr>
        <w:t xml:space="preserve">, p. 399; NYS, H., </w:t>
      </w:r>
      <w:r w:rsidRPr="00426625">
        <w:rPr>
          <w:rFonts w:ascii="Times New Roman" w:hAnsi="Times New Roman" w:cs="Times New Roman"/>
          <w:i/>
          <w:iCs/>
          <w:sz w:val="20"/>
          <w:szCs w:val="20"/>
        </w:rPr>
        <w:t>Genees</w:t>
      </w:r>
      <w:r>
        <w:rPr>
          <w:rFonts w:ascii="Times New Roman" w:hAnsi="Times New Roman" w:cs="Times New Roman"/>
          <w:i/>
          <w:iCs/>
          <w:sz w:val="20"/>
          <w:szCs w:val="20"/>
        </w:rPr>
        <w:t>-</w:t>
      </w:r>
      <w:r w:rsidRPr="00426625">
        <w:rPr>
          <w:rFonts w:ascii="Times New Roman" w:hAnsi="Times New Roman" w:cs="Times New Roman"/>
          <w:i/>
          <w:iCs/>
          <w:sz w:val="20"/>
          <w:szCs w:val="20"/>
        </w:rPr>
        <w:t>kunde – Recht en Medisch Handelen</w:t>
      </w:r>
      <w:r w:rsidRPr="00426625">
        <w:rPr>
          <w:rFonts w:ascii="Times New Roman" w:hAnsi="Times New Roman" w:cs="Times New Roman"/>
          <w:sz w:val="20"/>
          <w:szCs w:val="20"/>
        </w:rPr>
        <w:t>, p. 170 (nr. 374).</w:t>
      </w:r>
    </w:p>
  </w:footnote>
  <w:footnote w:id="97">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1 van het KB van 3 mei 1999 (1).</w:t>
      </w:r>
    </w:p>
  </w:footnote>
  <w:footnote w:id="98">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MORBE, E., </w:t>
      </w:r>
      <w:r w:rsidRPr="00426625">
        <w:rPr>
          <w:rFonts w:ascii="Times New Roman" w:hAnsi="Times New Roman" w:cs="Times New Roman"/>
          <w:i/>
          <w:iCs/>
          <w:sz w:val="20"/>
          <w:szCs w:val="20"/>
        </w:rPr>
        <w:t>De wet betreffende de rechten van de patiënt</w:t>
      </w:r>
      <w:r w:rsidRPr="00426625">
        <w:rPr>
          <w:rFonts w:ascii="Times New Roman" w:hAnsi="Times New Roman" w:cs="Times New Roman"/>
          <w:sz w:val="20"/>
          <w:szCs w:val="20"/>
        </w:rPr>
        <w:t>, Heule, UGA, 2003, p. 94.</w:t>
      </w:r>
    </w:p>
  </w:footnote>
  <w:footnote w:id="99">
    <w:p w:rsidR="00E82D16" w:rsidRPr="00E333B6" w:rsidRDefault="00E82D16" w:rsidP="00426625">
      <w:pPr>
        <w:pStyle w:val="Geenafstand"/>
        <w:ind w:firstLine="1"/>
        <w:jc w:val="both"/>
        <w:rPr>
          <w:rFonts w:ascii="Times New Roman" w:hAnsi="Times New Roman" w:cs="Times New Roman"/>
          <w:b/>
          <w:bCs/>
          <w:sz w:val="20"/>
          <w:szCs w:val="20"/>
          <w:u w:val="single"/>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Wetsontwerp betreffende de rechten van de patiënt – Verslag namens de commissie voor de volksgezondheid, het leefmilieu en de maatschappelijke hernieuwing, uitgebracht door mevrouw Michèle Gilkinet en de heer Hu</w:t>
      </w:r>
      <w:r>
        <w:rPr>
          <w:rFonts w:ascii="Times New Roman" w:hAnsi="Times New Roman" w:cs="Times New Roman"/>
          <w:sz w:val="20"/>
          <w:szCs w:val="20"/>
        </w:rPr>
        <w:t>-</w:t>
      </w:r>
      <w:r w:rsidRPr="00426625">
        <w:rPr>
          <w:rFonts w:ascii="Times New Roman" w:hAnsi="Times New Roman" w:cs="Times New Roman"/>
          <w:sz w:val="20"/>
          <w:szCs w:val="20"/>
        </w:rPr>
        <w:t xml:space="preserve">bert Brouns. </w:t>
      </w:r>
      <w:r w:rsidRPr="00E333B6">
        <w:rPr>
          <w:rFonts w:ascii="Times New Roman" w:hAnsi="Times New Roman" w:cs="Times New Roman"/>
          <w:i/>
          <w:iCs/>
          <w:sz w:val="20"/>
          <w:szCs w:val="20"/>
          <w:lang w:val="fr-BE"/>
        </w:rPr>
        <w:t>Parl.St.</w:t>
      </w:r>
      <w:r w:rsidRPr="00E333B6">
        <w:rPr>
          <w:rFonts w:ascii="Times New Roman" w:hAnsi="Times New Roman" w:cs="Times New Roman"/>
          <w:iCs/>
          <w:sz w:val="20"/>
          <w:szCs w:val="20"/>
          <w:lang w:val="fr-BE"/>
        </w:rPr>
        <w:t xml:space="preserve"> Kamer,</w:t>
      </w:r>
      <w:r w:rsidRPr="00E333B6">
        <w:rPr>
          <w:rFonts w:ascii="Times New Roman" w:hAnsi="Times New Roman" w:cs="Times New Roman"/>
          <w:sz w:val="20"/>
          <w:szCs w:val="20"/>
          <w:lang w:val="fr-BE"/>
        </w:rPr>
        <w:t xml:space="preserve"> 2001-2002, 8 juli 2002, nr. 1642/012, p. 87.</w:t>
      </w:r>
    </w:p>
  </w:footnote>
  <w:footnote w:id="100">
    <w:p w:rsidR="00E82D16" w:rsidRPr="00E333B6" w:rsidRDefault="00E82D16" w:rsidP="00426625">
      <w:pPr>
        <w:pStyle w:val="Geenafstand"/>
        <w:ind w:firstLine="1"/>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fr-BE"/>
        </w:rPr>
        <w:t xml:space="preserve"> GENICOT, G., </w:t>
      </w:r>
      <w:r w:rsidRPr="00426625">
        <w:rPr>
          <w:rFonts w:ascii="Times New Roman" w:hAnsi="Times New Roman" w:cs="Times New Roman"/>
          <w:i/>
          <w:iCs/>
          <w:sz w:val="20"/>
          <w:szCs w:val="20"/>
          <w:lang w:val="fr-BE"/>
        </w:rPr>
        <w:t>Droit médical et biomédical</w:t>
      </w:r>
      <w:r w:rsidRPr="00426625">
        <w:rPr>
          <w:rFonts w:ascii="Times New Roman" w:hAnsi="Times New Roman" w:cs="Times New Roman"/>
          <w:sz w:val="20"/>
          <w:szCs w:val="20"/>
          <w:lang w:val="fr-BE"/>
        </w:rPr>
        <w:t>, Collection de la Faculté de droit de l’Université de Liège, Brus</w:t>
      </w:r>
      <w:r>
        <w:rPr>
          <w:rFonts w:ascii="Times New Roman" w:hAnsi="Times New Roman" w:cs="Times New Roman"/>
          <w:sz w:val="20"/>
          <w:szCs w:val="20"/>
          <w:lang w:val="fr-BE"/>
        </w:rPr>
        <w:t>-</w:t>
      </w:r>
      <w:r w:rsidRPr="00426625">
        <w:rPr>
          <w:rFonts w:ascii="Times New Roman" w:hAnsi="Times New Roman" w:cs="Times New Roman"/>
          <w:sz w:val="20"/>
          <w:szCs w:val="20"/>
          <w:lang w:val="fr-BE"/>
        </w:rPr>
        <w:t>sel, Larcier, 2010, p. 247-248.</w:t>
      </w:r>
    </w:p>
  </w:footnote>
  <w:footnote w:id="10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‘Geautomatiseerd globaal medisch dossier’, </w:t>
      </w:r>
      <w:r w:rsidRPr="00426625">
        <w:rPr>
          <w:rFonts w:ascii="Times New Roman" w:hAnsi="Times New Roman"/>
          <w:i/>
        </w:rPr>
        <w:t>T.N.R.</w:t>
      </w:r>
      <w:r w:rsidRPr="00426625">
        <w:rPr>
          <w:rFonts w:ascii="Times New Roman" w:hAnsi="Times New Roman"/>
        </w:rPr>
        <w:t>, 84 (1998), p. 14.</w:t>
      </w:r>
    </w:p>
  </w:footnote>
  <w:footnote w:id="10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iCs/>
        </w:rPr>
        <w:t>Idem</w:t>
      </w:r>
      <w:r w:rsidRPr="00426625">
        <w:rPr>
          <w:rFonts w:ascii="Times New Roman" w:hAnsi="Times New Roman"/>
        </w:rPr>
        <w:t>. Zie infra.</w:t>
      </w:r>
    </w:p>
  </w:footnote>
  <w:footnote w:id="10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2 van het KB van 3 mei 1999 (1).</w:t>
      </w:r>
    </w:p>
  </w:footnote>
  <w:footnote w:id="10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 1 van het KB van 3 mei 1999 (2).</w:t>
      </w:r>
    </w:p>
  </w:footnote>
  <w:footnote w:id="10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 2 van het KB van 3 mei 1999 (2).</w:t>
      </w:r>
    </w:p>
  </w:footnote>
  <w:footnote w:id="10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1 van het KB van 3 mei 1999 (2).</w:t>
      </w:r>
    </w:p>
  </w:footnote>
  <w:footnote w:id="10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2 van het KB van 3 mei 1999 (2).</w:t>
      </w:r>
    </w:p>
  </w:footnote>
  <w:footnote w:id="108">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 § 2 van het KB van 28 december 2006.</w:t>
      </w:r>
    </w:p>
  </w:footnote>
  <w:footnote w:id="10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 van het KB van 28 december 2006.</w:t>
      </w:r>
    </w:p>
  </w:footnote>
  <w:footnote w:id="110">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N1, B, 3, c) van het KB van 21 september 2004.</w:t>
      </w:r>
    </w:p>
  </w:footnote>
  <w:footnote w:id="11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CLEPKENS, C., ‘Overhandigen van medische gegevens uit het RVT-dossier’, p. 179.</w:t>
      </w:r>
    </w:p>
  </w:footnote>
  <w:footnote w:id="11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iCs/>
        </w:rPr>
        <w:t>Parl. St.</w:t>
      </w:r>
      <w:r w:rsidRPr="00426625">
        <w:rPr>
          <w:rFonts w:ascii="Times New Roman" w:hAnsi="Times New Roman"/>
        </w:rPr>
        <w:t xml:space="preserve"> Kamer, 2001-2002, 50-1642/001, p. 33.</w:t>
      </w:r>
    </w:p>
  </w:footnote>
  <w:footnote w:id="11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NYS, H., </w:t>
      </w:r>
      <w:r w:rsidRPr="00426625">
        <w:rPr>
          <w:rFonts w:ascii="Times New Roman" w:hAnsi="Times New Roman"/>
          <w:i/>
          <w:iCs/>
        </w:rPr>
        <w:t>Geneeskunde – Recht en medisch handelen</w:t>
      </w:r>
      <w:r w:rsidRPr="00426625">
        <w:rPr>
          <w:rFonts w:ascii="Times New Roman" w:hAnsi="Times New Roman"/>
        </w:rPr>
        <w:t>, p. 174 (nr. 381).</w:t>
      </w:r>
    </w:p>
  </w:footnote>
  <w:footnote w:id="11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VN-resolutie 46/119 van 17 december 1991, ‘The protection of persons with mental illness and the improve</w:t>
      </w:r>
      <w:r>
        <w:rPr>
          <w:rFonts w:ascii="Times New Roman" w:hAnsi="Times New Roman"/>
        </w:rPr>
        <w:t>-</w:t>
      </w:r>
      <w:r w:rsidRPr="00426625">
        <w:rPr>
          <w:rFonts w:ascii="Times New Roman" w:hAnsi="Times New Roman"/>
        </w:rPr>
        <w:t>ment of mental health care’, Beginsel 11.10 (</w:t>
      </w:r>
      <w:hyperlink r:id="rId24" w:history="1">
        <w:r w:rsidRPr="002E0847">
          <w:rPr>
            <w:rStyle w:val="Hyperlink"/>
            <w:rFonts w:ascii="Times New Roman" w:hAnsi="Times New Roman"/>
          </w:rPr>
          <w:t>http://www.un.org/documents/ga/res/46/a46r119.htm</w:t>
        </w:r>
      </w:hyperlink>
      <w:r>
        <w:rPr>
          <w:rFonts w:ascii="Times New Roman" w:hAnsi="Times New Roman"/>
        </w:rPr>
        <w:t xml:space="preserve">); geciteerd door VEYS, M.N., </w:t>
      </w:r>
      <w:r>
        <w:rPr>
          <w:rFonts w:ascii="Times New Roman" w:hAnsi="Times New Roman"/>
          <w:i/>
        </w:rPr>
        <w:t>De positie van de psychiatrische patiënt in de Wet Patiëntenrechten</w:t>
      </w:r>
      <w:r>
        <w:rPr>
          <w:rFonts w:ascii="Times New Roman" w:hAnsi="Times New Roman"/>
        </w:rPr>
        <w:t>, Universiteit Antwerpen, 2006, p. 179 (nr. 413).</w:t>
      </w:r>
      <w:r w:rsidRPr="00426625">
        <w:rPr>
          <w:rStyle w:val="Hyperlink"/>
          <w:rFonts w:ascii="Times New Roman" w:hAnsi="Times New Roman"/>
        </w:rPr>
        <w:t xml:space="preserve"> </w:t>
      </w:r>
    </w:p>
  </w:footnote>
  <w:footnote w:id="115">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Voor het medisch dossier, zie: art. 4 van het KB van 3 mei 1999 (2). Voor het verpleegkundig dossier, zie: art. 5 van het KB van 28 december 2006.</w:t>
      </w:r>
    </w:p>
  </w:footnote>
  <w:footnote w:id="116">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HUYBRECHTS, L. (red.), </w:t>
      </w:r>
      <w:r w:rsidRPr="00426625">
        <w:rPr>
          <w:rFonts w:ascii="Times New Roman" w:hAnsi="Times New Roman"/>
          <w:i/>
          <w:iCs/>
        </w:rPr>
        <w:t>De Larcier Wetboeken</w:t>
      </w:r>
      <w:r w:rsidRPr="00426625">
        <w:rPr>
          <w:rFonts w:ascii="Times New Roman" w:hAnsi="Times New Roman"/>
        </w:rPr>
        <w:t>, II: Strafrecht, Brussel, 2010, Boek II, Titel VIII, Hoofd</w:t>
      </w:r>
      <w:r>
        <w:rPr>
          <w:rFonts w:ascii="Times New Roman" w:hAnsi="Times New Roman"/>
        </w:rPr>
        <w:t>-</w:t>
      </w:r>
      <w:r w:rsidRPr="00426625">
        <w:rPr>
          <w:rFonts w:ascii="Times New Roman" w:hAnsi="Times New Roman"/>
        </w:rPr>
        <w:t xml:space="preserve">stuk VI, p. 69-70. </w:t>
      </w:r>
      <w:r w:rsidRPr="00426625">
        <w:rPr>
          <w:rFonts w:ascii="Times New Roman" w:hAnsi="Times New Roman"/>
          <w:lang w:val="fr-BE"/>
        </w:rPr>
        <w:t xml:space="preserve">Zie ook: POULLET, Y., ‘Le secret professionel et les technologies de l'information et de la communication’, KIGANAHE, D; POULLET, Y. (reds.); </w:t>
      </w:r>
      <w:r w:rsidRPr="00426625">
        <w:rPr>
          <w:rFonts w:ascii="Times New Roman" w:hAnsi="Times New Roman"/>
          <w:i/>
          <w:iCs/>
          <w:lang w:val="fr-BE"/>
        </w:rPr>
        <w:t>Le secret professionel</w:t>
      </w:r>
      <w:r w:rsidRPr="00426625">
        <w:rPr>
          <w:rFonts w:ascii="Times New Roman" w:hAnsi="Times New Roman"/>
          <w:lang w:val="fr-BE"/>
        </w:rPr>
        <w:t>, Brussel, La Charte, 2002, p. 263; POULLET, Y., ‘A propos de la «propriété» du dossier médical... Quelques considérations autour des no</w:t>
      </w:r>
      <w:r>
        <w:rPr>
          <w:rFonts w:ascii="Times New Roman" w:hAnsi="Times New Roman"/>
          <w:lang w:val="fr-BE"/>
        </w:rPr>
        <w:t>-</w:t>
      </w:r>
      <w:r w:rsidRPr="00426625">
        <w:rPr>
          <w:rFonts w:ascii="Times New Roman" w:hAnsi="Times New Roman"/>
          <w:lang w:val="fr-BE"/>
        </w:rPr>
        <w:t xml:space="preserve">tions de propriété, droits subjectifs en intérêts’, </w:t>
      </w:r>
      <w:r w:rsidRPr="00426625">
        <w:rPr>
          <w:rFonts w:ascii="Times New Roman" w:hAnsi="Times New Roman"/>
          <w:i/>
          <w:iCs/>
          <w:lang w:val="fr-BE"/>
        </w:rPr>
        <w:t>Eigendom/Propriété</w:t>
      </w:r>
      <w:r w:rsidRPr="00426625">
        <w:rPr>
          <w:rFonts w:ascii="Times New Roman" w:hAnsi="Times New Roman"/>
          <w:lang w:val="fr-BE"/>
        </w:rPr>
        <w:t>, Brugge, die Keure, 1996, p. 317; LAM</w:t>
      </w:r>
      <w:r>
        <w:rPr>
          <w:rFonts w:ascii="Times New Roman" w:hAnsi="Times New Roman"/>
          <w:lang w:val="fr-BE"/>
        </w:rPr>
        <w:t>-</w:t>
      </w:r>
      <w:r w:rsidRPr="00426625">
        <w:rPr>
          <w:rFonts w:ascii="Times New Roman" w:hAnsi="Times New Roman"/>
          <w:lang w:val="fr-BE"/>
        </w:rPr>
        <w:t xml:space="preserve">BERT, P., ‘Secret professionnel’, BRUNET, E.; RIGAUX, M.F.; RESTEAU, C. (reds.); </w:t>
      </w:r>
      <w:r w:rsidRPr="00426625">
        <w:rPr>
          <w:rFonts w:ascii="Times New Roman" w:hAnsi="Times New Roman"/>
          <w:i/>
          <w:iCs/>
          <w:lang w:val="fr-BE"/>
        </w:rPr>
        <w:t>Répertoire pratique du droit belge : législation, doctrine et jurisprudence - complément X</w:t>
      </w:r>
      <w:r w:rsidRPr="00426625">
        <w:rPr>
          <w:rFonts w:ascii="Times New Roman" w:hAnsi="Times New Roman"/>
          <w:lang w:val="fr-BE"/>
        </w:rPr>
        <w:t>, Brussel, Bruylant, 2007, p. 694 (nr. 245).</w:t>
      </w:r>
    </w:p>
  </w:footnote>
  <w:footnote w:id="117">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NYS, H., </w:t>
      </w:r>
      <w:r w:rsidRPr="00426625">
        <w:rPr>
          <w:rFonts w:ascii="Times New Roman" w:hAnsi="Times New Roman" w:cs="Times New Roman"/>
          <w:i/>
          <w:iCs/>
          <w:sz w:val="20"/>
          <w:szCs w:val="20"/>
        </w:rPr>
        <w:t>Geneeskunde – Recht en Medisch Handelen</w:t>
      </w:r>
      <w:r w:rsidRPr="00426625">
        <w:rPr>
          <w:rFonts w:ascii="Times New Roman" w:hAnsi="Times New Roman" w:cs="Times New Roman"/>
          <w:sz w:val="20"/>
          <w:szCs w:val="20"/>
        </w:rPr>
        <w:t>, p. 169 (nr. 374).</w:t>
      </w:r>
    </w:p>
  </w:footnote>
  <w:footnote w:id="118">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ID., p. 170 (nr. 375); VANSWEEVELT, T., </w:t>
      </w:r>
      <w:r w:rsidRPr="00426625">
        <w:rPr>
          <w:rFonts w:ascii="Times New Roman" w:hAnsi="Times New Roman" w:cs="Times New Roman"/>
          <w:i/>
          <w:iCs/>
          <w:sz w:val="20"/>
          <w:szCs w:val="20"/>
        </w:rPr>
        <w:t>De civielrechtelijke aansprakelijkheid van de geneesheer en het ziekenhuis</w:t>
      </w:r>
      <w:r w:rsidRPr="00426625">
        <w:rPr>
          <w:rFonts w:ascii="Times New Roman" w:hAnsi="Times New Roman" w:cs="Times New Roman"/>
          <w:sz w:val="20"/>
          <w:szCs w:val="20"/>
        </w:rPr>
        <w:t xml:space="preserve">, Reeks Aansprakelijkheidsrecht, Antwerpen – Apeldoorn, Maklu en Brussel, Bruylant, 1997; p. 135. </w:t>
      </w:r>
    </w:p>
  </w:footnote>
  <w:footnote w:id="11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TILLEMAN; DEMARSIN; p. 10 (nr. 20); DIRIX; TILLEMAN; VAN ORSHOVEN; p. 155.</w:t>
      </w:r>
    </w:p>
  </w:footnote>
  <w:footnote w:id="120">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BLOCKX, F., ‘Over het eigendomsrecht van medische dossiers, of toch niet?’, </w:t>
      </w:r>
      <w:r w:rsidRPr="00426625">
        <w:rPr>
          <w:rFonts w:ascii="Times New Roman" w:hAnsi="Times New Roman" w:cs="Times New Roman"/>
          <w:i/>
          <w:sz w:val="20"/>
          <w:szCs w:val="20"/>
        </w:rPr>
        <w:t>T.Gez.</w:t>
      </w:r>
      <w:r w:rsidRPr="00426625">
        <w:rPr>
          <w:rFonts w:ascii="Times New Roman" w:hAnsi="Times New Roman" w:cs="Times New Roman"/>
          <w:sz w:val="20"/>
          <w:szCs w:val="20"/>
        </w:rPr>
        <w:t xml:space="preserve">, 2009-2010, p. 230-235; DALCQ, R.O., ‘Expertises civiles et secret professionnel des médecins’, </w:t>
      </w:r>
      <w:r w:rsidRPr="00426625">
        <w:rPr>
          <w:rFonts w:ascii="Times New Roman" w:hAnsi="Times New Roman" w:cs="Times New Roman"/>
          <w:i/>
          <w:iCs/>
          <w:sz w:val="20"/>
          <w:szCs w:val="20"/>
        </w:rPr>
        <w:t>Liber Amicorum E. Krings</w:t>
      </w:r>
      <w:r w:rsidRPr="00426625">
        <w:rPr>
          <w:rFonts w:ascii="Times New Roman" w:hAnsi="Times New Roman" w:cs="Times New Roman"/>
          <w:sz w:val="20"/>
          <w:szCs w:val="20"/>
        </w:rPr>
        <w:t>, Gent, Story-Scientia, 1991, p. 502; DALCQ, R.O.; SCHAMPS, G.; ‘Examen de jurisprudence (1987 à 1993). La res</w:t>
      </w:r>
      <w:r>
        <w:rPr>
          <w:rFonts w:ascii="Times New Roman" w:hAnsi="Times New Roman" w:cs="Times New Roman"/>
          <w:sz w:val="20"/>
          <w:szCs w:val="20"/>
        </w:rPr>
        <w:t>-</w:t>
      </w:r>
      <w:r w:rsidRPr="00426625">
        <w:rPr>
          <w:rFonts w:ascii="Times New Roman" w:hAnsi="Times New Roman" w:cs="Times New Roman"/>
          <w:sz w:val="20"/>
          <w:szCs w:val="20"/>
        </w:rPr>
        <w:t xml:space="preserve">ponsabilité délictuelle et quasi délictuelle’, </w:t>
      </w:r>
      <w:r w:rsidRPr="00426625">
        <w:rPr>
          <w:rFonts w:ascii="Times New Roman" w:hAnsi="Times New Roman" w:cs="Times New Roman"/>
          <w:i/>
          <w:iCs/>
          <w:sz w:val="20"/>
          <w:szCs w:val="20"/>
        </w:rPr>
        <w:t>R.C.J.B.</w:t>
      </w:r>
      <w:r w:rsidRPr="00426625">
        <w:rPr>
          <w:rFonts w:ascii="Times New Roman" w:hAnsi="Times New Roman" w:cs="Times New Roman"/>
          <w:sz w:val="20"/>
          <w:szCs w:val="20"/>
        </w:rPr>
        <w:t>, 1995, p. 600-601 (nr. 58);</w:t>
      </w:r>
      <w:r w:rsidRPr="00426625">
        <w:rPr>
          <w:rFonts w:ascii="Times New Roman" w:hAnsi="Times New Roman" w:cs="Times New Roman"/>
          <w:color w:val="FF0000"/>
          <w:sz w:val="20"/>
          <w:szCs w:val="20"/>
        </w:rPr>
        <w:t xml:space="preserve"> </w:t>
      </w:r>
      <w:r w:rsidRPr="00426625">
        <w:rPr>
          <w:rFonts w:ascii="Times New Roman" w:hAnsi="Times New Roman" w:cs="Times New Roman"/>
          <w:sz w:val="20"/>
          <w:szCs w:val="20"/>
        </w:rPr>
        <w:t xml:space="preserve">DHONT, J.; POULLET, Y.; ‘Het Algemeen Medisch Dossier: een correcte afweging tussen staatsefficiëntie en de vrijheid van de zorgverlener en de privacy van de patiënt?’, </w:t>
      </w:r>
      <w:r w:rsidRPr="00426625">
        <w:rPr>
          <w:rFonts w:ascii="Times New Roman" w:hAnsi="Times New Roman" w:cs="Times New Roman"/>
          <w:i/>
          <w:iCs/>
          <w:sz w:val="20"/>
          <w:szCs w:val="20"/>
        </w:rPr>
        <w:t>T.Gez.</w:t>
      </w:r>
      <w:r w:rsidRPr="00426625">
        <w:rPr>
          <w:rFonts w:ascii="Times New Roman" w:hAnsi="Times New Roman" w:cs="Times New Roman"/>
          <w:sz w:val="20"/>
          <w:szCs w:val="20"/>
        </w:rPr>
        <w:t xml:space="preserve">, 1999-2000, p. 249; GULDIX, E., ‘Eigendom in het medisch recht’, </w:t>
      </w:r>
      <w:r w:rsidRPr="00426625">
        <w:rPr>
          <w:rFonts w:ascii="Times New Roman" w:hAnsi="Times New Roman" w:cs="Times New Roman"/>
          <w:i/>
          <w:iCs/>
          <w:sz w:val="20"/>
          <w:szCs w:val="20"/>
        </w:rPr>
        <w:t>R.W.</w:t>
      </w:r>
      <w:r w:rsidRPr="00426625">
        <w:rPr>
          <w:rFonts w:ascii="Times New Roman" w:hAnsi="Times New Roman" w:cs="Times New Roman"/>
          <w:sz w:val="20"/>
          <w:szCs w:val="20"/>
        </w:rPr>
        <w:t xml:space="preserve">, 1983-1984, k. 3065-3067; LELEU, Y.H.; GENICOT, G.; </w:t>
      </w:r>
      <w:r w:rsidRPr="00426625">
        <w:rPr>
          <w:rFonts w:ascii="Times New Roman" w:hAnsi="Times New Roman" w:cs="Times New Roman"/>
          <w:i/>
          <w:iCs/>
          <w:sz w:val="20"/>
          <w:szCs w:val="20"/>
        </w:rPr>
        <w:t xml:space="preserve">Le droit médical. </w:t>
      </w:r>
      <w:r w:rsidRPr="00426625">
        <w:rPr>
          <w:rFonts w:ascii="Times New Roman" w:hAnsi="Times New Roman" w:cs="Times New Roman"/>
          <w:i/>
          <w:iCs/>
          <w:sz w:val="20"/>
          <w:szCs w:val="20"/>
          <w:lang w:val="fr-BE"/>
        </w:rPr>
        <w:t>Aspects juridiques de la relation mé</w:t>
      </w:r>
      <w:r>
        <w:rPr>
          <w:rFonts w:ascii="Times New Roman" w:hAnsi="Times New Roman" w:cs="Times New Roman"/>
          <w:i/>
          <w:iCs/>
          <w:sz w:val="20"/>
          <w:szCs w:val="20"/>
          <w:lang w:val="fr-BE"/>
        </w:rPr>
        <w:t>-</w:t>
      </w:r>
      <w:r w:rsidRPr="00426625">
        <w:rPr>
          <w:rFonts w:ascii="Times New Roman" w:hAnsi="Times New Roman" w:cs="Times New Roman"/>
          <w:i/>
          <w:iCs/>
          <w:sz w:val="20"/>
          <w:szCs w:val="20"/>
          <w:lang w:val="fr-BE"/>
        </w:rPr>
        <w:t>decin-patient</w:t>
      </w:r>
      <w:r w:rsidRPr="00426625">
        <w:rPr>
          <w:rFonts w:ascii="Times New Roman" w:hAnsi="Times New Roman" w:cs="Times New Roman"/>
          <w:sz w:val="20"/>
          <w:szCs w:val="20"/>
          <w:lang w:val="fr-BE"/>
        </w:rPr>
        <w:t xml:space="preserve">, Brussel, De Boeck &amp; Larcier, 2001, p. 157 (nr. 187); NYS, H., </w:t>
      </w:r>
      <w:r w:rsidRPr="00426625">
        <w:rPr>
          <w:rFonts w:ascii="Times New Roman" w:hAnsi="Times New Roman" w:cs="Times New Roman"/>
          <w:i/>
          <w:iCs/>
          <w:sz w:val="20"/>
          <w:szCs w:val="20"/>
          <w:lang w:val="fr-BE"/>
        </w:rPr>
        <w:t xml:space="preserve">Geneeskunde. </w:t>
      </w:r>
      <w:r w:rsidRPr="00426625">
        <w:rPr>
          <w:rFonts w:ascii="Times New Roman" w:hAnsi="Times New Roman" w:cs="Times New Roman"/>
          <w:i/>
          <w:iCs/>
          <w:sz w:val="20"/>
          <w:szCs w:val="20"/>
        </w:rPr>
        <w:t>Recht en medisch handelen</w:t>
      </w:r>
      <w:r w:rsidRPr="00426625">
        <w:rPr>
          <w:rFonts w:ascii="Times New Roman" w:hAnsi="Times New Roman" w:cs="Times New Roman"/>
          <w:sz w:val="20"/>
          <w:szCs w:val="20"/>
        </w:rPr>
        <w:t xml:space="preserve">, p. 172-173 (nr. 379); MEIRESONNE, A., </w:t>
      </w:r>
      <w:r w:rsidRPr="00426625">
        <w:rPr>
          <w:rFonts w:ascii="Times New Roman" w:hAnsi="Times New Roman" w:cs="Times New Roman"/>
          <w:i/>
          <w:sz w:val="20"/>
          <w:szCs w:val="20"/>
        </w:rPr>
        <w:t>Het medisch archief. Casus Universitair Ziekenhuis Brug</w:t>
      </w:r>
      <w:r>
        <w:rPr>
          <w:rFonts w:ascii="Times New Roman" w:hAnsi="Times New Roman" w:cs="Times New Roman"/>
          <w:i/>
          <w:sz w:val="20"/>
          <w:szCs w:val="20"/>
        </w:rPr>
        <w:t>-</w:t>
      </w:r>
      <w:r w:rsidRPr="00426625">
        <w:rPr>
          <w:rFonts w:ascii="Times New Roman" w:hAnsi="Times New Roman" w:cs="Times New Roman"/>
          <w:i/>
          <w:sz w:val="20"/>
          <w:szCs w:val="20"/>
        </w:rPr>
        <w:t>mann – Universitair Kinderziekenhuis Koningin Fabiola</w:t>
      </w:r>
      <w:r w:rsidRPr="00426625">
        <w:rPr>
          <w:rFonts w:ascii="Times New Roman" w:hAnsi="Times New Roman" w:cs="Times New Roman"/>
          <w:sz w:val="20"/>
          <w:szCs w:val="20"/>
        </w:rPr>
        <w:t>, onuitgeg. eindverhandeling, Archivistiek en Heden</w:t>
      </w:r>
      <w:r>
        <w:rPr>
          <w:rFonts w:ascii="Times New Roman" w:hAnsi="Times New Roman" w:cs="Times New Roman"/>
          <w:sz w:val="20"/>
          <w:szCs w:val="20"/>
        </w:rPr>
        <w:t>-</w:t>
      </w:r>
      <w:r w:rsidRPr="00426625">
        <w:rPr>
          <w:rFonts w:ascii="Times New Roman" w:hAnsi="Times New Roman" w:cs="Times New Roman"/>
          <w:sz w:val="20"/>
          <w:szCs w:val="20"/>
        </w:rPr>
        <w:t>daags Documentbeheer, promotor prof. dr. J. Verhelst, Vrije Universiteit Brussel, 1992-1993, p. 38-40; ID., ‘Re</w:t>
      </w:r>
      <w:r>
        <w:rPr>
          <w:rFonts w:ascii="Times New Roman" w:hAnsi="Times New Roman" w:cs="Times New Roman"/>
          <w:sz w:val="20"/>
          <w:szCs w:val="20"/>
        </w:rPr>
        <w:t>-</w:t>
      </w:r>
      <w:r w:rsidRPr="00426625">
        <w:rPr>
          <w:rFonts w:ascii="Times New Roman" w:hAnsi="Times New Roman" w:cs="Times New Roman"/>
          <w:sz w:val="20"/>
          <w:szCs w:val="20"/>
        </w:rPr>
        <w:t>cords management op de Campus Brugmann: het patiëntendossier’, BAERTEN, J.; SCHEELINGS, F.; VER</w:t>
      </w:r>
      <w:r>
        <w:rPr>
          <w:rFonts w:ascii="Times New Roman" w:hAnsi="Times New Roman" w:cs="Times New Roman"/>
          <w:sz w:val="20"/>
          <w:szCs w:val="20"/>
        </w:rPr>
        <w:t>-</w:t>
      </w:r>
      <w:r w:rsidRPr="00426625">
        <w:rPr>
          <w:rFonts w:ascii="Times New Roman" w:hAnsi="Times New Roman" w:cs="Times New Roman"/>
          <w:sz w:val="20"/>
          <w:szCs w:val="20"/>
        </w:rPr>
        <w:t xml:space="preserve">HELST, J. (reds.); </w:t>
      </w:r>
      <w:r w:rsidRPr="00426625">
        <w:rPr>
          <w:rFonts w:ascii="Times New Roman" w:hAnsi="Times New Roman" w:cs="Times New Roman"/>
          <w:i/>
          <w:iCs/>
          <w:sz w:val="20"/>
          <w:szCs w:val="20"/>
        </w:rPr>
        <w:t xml:space="preserve">Door de archivistiek gestrikt. Archiefinitiatie(f) 4. Liber amicoricum prof. dr. </w:t>
      </w:r>
      <w:r w:rsidRPr="00E333B6">
        <w:rPr>
          <w:rFonts w:ascii="Times New Roman" w:hAnsi="Times New Roman" w:cs="Times New Roman"/>
          <w:i/>
          <w:iCs/>
          <w:sz w:val="20"/>
          <w:szCs w:val="20"/>
        </w:rPr>
        <w:t>Juul Verhelst</w:t>
      </w:r>
      <w:r w:rsidRPr="00E333B6">
        <w:rPr>
          <w:rFonts w:ascii="Times New Roman" w:hAnsi="Times New Roman" w:cs="Times New Roman"/>
          <w:sz w:val="20"/>
          <w:szCs w:val="20"/>
        </w:rPr>
        <w:t>, Brussel, VUBPress, 2000, p. 175; NYS, H., ‘Eigendom in het medisch recht’, </w:t>
      </w:r>
      <w:r w:rsidRPr="00E333B6">
        <w:rPr>
          <w:rFonts w:ascii="Times New Roman" w:hAnsi="Times New Roman" w:cs="Times New Roman"/>
          <w:i/>
          <w:sz w:val="20"/>
          <w:szCs w:val="20"/>
        </w:rPr>
        <w:t>R.W.</w:t>
      </w:r>
      <w:r w:rsidRPr="00E333B6">
        <w:rPr>
          <w:rFonts w:ascii="Times New Roman" w:hAnsi="Times New Roman" w:cs="Times New Roman"/>
          <w:sz w:val="20"/>
          <w:szCs w:val="20"/>
        </w:rPr>
        <w:t xml:space="preserve">, 1983-1984, k. 2357-2374; NUYTTENS, M., </w:t>
      </w:r>
      <w:r w:rsidRPr="00E333B6">
        <w:rPr>
          <w:rFonts w:ascii="Times New Roman" w:hAnsi="Times New Roman" w:cs="Times New Roman"/>
          <w:i/>
          <w:sz w:val="20"/>
          <w:szCs w:val="20"/>
        </w:rPr>
        <w:t>Inspectieverslag betreffende het archief van openbare ziekenhuizen in de provincie West-Vlaanderen: met voorstel van richtlijnen voor het beheer en de selectie van ziekenhuisarchieven</w:t>
      </w:r>
      <w:r w:rsidRPr="00E333B6">
        <w:rPr>
          <w:rFonts w:ascii="Times New Roman" w:hAnsi="Times New Roman" w:cs="Times New Roman"/>
          <w:sz w:val="20"/>
          <w:szCs w:val="20"/>
        </w:rPr>
        <w:t xml:space="preserve">, Miscellanea Archivistica Studia 165, Brussel, Algemeen rijksarchief, 2005, p. 49-52 en p. 65; POULLET, Y., ‘À propos de la propriété du dossier médical… </w:t>
      </w:r>
      <w:r w:rsidRPr="00426625">
        <w:rPr>
          <w:rFonts w:ascii="Times New Roman" w:hAnsi="Times New Roman" w:cs="Times New Roman"/>
          <w:sz w:val="20"/>
          <w:szCs w:val="20"/>
        </w:rPr>
        <w:t>Quelques considérations autour des notions de proriété, droits subjectifs et inté</w:t>
      </w:r>
      <w:r>
        <w:rPr>
          <w:rFonts w:ascii="Times New Roman" w:hAnsi="Times New Roman" w:cs="Times New Roman"/>
          <w:sz w:val="20"/>
          <w:szCs w:val="20"/>
        </w:rPr>
        <w:t>-</w:t>
      </w:r>
      <w:r w:rsidRPr="00426625">
        <w:rPr>
          <w:rFonts w:ascii="Times New Roman" w:hAnsi="Times New Roman" w:cs="Times New Roman"/>
          <w:sz w:val="20"/>
          <w:szCs w:val="20"/>
        </w:rPr>
        <w:t xml:space="preserve">rets’, VUYE, H.; WERY, P.; KOKELENBERG, J.; VAN NESTE, F. (reds.); </w:t>
      </w:r>
      <w:r w:rsidRPr="00426625">
        <w:rPr>
          <w:rFonts w:ascii="Times New Roman" w:hAnsi="Times New Roman" w:cs="Times New Roman"/>
          <w:i/>
          <w:iCs/>
          <w:sz w:val="20"/>
          <w:szCs w:val="20"/>
        </w:rPr>
        <w:t>Eigendom/Propriété</w:t>
      </w:r>
      <w:r w:rsidRPr="00426625">
        <w:rPr>
          <w:rFonts w:ascii="Times New Roman" w:hAnsi="Times New Roman" w:cs="Times New Roman"/>
          <w:sz w:val="20"/>
          <w:szCs w:val="20"/>
        </w:rPr>
        <w:t xml:space="preserve">, Brugge, die Keure, 1995, p. 301-319; RYCKMANS, X.; MEERT-VAN DE PUT, R., </w:t>
      </w:r>
      <w:r w:rsidRPr="00426625">
        <w:rPr>
          <w:rFonts w:ascii="Times New Roman" w:hAnsi="Times New Roman" w:cs="Times New Roman"/>
          <w:i/>
          <w:iCs/>
          <w:sz w:val="20"/>
          <w:szCs w:val="20"/>
        </w:rPr>
        <w:t>Les droits et les obligations des méde</w:t>
      </w:r>
      <w:r>
        <w:rPr>
          <w:rFonts w:ascii="Times New Roman" w:hAnsi="Times New Roman" w:cs="Times New Roman"/>
          <w:i/>
          <w:iCs/>
          <w:sz w:val="20"/>
          <w:szCs w:val="20"/>
        </w:rPr>
        <w:t>-</w:t>
      </w:r>
      <w:r w:rsidRPr="00426625">
        <w:rPr>
          <w:rFonts w:ascii="Times New Roman" w:hAnsi="Times New Roman" w:cs="Times New Roman"/>
          <w:i/>
          <w:iCs/>
          <w:sz w:val="20"/>
          <w:szCs w:val="20"/>
        </w:rPr>
        <w:t>cins</w:t>
      </w:r>
      <w:r w:rsidRPr="00426625">
        <w:rPr>
          <w:rFonts w:ascii="Times New Roman" w:hAnsi="Times New Roman" w:cs="Times New Roman"/>
          <w:sz w:val="20"/>
          <w:szCs w:val="20"/>
        </w:rPr>
        <w:t xml:space="preserve">, I, Brussel, Larcier, 1971, p. 175 (nr. 332); SCHUTYSER, K., ‘Eigendomsrecht en medische dossiers’, </w:t>
      </w:r>
      <w:r w:rsidRPr="00426625">
        <w:rPr>
          <w:rFonts w:ascii="Times New Roman" w:hAnsi="Times New Roman" w:cs="Times New Roman"/>
          <w:i/>
          <w:iCs/>
          <w:sz w:val="20"/>
          <w:szCs w:val="20"/>
        </w:rPr>
        <w:t>R.W.</w:t>
      </w:r>
      <w:r w:rsidRPr="00426625">
        <w:rPr>
          <w:rFonts w:ascii="Times New Roman" w:hAnsi="Times New Roman" w:cs="Times New Roman"/>
          <w:sz w:val="20"/>
          <w:szCs w:val="20"/>
        </w:rPr>
        <w:t xml:space="preserve">, 1983-1984, k. 3021-3048; VAN DAMME, J.; NYS, H.; VAN DAMME, T; </w:t>
      </w:r>
      <w:r w:rsidRPr="00426625">
        <w:rPr>
          <w:rFonts w:ascii="Times New Roman" w:hAnsi="Times New Roman" w:cs="Times New Roman"/>
          <w:i/>
          <w:iCs/>
          <w:sz w:val="20"/>
          <w:szCs w:val="20"/>
        </w:rPr>
        <w:t>De arts, de huisarts en zijn dossier</w:t>
      </w:r>
      <w:r w:rsidRPr="00426625">
        <w:rPr>
          <w:rFonts w:ascii="Times New Roman" w:hAnsi="Times New Roman" w:cs="Times New Roman"/>
          <w:sz w:val="20"/>
          <w:szCs w:val="20"/>
        </w:rPr>
        <w:t>, Antwerpen, Intersentia, 2003, p. 158; VAN DER STRAETE, I.; PUT, J.; LEENAERTS, E.; ‘Het be</w:t>
      </w:r>
      <w:r>
        <w:rPr>
          <w:rFonts w:ascii="Times New Roman" w:hAnsi="Times New Roman" w:cs="Times New Roman"/>
          <w:sz w:val="20"/>
          <w:szCs w:val="20"/>
        </w:rPr>
        <w:t>-</w:t>
      </w:r>
      <w:r w:rsidRPr="00426625">
        <w:rPr>
          <w:rFonts w:ascii="Times New Roman" w:hAnsi="Times New Roman" w:cs="Times New Roman"/>
          <w:sz w:val="20"/>
          <w:szCs w:val="20"/>
        </w:rPr>
        <w:t xml:space="preserve">schikkingsrecht over het beroepsgeheim’, </w:t>
      </w:r>
      <w:r w:rsidRPr="00426625">
        <w:rPr>
          <w:rFonts w:ascii="Times New Roman" w:hAnsi="Times New Roman" w:cs="Times New Roman"/>
          <w:i/>
          <w:iCs/>
          <w:sz w:val="20"/>
          <w:szCs w:val="20"/>
        </w:rPr>
        <w:t>T.P.R.</w:t>
      </w:r>
      <w:r w:rsidRPr="00426625">
        <w:rPr>
          <w:rFonts w:ascii="Times New Roman" w:hAnsi="Times New Roman" w:cs="Times New Roman"/>
          <w:sz w:val="20"/>
          <w:szCs w:val="20"/>
        </w:rPr>
        <w:t xml:space="preserve">, 40/3 (2003), p. 1126-1127; VAN NESTE, F., ‘Grondslagen van het medisch beroepsgeheim’, STOCKMAN, R. (red.), </w:t>
      </w:r>
      <w:r w:rsidRPr="00426625">
        <w:rPr>
          <w:rFonts w:ascii="Times New Roman" w:hAnsi="Times New Roman" w:cs="Times New Roman"/>
          <w:i/>
          <w:iCs/>
          <w:sz w:val="20"/>
          <w:szCs w:val="20"/>
        </w:rPr>
        <w:t>Het beroepsgeheim in de zorgverleningssector – een confrontatie tussen theorie en praktijk</w:t>
      </w:r>
      <w:r w:rsidRPr="00426625">
        <w:rPr>
          <w:rFonts w:ascii="Times New Roman" w:hAnsi="Times New Roman" w:cs="Times New Roman"/>
          <w:sz w:val="20"/>
          <w:szCs w:val="20"/>
        </w:rPr>
        <w:t xml:space="preserve">, Antwerpen, Intersentia, 1998, p. 13 e.v.; VERHAEGEN, M.N., ‘L’accès du patient au dossier géré par le praticien professionnel’, </w:t>
      </w:r>
      <w:r w:rsidRPr="00426625">
        <w:rPr>
          <w:rFonts w:ascii="Times New Roman" w:hAnsi="Times New Roman" w:cs="Times New Roman"/>
          <w:i/>
          <w:sz w:val="20"/>
          <w:szCs w:val="20"/>
        </w:rPr>
        <w:t>T.Gez.</w:t>
      </w:r>
      <w:r w:rsidRPr="00426625">
        <w:rPr>
          <w:rFonts w:ascii="Times New Roman" w:hAnsi="Times New Roman" w:cs="Times New Roman"/>
          <w:sz w:val="20"/>
          <w:szCs w:val="20"/>
        </w:rPr>
        <w:t xml:space="preserve">, 2003-2004, p. 75; WOSTYN, L., ‘Het medisch dossier’, WOSTYN, L.; CLEPKENS, C.; HUTSEBAUT, A. (reds.); </w:t>
      </w:r>
      <w:r w:rsidRPr="00426625">
        <w:rPr>
          <w:rFonts w:ascii="Times New Roman" w:hAnsi="Times New Roman" w:cs="Times New Roman"/>
          <w:i/>
          <w:iCs/>
          <w:sz w:val="20"/>
          <w:szCs w:val="20"/>
        </w:rPr>
        <w:t>Overhandigen medische gegevens</w:t>
      </w:r>
      <w:r w:rsidRPr="00426625">
        <w:rPr>
          <w:rFonts w:ascii="Times New Roman" w:hAnsi="Times New Roman" w:cs="Times New Roman"/>
          <w:sz w:val="20"/>
          <w:szCs w:val="20"/>
        </w:rPr>
        <w:t xml:space="preserve">, Gent, Academia Press, 2005, p. 7. Ook de Nationale Raad van de Orde der geneesheren sprak zich enkele malen uit over deze problematiek: ‘Medisch dossier – Eigendom’, </w:t>
      </w:r>
      <w:r w:rsidRPr="00426625">
        <w:rPr>
          <w:rFonts w:ascii="Times New Roman" w:hAnsi="Times New Roman" w:cs="Times New Roman"/>
          <w:i/>
          <w:sz w:val="20"/>
          <w:szCs w:val="20"/>
        </w:rPr>
        <w:t>T.N.R.</w:t>
      </w:r>
      <w:r w:rsidRPr="00426625">
        <w:rPr>
          <w:rFonts w:ascii="Times New Roman" w:hAnsi="Times New Roman" w:cs="Times New Roman"/>
          <w:sz w:val="20"/>
          <w:szCs w:val="20"/>
        </w:rPr>
        <w:t xml:space="preserve">, 63 (1993), p. 31; ‘Medisch dossier – Eigendom van het dossier’, </w:t>
      </w:r>
      <w:r w:rsidRPr="00426625">
        <w:rPr>
          <w:rFonts w:ascii="Times New Roman" w:hAnsi="Times New Roman" w:cs="Times New Roman"/>
          <w:i/>
          <w:sz w:val="20"/>
          <w:szCs w:val="20"/>
        </w:rPr>
        <w:t>T.N.R.</w:t>
      </w:r>
      <w:r w:rsidRPr="00426625">
        <w:rPr>
          <w:rFonts w:ascii="Times New Roman" w:hAnsi="Times New Roman" w:cs="Times New Roman"/>
          <w:sz w:val="20"/>
          <w:szCs w:val="20"/>
        </w:rPr>
        <w:t>, 75 (1996), p. 20.</w:t>
      </w:r>
    </w:p>
  </w:footnote>
  <w:footnote w:id="12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SCHUTYSER, K., ‘Eigendomsrecht en medische dossiers’, </w:t>
      </w:r>
      <w:r w:rsidRPr="00426625">
        <w:rPr>
          <w:rFonts w:ascii="Times New Roman" w:hAnsi="Times New Roman"/>
          <w:i/>
          <w:iCs/>
        </w:rPr>
        <w:t>R.W.</w:t>
      </w:r>
      <w:r w:rsidRPr="00426625">
        <w:rPr>
          <w:rFonts w:ascii="Times New Roman" w:hAnsi="Times New Roman"/>
        </w:rPr>
        <w:t>, 1983-1984, k. 3028-3041.</w:t>
      </w:r>
    </w:p>
  </w:footnote>
  <w:footnote w:id="12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42 C.P.G.; ‘Bewaring van medische dossiers’, </w:t>
      </w:r>
      <w:r w:rsidRPr="00426625">
        <w:rPr>
          <w:rFonts w:ascii="Times New Roman" w:hAnsi="Times New Roman"/>
          <w:i/>
        </w:rPr>
        <w:t>T.N.R.</w:t>
      </w:r>
      <w:r w:rsidRPr="00426625">
        <w:rPr>
          <w:rFonts w:ascii="Times New Roman" w:hAnsi="Times New Roman"/>
        </w:rPr>
        <w:t>, 33 (1985), p. 60; ‘Overdracht van protocols en do</w:t>
      </w:r>
      <w:r>
        <w:rPr>
          <w:rFonts w:ascii="Times New Roman" w:hAnsi="Times New Roman"/>
        </w:rPr>
        <w:t>-</w:t>
      </w:r>
      <w:r w:rsidRPr="00426625">
        <w:rPr>
          <w:rFonts w:ascii="Times New Roman" w:hAnsi="Times New Roman"/>
        </w:rPr>
        <w:t xml:space="preserve">cumenten van medische beeldvorming’, </w:t>
      </w:r>
      <w:r w:rsidRPr="00426625">
        <w:rPr>
          <w:rFonts w:ascii="Times New Roman" w:hAnsi="Times New Roman"/>
          <w:i/>
        </w:rPr>
        <w:t>T.N.R.</w:t>
      </w:r>
      <w:r w:rsidRPr="00426625">
        <w:rPr>
          <w:rFonts w:ascii="Times New Roman" w:hAnsi="Times New Roman"/>
        </w:rPr>
        <w:t xml:space="preserve">, 120 (2008), p. 4; NUYTTENS, M., </w:t>
      </w:r>
      <w:r w:rsidRPr="00E333B6">
        <w:rPr>
          <w:rFonts w:ascii="Times New Roman" w:hAnsi="Times New Roman"/>
          <w:i/>
        </w:rPr>
        <w:t>Inspectieverslag betreffende het archief van openbare ziekenhuizen in de provincie West-Vlaanderen</w:t>
      </w:r>
      <w:r w:rsidRPr="00E333B6">
        <w:rPr>
          <w:rFonts w:ascii="Times New Roman" w:hAnsi="Times New Roman"/>
        </w:rPr>
        <w:t>, p. 58.</w:t>
      </w:r>
    </w:p>
  </w:footnote>
  <w:footnote w:id="12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544 BW. FORRIER, Boek II, Titel II, p. 57.</w:t>
      </w:r>
    </w:p>
  </w:footnote>
  <w:footnote w:id="124">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Wet van 30 juni 1994 betreffende het auteursrecht en de naburige rechten (</w:t>
      </w:r>
      <w:r w:rsidRPr="00426625">
        <w:rPr>
          <w:rFonts w:ascii="Times New Roman" w:hAnsi="Times New Roman"/>
          <w:i/>
        </w:rPr>
        <w:t>BS</w:t>
      </w:r>
      <w:r w:rsidRPr="00426625">
        <w:rPr>
          <w:rFonts w:ascii="Times New Roman" w:hAnsi="Times New Roman"/>
        </w:rPr>
        <w:t xml:space="preserve"> 27 juli 1994). </w:t>
      </w:r>
      <w:r w:rsidRPr="00E333B6">
        <w:rPr>
          <w:rFonts w:ascii="Times New Roman" w:hAnsi="Times New Roman"/>
          <w:lang w:val="fr-BE"/>
        </w:rPr>
        <w:t xml:space="preserve">Zie: LAURENT, P.; ARMESTO, L.; ‘The intellectual property of medical data: copyrights to patients' records and database rights to biobanks?’, HERVEG, J. (red.), </w:t>
      </w:r>
      <w:r w:rsidRPr="00E333B6">
        <w:rPr>
          <w:rFonts w:ascii="Times New Roman" w:hAnsi="Times New Roman"/>
          <w:i/>
          <w:lang w:val="fr-BE"/>
        </w:rPr>
        <w:t>La protection des données médicales: les défis du XXIe siècle</w:t>
      </w:r>
      <w:r w:rsidRPr="00E333B6">
        <w:rPr>
          <w:rFonts w:ascii="Times New Roman" w:hAnsi="Times New Roman"/>
          <w:lang w:val="fr-BE"/>
        </w:rPr>
        <w:t xml:space="preserve">, Louvain-la-Neuve, Anthemis, 2008, p. 153-185; OMRANI, F., ‘Vie privée – Propriété intellectuelle. L’affrontement est-il possible dans un contexte médical?’, </w:t>
      </w:r>
      <w:r w:rsidRPr="00E333B6">
        <w:rPr>
          <w:rFonts w:ascii="Times New Roman" w:hAnsi="Times New Roman"/>
          <w:i/>
          <w:lang w:val="fr-BE"/>
        </w:rPr>
        <w:t>R.D.T.I.</w:t>
      </w:r>
      <w:r w:rsidRPr="00E333B6">
        <w:rPr>
          <w:rFonts w:ascii="Times New Roman" w:hAnsi="Times New Roman"/>
          <w:lang w:val="fr-BE"/>
        </w:rPr>
        <w:t xml:space="preserve">, 2010, 38, p. 31-53; VAN ASBROECK, B., ‘Dossier outsourcing: Outsourcing en intellectuele-eigendomsrechten’, </w:t>
      </w:r>
      <w:r w:rsidRPr="00E333B6">
        <w:rPr>
          <w:rFonts w:ascii="Times New Roman" w:hAnsi="Times New Roman"/>
          <w:i/>
          <w:lang w:val="fr-BE"/>
        </w:rPr>
        <w:t>Computerr.</w:t>
      </w:r>
      <w:r w:rsidRPr="00E333B6">
        <w:rPr>
          <w:rFonts w:ascii="Times New Roman" w:hAnsi="Times New Roman"/>
          <w:lang w:val="fr-BE"/>
        </w:rPr>
        <w:t>, 2005, 4, p. 186-189.</w:t>
      </w:r>
    </w:p>
  </w:footnote>
  <w:footnote w:id="125">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Zie supra.</w:t>
      </w:r>
    </w:p>
  </w:footnote>
  <w:footnote w:id="126">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Resp. art.  9 § 2 en art. 9 § 3 Wet Patiëntenrechten. </w:t>
      </w:r>
    </w:p>
  </w:footnote>
  <w:footnote w:id="127">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9 § 1 Wet Patiëntenrechten; art. 15 en art. 17</w:t>
      </w:r>
      <w:r w:rsidRPr="00426625">
        <w:rPr>
          <w:rFonts w:ascii="Times New Roman" w:hAnsi="Times New Roman" w:cs="Times New Roman"/>
          <w:i/>
          <w:iCs/>
          <w:sz w:val="20"/>
          <w:szCs w:val="20"/>
        </w:rPr>
        <w:t xml:space="preserve">quater </w:t>
      </w:r>
      <w:r w:rsidRPr="00426625">
        <w:rPr>
          <w:rFonts w:ascii="Times New Roman" w:hAnsi="Times New Roman" w:cs="Times New Roman"/>
          <w:sz w:val="20"/>
          <w:szCs w:val="20"/>
        </w:rPr>
        <w:t>Ziekenhuiswet (1); art. 20 en art. 25 Ziekenhuiswet (2).</w:t>
      </w:r>
    </w:p>
  </w:footnote>
  <w:footnote w:id="128">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Zie supra.</w:t>
      </w:r>
    </w:p>
  </w:footnote>
  <w:footnote w:id="129">
    <w:p w:rsidR="00E82D16" w:rsidRPr="00426625" w:rsidRDefault="00E82D16" w:rsidP="00426625">
      <w:pPr>
        <w:pStyle w:val="Voetnoottekst"/>
        <w:ind w:firstLine="1"/>
        <w:jc w:val="both"/>
        <w:rPr>
          <w:rFonts w:ascii="Times New Roman" w:hAnsi="Times New Roman"/>
          <w:i/>
          <w:iCs/>
          <w:highlight w:val="yellow"/>
        </w:rPr>
      </w:pPr>
      <w:r w:rsidRPr="00426625">
        <w:rPr>
          <w:rStyle w:val="Voetnootmarkering"/>
          <w:rFonts w:ascii="Times New Roman" w:hAnsi="Times New Roman"/>
        </w:rPr>
        <w:footnoteRef/>
      </w:r>
      <w:r w:rsidRPr="00426625">
        <w:rPr>
          <w:rFonts w:ascii="Times New Roman" w:hAnsi="Times New Roman"/>
        </w:rPr>
        <w:t xml:space="preserve"> Antwoord van Rudy Demotte als Minister van Volksgezondheid op vraag nr. 241 van mevrouw Trees Pieters op 7 juli 2004. </w:t>
      </w:r>
      <w:r w:rsidRPr="00426625">
        <w:rPr>
          <w:rFonts w:ascii="Times New Roman" w:hAnsi="Times New Roman"/>
          <w:i/>
          <w:iCs/>
        </w:rPr>
        <w:t>Vr. en Antw.</w:t>
      </w:r>
      <w:r w:rsidRPr="00426625">
        <w:rPr>
          <w:rFonts w:ascii="Times New Roman" w:hAnsi="Times New Roman"/>
        </w:rPr>
        <w:t xml:space="preserve">, 51/046, p. 7045-7049. Zie ook: CALLENS, S., ‘De bewaring en vernietiging van medische dossiers na sluiting van een instelling’, </w:t>
      </w:r>
      <w:r w:rsidRPr="00426625">
        <w:rPr>
          <w:rFonts w:ascii="Times New Roman" w:hAnsi="Times New Roman"/>
          <w:i/>
        </w:rPr>
        <w:t>T.N.R.</w:t>
      </w:r>
      <w:r w:rsidRPr="00426625">
        <w:rPr>
          <w:rFonts w:ascii="Times New Roman" w:hAnsi="Times New Roman"/>
        </w:rPr>
        <w:t>, 104 (2004), p. 12-15.</w:t>
      </w:r>
    </w:p>
  </w:footnote>
  <w:footnote w:id="13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3.</w:t>
      </w:r>
    </w:p>
  </w:footnote>
  <w:footnote w:id="131">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HUYBRECHTS, Boek II, Titel VIII, Hoofdstuk VI, p. 70. </w:t>
      </w:r>
    </w:p>
  </w:footnote>
  <w:footnote w:id="13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‘Corr. Gent 30 juni 2006’, </w:t>
      </w:r>
      <w:r w:rsidRPr="00426625">
        <w:rPr>
          <w:rFonts w:ascii="Times New Roman" w:hAnsi="Times New Roman"/>
          <w:i/>
          <w:iCs/>
        </w:rPr>
        <w:t>N.J.B.</w:t>
      </w:r>
      <w:r w:rsidRPr="00426625">
        <w:rPr>
          <w:rFonts w:ascii="Times New Roman" w:hAnsi="Times New Roman"/>
        </w:rPr>
        <w:t>, 152 (2006), p. 901 (noot van S. Bouzoumita); BLOCKX, F., ‘Over het ei</w:t>
      </w:r>
      <w:r>
        <w:rPr>
          <w:rFonts w:ascii="Times New Roman" w:hAnsi="Times New Roman"/>
        </w:rPr>
        <w:t>-</w:t>
      </w:r>
      <w:r w:rsidRPr="00426625">
        <w:rPr>
          <w:rFonts w:ascii="Times New Roman" w:hAnsi="Times New Roman"/>
        </w:rPr>
        <w:t>gendomsrecht van medische dossiers,… of toch niet?’,</w:t>
      </w:r>
      <w:r w:rsidRPr="00426625">
        <w:rPr>
          <w:rFonts w:ascii="Times New Roman" w:hAnsi="Times New Roman"/>
          <w:i/>
          <w:iCs/>
        </w:rPr>
        <w:t xml:space="preserve"> T.Gez.</w:t>
      </w:r>
      <w:r w:rsidRPr="00426625">
        <w:rPr>
          <w:rFonts w:ascii="Times New Roman" w:hAnsi="Times New Roman"/>
        </w:rPr>
        <w:t>, 2009-2010, p. 230-235 (noot bij Cass. 16 sep</w:t>
      </w:r>
      <w:r>
        <w:rPr>
          <w:rFonts w:ascii="Times New Roman" w:hAnsi="Times New Roman"/>
        </w:rPr>
        <w:t>-</w:t>
      </w:r>
      <w:r w:rsidRPr="00426625">
        <w:rPr>
          <w:rFonts w:ascii="Times New Roman" w:hAnsi="Times New Roman"/>
        </w:rPr>
        <w:t>tember 2008).</w:t>
      </w:r>
    </w:p>
  </w:footnote>
  <w:footnote w:id="13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‘Overname van een huisartsenpraktijk’, </w:t>
      </w:r>
      <w:r w:rsidRPr="00426625">
        <w:rPr>
          <w:rFonts w:ascii="Times New Roman" w:hAnsi="Times New Roman" w:cs="Times New Roman"/>
          <w:i/>
          <w:sz w:val="20"/>
          <w:szCs w:val="20"/>
        </w:rPr>
        <w:t>T.N.R.</w:t>
      </w:r>
      <w:r w:rsidRPr="00426625">
        <w:rPr>
          <w:rFonts w:ascii="Times New Roman" w:hAnsi="Times New Roman" w:cs="Times New Roman"/>
          <w:sz w:val="20"/>
          <w:szCs w:val="20"/>
        </w:rPr>
        <w:t xml:space="preserve">, 69 (1995), p. 26; ‘Medische dossiers’, </w:t>
      </w:r>
      <w:r w:rsidRPr="00426625">
        <w:rPr>
          <w:rFonts w:ascii="Times New Roman" w:hAnsi="Times New Roman" w:cs="Times New Roman"/>
          <w:i/>
          <w:sz w:val="20"/>
          <w:szCs w:val="20"/>
        </w:rPr>
        <w:t>T.N.R.</w:t>
      </w:r>
      <w:r w:rsidRPr="00426625">
        <w:rPr>
          <w:rFonts w:ascii="Times New Roman" w:hAnsi="Times New Roman" w:cs="Times New Roman"/>
          <w:sz w:val="20"/>
          <w:szCs w:val="20"/>
        </w:rPr>
        <w:t xml:space="preserve">, 78 (1997), p. 25. Zie ook: VANSWEEVELT, T.; DEWALLENS, F.; </w:t>
      </w:r>
      <w:r w:rsidRPr="00426625">
        <w:rPr>
          <w:rFonts w:ascii="Times New Roman" w:hAnsi="Times New Roman" w:cs="Times New Roman"/>
          <w:i/>
          <w:iCs/>
          <w:sz w:val="20"/>
          <w:szCs w:val="20"/>
        </w:rPr>
        <w:t>Het patiëntendossier</w:t>
      </w:r>
      <w:r w:rsidRPr="00426625">
        <w:rPr>
          <w:rFonts w:ascii="Times New Roman" w:hAnsi="Times New Roman" w:cs="Times New Roman"/>
          <w:sz w:val="20"/>
          <w:szCs w:val="20"/>
        </w:rPr>
        <w:t>, p. 151 (nr. 239).</w:t>
      </w:r>
    </w:p>
  </w:footnote>
  <w:footnote w:id="134">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9 § 3 Wet Patiëntenrechten.</w:t>
      </w:r>
    </w:p>
  </w:footnote>
  <w:footnote w:id="135">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‘Overname van een huisartsenpraktijk’, </w:t>
      </w:r>
      <w:r w:rsidRPr="00426625">
        <w:rPr>
          <w:rFonts w:ascii="Times New Roman" w:hAnsi="Times New Roman" w:cs="Times New Roman"/>
          <w:i/>
          <w:sz w:val="20"/>
          <w:szCs w:val="20"/>
        </w:rPr>
        <w:t>T.N.R.</w:t>
      </w:r>
      <w:r w:rsidRPr="00426625">
        <w:rPr>
          <w:rFonts w:ascii="Times New Roman" w:hAnsi="Times New Roman" w:cs="Times New Roman"/>
          <w:sz w:val="20"/>
          <w:szCs w:val="20"/>
        </w:rPr>
        <w:t>, 69 (1995), p. 26.</w:t>
      </w:r>
    </w:p>
  </w:footnote>
  <w:footnote w:id="13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47, eerste lid C.G.P.; ‘Overmaken van een medisch dossier aan een andere arts’, </w:t>
      </w:r>
      <w:r w:rsidRPr="00426625">
        <w:rPr>
          <w:rFonts w:ascii="Times New Roman" w:hAnsi="Times New Roman"/>
          <w:i/>
        </w:rPr>
        <w:t>T.N.R.</w:t>
      </w:r>
      <w:r w:rsidRPr="00426625">
        <w:rPr>
          <w:rFonts w:ascii="Times New Roman" w:hAnsi="Times New Roman"/>
        </w:rPr>
        <w:t>, 84 (1999), p. 20.</w:t>
      </w:r>
    </w:p>
  </w:footnote>
  <w:footnote w:id="137">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47, tweede lid C.G.P.; ‘Overname van een huisartsenpraktijk’, </w:t>
      </w:r>
      <w:r w:rsidRPr="00426625">
        <w:rPr>
          <w:rFonts w:ascii="Times New Roman" w:hAnsi="Times New Roman" w:cs="Times New Roman"/>
          <w:i/>
          <w:iCs/>
          <w:sz w:val="20"/>
          <w:szCs w:val="20"/>
        </w:rPr>
        <w:t>T.N.R.</w:t>
      </w:r>
      <w:r w:rsidRPr="00426625">
        <w:rPr>
          <w:rFonts w:ascii="Times New Roman" w:hAnsi="Times New Roman" w:cs="Times New Roman"/>
          <w:iCs/>
          <w:sz w:val="20"/>
          <w:szCs w:val="20"/>
        </w:rPr>
        <w:t>,</w:t>
      </w:r>
      <w:r w:rsidRPr="00426625">
        <w:rPr>
          <w:rFonts w:ascii="Times New Roman" w:hAnsi="Times New Roman" w:cs="Times New Roman"/>
          <w:sz w:val="20"/>
          <w:szCs w:val="20"/>
        </w:rPr>
        <w:t xml:space="preserve"> 69 (1995), p. 26; CALLENS; GOOSSENS; CIERKENS; ‘Omgaan met gegevens in de gezondheidszorg’, p. 309 (nr. 772).</w:t>
      </w:r>
    </w:p>
  </w:footnote>
  <w:footnote w:id="13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1 van het KB van 3 mei 1999 (1); art. 1 § 2 van het KB van 3 mei 1999 (2); art. N1, B, 3, d) van het KB van 21 september 2004; art. 1 § 2 van het KB van 28 december 2006.</w:t>
      </w:r>
    </w:p>
  </w:footnote>
  <w:footnote w:id="139">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color w:val="000000"/>
          <w:sz w:val="20"/>
          <w:szCs w:val="20"/>
        </w:rPr>
        <w:t xml:space="preserve"> ‘Bewaring medische dossiers (PR Antwerpen)’, </w:t>
      </w:r>
      <w:r w:rsidRPr="00426625">
        <w:rPr>
          <w:rFonts w:ascii="Times New Roman" w:hAnsi="Times New Roman" w:cs="Times New Roman"/>
          <w:i/>
          <w:iCs/>
          <w:color w:val="000000"/>
          <w:sz w:val="20"/>
          <w:szCs w:val="20"/>
        </w:rPr>
        <w:t>T.N.R.</w:t>
      </w:r>
      <w:r w:rsidRPr="00426625">
        <w:rPr>
          <w:rFonts w:ascii="Times New Roman" w:hAnsi="Times New Roman" w:cs="Times New Roman"/>
          <w:color w:val="000000"/>
          <w:sz w:val="20"/>
          <w:szCs w:val="20"/>
        </w:rPr>
        <w:t xml:space="preserve">, 33 (1985), p. 60; ‘Bewaring van medische dossiers op microfilm’, </w:t>
      </w:r>
      <w:r w:rsidRPr="00426625">
        <w:rPr>
          <w:rFonts w:ascii="Times New Roman" w:hAnsi="Times New Roman" w:cs="Times New Roman"/>
          <w:i/>
          <w:iCs/>
          <w:color w:val="000000"/>
          <w:sz w:val="20"/>
          <w:szCs w:val="20"/>
        </w:rPr>
        <w:t>T.N.R.</w:t>
      </w:r>
      <w:r w:rsidRPr="00426625">
        <w:rPr>
          <w:rFonts w:ascii="Times New Roman" w:hAnsi="Times New Roman" w:cs="Times New Roman"/>
          <w:color w:val="000000"/>
          <w:sz w:val="20"/>
          <w:szCs w:val="20"/>
        </w:rPr>
        <w:t xml:space="preserve">, 57 (1992), p. 20; ‘Stockering van medische gegevens door een handelsfirma’, </w:t>
      </w:r>
      <w:r w:rsidRPr="00426625">
        <w:rPr>
          <w:rFonts w:ascii="Times New Roman" w:hAnsi="Times New Roman" w:cs="Times New Roman"/>
          <w:i/>
          <w:iCs/>
          <w:color w:val="000000"/>
          <w:sz w:val="20"/>
          <w:szCs w:val="20"/>
        </w:rPr>
        <w:t>T.N.R.</w:t>
      </w:r>
      <w:r w:rsidRPr="00426625">
        <w:rPr>
          <w:rFonts w:ascii="Times New Roman" w:hAnsi="Times New Roman" w:cs="Times New Roman"/>
          <w:color w:val="000000"/>
          <w:sz w:val="20"/>
          <w:szCs w:val="20"/>
        </w:rPr>
        <w:t>, 84 (1999), p. 17.</w:t>
      </w:r>
      <w:r w:rsidRPr="00426625">
        <w:rPr>
          <w:rFonts w:ascii="Times New Roman" w:hAnsi="Times New Roman" w:cs="Times New Roman"/>
          <w:sz w:val="20"/>
          <w:szCs w:val="20"/>
        </w:rPr>
        <w:t xml:space="preserve"> </w:t>
      </w:r>
    </w:p>
  </w:footnote>
  <w:footnote w:id="14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w:t>
      </w:r>
      <w:r w:rsidRPr="00426625">
        <w:rPr>
          <w:rFonts w:ascii="Times New Roman" w:hAnsi="Times New Roman"/>
          <w:i/>
          <w:iCs/>
        </w:rPr>
        <w:t xml:space="preserve">bis </w:t>
      </w:r>
      <w:r w:rsidRPr="00426625">
        <w:rPr>
          <w:rFonts w:ascii="Times New Roman" w:hAnsi="Times New Roman"/>
        </w:rPr>
        <w:t>§ 1-§ 3 van KB nr. 78, ingevoegd door art. 176 van de wet van 25 januari 1999 houdende sociale bepalingen (</w:t>
      </w:r>
      <w:r w:rsidRPr="00426625">
        <w:rPr>
          <w:rFonts w:ascii="Times New Roman" w:hAnsi="Times New Roman"/>
          <w:i/>
          <w:iCs/>
        </w:rPr>
        <w:t>BS</w:t>
      </w:r>
      <w:r w:rsidRPr="00426625">
        <w:rPr>
          <w:rFonts w:ascii="Times New Roman" w:hAnsi="Times New Roman"/>
        </w:rPr>
        <w:t xml:space="preserve"> 6 februari 1999).</w:t>
      </w:r>
    </w:p>
  </w:footnote>
  <w:footnote w:id="14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4.</w:t>
      </w:r>
    </w:p>
  </w:footnote>
  <w:footnote w:id="14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het medisch dossier in ziekenhuisverband, zie: art. 1 § 2 van het KB van 3 mei 1999 (2). Voor het ver</w:t>
      </w:r>
      <w:r>
        <w:rPr>
          <w:rFonts w:ascii="Times New Roman" w:hAnsi="Times New Roman"/>
        </w:rPr>
        <w:t>-</w:t>
      </w:r>
      <w:r w:rsidRPr="00426625">
        <w:rPr>
          <w:rFonts w:ascii="Times New Roman" w:hAnsi="Times New Roman"/>
        </w:rPr>
        <w:t>pleegkundig dossier, zie: art. 1 § 2 van het KB van 28 december 2006. Voor het individueel verzorgingsdossier in rust- en verzorgingstehuizen, zie: art. N1, 3, d) van het KB van 21 september 2004. Zie ook: art. 6 § 2 van het GIS-decreet.</w:t>
      </w:r>
    </w:p>
  </w:footnote>
  <w:footnote w:id="14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‘Rechtstreekse inzage door de patiënt in zijn elektronisch medisch dossier’, </w:t>
      </w:r>
      <w:r w:rsidRPr="00426625">
        <w:rPr>
          <w:rFonts w:ascii="Times New Roman" w:hAnsi="Times New Roman"/>
          <w:i/>
          <w:iCs/>
        </w:rPr>
        <w:t>T.N.R.</w:t>
      </w:r>
      <w:r w:rsidRPr="00426625">
        <w:rPr>
          <w:rFonts w:ascii="Times New Roman" w:hAnsi="Times New Roman"/>
        </w:rPr>
        <w:t>, 115 (2007), p. 4.</w:t>
      </w:r>
    </w:p>
  </w:footnote>
  <w:footnote w:id="14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2 van het KB van 3 mei 1999 (1); art. N1, B, 3, d) van het KB van 21 september 2004; art. 1 § 2 van het KB van 28 december 2006; art. 3 van het KB van 26 april 2007 tot wijziging van het KB van 27 april 1999 betreffende de bewijskracht van de door de zorgverleners en de verzekeringsinstellingen opgeslagen, verwerkte, weergegeven of meegedeelde gegevens (</w:t>
      </w:r>
      <w:r w:rsidRPr="00426625">
        <w:rPr>
          <w:rFonts w:ascii="Times New Roman" w:hAnsi="Times New Roman"/>
          <w:i/>
          <w:iCs/>
        </w:rPr>
        <w:t>BS</w:t>
      </w:r>
      <w:r w:rsidRPr="00426625">
        <w:rPr>
          <w:rFonts w:ascii="Times New Roman" w:hAnsi="Times New Roman"/>
        </w:rPr>
        <w:t xml:space="preserve"> 18 juni 2007); art. 13 van de </w:t>
      </w:r>
      <w:r w:rsidRPr="00426625">
        <w:rPr>
          <w:rStyle w:val="hps"/>
        </w:rPr>
        <w:t>wet</w:t>
      </w:r>
      <w:r w:rsidRPr="00426625">
        <w:rPr>
          <w:rFonts w:ascii="Times New Roman" w:hAnsi="Times New Roman"/>
        </w:rPr>
        <w:t xml:space="preserve"> </w:t>
      </w:r>
      <w:r w:rsidRPr="00426625">
        <w:rPr>
          <w:rStyle w:val="hps"/>
        </w:rPr>
        <w:t>van 21 augustus</w:t>
      </w:r>
      <w:r w:rsidRPr="00426625">
        <w:rPr>
          <w:rFonts w:ascii="Times New Roman" w:hAnsi="Times New Roman"/>
        </w:rPr>
        <w:t xml:space="preserve"> </w:t>
      </w:r>
      <w:r w:rsidRPr="00426625">
        <w:rPr>
          <w:rStyle w:val="hps"/>
        </w:rPr>
        <w:t>2008 houdende</w:t>
      </w:r>
      <w:r w:rsidRPr="00426625">
        <w:rPr>
          <w:rFonts w:ascii="Times New Roman" w:hAnsi="Times New Roman"/>
        </w:rPr>
        <w:t xml:space="preserve"> </w:t>
      </w:r>
      <w:r w:rsidRPr="00426625">
        <w:rPr>
          <w:rStyle w:val="hps"/>
        </w:rPr>
        <w:t>oprichting en organisatie van</w:t>
      </w:r>
      <w:r w:rsidRPr="00426625">
        <w:rPr>
          <w:rFonts w:ascii="Times New Roman" w:hAnsi="Times New Roman"/>
        </w:rPr>
        <w:t xml:space="preserve"> </w:t>
      </w:r>
      <w:r w:rsidRPr="00426625">
        <w:rPr>
          <w:rStyle w:val="hps"/>
        </w:rPr>
        <w:t>het eHealth-platform (</w:t>
      </w:r>
      <w:r w:rsidRPr="00426625">
        <w:rPr>
          <w:rStyle w:val="hps"/>
          <w:i/>
          <w:iCs/>
        </w:rPr>
        <w:t xml:space="preserve">BS </w:t>
      </w:r>
      <w:r w:rsidRPr="00426625">
        <w:rPr>
          <w:rStyle w:val="hps"/>
        </w:rPr>
        <w:t>13 oktober 2008).</w:t>
      </w:r>
    </w:p>
  </w:footnote>
  <w:footnote w:id="14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bewijsrecht is vervat in art. 1315 tot art. 1369 BW.</w:t>
      </w:r>
    </w:p>
  </w:footnote>
  <w:footnote w:id="14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van 9 juli 2001 houdende vaststelling van bepaalde regels in verband met het juridisch kader voor elek</w:t>
      </w:r>
      <w:r>
        <w:rPr>
          <w:rFonts w:ascii="Times New Roman" w:hAnsi="Times New Roman"/>
        </w:rPr>
        <w:t>-</w:t>
      </w:r>
      <w:r w:rsidRPr="00426625">
        <w:rPr>
          <w:rFonts w:ascii="Times New Roman" w:hAnsi="Times New Roman"/>
        </w:rPr>
        <w:t>tronische handtekeningen, de elektronisch aangetekende zending en certificatiediensten (</w:t>
      </w:r>
      <w:r w:rsidRPr="00426625">
        <w:rPr>
          <w:rFonts w:ascii="Times New Roman" w:hAnsi="Times New Roman"/>
          <w:i/>
        </w:rPr>
        <w:t>BS</w:t>
      </w:r>
      <w:r w:rsidRPr="00426625">
        <w:rPr>
          <w:rFonts w:ascii="Times New Roman" w:hAnsi="Times New Roman"/>
        </w:rPr>
        <w:t xml:space="preserve"> 29 september 2001); DE CORTE, R., ‘Elektronische handtekening en authenticatie in de virtuele wereld’, </w:t>
      </w:r>
      <w:r w:rsidRPr="00426625">
        <w:rPr>
          <w:rFonts w:ascii="Times New Roman" w:hAnsi="Times New Roman"/>
          <w:i/>
        </w:rPr>
        <w:t>P&amp;B</w:t>
      </w:r>
      <w:r w:rsidRPr="00426625">
        <w:rPr>
          <w:rFonts w:ascii="Times New Roman" w:hAnsi="Times New Roman"/>
        </w:rPr>
        <w:t xml:space="preserve">, 2001, p. 207-234; VERHENNEMAN, G.; ROBBEN, F.; DUMORTIER, J.; ‘Het Belgisch eHealth-platform en haar praktische en juridische uitdagingen’, </w:t>
      </w:r>
      <w:r w:rsidRPr="00426625">
        <w:rPr>
          <w:rFonts w:ascii="Times New Roman" w:hAnsi="Times New Roman"/>
          <w:i/>
        </w:rPr>
        <w:t>Computerr.</w:t>
      </w:r>
      <w:r w:rsidRPr="00426625">
        <w:rPr>
          <w:rFonts w:ascii="Times New Roman" w:hAnsi="Times New Roman"/>
        </w:rPr>
        <w:t>, 2011, 6, p. 309.</w:t>
      </w:r>
    </w:p>
  </w:footnote>
  <w:footnote w:id="14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MOUGENOT, B., </w:t>
      </w:r>
      <w:r w:rsidRPr="00E333B6">
        <w:rPr>
          <w:rFonts w:ascii="Times New Roman" w:hAnsi="Times New Roman"/>
          <w:i/>
          <w:lang w:val="fr-BE"/>
        </w:rPr>
        <w:t>Droit des obligations. La preuve</w:t>
      </w:r>
      <w:r w:rsidRPr="00E333B6">
        <w:rPr>
          <w:rFonts w:ascii="Times New Roman" w:hAnsi="Times New Roman"/>
          <w:lang w:val="fr-BE"/>
        </w:rPr>
        <w:t xml:space="preserve">, Brussel, Larcier, 2002, p. 112. </w:t>
      </w:r>
    </w:p>
  </w:footnote>
  <w:footnote w:id="14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BOUDREZ, F.; DEKEYSER, H.; DUMORTIER, J.; </w:t>
      </w:r>
      <w:r w:rsidRPr="00426625">
        <w:rPr>
          <w:rFonts w:ascii="Times New Roman" w:hAnsi="Times New Roman"/>
          <w:i/>
        </w:rPr>
        <w:t>Digital Archiving: the new challenge?</w:t>
      </w:r>
      <w:r w:rsidRPr="00426625">
        <w:rPr>
          <w:rFonts w:ascii="Times New Roman" w:hAnsi="Times New Roman"/>
        </w:rPr>
        <w:t>, Mont Saint Gui</w:t>
      </w:r>
      <w:r>
        <w:rPr>
          <w:rFonts w:ascii="Times New Roman" w:hAnsi="Times New Roman"/>
        </w:rPr>
        <w:t>-</w:t>
      </w:r>
      <w:r w:rsidRPr="00426625">
        <w:rPr>
          <w:rFonts w:ascii="Times New Roman" w:hAnsi="Times New Roman"/>
        </w:rPr>
        <w:t>bert, IRIS, 2005, p. 18; VERHENNEMAN, G.; ROBBEN, F.; DUMORTIER, J.; ‘Het Belgisch eHealth-platform en haar praktische en juridische uitdagingen’, p. 309.</w:t>
      </w:r>
    </w:p>
  </w:footnote>
  <w:footnote w:id="14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BOUDREZ, F.; DROSSENS, P.; </w:t>
      </w:r>
      <w:r w:rsidRPr="00426625">
        <w:rPr>
          <w:rFonts w:ascii="Times New Roman" w:hAnsi="Times New Roman"/>
          <w:i/>
        </w:rPr>
        <w:t>Substitutie: magda?</w:t>
      </w:r>
      <w:r w:rsidRPr="00426625">
        <w:rPr>
          <w:rFonts w:ascii="Times New Roman" w:hAnsi="Times New Roman"/>
        </w:rPr>
        <w:t>, Antwerpen, 2010, p. 2-3.</w:t>
      </w:r>
    </w:p>
  </w:footnote>
  <w:footnote w:id="15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CORNELIS, L.; SIMONT, L.; ‘Bewijsrecht en Technologische Evolutie: enkele overwegingen’, DE VROE</w:t>
      </w:r>
      <w:r>
        <w:rPr>
          <w:rFonts w:ascii="Times New Roman" w:hAnsi="Times New Roman"/>
        </w:rPr>
        <w:t>-</w:t>
      </w:r>
      <w:r w:rsidRPr="00426625">
        <w:rPr>
          <w:rFonts w:ascii="Times New Roman" w:hAnsi="Times New Roman"/>
        </w:rPr>
        <w:t xml:space="preserve">DE, P. (red.), </w:t>
      </w:r>
      <w:r w:rsidRPr="00426625">
        <w:rPr>
          <w:rFonts w:ascii="Times New Roman" w:hAnsi="Times New Roman"/>
          <w:i/>
        </w:rPr>
        <w:t>Technologie en Recht</w:t>
      </w:r>
      <w:r w:rsidRPr="00426625">
        <w:rPr>
          <w:rFonts w:ascii="Times New Roman" w:hAnsi="Times New Roman"/>
        </w:rPr>
        <w:t xml:space="preserve">, Antwerpen, Kluwer, 1987, p. 152-153. Zie ook: Protocol, gesloten op 19 april 2001 tussen de representatieve organisaties van de verpleeginrichtingen en de verzekeringsinstellingen, houdende de voorwaarden en modaliteiten volgens welke bewijskracht kan worden gegeven tot het bewijs van het tegendeel aan gegevens die worden opgeslagen of bewaard door middel van een elektronische, fotografische, optische of elke andere techniek of medegedeeld op een andere wijze dan op een papieren drager, evenals de voorwaarden en modaliteiten volgens welke deze gegevens worden weergegeven op papieren drager of op elke andere leesbare drager. </w:t>
      </w:r>
    </w:p>
  </w:footnote>
  <w:footnote w:id="15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2 van het KB van 26 april 2007; art. 13 van de </w:t>
      </w:r>
      <w:r w:rsidRPr="00426625">
        <w:rPr>
          <w:rStyle w:val="hps"/>
        </w:rPr>
        <w:t>wet</w:t>
      </w:r>
      <w:r w:rsidRPr="00426625">
        <w:rPr>
          <w:rFonts w:ascii="Times New Roman" w:hAnsi="Times New Roman"/>
        </w:rPr>
        <w:t xml:space="preserve"> </w:t>
      </w:r>
      <w:r w:rsidRPr="00426625">
        <w:rPr>
          <w:rStyle w:val="hps"/>
        </w:rPr>
        <w:t>van 21 augustus</w:t>
      </w:r>
      <w:r w:rsidRPr="00426625">
        <w:rPr>
          <w:rFonts w:ascii="Times New Roman" w:hAnsi="Times New Roman"/>
        </w:rPr>
        <w:t xml:space="preserve"> </w:t>
      </w:r>
      <w:r w:rsidRPr="00426625">
        <w:rPr>
          <w:rStyle w:val="hps"/>
        </w:rPr>
        <w:t>2008</w:t>
      </w:r>
      <w:r w:rsidRPr="00426625">
        <w:rPr>
          <w:rFonts w:ascii="Times New Roman" w:hAnsi="Times New Roman"/>
        </w:rPr>
        <w:t>.</w:t>
      </w:r>
    </w:p>
  </w:footnote>
  <w:footnote w:id="15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NUYTTENS, </w:t>
      </w:r>
      <w:r w:rsidRPr="00426625">
        <w:rPr>
          <w:rFonts w:ascii="Times New Roman" w:hAnsi="Times New Roman"/>
          <w:i/>
          <w:iCs/>
        </w:rPr>
        <w:t>Inspectieverslag betreffende het archief van openbare ziekenhuizen in de provincie West-Vlaanderen</w:t>
      </w:r>
      <w:r w:rsidRPr="00426625">
        <w:rPr>
          <w:rFonts w:ascii="Times New Roman" w:hAnsi="Times New Roman"/>
        </w:rPr>
        <w:t>, p. 61.</w:t>
      </w:r>
    </w:p>
  </w:footnote>
  <w:footnote w:id="15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VANSWEEVELT; DEWALLENS; p. 8-35 en p. 151-155.</w:t>
      </w:r>
    </w:p>
  </w:footnote>
  <w:footnote w:id="15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KB van 3 mei 1999 (2).</w:t>
      </w:r>
    </w:p>
  </w:footnote>
  <w:footnote w:id="15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KB van 28 december 2006. </w:t>
      </w:r>
    </w:p>
  </w:footnote>
  <w:footnote w:id="15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 gebrek aan specifieke wettelijke bepaling kan hiervoor enkel verwezen worden naar de algemene dossier</w:t>
      </w:r>
      <w:r>
        <w:rPr>
          <w:rFonts w:ascii="Times New Roman" w:hAnsi="Times New Roman"/>
        </w:rPr>
        <w:t>-</w:t>
      </w:r>
      <w:r w:rsidRPr="00426625">
        <w:rPr>
          <w:rFonts w:ascii="Times New Roman" w:hAnsi="Times New Roman"/>
        </w:rPr>
        <w:t>plicht, vervat in art. 9 § 1 Wet Patiëntenrechten.</w:t>
      </w:r>
    </w:p>
  </w:footnote>
  <w:footnote w:id="15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8 § 3-§ 4 van de bijlage bij het KB van 14 september 1984 tot vaststelling van de nomenclatuur van de geneeskundige verstrekkingen inzake verplichte verzekering voor geneeskundige verzorging en uitkeringen (</w:t>
      </w:r>
      <w:r w:rsidRPr="00426625">
        <w:rPr>
          <w:rFonts w:ascii="Times New Roman" w:hAnsi="Times New Roman"/>
          <w:i/>
        </w:rPr>
        <w:t>BS</w:t>
      </w:r>
      <w:r w:rsidRPr="00426625">
        <w:rPr>
          <w:rFonts w:ascii="Times New Roman" w:hAnsi="Times New Roman"/>
        </w:rPr>
        <w:t xml:space="preserve"> 29 september 1984).</w:t>
      </w:r>
    </w:p>
  </w:footnote>
  <w:footnote w:id="15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 van het Woonzorgdecreet van de Vlaamse overheid van 13 maart 2009 (</w:t>
      </w:r>
      <w:r w:rsidRPr="00426625">
        <w:rPr>
          <w:rFonts w:ascii="Times New Roman" w:hAnsi="Times New Roman"/>
          <w:i/>
        </w:rPr>
        <w:t>BS</w:t>
      </w:r>
      <w:r w:rsidRPr="00426625">
        <w:rPr>
          <w:rFonts w:ascii="Times New Roman" w:hAnsi="Times New Roman"/>
        </w:rPr>
        <w:t xml:space="preserve"> 14 mei 2009).</w:t>
      </w:r>
    </w:p>
  </w:footnote>
  <w:footnote w:id="15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KB van 3 mei 1999 (1).</w:t>
      </w:r>
    </w:p>
  </w:footnote>
  <w:footnote w:id="16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1 van het KB van 21 september 2004.</w:t>
      </w:r>
    </w:p>
  </w:footnote>
  <w:footnote w:id="16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X van het besluit van de Vlaamse regering van 24 juli 2009 betreffende de programmatie, de erken</w:t>
      </w:r>
      <w:r>
        <w:rPr>
          <w:rFonts w:ascii="Times New Roman" w:hAnsi="Times New Roman"/>
        </w:rPr>
        <w:t>-</w:t>
      </w:r>
      <w:r w:rsidRPr="00426625">
        <w:rPr>
          <w:rFonts w:ascii="Times New Roman" w:hAnsi="Times New Roman"/>
        </w:rPr>
        <w:t>ningsvoorwaarden en de subsidieregeling voor woonzorgvoorzieningen en verenigingen van gebruikers en man</w:t>
      </w:r>
      <w:r>
        <w:rPr>
          <w:rFonts w:ascii="Times New Roman" w:hAnsi="Times New Roman"/>
        </w:rPr>
        <w:t>-</w:t>
      </w:r>
      <w:r w:rsidRPr="00426625">
        <w:rPr>
          <w:rFonts w:ascii="Times New Roman" w:hAnsi="Times New Roman"/>
        </w:rPr>
        <w:t>telzorgers (</w:t>
      </w:r>
      <w:r w:rsidRPr="00426625">
        <w:rPr>
          <w:rFonts w:ascii="Times New Roman" w:hAnsi="Times New Roman"/>
          <w:i/>
        </w:rPr>
        <w:t>BS</w:t>
      </w:r>
      <w:r w:rsidRPr="00426625">
        <w:rPr>
          <w:rFonts w:ascii="Times New Roman" w:hAnsi="Times New Roman"/>
        </w:rPr>
        <w:t xml:space="preserve"> 17 december 2009).</w:t>
      </w:r>
    </w:p>
  </w:footnote>
  <w:footnote w:id="16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6 van de bijlage bij het KB van 14 september 1984 tot vaststelling van de nomenclatuur van de genees</w:t>
      </w:r>
      <w:r>
        <w:rPr>
          <w:rFonts w:ascii="Times New Roman" w:hAnsi="Times New Roman"/>
        </w:rPr>
        <w:t>-</w:t>
      </w:r>
      <w:r w:rsidRPr="00426625">
        <w:rPr>
          <w:rFonts w:ascii="Times New Roman" w:hAnsi="Times New Roman"/>
        </w:rPr>
        <w:t>kundige verstrekkingen inzake verplichte verzekering voor geneeskundige verzorging en uitkeringen (</w:t>
      </w:r>
      <w:r w:rsidRPr="00426625">
        <w:rPr>
          <w:rFonts w:ascii="Times New Roman" w:hAnsi="Times New Roman"/>
          <w:i/>
        </w:rPr>
        <w:t>BS</w:t>
      </w:r>
      <w:r w:rsidRPr="00426625">
        <w:rPr>
          <w:rFonts w:ascii="Times New Roman" w:hAnsi="Times New Roman"/>
        </w:rPr>
        <w:t xml:space="preserve"> 29 sep</w:t>
      </w:r>
      <w:r>
        <w:rPr>
          <w:rFonts w:ascii="Times New Roman" w:hAnsi="Times New Roman"/>
        </w:rPr>
        <w:t>-</w:t>
      </w:r>
      <w:r w:rsidRPr="00426625">
        <w:rPr>
          <w:rFonts w:ascii="Times New Roman" w:hAnsi="Times New Roman"/>
        </w:rPr>
        <w:t>tember 1984).</w:t>
      </w:r>
    </w:p>
  </w:footnote>
  <w:footnote w:id="16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I, punt 7.1, IV van het KB van 21 januari 2009 houdende onderrichtingen voor de apothekers (</w:t>
      </w:r>
      <w:r w:rsidRPr="00426625">
        <w:rPr>
          <w:rFonts w:ascii="Times New Roman" w:hAnsi="Times New Roman"/>
          <w:i/>
        </w:rPr>
        <w:t>BS</w:t>
      </w:r>
      <w:r w:rsidRPr="00426625">
        <w:rPr>
          <w:rFonts w:ascii="Times New Roman" w:hAnsi="Times New Roman"/>
        </w:rPr>
        <w:t xml:space="preserve"> 30 januari 2009).</w:t>
      </w:r>
    </w:p>
  </w:footnote>
  <w:footnote w:id="16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I, punt 7.2, II van het KB van 21 januari 2009.</w:t>
      </w:r>
    </w:p>
  </w:footnote>
  <w:footnote w:id="16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 § 8-§ 9 van de bijlage bij het KB van 14 september 1984 tot vaststelling van de nomenclatuur van de geneeskundige verstrekkingen inzake verplichte verzekering voor geneeskundige verzorging en uitkeringen (</w:t>
      </w:r>
      <w:r w:rsidRPr="00426625">
        <w:rPr>
          <w:rFonts w:ascii="Times New Roman" w:hAnsi="Times New Roman"/>
          <w:i/>
        </w:rPr>
        <w:t>BS</w:t>
      </w:r>
      <w:r w:rsidRPr="00426625">
        <w:rPr>
          <w:rFonts w:ascii="Times New Roman" w:hAnsi="Times New Roman"/>
        </w:rPr>
        <w:t xml:space="preserve"> 29 september 1984).</w:t>
      </w:r>
    </w:p>
  </w:footnote>
  <w:footnote w:id="16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9 § 6 van de bijlage bij het KB van 14 september 1984 tot vaststelling van de nomenclatuur van de ge</w:t>
      </w:r>
      <w:r>
        <w:rPr>
          <w:rFonts w:ascii="Times New Roman" w:hAnsi="Times New Roman"/>
        </w:rPr>
        <w:t>-</w:t>
      </w:r>
      <w:r w:rsidRPr="00426625">
        <w:rPr>
          <w:rFonts w:ascii="Times New Roman" w:hAnsi="Times New Roman"/>
        </w:rPr>
        <w:t>neeskundige verstrekkingen inzake verplichte verzekering voor geneeskundige verzorging en uitkeringen (</w:t>
      </w:r>
      <w:r w:rsidRPr="00426625">
        <w:rPr>
          <w:rFonts w:ascii="Times New Roman" w:hAnsi="Times New Roman"/>
          <w:i/>
        </w:rPr>
        <w:t>BS</w:t>
      </w:r>
      <w:r w:rsidRPr="00426625">
        <w:rPr>
          <w:rFonts w:ascii="Times New Roman" w:hAnsi="Times New Roman"/>
        </w:rPr>
        <w:t xml:space="preserve"> 29 september 1984); art. 1 § 3 van het KB van 1 februari 1991 betreffende de uitoefening van het beroep van vroed</w:t>
      </w:r>
      <w:r>
        <w:rPr>
          <w:rFonts w:ascii="Times New Roman" w:hAnsi="Times New Roman"/>
        </w:rPr>
        <w:t>-</w:t>
      </w:r>
      <w:r w:rsidRPr="00426625">
        <w:rPr>
          <w:rFonts w:ascii="Times New Roman" w:hAnsi="Times New Roman"/>
        </w:rPr>
        <w:t>vrouw (</w:t>
      </w:r>
      <w:r w:rsidRPr="00426625">
        <w:rPr>
          <w:rFonts w:ascii="Times New Roman" w:hAnsi="Times New Roman"/>
          <w:i/>
        </w:rPr>
        <w:t>BS</w:t>
      </w:r>
      <w:r w:rsidRPr="00426625">
        <w:rPr>
          <w:rFonts w:ascii="Times New Roman" w:hAnsi="Times New Roman"/>
        </w:rPr>
        <w:t xml:space="preserve"> 6 april 1991). Zie ook: NYS, H., ‘Gezondheidsrecht’, DECOCK, G.; D’HANIS, H.; JANSSENS, V.; NYS, H.; PEETERS, E.; VANCORENLAND, K.; VANDE MOORTEL, J.; </w:t>
      </w:r>
      <w:r w:rsidRPr="00426625">
        <w:rPr>
          <w:rFonts w:ascii="Times New Roman" w:hAnsi="Times New Roman"/>
          <w:i/>
        </w:rPr>
        <w:t>Recht voor verpleegkundigen en vroedvrouwen</w:t>
      </w:r>
      <w:r w:rsidRPr="00426625">
        <w:rPr>
          <w:rFonts w:ascii="Times New Roman" w:hAnsi="Times New Roman"/>
        </w:rPr>
        <w:t>, Mechelen, Kluwer, 2011</w:t>
      </w:r>
      <w:r w:rsidRPr="00426625">
        <w:rPr>
          <w:rFonts w:ascii="Times New Roman" w:hAnsi="Times New Roman"/>
          <w:vertAlign w:val="superscript"/>
        </w:rPr>
        <w:t>10</w:t>
      </w:r>
      <w:r w:rsidRPr="00426625">
        <w:rPr>
          <w:rFonts w:ascii="Times New Roman" w:hAnsi="Times New Roman"/>
        </w:rPr>
        <w:t>, p. 402 (nr. 725).</w:t>
      </w:r>
    </w:p>
  </w:footnote>
  <w:footnote w:id="16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van het KB van 10 maart 2003 tot wijziging van het koninklijk besluit van 10 januari 1991 tot vaststel</w:t>
      </w:r>
      <w:r>
        <w:rPr>
          <w:rFonts w:ascii="Times New Roman" w:hAnsi="Times New Roman"/>
        </w:rPr>
        <w:t>-</w:t>
      </w:r>
      <w:r w:rsidRPr="00426625">
        <w:rPr>
          <w:rFonts w:ascii="Times New Roman" w:hAnsi="Times New Roman"/>
        </w:rPr>
        <w:t>ling van de nomenclatuur van de revalidatieverstrekkingen bedoeld in art. 23 § 2, tweede lid van de wet betref</w:t>
      </w:r>
      <w:r>
        <w:rPr>
          <w:rFonts w:ascii="Times New Roman" w:hAnsi="Times New Roman"/>
        </w:rPr>
        <w:t>-</w:t>
      </w:r>
      <w:r w:rsidRPr="00426625">
        <w:rPr>
          <w:rFonts w:ascii="Times New Roman" w:hAnsi="Times New Roman"/>
        </w:rPr>
        <w:t>fende de verplichte verzekering voor geneeskundige verzorging en uitkeringen, gecoördineerd op 14 juli 1994, tot vaststelling van de honoraria en prijzen van die verstrekkingen en tot vaststelling van het bedrag van de ver</w:t>
      </w:r>
      <w:r>
        <w:rPr>
          <w:rFonts w:ascii="Times New Roman" w:hAnsi="Times New Roman"/>
        </w:rPr>
        <w:t>-</w:t>
      </w:r>
      <w:r w:rsidRPr="00426625">
        <w:rPr>
          <w:rFonts w:ascii="Times New Roman" w:hAnsi="Times New Roman"/>
        </w:rPr>
        <w:t>zekeringstegemoetkoming in die honoraria en prijzen (</w:t>
      </w:r>
      <w:r w:rsidRPr="00426625">
        <w:rPr>
          <w:rFonts w:ascii="Times New Roman" w:hAnsi="Times New Roman"/>
          <w:i/>
        </w:rPr>
        <w:t>BS</w:t>
      </w:r>
      <w:r w:rsidRPr="00426625">
        <w:rPr>
          <w:rFonts w:ascii="Times New Roman" w:hAnsi="Times New Roman"/>
        </w:rPr>
        <w:t xml:space="preserve"> 17 maart 2003).</w:t>
      </w:r>
    </w:p>
  </w:footnote>
  <w:footnote w:id="16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w:t>
      </w:r>
    </w:p>
  </w:footnote>
  <w:footnote w:id="16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6-12 van het GIS-decreet.</w:t>
      </w:r>
    </w:p>
  </w:footnote>
  <w:footnote w:id="17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79-93 van het KB van 28 mei 2003 betreffende het gezondheidstoezicht op de werknemer (</w:t>
      </w:r>
      <w:r w:rsidRPr="00426625">
        <w:rPr>
          <w:rFonts w:ascii="Times New Roman" w:hAnsi="Times New Roman"/>
          <w:i/>
        </w:rPr>
        <w:t>BS</w:t>
      </w:r>
      <w:r w:rsidRPr="00426625">
        <w:rPr>
          <w:rFonts w:ascii="Times New Roman" w:hAnsi="Times New Roman"/>
        </w:rPr>
        <w:t xml:space="preserve"> 16 juni 2003).</w:t>
      </w:r>
    </w:p>
  </w:footnote>
  <w:footnote w:id="17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20-23 van het Vlaams decreet van 7 mei 2004 betreffende de rechtspositie van de minderjarige in de inte</w:t>
      </w:r>
      <w:r>
        <w:rPr>
          <w:rFonts w:ascii="Times New Roman" w:hAnsi="Times New Roman"/>
        </w:rPr>
        <w:t>-</w:t>
      </w:r>
      <w:r w:rsidRPr="00426625">
        <w:rPr>
          <w:rFonts w:ascii="Times New Roman" w:hAnsi="Times New Roman"/>
        </w:rPr>
        <w:t>grale jeugdhulp (</w:t>
      </w:r>
      <w:r w:rsidRPr="00426625">
        <w:rPr>
          <w:rFonts w:ascii="Times New Roman" w:hAnsi="Times New Roman"/>
          <w:i/>
        </w:rPr>
        <w:t>BS</w:t>
      </w:r>
      <w:r w:rsidRPr="00426625">
        <w:rPr>
          <w:rFonts w:ascii="Times New Roman" w:hAnsi="Times New Roman"/>
        </w:rPr>
        <w:t xml:space="preserve"> 4 oktober 2004).</w:t>
      </w:r>
    </w:p>
  </w:footnote>
  <w:footnote w:id="17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Besluit van de Vlaamse regering van 12 september 2008 betreffende het multidisciplinaire dossier in de cen</w:t>
      </w:r>
      <w:r>
        <w:rPr>
          <w:rFonts w:ascii="Times New Roman" w:hAnsi="Times New Roman"/>
        </w:rPr>
        <w:t>-</w:t>
      </w:r>
      <w:r w:rsidRPr="00426625">
        <w:rPr>
          <w:rFonts w:ascii="Times New Roman" w:hAnsi="Times New Roman"/>
        </w:rPr>
        <w:t>tra voor leerlingenbegeleiding (</w:t>
      </w:r>
      <w:r w:rsidRPr="00426625">
        <w:rPr>
          <w:rFonts w:ascii="Times New Roman" w:hAnsi="Times New Roman"/>
          <w:i/>
        </w:rPr>
        <w:t>BS</w:t>
      </w:r>
      <w:r w:rsidRPr="00426625">
        <w:rPr>
          <w:rFonts w:ascii="Times New Roman" w:hAnsi="Times New Roman"/>
        </w:rPr>
        <w:t xml:space="preserve"> 17 november 2008). Zie ook: ‘Multidisciplinair dossier in de Centra voor Leerlingenbegeleiding’, </w:t>
      </w:r>
      <w:r w:rsidRPr="00426625">
        <w:rPr>
          <w:rFonts w:ascii="Times New Roman" w:hAnsi="Times New Roman"/>
          <w:i/>
        </w:rPr>
        <w:t>T.N.R.</w:t>
      </w:r>
      <w:r w:rsidRPr="00426625">
        <w:rPr>
          <w:rFonts w:ascii="Times New Roman" w:hAnsi="Times New Roman"/>
        </w:rPr>
        <w:t xml:space="preserve">, 91 (2000), p. 8; VAN DER STRAETE, I.; PUT, J.; ‘Het multidisciplinair dossier in de centra voor leerlingenbegeleiding’, </w:t>
      </w:r>
      <w:r w:rsidRPr="00426625">
        <w:rPr>
          <w:rFonts w:ascii="Times New Roman" w:hAnsi="Times New Roman"/>
          <w:i/>
        </w:rPr>
        <w:t>T.O.R.B.</w:t>
      </w:r>
      <w:r w:rsidRPr="00426625">
        <w:rPr>
          <w:rFonts w:ascii="Times New Roman" w:hAnsi="Times New Roman"/>
        </w:rPr>
        <w:t>, 2001-2002, 4, p. 272-283.</w:t>
      </w:r>
    </w:p>
  </w:footnote>
  <w:footnote w:id="17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III, punt 1.4 van het KB van 28 september 2009 tot vaststelling van de kwaliteits- en veiligheidsnor</w:t>
      </w:r>
      <w:r>
        <w:rPr>
          <w:rFonts w:ascii="Times New Roman" w:hAnsi="Times New Roman"/>
        </w:rPr>
        <w:t>-</w:t>
      </w:r>
      <w:r w:rsidRPr="00426625">
        <w:rPr>
          <w:rFonts w:ascii="Times New Roman" w:hAnsi="Times New Roman"/>
        </w:rPr>
        <w:t>men voor het doneren, wegnemen, verkrijgen, testen, bewerken, bewaren en distribueren van menselijk lichaamsmateriaal, waaraan de banken voor menselijk lichaamsmateriaal en de productie-instellingen moeten voldoen (</w:t>
      </w:r>
      <w:r w:rsidRPr="00426625">
        <w:rPr>
          <w:rFonts w:ascii="Times New Roman" w:hAnsi="Times New Roman"/>
          <w:i/>
        </w:rPr>
        <w:t xml:space="preserve">BS </w:t>
      </w:r>
      <w:r w:rsidRPr="00426625">
        <w:rPr>
          <w:rFonts w:ascii="Times New Roman" w:hAnsi="Times New Roman"/>
        </w:rPr>
        <w:t>23 oktober 2009).</w:t>
      </w:r>
    </w:p>
  </w:footnote>
  <w:footnote w:id="174">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 § 2 van het KB van 13 oktober 1998 tot bepaling van de minimale criteria waaraan de overeenkomsten tussen de multidisciplinaire begeleidingsequipes voor palliatieve verzorging en het Verzekeringscomité ingesteld bij de Dienst voor geneeskundige verzorging van het Rijksinstituut voor ziekte- en invaliditeitsverzekering moe</w:t>
      </w:r>
      <w:r>
        <w:rPr>
          <w:rFonts w:ascii="Times New Roman" w:hAnsi="Times New Roman" w:cs="Times New Roman"/>
          <w:sz w:val="20"/>
          <w:szCs w:val="20"/>
        </w:rPr>
        <w:t>-</w:t>
      </w:r>
      <w:r w:rsidRPr="00426625">
        <w:rPr>
          <w:rFonts w:ascii="Times New Roman" w:hAnsi="Times New Roman" w:cs="Times New Roman"/>
          <w:sz w:val="20"/>
          <w:szCs w:val="20"/>
        </w:rPr>
        <w:t>ten voldoen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4 november 1998).</w:t>
      </w:r>
    </w:p>
  </w:footnote>
  <w:footnote w:id="17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VEYS, M.N., </w:t>
      </w:r>
      <w:r w:rsidRPr="00426625">
        <w:rPr>
          <w:rFonts w:ascii="Times New Roman" w:hAnsi="Times New Roman"/>
          <w:i/>
        </w:rPr>
        <w:t>De Wet Patiëntenrechten in de psychiatrie: in opdracht van de FOD Volksgezondheid, Veilig</w:t>
      </w:r>
      <w:r>
        <w:rPr>
          <w:rFonts w:ascii="Times New Roman" w:hAnsi="Times New Roman"/>
          <w:i/>
        </w:rPr>
        <w:t>-</w:t>
      </w:r>
      <w:r w:rsidRPr="00426625">
        <w:rPr>
          <w:rFonts w:ascii="Times New Roman" w:hAnsi="Times New Roman"/>
          <w:i/>
        </w:rPr>
        <w:t>heid van de Voedselketen en Leefmilieu</w:t>
      </w:r>
      <w:r w:rsidRPr="00426625">
        <w:rPr>
          <w:rFonts w:ascii="Times New Roman" w:hAnsi="Times New Roman"/>
        </w:rPr>
        <w:t>, Bibliotheek Burgerlijk recht en Procesrecht Larcier, 14, Gent, Larcier, 2008, p. 171-191.</w:t>
      </w:r>
    </w:p>
  </w:footnote>
  <w:footnote w:id="176">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BLOEM, D., ‘Le mineur d’âge et son dossier médical’, ALDEEB ABU-SAHLIEH, S.A.; BLOEM, D.; GER</w:t>
      </w:r>
      <w:r>
        <w:rPr>
          <w:rFonts w:ascii="Times New Roman" w:hAnsi="Times New Roman"/>
        </w:rPr>
        <w:t>-</w:t>
      </w:r>
      <w:r w:rsidRPr="00426625">
        <w:rPr>
          <w:rFonts w:ascii="Times New Roman" w:hAnsi="Times New Roman"/>
        </w:rPr>
        <w:t xml:space="preserve">GELY, T.; GONSETTE, R.E.; GRIGORIEFF, G.V.; HENRY, P.; NAZARIAN, M.; THIRY, E.; RAVEZ, L.; ROGISTER, B.; VAN CROMBRUGGHE, N.; VERMEULEN, A.; </w:t>
      </w:r>
      <w:r w:rsidRPr="00426625">
        <w:rPr>
          <w:rFonts w:ascii="Times New Roman" w:hAnsi="Times New Roman"/>
          <w:i/>
        </w:rPr>
        <w:t>Médecine et droit.</w:t>
      </w:r>
      <w:r w:rsidRPr="00426625">
        <w:rPr>
          <w:rFonts w:ascii="Times New Roman" w:hAnsi="Times New Roman"/>
        </w:rPr>
        <w:t xml:space="preserve"> </w:t>
      </w:r>
      <w:r w:rsidRPr="00E333B6">
        <w:rPr>
          <w:rFonts w:ascii="Times New Roman" w:hAnsi="Times New Roman"/>
          <w:i/>
          <w:lang w:val="fr-BE"/>
        </w:rPr>
        <w:t>Questions d'actualité en droit médical et en bioéthique</w:t>
      </w:r>
      <w:r w:rsidRPr="00E333B6">
        <w:rPr>
          <w:rFonts w:ascii="Times New Roman" w:hAnsi="Times New Roman"/>
          <w:lang w:val="fr-BE"/>
        </w:rPr>
        <w:t>, Louvain-la-Neuve, Anthemis, 2007, p. 49-61.</w:t>
      </w:r>
    </w:p>
  </w:footnote>
  <w:footnote w:id="17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Dixit Michel Nuyttens, tijdens een gesprek in het Algemeen Rijksarchief te Brussel op donderdag 8 maart 2012. Cf. MEIRESONNE, A., ‘Records Management op de Campus Brugmann: het patiëntendossier’, JANS</w:t>
      </w:r>
      <w:r>
        <w:rPr>
          <w:rFonts w:ascii="Times New Roman" w:hAnsi="Times New Roman"/>
        </w:rPr>
        <w:t>-</w:t>
      </w:r>
      <w:r w:rsidRPr="00426625">
        <w:rPr>
          <w:rFonts w:ascii="Times New Roman" w:hAnsi="Times New Roman"/>
        </w:rPr>
        <w:t xml:space="preserve">SENS, G.; MARECHAL, G.; SCHEELINGS, F. (reds.); </w:t>
      </w:r>
      <w:r w:rsidRPr="00426625">
        <w:rPr>
          <w:rFonts w:ascii="Times New Roman" w:hAnsi="Times New Roman"/>
          <w:i/>
        </w:rPr>
        <w:t>Archiefinitiatie(f), 4: Door de archivistiek gestrikt. Li</w:t>
      </w:r>
      <w:r>
        <w:rPr>
          <w:rFonts w:ascii="Times New Roman" w:hAnsi="Times New Roman"/>
          <w:i/>
        </w:rPr>
        <w:t>-</w:t>
      </w:r>
      <w:r w:rsidRPr="00426625">
        <w:rPr>
          <w:rFonts w:ascii="Times New Roman" w:hAnsi="Times New Roman"/>
          <w:i/>
        </w:rPr>
        <w:t>ber amicorum prof. dr. Juul Verhelst</w:t>
      </w:r>
      <w:r w:rsidRPr="00426625">
        <w:rPr>
          <w:rFonts w:ascii="Times New Roman" w:hAnsi="Times New Roman"/>
        </w:rPr>
        <w:t>, Brussel, VUBPress, 2000, p. 178.</w:t>
      </w:r>
    </w:p>
  </w:footnote>
  <w:footnote w:id="17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3. </w:t>
      </w:r>
    </w:p>
  </w:footnote>
  <w:footnote w:id="17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DHONDT, J.; POULLET, Y.; ‘Het Algemeen Medisch Dossier: een correcte afweging tussen staatseffi</w:t>
      </w:r>
      <w:r>
        <w:rPr>
          <w:rFonts w:ascii="Times New Roman" w:hAnsi="Times New Roman"/>
        </w:rPr>
        <w:t>-</w:t>
      </w:r>
      <w:r w:rsidRPr="00426625">
        <w:rPr>
          <w:rFonts w:ascii="Times New Roman" w:hAnsi="Times New Roman"/>
        </w:rPr>
        <w:t xml:space="preserve">ciëntie en de vrijheid van de zorgverlener en de privacy van de patiënt?’, </w:t>
      </w:r>
      <w:r w:rsidRPr="00426625">
        <w:rPr>
          <w:rFonts w:ascii="Times New Roman" w:hAnsi="Times New Roman"/>
          <w:i/>
        </w:rPr>
        <w:t>T.Gez.</w:t>
      </w:r>
      <w:r w:rsidRPr="00426625">
        <w:rPr>
          <w:rFonts w:ascii="Times New Roman" w:hAnsi="Times New Roman"/>
        </w:rPr>
        <w:t>, 1999-2000, p. 246-254.</w:t>
      </w:r>
    </w:p>
  </w:footnote>
  <w:footnote w:id="18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M8, I, 1, 2° van het nationaal akkoord geneesheren-ziekenfondsen van 18 december 2000 (</w:t>
      </w:r>
      <w:r w:rsidRPr="00426625">
        <w:rPr>
          <w:rFonts w:ascii="Times New Roman" w:hAnsi="Times New Roman"/>
          <w:i/>
          <w:iCs/>
        </w:rPr>
        <w:t xml:space="preserve">BS </w:t>
      </w:r>
      <w:r w:rsidRPr="00426625">
        <w:rPr>
          <w:rFonts w:ascii="Times New Roman" w:hAnsi="Times New Roman"/>
        </w:rPr>
        <w:t>20 januari 2001); KB van 14 mei 2002 tot wijziging van art. 37</w:t>
      </w:r>
      <w:r w:rsidRPr="00426625">
        <w:rPr>
          <w:rFonts w:ascii="Times New Roman" w:hAnsi="Times New Roman"/>
          <w:i/>
          <w:iCs/>
        </w:rPr>
        <w:t xml:space="preserve">bis </w:t>
      </w:r>
      <w:r w:rsidRPr="00426625">
        <w:rPr>
          <w:rFonts w:ascii="Times New Roman" w:hAnsi="Times New Roman"/>
        </w:rPr>
        <w:t>van de wet betreffende de verplichte verzekering voor geneeskundige verzorging en uitkeringen, gecoördineerd op 14 juli 1994 (</w:t>
      </w:r>
      <w:r w:rsidRPr="00426625">
        <w:rPr>
          <w:rFonts w:ascii="Times New Roman" w:hAnsi="Times New Roman"/>
          <w:i/>
          <w:iCs/>
        </w:rPr>
        <w:t>BS</w:t>
      </w:r>
      <w:r w:rsidRPr="00426625">
        <w:rPr>
          <w:rFonts w:ascii="Times New Roman" w:hAnsi="Times New Roman"/>
        </w:rPr>
        <w:t xml:space="preserve"> 24 mei 2002).</w:t>
      </w:r>
    </w:p>
  </w:footnote>
  <w:footnote w:id="18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4 van het KB van 18 februari 2004 tot wijziging van art. 37</w:t>
      </w:r>
      <w:r w:rsidRPr="00426625">
        <w:rPr>
          <w:rFonts w:ascii="Times New Roman" w:hAnsi="Times New Roman"/>
          <w:i/>
          <w:iCs/>
        </w:rPr>
        <w:t xml:space="preserve">bis </w:t>
      </w:r>
      <w:r w:rsidRPr="00426625">
        <w:rPr>
          <w:rFonts w:ascii="Times New Roman" w:hAnsi="Times New Roman"/>
        </w:rPr>
        <w:t>van de wet betreffende de verplichte verzekering voor geneeskundige verzorging en uitkeringen, gecoördineerd op 14 juli 1994 (</w:t>
      </w:r>
      <w:r w:rsidRPr="00426625">
        <w:rPr>
          <w:rFonts w:ascii="Times New Roman" w:hAnsi="Times New Roman"/>
          <w:i/>
          <w:iCs/>
        </w:rPr>
        <w:t>BS</w:t>
      </w:r>
      <w:r w:rsidRPr="00426625">
        <w:rPr>
          <w:rFonts w:ascii="Times New Roman" w:hAnsi="Times New Roman"/>
        </w:rPr>
        <w:t xml:space="preserve"> 24 februari 2004); ‘Remgeldverlaging GMD [Globaal Medisch Dossier]’, </w:t>
      </w:r>
      <w:r w:rsidRPr="00426625">
        <w:rPr>
          <w:rFonts w:ascii="Times New Roman" w:hAnsi="Times New Roman"/>
          <w:i/>
        </w:rPr>
        <w:t>N.J.W.</w:t>
      </w:r>
      <w:r w:rsidRPr="00426625">
        <w:rPr>
          <w:rFonts w:ascii="Times New Roman" w:hAnsi="Times New Roman"/>
        </w:rPr>
        <w:t xml:space="preserve">, 252 (2011), p. 712; ‘Remgeldverlaging herleidt huisartsgeneeskunde tot fastfood’, </w:t>
      </w:r>
      <w:r w:rsidRPr="00426625">
        <w:rPr>
          <w:rFonts w:ascii="Times New Roman" w:hAnsi="Times New Roman"/>
          <w:i/>
        </w:rPr>
        <w:t>De Standaard</w:t>
      </w:r>
      <w:r w:rsidRPr="00426625">
        <w:rPr>
          <w:rFonts w:ascii="Times New Roman" w:hAnsi="Times New Roman"/>
        </w:rPr>
        <w:t>, 10 november 2011.</w:t>
      </w:r>
    </w:p>
  </w:footnote>
  <w:footnote w:id="18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‘Geautomatiseerd globaal medisch dossier’, </w:t>
      </w:r>
      <w:r w:rsidRPr="00426625">
        <w:rPr>
          <w:rFonts w:ascii="Times New Roman" w:hAnsi="Times New Roman"/>
          <w:i/>
          <w:iCs/>
        </w:rPr>
        <w:t>T.N.R.</w:t>
      </w:r>
      <w:r w:rsidRPr="00426625">
        <w:rPr>
          <w:rFonts w:ascii="Times New Roman" w:hAnsi="Times New Roman"/>
        </w:rPr>
        <w:t>, 84 (1998), p. 14.</w:t>
      </w:r>
    </w:p>
  </w:footnote>
  <w:footnote w:id="18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N1, B, 3, h van het KB van 21 september 2004.</w:t>
      </w:r>
    </w:p>
  </w:footnote>
  <w:footnote w:id="18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‘Rustoorden voor bejaarden (ROB’s) en rust- en verzorgingstehuizen voor bejaarden (RVTB’s) – Samenstel</w:t>
      </w:r>
      <w:r>
        <w:rPr>
          <w:rFonts w:ascii="Times New Roman" w:hAnsi="Times New Roman"/>
        </w:rPr>
        <w:t>-</w:t>
      </w:r>
      <w:r w:rsidRPr="00426625">
        <w:rPr>
          <w:rFonts w:ascii="Times New Roman" w:hAnsi="Times New Roman"/>
        </w:rPr>
        <w:t xml:space="preserve">ling en toegankelijkheid van de dossiers’, </w:t>
      </w:r>
      <w:r w:rsidRPr="00426625">
        <w:rPr>
          <w:rFonts w:ascii="Times New Roman" w:hAnsi="Times New Roman"/>
          <w:i/>
        </w:rPr>
        <w:t>T.N.R.</w:t>
      </w:r>
      <w:r w:rsidRPr="00426625">
        <w:rPr>
          <w:rFonts w:ascii="Times New Roman" w:hAnsi="Times New Roman"/>
        </w:rPr>
        <w:t>, 123 (2008).</w:t>
      </w:r>
    </w:p>
  </w:footnote>
  <w:footnote w:id="18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6, 8° van het KB van 7 juni 2009 tot wijziging van het KB van 21 september 2004 (</w:t>
      </w:r>
      <w:r w:rsidRPr="00426625">
        <w:rPr>
          <w:rFonts w:ascii="Times New Roman" w:hAnsi="Times New Roman"/>
          <w:i/>
        </w:rPr>
        <w:t>BS</w:t>
      </w:r>
      <w:r w:rsidRPr="00426625">
        <w:rPr>
          <w:rFonts w:ascii="Times New Roman" w:hAnsi="Times New Roman"/>
        </w:rPr>
        <w:t xml:space="preserve"> 20 juli 2009), dat onder meer art. N1, B, 3, i van het KB van 21 september 2004 aanvult.</w:t>
      </w:r>
    </w:p>
  </w:footnote>
  <w:footnote w:id="18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N1, B, 3, h, 1, c) van het KB van 21 september 2004; ‘Medisch dossiers van bejaarden – Medisch ge</w:t>
      </w:r>
      <w:r>
        <w:rPr>
          <w:rFonts w:ascii="Times New Roman" w:hAnsi="Times New Roman"/>
        </w:rPr>
        <w:t>-</w:t>
      </w:r>
      <w:r w:rsidRPr="00426625">
        <w:rPr>
          <w:rFonts w:ascii="Times New Roman" w:hAnsi="Times New Roman"/>
        </w:rPr>
        <w:t xml:space="preserve">heim’, </w:t>
      </w:r>
      <w:r w:rsidRPr="00426625">
        <w:rPr>
          <w:rFonts w:ascii="Times New Roman" w:hAnsi="Times New Roman"/>
          <w:i/>
        </w:rPr>
        <w:t>T.N.R.</w:t>
      </w:r>
      <w:r w:rsidRPr="00426625">
        <w:rPr>
          <w:rFonts w:ascii="Times New Roman" w:hAnsi="Times New Roman"/>
        </w:rPr>
        <w:t xml:space="preserve">, 40 (1988), p. 12; ‘Rust- en verzorgingstehuizen’, </w:t>
      </w:r>
      <w:r w:rsidRPr="00426625">
        <w:rPr>
          <w:rFonts w:ascii="Times New Roman" w:hAnsi="Times New Roman"/>
          <w:i/>
        </w:rPr>
        <w:t>T.N.R.</w:t>
      </w:r>
      <w:r w:rsidRPr="00426625">
        <w:rPr>
          <w:rFonts w:ascii="Times New Roman" w:hAnsi="Times New Roman"/>
        </w:rPr>
        <w:t xml:space="preserve">, 56 (1991), p. 44; ‘Coördinerende artsen van een RVT en behandelende artsen in een RVT’, </w:t>
      </w:r>
      <w:r w:rsidRPr="00426625">
        <w:rPr>
          <w:rFonts w:ascii="Times New Roman" w:hAnsi="Times New Roman"/>
          <w:i/>
        </w:rPr>
        <w:t>T.N.R.</w:t>
      </w:r>
      <w:r w:rsidRPr="00426625">
        <w:rPr>
          <w:rFonts w:ascii="Times New Roman" w:hAnsi="Times New Roman"/>
        </w:rPr>
        <w:t xml:space="preserve">, 90 (2000), p. 9; ‘Coördinerende arts in de RVT’s – KB van 24 juni 1999’, </w:t>
      </w:r>
      <w:r w:rsidRPr="00426625">
        <w:rPr>
          <w:rFonts w:ascii="Times New Roman" w:hAnsi="Times New Roman"/>
          <w:i/>
        </w:rPr>
        <w:t>T.N.R.</w:t>
      </w:r>
      <w:r w:rsidRPr="00426625">
        <w:rPr>
          <w:rFonts w:ascii="Times New Roman" w:hAnsi="Times New Roman"/>
        </w:rPr>
        <w:t xml:space="preserve">, 90 (2000), p. 10; ‘Medisch dossier in een rust- en verzorgingstehuis in het Waals Gewest’, </w:t>
      </w:r>
      <w:r w:rsidRPr="00426625">
        <w:rPr>
          <w:rFonts w:ascii="Times New Roman" w:hAnsi="Times New Roman"/>
          <w:i/>
        </w:rPr>
        <w:t>T.N.R.</w:t>
      </w:r>
      <w:r w:rsidRPr="00426625">
        <w:rPr>
          <w:rFonts w:ascii="Times New Roman" w:hAnsi="Times New Roman"/>
        </w:rPr>
        <w:t>, 99 (2002), p. 3.</w:t>
      </w:r>
    </w:p>
  </w:footnote>
  <w:footnote w:id="18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CLEPKENS, C., ‘Overhandigen van medische gegevens uit het RVT-dossier’, p. 182.</w:t>
      </w:r>
    </w:p>
  </w:footnote>
  <w:footnote w:id="18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454 § 1 WGBO. Deze wet werd in boek 7 van het Burgerlijk Wetboek geïmplementeerd, zodat deze be</w:t>
      </w:r>
      <w:r>
        <w:rPr>
          <w:rFonts w:ascii="Times New Roman" w:hAnsi="Times New Roman"/>
        </w:rPr>
        <w:t>-</w:t>
      </w:r>
      <w:r w:rsidRPr="00426625">
        <w:rPr>
          <w:rFonts w:ascii="Times New Roman" w:hAnsi="Times New Roman"/>
        </w:rPr>
        <w:t xml:space="preserve">paling identiek is aan art. 7:454 § 1 NBW. SLUIJTERS, B., ‘De WGBO, onderdeel van het burgerlijk recht’, </w:t>
      </w:r>
      <w:r w:rsidRPr="0007364F">
        <w:rPr>
          <w:rFonts w:ascii="Times New Roman" w:hAnsi="Times New Roman"/>
          <w:i/>
        </w:rPr>
        <w:t>T.G.</w:t>
      </w:r>
      <w:r w:rsidRPr="00426625">
        <w:rPr>
          <w:rFonts w:ascii="Times New Roman" w:hAnsi="Times New Roman"/>
        </w:rPr>
        <w:t>, 1996, 1, p. 2-7. Bovendien is een analoge bepaling terug te vinden in art. 19 § 1 Wcz</w:t>
      </w:r>
      <w:r w:rsidRPr="00426625">
        <w:rPr>
          <w:rFonts w:ascii="Times New Roman" w:hAnsi="Times New Roman"/>
          <w:i/>
          <w:iCs/>
        </w:rPr>
        <w:t>.</w:t>
      </w:r>
      <w:r w:rsidRPr="00426625">
        <w:rPr>
          <w:rFonts w:ascii="Times New Roman" w:hAnsi="Times New Roman"/>
        </w:rPr>
        <w:t xml:space="preserve"> </w:t>
      </w:r>
    </w:p>
  </w:footnote>
  <w:footnote w:id="18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454 § 3 WGBO; art. 20 § 1 Wcz. Zie ook: deel 3. </w:t>
      </w:r>
    </w:p>
  </w:footnote>
  <w:footnote w:id="19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1989-1990, 21 561, nr. 3, p. 17. Cf. de definitie voor ‘het dossier’ dat door de Nota van Wijziging aan art. 1 van het wetsvoorstel cliëntenrechten zorg werd toegevoegd</w:t>
      </w:r>
      <w:r w:rsidRPr="00426625">
        <w:rPr>
          <w:rFonts w:ascii="Times New Roman" w:eastAsia="Times New Roman" w:hAnsi="Times New Roman"/>
          <w:lang w:eastAsia="nl-BE"/>
        </w:rPr>
        <w:t>.</w:t>
      </w:r>
    </w:p>
  </w:footnote>
  <w:footnote w:id="19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SLUIJTERS, B.; BIESAART, M.C.I.H.; </w:t>
      </w:r>
      <w:r w:rsidRPr="00426625">
        <w:rPr>
          <w:rFonts w:ascii="Times New Roman" w:hAnsi="Times New Roman"/>
          <w:i/>
          <w:iCs/>
        </w:rPr>
        <w:t>De geneeskundige behandelingsovereenkomst</w:t>
      </w:r>
      <w:r w:rsidRPr="00426625">
        <w:rPr>
          <w:rFonts w:ascii="Times New Roman" w:hAnsi="Times New Roman"/>
        </w:rPr>
        <w:t>, Deventer, Kluwer, 2005², p. 67.</w:t>
      </w:r>
    </w:p>
  </w:footnote>
  <w:footnote w:id="192">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WITMER, J.M.; DE ROODE, R.P. (reds.); </w:t>
      </w:r>
      <w:r w:rsidRPr="00426625">
        <w:rPr>
          <w:rFonts w:ascii="Times New Roman" w:hAnsi="Times New Roman" w:cs="Times New Roman"/>
          <w:i/>
          <w:iCs/>
          <w:sz w:val="20"/>
          <w:szCs w:val="20"/>
        </w:rPr>
        <w:t>Van wet naar praktijk. Implementatie van de WGBO. Deel 3: Dossier en bewaartermijnen</w:t>
      </w:r>
      <w:r w:rsidRPr="00426625">
        <w:rPr>
          <w:rFonts w:ascii="Times New Roman" w:hAnsi="Times New Roman" w:cs="Times New Roman"/>
          <w:sz w:val="20"/>
          <w:szCs w:val="20"/>
        </w:rPr>
        <w:t>, Utrecht, KNMG, 2004, p. 17.</w:t>
      </w:r>
    </w:p>
  </w:footnote>
  <w:footnote w:id="19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Nederlandse Gezondheidsraad, </w:t>
      </w:r>
      <w:r w:rsidRPr="00426625">
        <w:rPr>
          <w:rFonts w:ascii="Times New Roman" w:hAnsi="Times New Roman"/>
          <w:i/>
        </w:rPr>
        <w:t>Advies inzake registratie van medische en psychologische gegevens en de be</w:t>
      </w:r>
      <w:r>
        <w:rPr>
          <w:rFonts w:ascii="Times New Roman" w:hAnsi="Times New Roman"/>
          <w:i/>
        </w:rPr>
        <w:t>-</w:t>
      </w:r>
      <w:r w:rsidRPr="00426625">
        <w:rPr>
          <w:rFonts w:ascii="Times New Roman" w:hAnsi="Times New Roman"/>
          <w:i/>
        </w:rPr>
        <w:t>scherming van de persoonlijke levenssfeer (privacy)</w:t>
      </w:r>
      <w:r w:rsidRPr="00426625">
        <w:rPr>
          <w:rFonts w:ascii="Times New Roman" w:hAnsi="Times New Roman"/>
        </w:rPr>
        <w:t>, ’s-Gravenhage, Staatsuitgeverij, 1978, p. 13. Voor een be</w:t>
      </w:r>
      <w:r>
        <w:rPr>
          <w:rFonts w:ascii="Times New Roman" w:hAnsi="Times New Roman"/>
        </w:rPr>
        <w:t>-</w:t>
      </w:r>
      <w:r w:rsidRPr="00426625">
        <w:rPr>
          <w:rFonts w:ascii="Times New Roman" w:hAnsi="Times New Roman"/>
        </w:rPr>
        <w:t xml:space="preserve">spreking van dit advies, zie: GEVERS, J.K.M., ‘Registratie van medische gegevens en privacybescherming’, </w:t>
      </w:r>
      <w:r w:rsidRPr="00426625">
        <w:rPr>
          <w:rFonts w:ascii="Times New Roman" w:hAnsi="Times New Roman"/>
          <w:i/>
        </w:rPr>
        <w:t>N.T.G.</w:t>
      </w:r>
      <w:r w:rsidRPr="00426625">
        <w:rPr>
          <w:rFonts w:ascii="Times New Roman" w:hAnsi="Times New Roman"/>
        </w:rPr>
        <w:t>, 130/7 (1986), p. 316-318.</w:t>
      </w:r>
    </w:p>
  </w:footnote>
  <w:footnote w:id="19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HERTEN, J.H.S., ‘De begrippen «medische gegevens» en «medische dossiers»’, </w:t>
      </w:r>
      <w:r w:rsidRPr="00426625">
        <w:rPr>
          <w:rFonts w:ascii="Times New Roman" w:hAnsi="Times New Roman"/>
          <w:i/>
        </w:rPr>
        <w:t>M.C.</w:t>
      </w:r>
      <w:r w:rsidRPr="00426625">
        <w:rPr>
          <w:rFonts w:ascii="Times New Roman" w:hAnsi="Times New Roman"/>
        </w:rPr>
        <w:t>, 34/48 (1979), p. 1527-1528.</w:t>
      </w:r>
    </w:p>
  </w:footnote>
  <w:footnote w:id="19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Nederlandse Centrale Raad voor de Volksgezondheid, </w:t>
      </w:r>
      <w:r w:rsidRPr="00426625">
        <w:rPr>
          <w:rFonts w:ascii="Times New Roman" w:hAnsi="Times New Roman"/>
          <w:i/>
        </w:rPr>
        <w:t>Deeladvies inzake de bescherming van privacy van de patiënt</w:t>
      </w:r>
      <w:r w:rsidRPr="00426625">
        <w:rPr>
          <w:rFonts w:ascii="Times New Roman" w:hAnsi="Times New Roman"/>
        </w:rPr>
        <w:t>, Rijswijk, Staatsuitgeverij, 1981, p. 41. (87p.)</w:t>
      </w:r>
    </w:p>
  </w:footnote>
  <w:footnote w:id="19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HERTEN, J.H.S., ‘Medische dossiers in algemene ziekenhuizen. Proeve van een reglement’, </w:t>
      </w:r>
      <w:r w:rsidRPr="00426625">
        <w:rPr>
          <w:rFonts w:ascii="Times New Roman" w:hAnsi="Times New Roman"/>
          <w:i/>
        </w:rPr>
        <w:t>M.C.</w:t>
      </w:r>
      <w:r w:rsidRPr="00426625">
        <w:rPr>
          <w:rFonts w:ascii="Times New Roman" w:hAnsi="Times New Roman"/>
        </w:rPr>
        <w:t>, 35/7 (1980), p. 221.</w:t>
      </w:r>
    </w:p>
  </w:footnote>
  <w:footnote w:id="19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SCHUTYSER, K., ‘Eigendomsrecht en medische dossiers’, </w:t>
      </w:r>
      <w:r w:rsidRPr="00426625">
        <w:rPr>
          <w:rFonts w:ascii="Times New Roman" w:hAnsi="Times New Roman"/>
          <w:i/>
        </w:rPr>
        <w:t>R.W.</w:t>
      </w:r>
      <w:r w:rsidRPr="00426625">
        <w:rPr>
          <w:rFonts w:ascii="Times New Roman" w:hAnsi="Times New Roman"/>
        </w:rPr>
        <w:t>, 1983-1984, k. 3023-3024.</w:t>
      </w:r>
    </w:p>
  </w:footnote>
  <w:footnote w:id="19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meer informatie over het ‘landelijk elektronisch patiëntendossier’, zie voetnoot 81 en deel 2.</w:t>
      </w:r>
    </w:p>
  </w:footnote>
  <w:footnote w:id="199">
    <w:p w:rsidR="00E82D16" w:rsidRPr="00426625" w:rsidRDefault="00E82D16" w:rsidP="00426625">
      <w:pPr>
        <w:pStyle w:val="Geenafstand"/>
        <w:ind w:firstLine="1"/>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MIES, R., </w:t>
      </w:r>
      <w:r w:rsidRPr="00426625">
        <w:rPr>
          <w:rFonts w:ascii="Times New Roman" w:hAnsi="Times New Roman" w:cs="Times New Roman"/>
          <w:i/>
          <w:sz w:val="20"/>
          <w:szCs w:val="20"/>
        </w:rPr>
        <w:t>Het invoeren van een elektronisch patiëntendossier. Struikelblokken en aandachtspunten bij het in</w:t>
      </w:r>
      <w:r>
        <w:rPr>
          <w:rFonts w:ascii="Times New Roman" w:hAnsi="Times New Roman" w:cs="Times New Roman"/>
          <w:i/>
          <w:sz w:val="20"/>
          <w:szCs w:val="20"/>
        </w:rPr>
        <w:t>-</w:t>
      </w:r>
      <w:r w:rsidRPr="00426625">
        <w:rPr>
          <w:rFonts w:ascii="Times New Roman" w:hAnsi="Times New Roman" w:cs="Times New Roman"/>
          <w:i/>
          <w:sz w:val="20"/>
          <w:szCs w:val="20"/>
        </w:rPr>
        <w:t>voeren van een EPD</w:t>
      </w:r>
      <w:r w:rsidRPr="00426625">
        <w:rPr>
          <w:rFonts w:ascii="Times New Roman" w:hAnsi="Times New Roman" w:cs="Times New Roman"/>
          <w:sz w:val="20"/>
          <w:szCs w:val="20"/>
        </w:rPr>
        <w:t>, onuitgegeven meesterproef, Opleiding Business Processes Management and IT, Open Uni</w:t>
      </w:r>
      <w:r>
        <w:rPr>
          <w:rFonts w:ascii="Times New Roman" w:hAnsi="Times New Roman" w:cs="Times New Roman"/>
          <w:sz w:val="20"/>
          <w:szCs w:val="20"/>
        </w:rPr>
        <w:t>-</w:t>
      </w:r>
      <w:r w:rsidRPr="00426625">
        <w:rPr>
          <w:rFonts w:ascii="Times New Roman" w:hAnsi="Times New Roman" w:cs="Times New Roman"/>
          <w:sz w:val="20"/>
          <w:szCs w:val="20"/>
        </w:rPr>
        <w:t xml:space="preserve">versiteit Nederland, promotores prof. dr. ir. Kees Takkenberg en dr. </w:t>
      </w:r>
      <w:r w:rsidRPr="00426625">
        <w:rPr>
          <w:rFonts w:ascii="Times New Roman" w:hAnsi="Times New Roman" w:cs="Times New Roman"/>
          <w:sz w:val="20"/>
          <w:szCs w:val="20"/>
          <w:lang w:val="en-US"/>
        </w:rPr>
        <w:t>Ella Roubtsova, Roosendaal, 2009, 102p.</w:t>
      </w:r>
    </w:p>
  </w:footnote>
  <w:footnote w:id="200">
    <w:p w:rsidR="00E82D16" w:rsidRPr="00426625" w:rsidRDefault="00E82D16" w:rsidP="00426625">
      <w:pPr>
        <w:pStyle w:val="Voetnoottekst"/>
        <w:ind w:firstLine="1"/>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56 § 1-§ 2 Bopz.</w:t>
      </w:r>
    </w:p>
  </w:footnote>
  <w:footnote w:id="201">
    <w:p w:rsidR="00E82D16" w:rsidRPr="00426625" w:rsidRDefault="00E82D16" w:rsidP="00426625">
      <w:pPr>
        <w:pStyle w:val="Voetnoottekst"/>
        <w:ind w:firstLine="1"/>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509o § 2 WS.</w:t>
      </w:r>
    </w:p>
  </w:footnote>
  <w:footnote w:id="202">
    <w:p w:rsidR="00E82D16" w:rsidRPr="00426625" w:rsidRDefault="00E82D16" w:rsidP="00426625">
      <w:pPr>
        <w:pStyle w:val="Geenafstand"/>
        <w:ind w:firstLine="1"/>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Art. 454 § 1 WGBO; art. 19 §1 Wcz.</w:t>
      </w:r>
    </w:p>
  </w:footnote>
  <w:footnote w:id="20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454 § 1 WGBO; art. 19 §4 Wcz.</w:t>
      </w:r>
    </w:p>
  </w:footnote>
  <w:footnote w:id="204">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 besluit patiëntendossiers Bopz.</w:t>
      </w:r>
    </w:p>
  </w:footnote>
  <w:footnote w:id="205">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Art. 454 § 1-§ 2 WGBO; art. 19 § 1-§ 4 Wcz; art. 10 § 1 Wbp</w:t>
      </w:r>
      <w:r w:rsidRPr="00426625">
        <w:rPr>
          <w:rFonts w:ascii="Times New Roman" w:hAnsi="Times New Roman" w:cs="Times New Roman"/>
          <w:i/>
          <w:iCs/>
          <w:sz w:val="20"/>
          <w:szCs w:val="20"/>
          <w:lang w:val="en-US"/>
        </w:rPr>
        <w:t>.</w:t>
      </w:r>
      <w:r w:rsidRPr="00426625">
        <w:rPr>
          <w:rFonts w:ascii="Times New Roman" w:hAnsi="Times New Roman" w:cs="Times New Roman"/>
          <w:sz w:val="20"/>
          <w:szCs w:val="20"/>
          <w:lang w:val="en-US"/>
        </w:rPr>
        <w:t xml:space="preserve"> </w:t>
      </w:r>
      <w:r w:rsidRPr="00426625">
        <w:rPr>
          <w:rFonts w:ascii="Times New Roman" w:hAnsi="Times New Roman" w:cs="Times New Roman"/>
          <w:sz w:val="20"/>
          <w:szCs w:val="20"/>
        </w:rPr>
        <w:t>Dezelfde regels gelden voor het verpleegkun</w:t>
      </w:r>
      <w:r>
        <w:rPr>
          <w:rFonts w:ascii="Times New Roman" w:hAnsi="Times New Roman" w:cs="Times New Roman"/>
          <w:sz w:val="20"/>
          <w:szCs w:val="20"/>
        </w:rPr>
        <w:t>-</w:t>
      </w:r>
      <w:r w:rsidRPr="00426625">
        <w:rPr>
          <w:rFonts w:ascii="Times New Roman" w:hAnsi="Times New Roman" w:cs="Times New Roman"/>
          <w:sz w:val="20"/>
          <w:szCs w:val="20"/>
        </w:rPr>
        <w:t>dig dossier.</w:t>
      </w:r>
      <w:r w:rsidRPr="00426625">
        <w:rPr>
          <w:rFonts w:ascii="Times New Roman" w:hAnsi="Times New Roman" w:cs="Times New Roman"/>
          <w:color w:val="FF0000"/>
          <w:sz w:val="20"/>
          <w:szCs w:val="20"/>
        </w:rPr>
        <w:t xml:space="preserve"> </w:t>
      </w:r>
      <w:r w:rsidRPr="00426625">
        <w:rPr>
          <w:rFonts w:ascii="Times New Roman" w:hAnsi="Times New Roman" w:cs="Times New Roman"/>
          <w:sz w:val="20"/>
          <w:szCs w:val="20"/>
        </w:rPr>
        <w:t>Kamerstukken II, vergaderjaar 1992-1993, 21 561, nr. 15, p. 32.</w:t>
      </w:r>
    </w:p>
  </w:footnote>
  <w:footnote w:id="206">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1989-1990, 21 561, nr. 3, p. 34.</w:t>
      </w:r>
    </w:p>
  </w:footnote>
  <w:footnote w:id="20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zgn. DES-dochters zijn vrouwen die</w:t>
      </w:r>
      <w:r w:rsidRPr="00426625">
        <w:rPr>
          <w:rFonts w:ascii="Times New Roman" w:hAnsi="Times New Roman"/>
          <w:i/>
          <w:iCs/>
        </w:rPr>
        <w:t xml:space="preserve"> in utero</w:t>
      </w:r>
      <w:r w:rsidRPr="00426625">
        <w:rPr>
          <w:rFonts w:ascii="Times New Roman" w:hAnsi="Times New Roman"/>
        </w:rPr>
        <w:t xml:space="preserve"> aan het hormoon diëthylstilbestrol (DES) werden blootge</w:t>
      </w:r>
      <w:r>
        <w:rPr>
          <w:rFonts w:ascii="Times New Roman" w:hAnsi="Times New Roman"/>
        </w:rPr>
        <w:t>-</w:t>
      </w:r>
      <w:r w:rsidRPr="00426625">
        <w:rPr>
          <w:rFonts w:ascii="Times New Roman" w:hAnsi="Times New Roman"/>
        </w:rPr>
        <w:t xml:space="preserve">steld. Deze ‘DES-dochters’ hebben een sterk verhoogde kans op ‘clear-cell’-adenocarcinoom van de vagina; ‘DES-moeders’ hebben een licht verhoogd risico op mammacarcinoom. DONDORP, W.J.; LEGEMAATE, J.; VAN DE KLIPPE, C.J.; ‘Bewaartermijn voor patiëntengegevens. Gezondheidsraad bepleit wetswijziging’, </w:t>
      </w:r>
      <w:r w:rsidRPr="00426625">
        <w:rPr>
          <w:rFonts w:ascii="Times New Roman" w:hAnsi="Times New Roman"/>
          <w:i/>
          <w:iCs/>
        </w:rPr>
        <w:t>N.T.G.</w:t>
      </w:r>
      <w:r w:rsidRPr="00426625">
        <w:rPr>
          <w:rFonts w:ascii="Times New Roman" w:hAnsi="Times New Roman"/>
        </w:rPr>
        <w:t>, 148/15 (2004), p. 745; VAN LEEUWEN, F.E.; SCHORNAGEL, J.H.; ‘Bewaren of vernietigen? Het be</w:t>
      </w:r>
      <w:r>
        <w:rPr>
          <w:rFonts w:ascii="Times New Roman" w:hAnsi="Times New Roman"/>
        </w:rPr>
        <w:t>-</w:t>
      </w:r>
      <w:r w:rsidRPr="00426625">
        <w:rPr>
          <w:rFonts w:ascii="Times New Roman" w:hAnsi="Times New Roman"/>
        </w:rPr>
        <w:t xml:space="preserve">lang van het dossier voor de patiënt van gisteren en morgen’, </w:t>
      </w:r>
      <w:r w:rsidRPr="00426625">
        <w:rPr>
          <w:rFonts w:ascii="Times New Roman" w:hAnsi="Times New Roman"/>
          <w:i/>
          <w:iCs/>
        </w:rPr>
        <w:t>N.T.G.</w:t>
      </w:r>
      <w:r w:rsidRPr="00426625">
        <w:rPr>
          <w:rFonts w:ascii="Times New Roman" w:hAnsi="Times New Roman"/>
        </w:rPr>
        <w:t>, 145/10 (2001), p. 456.</w:t>
      </w:r>
    </w:p>
  </w:footnote>
  <w:footnote w:id="20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1990-1991, 21 561, nr. 6, p. 45.</w:t>
      </w:r>
    </w:p>
  </w:footnote>
  <w:footnote w:id="20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HERTEN, J.H.S., ‘Eigendomsrecht van medische dossiers’, </w:t>
      </w:r>
      <w:r w:rsidRPr="00426625">
        <w:rPr>
          <w:rFonts w:ascii="Times New Roman" w:hAnsi="Times New Roman"/>
          <w:i/>
          <w:iCs/>
        </w:rPr>
        <w:t>Metamedica</w:t>
      </w:r>
      <w:r w:rsidRPr="00426625">
        <w:rPr>
          <w:rFonts w:ascii="Times New Roman" w:hAnsi="Times New Roman"/>
        </w:rPr>
        <w:t>, 65 (1986), p. 198-210.</w:t>
      </w:r>
    </w:p>
  </w:footnote>
  <w:footnote w:id="210">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3:2 en art. 5:1 § 1 NBW.</w:t>
      </w:r>
    </w:p>
  </w:footnote>
  <w:footnote w:id="21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‘Meenemen medisch dossier door vertrekkende specialist’, </w:t>
      </w:r>
      <w:r w:rsidRPr="00426625">
        <w:rPr>
          <w:rFonts w:ascii="Times New Roman" w:hAnsi="Times New Roman"/>
          <w:i/>
        </w:rPr>
        <w:t>P&amp;I</w:t>
      </w:r>
      <w:r w:rsidRPr="00426625">
        <w:rPr>
          <w:rFonts w:ascii="Times New Roman" w:hAnsi="Times New Roman"/>
        </w:rPr>
        <w:t>, 11/3 (2008), p. 143-144 (nr. 166).</w:t>
      </w:r>
    </w:p>
  </w:footnote>
  <w:footnote w:id="212">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SPREEUWENBERG, C., ‘Arts en WGBO’, </w:t>
      </w:r>
      <w:r w:rsidRPr="00426625">
        <w:rPr>
          <w:rFonts w:ascii="Times New Roman" w:hAnsi="Times New Roman" w:cs="Times New Roman"/>
          <w:i/>
          <w:iCs/>
          <w:sz w:val="20"/>
          <w:szCs w:val="20"/>
        </w:rPr>
        <w:t>M.C.</w:t>
      </w:r>
      <w:r w:rsidRPr="00426625">
        <w:rPr>
          <w:rFonts w:ascii="Times New Roman" w:hAnsi="Times New Roman" w:cs="Times New Roman"/>
          <w:sz w:val="20"/>
          <w:szCs w:val="20"/>
        </w:rPr>
        <w:t>, 46 (1991), p. 1030-1032.</w:t>
      </w:r>
    </w:p>
  </w:footnote>
  <w:footnote w:id="213">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1991–1992, 21 561, nr. 11, p. 25-26.</w:t>
      </w:r>
    </w:p>
  </w:footnote>
  <w:footnote w:id="214">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wetgever deed deze uitspraak tijdens de parlementaire voorbereiding van de Wet cliëntenrechten zorg (hierna wordt het voorstel van deze wet aangeduid als Wcz): Kamerstukken II, vergaderjaar 2010-2011, 32 402, nr. 6, p. 97. Voor meer informatie over de Wcz, zie: DE DIE, A.C., ‘De Wcz: toezicht en handhaving’,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33/8 (2010), p. 639-649; GEVERS, J.K.M., ‘De Wcz: achtergrond, opzet en reikwijdte’,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33/8 (2010), p. 589-596; HENDRIKS, A.C., ‘Van patiënten- naar cliëntenrechten: oude wijn in nieuwe zakken?’,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33/8 (2010), p. 605-615; LEGEMAATE, J., ‘De Wcz en kwaliteit van zorg’, </w:t>
      </w:r>
      <w:r w:rsidRPr="00426625">
        <w:rPr>
          <w:rFonts w:ascii="Times New Roman" w:hAnsi="Times New Roman" w:cs="Times New Roman"/>
          <w:i/>
          <w:sz w:val="20"/>
          <w:szCs w:val="20"/>
        </w:rPr>
        <w:t>T.G.</w:t>
      </w:r>
      <w:r w:rsidRPr="00426625">
        <w:rPr>
          <w:rFonts w:ascii="Times New Roman" w:hAnsi="Times New Roman" w:cs="Times New Roman"/>
          <w:sz w:val="20"/>
          <w:szCs w:val="20"/>
        </w:rPr>
        <w:t>, 33/8 (2010), p. 597-604.</w:t>
      </w:r>
    </w:p>
  </w:footnote>
  <w:footnote w:id="21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van 29 februari 1996, houdende regels ter bevordering van de medezeggenschap van de cliënten van uit collectieve middelen gefinancierde zorgaanbieders op het terrein van de maatschappelijke zorg en gezondheids</w:t>
      </w:r>
      <w:r>
        <w:rPr>
          <w:rFonts w:ascii="Times New Roman" w:hAnsi="Times New Roman"/>
        </w:rPr>
        <w:t>-</w:t>
      </w:r>
      <w:r w:rsidRPr="00426625">
        <w:rPr>
          <w:rFonts w:ascii="Times New Roman" w:hAnsi="Times New Roman"/>
        </w:rPr>
        <w:t>zorg (</w:t>
      </w:r>
      <w:r w:rsidRPr="00426625">
        <w:rPr>
          <w:rFonts w:ascii="Times New Roman" w:hAnsi="Times New Roman"/>
          <w:i/>
          <w:iCs/>
        </w:rPr>
        <w:t>Stb.</w:t>
      </w:r>
      <w:r w:rsidRPr="00426625">
        <w:rPr>
          <w:rFonts w:ascii="Times New Roman" w:hAnsi="Times New Roman"/>
        </w:rPr>
        <w:t xml:space="preserve"> 204, 4 april 1996). AKVELD, J.E.M.; LOONSTRA, J.A.; ‘De Wet medezeggenschap cliënten zorgin</w:t>
      </w:r>
      <w:r>
        <w:rPr>
          <w:rFonts w:ascii="Times New Roman" w:hAnsi="Times New Roman"/>
        </w:rPr>
        <w:t>-</w:t>
      </w:r>
      <w:r w:rsidRPr="00426625">
        <w:rPr>
          <w:rFonts w:ascii="Times New Roman" w:hAnsi="Times New Roman"/>
        </w:rPr>
        <w:t xml:space="preserve">stellingen’, </w:t>
      </w:r>
      <w:r w:rsidRPr="00426625">
        <w:rPr>
          <w:rFonts w:ascii="Times New Roman" w:hAnsi="Times New Roman"/>
          <w:i/>
        </w:rPr>
        <w:t>T.G.</w:t>
      </w:r>
      <w:r w:rsidRPr="00426625">
        <w:rPr>
          <w:rFonts w:ascii="Times New Roman" w:hAnsi="Times New Roman"/>
        </w:rPr>
        <w:t xml:space="preserve">, 17/6 (1994), p. 315-327; DE LAAT, I.J., ‘Wet medezeggenschap cliënten zorginstellingen in de ziekenhuissector’, </w:t>
      </w:r>
      <w:r w:rsidRPr="00426625">
        <w:rPr>
          <w:rFonts w:ascii="Times New Roman" w:hAnsi="Times New Roman"/>
          <w:i/>
        </w:rPr>
        <w:t>T.G.</w:t>
      </w:r>
      <w:r w:rsidRPr="00426625">
        <w:rPr>
          <w:rFonts w:ascii="Times New Roman" w:hAnsi="Times New Roman"/>
        </w:rPr>
        <w:t>, 30/1 (2007), p. 55-65. Binnenkort zal de Wet cliëntenrechten zorg de Wet medezeg</w:t>
      </w:r>
      <w:r>
        <w:rPr>
          <w:rFonts w:ascii="Times New Roman" w:hAnsi="Times New Roman"/>
        </w:rPr>
        <w:t>-</w:t>
      </w:r>
      <w:r w:rsidRPr="00426625">
        <w:rPr>
          <w:rFonts w:ascii="Times New Roman" w:hAnsi="Times New Roman"/>
        </w:rPr>
        <w:t>genschap cliënten zorginstellingen opheffen (art. 79 Wcz) en vervangen (art. 31-38 Wcz). Ook art. 12e-12k van de wet van 29 juni 2006, houdende nieuwe regels betreffende maatschappelijke ondersteuning (</w:t>
      </w:r>
      <w:r w:rsidRPr="00426625">
        <w:rPr>
          <w:rFonts w:ascii="Times New Roman" w:hAnsi="Times New Roman"/>
          <w:i/>
          <w:iCs/>
        </w:rPr>
        <w:t xml:space="preserve">Stb. </w:t>
      </w:r>
      <w:r w:rsidRPr="00426625">
        <w:rPr>
          <w:rFonts w:ascii="Times New Roman" w:hAnsi="Times New Roman"/>
        </w:rPr>
        <w:t>351, 1 au</w:t>
      </w:r>
      <w:r>
        <w:rPr>
          <w:rFonts w:ascii="Times New Roman" w:hAnsi="Times New Roman"/>
        </w:rPr>
        <w:t>-</w:t>
      </w:r>
      <w:r w:rsidRPr="00426625">
        <w:rPr>
          <w:rFonts w:ascii="Times New Roman" w:hAnsi="Times New Roman"/>
        </w:rPr>
        <w:t>gustus 2006) zullen door de Wet cliëntenrechten zorg gewijzigd worden (art. 80 Wcz).</w:t>
      </w:r>
    </w:p>
  </w:footnote>
  <w:footnote w:id="216">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geheimhouding van persoonsgegevens (art. 9 § 4 en art. 12 § 2 Wbp), informatie over de verwerking en verwerker(s) van persoonsgegevens (art. 33-34 Wbp), verbetering, aanvulling, verwijdering, of afscherming van feitelijk onjuiste gegevens (art. 36 § 1 Wbp), het verlenen van (geïnformeerde) toestemming voor vastlegging en verwerking van persoonsgegevens (art. 23 § 1, a Wbp, art. 457 WGBO en art. 11 § 1 Wcz), inzage in en afschrift van (delen van) zijn patiëntendossier (art. 35 § 1 Wbp, art. 456 WGBO en art. 22 Wcz), vernietiging (art. 455 WGBO en art. 20 Wcz), informatieplicht m.b.t. zorgverlening (art. 448 WGBO en art. 13 § 1 Wcz), recht op niet-weten (art. 449 WGBO en art. 15 Wcz) en recht op een patiëntendossier (art. 454 WGBO en art. 19 Wcz).</w:t>
      </w:r>
    </w:p>
  </w:footnote>
  <w:footnote w:id="217">
    <w:p w:rsidR="00E82D16" w:rsidRPr="00426625" w:rsidRDefault="00E82D16" w:rsidP="00426625">
      <w:pPr>
        <w:pStyle w:val="Voetnoottekst"/>
        <w:ind w:firstLine="1"/>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455 § 1 WGBO en art. 20 § 2 Wcz.</w:t>
      </w:r>
    </w:p>
  </w:footnote>
  <w:footnote w:id="21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455 § 2 WGBO; art. 20 § 4-§ 5 Wcz. Zie ook: RIJKSEN, W.P., </w:t>
      </w:r>
      <w:r w:rsidRPr="00426625">
        <w:rPr>
          <w:rFonts w:ascii="Times New Roman" w:hAnsi="Times New Roman"/>
          <w:i/>
          <w:iCs/>
        </w:rPr>
        <w:t>Bewaartermijnen patiëntengegevens. Wet- en regelgeving</w:t>
      </w:r>
      <w:r w:rsidRPr="00426625">
        <w:rPr>
          <w:rFonts w:ascii="Times New Roman" w:hAnsi="Times New Roman"/>
        </w:rPr>
        <w:t xml:space="preserve">, p. 32-35; ID., </w:t>
      </w:r>
      <w:r w:rsidRPr="00426625">
        <w:rPr>
          <w:rFonts w:ascii="Times New Roman" w:hAnsi="Times New Roman"/>
          <w:i/>
          <w:iCs/>
        </w:rPr>
        <w:t>Bewaartermijnen patiëntengegevens. Jaarboek 1995/96</w:t>
      </w:r>
      <w:r w:rsidRPr="00426625">
        <w:rPr>
          <w:rFonts w:ascii="Times New Roman" w:hAnsi="Times New Roman"/>
        </w:rPr>
        <w:t>, p. 67-70.</w:t>
      </w:r>
    </w:p>
  </w:footnote>
  <w:footnote w:id="219">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AYAR, B., ‘Verslag spitsseminar ‘Van wie is het dossier?’’, 2011.</w:t>
      </w:r>
    </w:p>
  </w:footnote>
  <w:footnote w:id="220">
    <w:p w:rsidR="00E82D16" w:rsidRPr="00426625" w:rsidRDefault="00E82D16" w:rsidP="00426625">
      <w:pPr>
        <w:pStyle w:val="Geenafstand"/>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1989-1990, 21 561, nr. 3, p. 34; Kamerstukken II, vergaderjaar 1990-1991, 21 561, nr. 6, p. 46 en nr. 15, p. 22; VAN MEERSBERGEN, D.Y.A.; DOPPEGIETER, R.M.S.; </w:t>
      </w:r>
      <w:r w:rsidRPr="00426625">
        <w:rPr>
          <w:rFonts w:ascii="Times New Roman" w:hAnsi="Times New Roman" w:cs="Times New Roman"/>
          <w:i/>
          <w:iCs/>
          <w:sz w:val="20"/>
          <w:szCs w:val="20"/>
        </w:rPr>
        <w:t>Advies voor over</w:t>
      </w:r>
      <w:r>
        <w:rPr>
          <w:rFonts w:ascii="Times New Roman" w:hAnsi="Times New Roman" w:cs="Times New Roman"/>
          <w:i/>
          <w:iCs/>
          <w:sz w:val="20"/>
          <w:szCs w:val="20"/>
        </w:rPr>
        <w:t>-</w:t>
      </w:r>
      <w:r w:rsidRPr="00426625">
        <w:rPr>
          <w:rFonts w:ascii="Times New Roman" w:hAnsi="Times New Roman" w:cs="Times New Roman"/>
          <w:i/>
          <w:iCs/>
          <w:sz w:val="20"/>
          <w:szCs w:val="20"/>
        </w:rPr>
        <w:t>dracht patiëntendossier bij verandering van huisarts, een actualisering</w:t>
      </w:r>
      <w:r w:rsidRPr="00426625">
        <w:rPr>
          <w:rFonts w:ascii="Times New Roman" w:hAnsi="Times New Roman" w:cs="Times New Roman"/>
          <w:sz w:val="20"/>
          <w:szCs w:val="20"/>
        </w:rPr>
        <w:t>, Utrecht, KNMG, 2008.</w:t>
      </w:r>
    </w:p>
  </w:footnote>
  <w:footnote w:id="22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VONK, P., ‘Bewaartermijnen en regels voor overdracht medische dossiers. De WGBO en de huisartsenprak</w:t>
      </w:r>
      <w:r>
        <w:rPr>
          <w:rFonts w:ascii="Times New Roman" w:hAnsi="Times New Roman"/>
        </w:rPr>
        <w:t>-</w:t>
      </w:r>
      <w:r w:rsidRPr="00426625">
        <w:rPr>
          <w:rFonts w:ascii="Times New Roman" w:hAnsi="Times New Roman"/>
        </w:rPr>
        <w:t xml:space="preserve">tijk’, </w:t>
      </w:r>
      <w:r w:rsidRPr="00426625">
        <w:rPr>
          <w:rFonts w:ascii="Times New Roman" w:hAnsi="Times New Roman"/>
          <w:i/>
          <w:iCs/>
        </w:rPr>
        <w:t>M.C.</w:t>
      </w:r>
      <w:r w:rsidRPr="00426625">
        <w:rPr>
          <w:rFonts w:ascii="Times New Roman" w:hAnsi="Times New Roman"/>
        </w:rPr>
        <w:t>, 53/22 (1998), p. 754.</w:t>
      </w:r>
    </w:p>
  </w:footnote>
  <w:footnote w:id="22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DOPPEGIETER, R.M.S., </w:t>
      </w:r>
      <w:r w:rsidRPr="00426625">
        <w:rPr>
          <w:rFonts w:ascii="Times New Roman" w:hAnsi="Times New Roman"/>
          <w:i/>
          <w:iCs/>
        </w:rPr>
        <w:t>Arts en patiëntenrechten</w:t>
      </w:r>
      <w:r w:rsidRPr="00426625">
        <w:rPr>
          <w:rFonts w:ascii="Times New Roman" w:hAnsi="Times New Roman"/>
        </w:rPr>
        <w:t xml:space="preserve">, Utrecht, KNMG, 2004, p. 18; </w:t>
      </w:r>
      <w:r w:rsidRPr="00426625">
        <w:rPr>
          <w:rFonts w:ascii="Times New Roman" w:hAnsi="Times New Roman"/>
          <w:i/>
          <w:iCs/>
        </w:rPr>
        <w:t>Richtlijn inzake het om</w:t>
      </w:r>
      <w:r>
        <w:rPr>
          <w:rFonts w:ascii="Times New Roman" w:hAnsi="Times New Roman"/>
          <w:i/>
          <w:iCs/>
        </w:rPr>
        <w:t>-</w:t>
      </w:r>
      <w:r w:rsidRPr="00426625">
        <w:rPr>
          <w:rFonts w:ascii="Times New Roman" w:hAnsi="Times New Roman"/>
          <w:i/>
          <w:iCs/>
        </w:rPr>
        <w:t>gaan met medische gegevens</w:t>
      </w:r>
      <w:r w:rsidRPr="00426625">
        <w:rPr>
          <w:rFonts w:ascii="Times New Roman" w:hAnsi="Times New Roman"/>
        </w:rPr>
        <w:t>, Utrecht, KNMG, 2010, p. 6.</w:t>
      </w:r>
    </w:p>
  </w:footnote>
  <w:footnote w:id="22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VONK, p. 754.</w:t>
      </w:r>
    </w:p>
  </w:footnote>
  <w:footnote w:id="22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MEERSBERGEN, D.Y.A.; DOPPEGIETER, R.M.S.; </w:t>
      </w:r>
      <w:r w:rsidRPr="00426625">
        <w:rPr>
          <w:rFonts w:ascii="Times New Roman" w:hAnsi="Times New Roman"/>
          <w:i/>
          <w:iCs/>
        </w:rPr>
        <w:t>Advies voor overdracht patiëntendossier bij ver</w:t>
      </w:r>
      <w:r>
        <w:rPr>
          <w:rFonts w:ascii="Times New Roman" w:hAnsi="Times New Roman"/>
          <w:i/>
          <w:iCs/>
        </w:rPr>
        <w:t>-</w:t>
      </w:r>
      <w:r w:rsidRPr="00426625">
        <w:rPr>
          <w:rFonts w:ascii="Times New Roman" w:hAnsi="Times New Roman"/>
          <w:i/>
          <w:iCs/>
        </w:rPr>
        <w:t>andering van huisarts, een actualisering</w:t>
      </w:r>
      <w:r w:rsidRPr="00426625">
        <w:rPr>
          <w:rFonts w:ascii="Times New Roman" w:hAnsi="Times New Roman"/>
        </w:rPr>
        <w:t>, Utrecht, KNMG, 2008, p. 3.</w:t>
      </w:r>
    </w:p>
  </w:footnote>
  <w:footnote w:id="22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VAN MEERSBERGEN, D.Y.A.; MEERMAN, T.J.A.M.; </w:t>
      </w:r>
      <w:r w:rsidRPr="00426625">
        <w:rPr>
          <w:rFonts w:ascii="Times New Roman" w:hAnsi="Times New Roman"/>
          <w:i/>
          <w:iCs/>
        </w:rPr>
        <w:t>Overdracht van patiëntendossiers na ontsten</w:t>
      </w:r>
      <w:r>
        <w:rPr>
          <w:rFonts w:ascii="Times New Roman" w:hAnsi="Times New Roman"/>
          <w:i/>
          <w:iCs/>
        </w:rPr>
        <w:t>-</w:t>
      </w:r>
      <w:r w:rsidRPr="00426625">
        <w:rPr>
          <w:rFonts w:ascii="Times New Roman" w:hAnsi="Times New Roman"/>
          <w:i/>
          <w:iCs/>
        </w:rPr>
        <w:t>tenis van de arts zonder opvolging</w:t>
      </w:r>
      <w:r w:rsidRPr="00426625">
        <w:rPr>
          <w:rFonts w:ascii="Times New Roman" w:hAnsi="Times New Roman"/>
        </w:rPr>
        <w:t>, Utrecht, 2005.</w:t>
      </w:r>
    </w:p>
  </w:footnote>
  <w:footnote w:id="22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NOUWT, S.; PLOEM, M.C. (reds.); </w:t>
      </w:r>
      <w:r w:rsidRPr="00426625">
        <w:rPr>
          <w:rFonts w:ascii="Times New Roman" w:hAnsi="Times New Roman"/>
          <w:i/>
        </w:rPr>
        <w:t>Gezondheidsrecht en ICT</w:t>
      </w:r>
      <w:r w:rsidRPr="00426625">
        <w:rPr>
          <w:rFonts w:ascii="Times New Roman" w:hAnsi="Times New Roman"/>
        </w:rPr>
        <w:t>, Monografieën Recht en Informatietechnolo</w:t>
      </w:r>
      <w:r>
        <w:rPr>
          <w:rFonts w:ascii="Times New Roman" w:hAnsi="Times New Roman"/>
        </w:rPr>
        <w:t>-</w:t>
      </w:r>
      <w:r w:rsidRPr="00426625">
        <w:rPr>
          <w:rFonts w:ascii="Times New Roman" w:hAnsi="Times New Roman"/>
        </w:rPr>
        <w:t>gie, 7, Den Haag, Sdu Uitgevers, 2012, p. 9. Zie deel 2.</w:t>
      </w:r>
    </w:p>
  </w:footnote>
  <w:footnote w:id="22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ATNV, lemma 164.</w:t>
      </w:r>
    </w:p>
  </w:footnote>
  <w:footnote w:id="22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 Archiefwet.</w:t>
      </w:r>
    </w:p>
  </w:footnote>
  <w:footnote w:id="229">
    <w:p w:rsidR="00E82D16" w:rsidRDefault="00E82D16">
      <w:pPr>
        <w:pStyle w:val="Voetnoottekst"/>
      </w:pPr>
      <w:r>
        <w:rPr>
          <w:rStyle w:val="Voetnootmarkering"/>
        </w:rPr>
        <w:footnoteRef/>
      </w:r>
      <w:r>
        <w:t xml:space="preserve"> </w:t>
      </w:r>
      <w:r w:rsidRPr="00426625">
        <w:rPr>
          <w:rFonts w:ascii="Times New Roman" w:hAnsi="Times New Roman"/>
        </w:rPr>
        <w:t>Kamerstukken II, vergaderjaar 1992-1993, 22 866, nr. 2, p. 6.</w:t>
      </w:r>
    </w:p>
  </w:footnote>
  <w:footnote w:id="230">
    <w:p w:rsidR="00E82D16" w:rsidRPr="006D43A9" w:rsidRDefault="00E82D16" w:rsidP="00426625">
      <w:pPr>
        <w:pStyle w:val="Voetnoottekst"/>
        <w:ind w:firstLine="1"/>
        <w:jc w:val="both"/>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Met dank aan de heer Eric Ketelaar voor deze waardevolle opmerking. Zie ook deel 5.</w:t>
      </w:r>
    </w:p>
  </w:footnote>
  <w:footnote w:id="23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 Archiefwet; beleidsregel van de Minister van Onderwijs, Cultuur en Wetenschap van 22 januari 2008, nr. WJZ/2008/452 (8218) inzake de bevoegdheid tot het afgeven van een machtiging als bedoeld in artikel 7 van de Archiefwet 1995 ten behoeve van routinematige digitalisering van archiefbescheiden (</w:t>
      </w:r>
      <w:r w:rsidRPr="00426625">
        <w:rPr>
          <w:rFonts w:ascii="Times New Roman" w:hAnsi="Times New Roman"/>
          <w:i/>
        </w:rPr>
        <w:t>Stcrt.</w:t>
      </w:r>
      <w:r w:rsidRPr="00426625">
        <w:rPr>
          <w:rFonts w:ascii="Times New Roman" w:hAnsi="Times New Roman"/>
        </w:rPr>
        <w:t xml:space="preserve"> 21, 30 januari 2008).</w:t>
      </w:r>
    </w:p>
  </w:footnote>
  <w:footnote w:id="23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Archiefwet.</w:t>
      </w:r>
    </w:p>
  </w:footnote>
  <w:footnote w:id="23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bCs/>
        </w:rPr>
        <w:t>De eisen zijn vervat in: art. 7, art. 9, eerste lid Archiefwet; art. 2, art. 6, art. 8, art. 11 en art. 12 Archiefbesluit;</w:t>
      </w:r>
      <w:r w:rsidRPr="00426625">
        <w:rPr>
          <w:rFonts w:ascii="Times New Roman" w:hAnsi="Times New Roman"/>
        </w:rPr>
        <w:t xml:space="preserve"> art. 16 tot art. 26 Archiefregeling</w:t>
      </w:r>
      <w:r w:rsidRPr="00426625">
        <w:rPr>
          <w:rFonts w:ascii="Times New Roman" w:hAnsi="Times New Roman"/>
          <w:bCs/>
        </w:rPr>
        <w:t>.</w:t>
      </w:r>
    </w:p>
  </w:footnote>
  <w:footnote w:id="23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20 § 3 Wcz; art. 6 § 1 Archiefbesluit.</w:t>
      </w:r>
    </w:p>
  </w:footnote>
  <w:footnote w:id="235">
    <w:p w:rsidR="00E82D16" w:rsidRPr="006D43A9" w:rsidRDefault="00E82D16" w:rsidP="00426625">
      <w:pPr>
        <w:pStyle w:val="Voetnoottekst"/>
        <w:ind w:firstLine="1"/>
        <w:jc w:val="both"/>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Zoals uiteengezet in art. 16 tot art. 26 Archiefregeling.</w:t>
      </w:r>
    </w:p>
  </w:footnote>
  <w:footnote w:id="236">
    <w:p w:rsidR="00E82D16" w:rsidRPr="006D43A9" w:rsidRDefault="00E82D16" w:rsidP="009D1055">
      <w:pPr>
        <w:pStyle w:val="Voetnoottekst"/>
        <w:jc w:val="both"/>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Met dank aan Eric Ketelaar voor deze waardevolle kanttekening.</w:t>
      </w:r>
    </w:p>
  </w:footnote>
  <w:footnote w:id="237">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Wet van 3 december 1987 tot nieuwe regeling van het bewijsrecht in burgerlijke zaken (</w:t>
      </w:r>
      <w:r w:rsidRPr="006D43A9">
        <w:rPr>
          <w:rFonts w:ascii="Times New Roman" w:hAnsi="Times New Roman"/>
          <w:i/>
        </w:rPr>
        <w:t>Stb.</w:t>
      </w:r>
      <w:r w:rsidRPr="006D43A9">
        <w:rPr>
          <w:rFonts w:ascii="Times New Roman" w:hAnsi="Times New Roman"/>
        </w:rPr>
        <w:t xml:space="preserve"> 590, 1987).</w:t>
      </w:r>
    </w:p>
  </w:footnote>
  <w:footnote w:id="238">
    <w:p w:rsidR="00E82D16" w:rsidRPr="006D43A9" w:rsidRDefault="00E82D16">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Afdeling 1.2.9 (art. 149 tot art. 207) van WBR.</w:t>
      </w:r>
    </w:p>
  </w:footnote>
  <w:footnote w:id="239">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Art. 156 § 1 WBR.</w:t>
      </w:r>
    </w:p>
  </w:footnote>
  <w:footnote w:id="240">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Art. 160 § 1 WBR.</w:t>
      </w:r>
    </w:p>
  </w:footnote>
  <w:footnote w:id="241">
    <w:p w:rsidR="00E82D16" w:rsidRPr="006D43A9" w:rsidRDefault="00E82D16" w:rsidP="00BC7A08">
      <w:pPr>
        <w:pStyle w:val="Geenafstand"/>
        <w:rPr>
          <w:rFonts w:ascii="Times New Roman" w:hAnsi="Times New Roman" w:cs="Times New Roman"/>
          <w:sz w:val="20"/>
          <w:szCs w:val="20"/>
        </w:rPr>
      </w:pPr>
      <w:r w:rsidRPr="006D43A9">
        <w:rPr>
          <w:rStyle w:val="Voetnootmarkering"/>
          <w:rFonts w:ascii="Times New Roman" w:hAnsi="Times New Roman" w:cs="Times New Roman"/>
          <w:sz w:val="20"/>
          <w:szCs w:val="20"/>
        </w:rPr>
        <w:footnoteRef/>
      </w:r>
      <w:r w:rsidRPr="006D43A9">
        <w:rPr>
          <w:rFonts w:ascii="Times New Roman" w:hAnsi="Times New Roman" w:cs="Times New Roman"/>
          <w:sz w:val="20"/>
          <w:szCs w:val="20"/>
        </w:rPr>
        <w:t xml:space="preserve"> Kamerstukken I, vergaderjaar 2002-2003, 27.743, nr. 35b, p. 1.</w:t>
      </w:r>
    </w:p>
  </w:footnote>
  <w:footnote w:id="242">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Wet van 6 december 2001 tot aanpassing van de wetgeving aan de herziening van het procesrecht voor burgerlijke zaken, in het bijzonder de wijze van procederen in eerste aanleg (</w:t>
      </w:r>
      <w:r w:rsidRPr="006D43A9">
        <w:rPr>
          <w:rFonts w:ascii="Times New Roman" w:hAnsi="Times New Roman"/>
          <w:i/>
        </w:rPr>
        <w:t xml:space="preserve">Stb. </w:t>
      </w:r>
      <w:r w:rsidRPr="006D43A9">
        <w:rPr>
          <w:rFonts w:ascii="Times New Roman" w:hAnsi="Times New Roman"/>
        </w:rPr>
        <w:t>580, 18 december 2001).</w:t>
      </w:r>
    </w:p>
  </w:footnote>
  <w:footnote w:id="243">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Art. 162 § 1 WBR.</w:t>
      </w:r>
    </w:p>
  </w:footnote>
  <w:footnote w:id="244">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Kamerstukken II, vergaderjaar 1999-2000, 26.855, nr. 3.</w:t>
      </w:r>
    </w:p>
  </w:footnote>
  <w:footnote w:id="245">
    <w:p w:rsidR="00E82D16" w:rsidRPr="006D43A9" w:rsidRDefault="00E82D16">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Art. 10 § 1, tweede boek en art. 15, a, derde boek BW.</w:t>
      </w:r>
    </w:p>
  </w:footnote>
  <w:footnote w:id="246">
    <w:p w:rsidR="00E82D16" w:rsidRPr="006D43A9" w:rsidRDefault="00E82D16" w:rsidP="00BC7A08">
      <w:pPr>
        <w:pStyle w:val="Voetnoottekst"/>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Kamerstukken I, vergaderjaar 2002-2003, 27.743, nr. 35b, p. 2.</w:t>
      </w:r>
    </w:p>
  </w:footnote>
  <w:footnote w:id="247">
    <w:p w:rsidR="00E82D16" w:rsidRPr="006D43A9" w:rsidRDefault="00E82D16" w:rsidP="006D43A9">
      <w:pPr>
        <w:pStyle w:val="Voetnoottekst"/>
        <w:jc w:val="both"/>
        <w:rPr>
          <w:rFonts w:ascii="Times New Roman" w:hAnsi="Times New Roman"/>
        </w:rPr>
      </w:pPr>
      <w:r w:rsidRPr="006D43A9">
        <w:rPr>
          <w:rStyle w:val="Voetnootmarkering"/>
          <w:rFonts w:ascii="Times New Roman" w:hAnsi="Times New Roman"/>
        </w:rPr>
        <w:footnoteRef/>
      </w:r>
      <w:r w:rsidRPr="006D43A9">
        <w:rPr>
          <w:rFonts w:ascii="Times New Roman" w:hAnsi="Times New Roman"/>
        </w:rPr>
        <w:t xml:space="preserve"> FRANKEN, H.; KASPERSEN, H.W.K.; DE WILD, A.H.; </w:t>
      </w:r>
      <w:r w:rsidRPr="006D43A9">
        <w:rPr>
          <w:rFonts w:ascii="Times New Roman" w:hAnsi="Times New Roman"/>
          <w:i/>
        </w:rPr>
        <w:t>Recht en computer</w:t>
      </w:r>
      <w:r w:rsidRPr="006D43A9">
        <w:rPr>
          <w:rFonts w:ascii="Times New Roman" w:hAnsi="Times New Roman"/>
        </w:rPr>
        <w:t>, Recht en praktijk, 36, Deven-ter, Kluwer, 2004</w:t>
      </w:r>
      <w:r w:rsidRPr="006D43A9">
        <w:rPr>
          <w:rFonts w:ascii="Times New Roman" w:hAnsi="Times New Roman"/>
          <w:vertAlign w:val="superscript"/>
        </w:rPr>
        <w:t>5</w:t>
      </w:r>
      <w:r w:rsidRPr="006D43A9">
        <w:rPr>
          <w:rFonts w:ascii="Times New Roman" w:hAnsi="Times New Roman"/>
        </w:rPr>
        <w:t>, p. 201.</w:t>
      </w:r>
    </w:p>
  </w:footnote>
  <w:footnote w:id="24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NUYTTENS, </w:t>
      </w:r>
      <w:r w:rsidRPr="00426625">
        <w:rPr>
          <w:rFonts w:ascii="Times New Roman" w:hAnsi="Times New Roman"/>
          <w:i/>
          <w:iCs/>
        </w:rPr>
        <w:t>Inspectieverslag betreffende het archief van openbare ziekenhuizen in de provincie West-Vlaanderen</w:t>
      </w:r>
      <w:r w:rsidRPr="00426625">
        <w:rPr>
          <w:rFonts w:ascii="Times New Roman" w:hAnsi="Times New Roman"/>
        </w:rPr>
        <w:t>, p. 61.</w:t>
      </w:r>
    </w:p>
  </w:footnote>
  <w:footnote w:id="24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24 Archiefregeling; dixit Florence Limburg, Medewerker Acquisitie en Advies van het Nationaal Archief in Den Haag, in een e-mail van 22 juni 2012. </w:t>
      </w:r>
    </w:p>
  </w:footnote>
  <w:footnote w:id="25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KNMG, ‘Mag het papieren medische dossier worden vernietigd als dit volledig is gescand en opgeslagen in een elektronisch dossier?’, </w:t>
      </w:r>
      <w:r w:rsidRPr="00426625">
        <w:rPr>
          <w:rFonts w:ascii="Times New Roman" w:hAnsi="Times New Roman"/>
          <w:i/>
        </w:rPr>
        <w:t>M.C.</w:t>
      </w:r>
      <w:r w:rsidRPr="00426625">
        <w:rPr>
          <w:rFonts w:ascii="Times New Roman" w:hAnsi="Times New Roman"/>
        </w:rPr>
        <w:t>, 65/9 (2010), p. 417; TEMPELMAN, I.M., ‘Digitalisering doet bewijskracht do</w:t>
      </w:r>
      <w:r>
        <w:rPr>
          <w:rFonts w:ascii="Times New Roman" w:hAnsi="Times New Roman"/>
        </w:rPr>
        <w:t>-</w:t>
      </w:r>
      <w:r w:rsidRPr="00426625">
        <w:rPr>
          <w:rFonts w:ascii="Times New Roman" w:hAnsi="Times New Roman"/>
        </w:rPr>
        <w:t xml:space="preserve">cumenten de das om?’, </w:t>
      </w:r>
      <w:r w:rsidRPr="00426625">
        <w:rPr>
          <w:rFonts w:ascii="Times New Roman" w:hAnsi="Times New Roman"/>
          <w:i/>
        </w:rPr>
        <w:t>Trema</w:t>
      </w:r>
      <w:r w:rsidRPr="00426625">
        <w:rPr>
          <w:rFonts w:ascii="Times New Roman" w:hAnsi="Times New Roman"/>
        </w:rPr>
        <w:t>, 31/9 (2008), p. 404-408.</w:t>
      </w:r>
    </w:p>
  </w:footnote>
  <w:footnote w:id="2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8 Archiefbesluit.</w:t>
      </w:r>
    </w:p>
  </w:footnote>
  <w:footnote w:id="25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25 § 2 en § 3 Archiefregeling.</w:t>
      </w:r>
    </w:p>
  </w:footnote>
  <w:footnote w:id="25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3.</w:t>
      </w:r>
    </w:p>
  </w:footnote>
  <w:footnote w:id="25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1112-2 CSP, gewijzigd door art. 2 van besluit nr. 2006-119 van 6 februari 2006 betreffende de wils</w:t>
      </w:r>
      <w:r>
        <w:rPr>
          <w:rFonts w:ascii="Times New Roman" w:hAnsi="Times New Roman"/>
        </w:rPr>
        <w:t>-</w:t>
      </w:r>
      <w:r w:rsidRPr="00426625">
        <w:rPr>
          <w:rFonts w:ascii="Times New Roman" w:hAnsi="Times New Roman"/>
        </w:rPr>
        <w:t>verklaringen voorzien door wet nr. 2005-370 inzake de rechten van patiënten en aan het levenseinde, ter wijzig</w:t>
      </w:r>
      <w:r>
        <w:rPr>
          <w:rFonts w:ascii="Times New Roman" w:hAnsi="Times New Roman"/>
        </w:rPr>
        <w:t>-</w:t>
      </w:r>
      <w:r w:rsidRPr="00426625">
        <w:rPr>
          <w:rFonts w:ascii="Times New Roman" w:hAnsi="Times New Roman"/>
        </w:rPr>
        <w:t xml:space="preserve">ing van de </w:t>
      </w:r>
      <w:r w:rsidRPr="00426625">
        <w:rPr>
          <w:rFonts w:ascii="Times New Roman" w:hAnsi="Times New Roman"/>
          <w:i/>
          <w:iCs/>
        </w:rPr>
        <w:t>code de la santé publique</w:t>
      </w:r>
      <w:r w:rsidRPr="00426625">
        <w:rPr>
          <w:rFonts w:ascii="Times New Roman" w:hAnsi="Times New Roman"/>
        </w:rPr>
        <w:t xml:space="preserve"> (</w:t>
      </w:r>
      <w:r w:rsidRPr="00426625">
        <w:rPr>
          <w:rFonts w:ascii="Times New Roman" w:hAnsi="Times New Roman"/>
          <w:i/>
          <w:iCs/>
        </w:rPr>
        <w:t>JORF</w:t>
      </w:r>
      <w:r w:rsidRPr="00426625">
        <w:rPr>
          <w:rFonts w:ascii="Times New Roman" w:hAnsi="Times New Roman"/>
        </w:rPr>
        <w:t xml:space="preserve"> 32, 7 februari 2006).</w:t>
      </w:r>
    </w:p>
  </w:footnote>
  <w:footnote w:id="25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1112-2 CSP, ingevoerd door bijlage van besluit nr. 2003-462 van 21 mei 2003 betreffende de regle</w:t>
      </w:r>
      <w:r>
        <w:rPr>
          <w:rFonts w:ascii="Times New Roman" w:hAnsi="Times New Roman"/>
        </w:rPr>
        <w:t>-</w:t>
      </w:r>
      <w:r w:rsidRPr="00426625">
        <w:rPr>
          <w:rFonts w:ascii="Times New Roman" w:hAnsi="Times New Roman"/>
        </w:rPr>
        <w:t xml:space="preserve">mentaire bepalingen van delen I, II en III van de </w:t>
      </w:r>
      <w:r w:rsidRPr="00426625">
        <w:rPr>
          <w:rFonts w:ascii="Times New Roman" w:hAnsi="Times New Roman"/>
          <w:i/>
        </w:rPr>
        <w:t>code de la santé publique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122, 27 mei 2003) en gewij</w:t>
      </w:r>
      <w:r>
        <w:rPr>
          <w:rFonts w:ascii="Times New Roman" w:hAnsi="Times New Roman"/>
        </w:rPr>
        <w:t>-</w:t>
      </w:r>
      <w:r w:rsidRPr="00426625">
        <w:rPr>
          <w:rFonts w:ascii="Times New Roman" w:hAnsi="Times New Roman"/>
        </w:rPr>
        <w:t>zigd door besluit nr. 2006-119 van 6 februari 2006 betreffende wettelijke richtlijnen die voorafgaand werden voorzien in wet nr. 2005-370 van 22 april 2005 (</w:t>
      </w:r>
      <w:r w:rsidRPr="00426625">
        <w:rPr>
          <w:rFonts w:ascii="Times New Roman" w:hAnsi="Times New Roman"/>
          <w:i/>
        </w:rPr>
        <w:t>JORF</w:t>
      </w:r>
      <w:r w:rsidRPr="00426625">
        <w:rPr>
          <w:rFonts w:ascii="Times New Roman" w:hAnsi="Times New Roman"/>
        </w:rPr>
        <w:t xml:space="preserve"> 32, 7 februari 2006).</w:t>
      </w:r>
    </w:p>
  </w:footnote>
  <w:footnote w:id="256">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r w:rsidRPr="00426625">
        <w:rPr>
          <w:rFonts w:ascii="Times New Roman" w:hAnsi="Times New Roman"/>
          <w:color w:val="000000"/>
          <w:shd w:val="clear" w:color="auto" w:fill="FFFFFF"/>
          <w:lang w:val="fr-BE"/>
        </w:rPr>
        <w:t>RIQUIER, S.; PAILLARD, P.; FRERE, J.P.; BOFFELLI, G.; FERNET, P.; MOINARD, D.; TRENARD-LE</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BLANC, A.; ‘Dossier : L’archivage médical et administratif: un secteur en mutation’, </w:t>
      </w:r>
      <w:r w:rsidRPr="00426625">
        <w:rPr>
          <w:rFonts w:ascii="Times New Roman" w:hAnsi="Times New Roman"/>
          <w:i/>
          <w:color w:val="000000"/>
          <w:shd w:val="clear" w:color="auto" w:fill="FFFFFF"/>
          <w:lang w:val="fr-BE"/>
        </w:rPr>
        <w:t>R.H.F.</w:t>
      </w:r>
      <w:r w:rsidRPr="00426625">
        <w:rPr>
          <w:rFonts w:ascii="Times New Roman" w:hAnsi="Times New Roman"/>
          <w:color w:val="000000"/>
          <w:shd w:val="clear" w:color="auto" w:fill="FFFFFF"/>
          <w:lang w:val="fr-BE"/>
        </w:rPr>
        <w:t>, 5, Dossier tech</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nique nr. 24, 1998, 14p.</w:t>
      </w:r>
    </w:p>
  </w:footnote>
  <w:footnote w:id="25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R. 1112-2 CSP. </w:t>
      </w:r>
    </w:p>
  </w:footnote>
  <w:footnote w:id="258">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r w:rsidRPr="00426625">
        <w:rPr>
          <w:rFonts w:ascii="Times New Roman" w:hAnsi="Times New Roman"/>
          <w:color w:val="000000"/>
          <w:shd w:val="clear" w:color="auto" w:fill="FFFFFF"/>
          <w:lang w:val="fr-BE"/>
        </w:rPr>
        <w:t xml:space="preserve">BRETON, P.; LANG, G.; ‘Dossier médical et dossier de soins à l'hôpital local: les deux font la paire’, </w:t>
      </w:r>
      <w:r w:rsidRPr="00426625">
        <w:rPr>
          <w:rFonts w:ascii="Times New Roman" w:hAnsi="Times New Roman"/>
          <w:i/>
          <w:color w:val="000000"/>
          <w:shd w:val="clear" w:color="auto" w:fill="FFFFFF"/>
          <w:lang w:val="fr-BE"/>
        </w:rPr>
        <w:t>G.H.</w:t>
      </w:r>
      <w:r w:rsidRPr="00426625">
        <w:rPr>
          <w:rFonts w:ascii="Times New Roman" w:hAnsi="Times New Roman"/>
          <w:color w:val="000000"/>
          <w:shd w:val="clear" w:color="auto" w:fill="FFFFFF"/>
          <w:lang w:val="fr-BE"/>
        </w:rPr>
        <w:t xml:space="preserve">, 344 (1995), p. 232-233; </w:t>
      </w:r>
      <w:r w:rsidRPr="00426625">
        <w:rPr>
          <w:rFonts w:ascii="Times New Roman" w:hAnsi="Times New Roman"/>
          <w:lang w:val="fr-BE"/>
        </w:rPr>
        <w:t>PRADEAU, F., ‘Le dossier du patient dans les établissements de santé. Tenue, contenu, archivage et communication’, p. 2-3 ;</w:t>
      </w:r>
      <w:r w:rsidRPr="00426625">
        <w:rPr>
          <w:rFonts w:ascii="Times New Roman" w:hAnsi="Times New Roman"/>
          <w:color w:val="000000"/>
          <w:shd w:val="clear" w:color="auto" w:fill="FFFFFF"/>
          <w:lang w:val="fr-BE"/>
        </w:rPr>
        <w:t xml:space="preserve"> ROUGE-MAILLART, C., ‘Le dossier infirmier: composante essentielle du dossier patient: Le dossier médical’, J.M.L., 49/1 (2006), p. 61-63. Voor het medisch dossier in verzorgings</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instellingen, zie: ROGER, P., ‘Le dossier médical dans les établissements de santé’, </w:t>
      </w:r>
      <w:r w:rsidRPr="00426625">
        <w:rPr>
          <w:rFonts w:ascii="Times New Roman" w:hAnsi="Times New Roman"/>
          <w:i/>
          <w:color w:val="000000"/>
          <w:shd w:val="clear" w:color="auto" w:fill="FFFFFF"/>
          <w:lang w:val="fr-BE"/>
        </w:rPr>
        <w:t>M.D.</w:t>
      </w:r>
      <w:r w:rsidRPr="00426625">
        <w:rPr>
          <w:rFonts w:ascii="Times New Roman" w:hAnsi="Times New Roman"/>
          <w:color w:val="000000"/>
          <w:shd w:val="clear" w:color="auto" w:fill="FFFFFF"/>
          <w:lang w:val="fr-BE"/>
        </w:rPr>
        <w:t xml:space="preserve">, 40 (2000), p. 10-14; SOKOLOFF, V., ‘Le dossier médical en secteur hospitalier’, </w:t>
      </w:r>
      <w:r w:rsidRPr="00426625">
        <w:rPr>
          <w:rFonts w:ascii="Times New Roman" w:hAnsi="Times New Roman"/>
          <w:i/>
          <w:color w:val="000000"/>
          <w:shd w:val="clear" w:color="auto" w:fill="FFFFFF"/>
          <w:lang w:val="fr-BE"/>
        </w:rPr>
        <w:t>R.I.P.</w:t>
      </w:r>
      <w:r w:rsidRPr="00426625">
        <w:rPr>
          <w:rFonts w:ascii="Times New Roman" w:hAnsi="Times New Roman"/>
          <w:color w:val="000000"/>
          <w:shd w:val="clear" w:color="auto" w:fill="FFFFFF"/>
          <w:lang w:val="fr-BE"/>
        </w:rPr>
        <w:t xml:space="preserve">, 307 (2000), p. 19-20; VEILLEROT, G., ‘Le dossier médical hospitalier’, </w:t>
      </w:r>
      <w:r w:rsidRPr="00426625">
        <w:rPr>
          <w:rFonts w:ascii="Times New Roman" w:hAnsi="Times New Roman"/>
          <w:i/>
          <w:color w:val="000000"/>
          <w:shd w:val="clear" w:color="auto" w:fill="FFFFFF"/>
          <w:lang w:val="fr-BE"/>
        </w:rPr>
        <w:t>B.J.P.H.</w:t>
      </w:r>
      <w:r w:rsidRPr="00426625">
        <w:rPr>
          <w:rFonts w:ascii="Times New Roman" w:hAnsi="Times New Roman"/>
          <w:color w:val="000000"/>
          <w:shd w:val="clear" w:color="auto" w:fill="FFFFFF"/>
          <w:lang w:val="fr-BE"/>
        </w:rPr>
        <w:t>, 139 (2011), p. 12-15.</w:t>
      </w:r>
    </w:p>
  </w:footnote>
  <w:footnote w:id="259">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w:t>
      </w:r>
      <w:r w:rsidRPr="00426625">
        <w:rPr>
          <w:rFonts w:ascii="Times New Roman" w:hAnsi="Times New Roman"/>
          <w:shd w:val="clear" w:color="auto" w:fill="FFFFFF"/>
          <w:lang w:val="fr-BE"/>
        </w:rPr>
        <w:t>CHICHE, P., ‘Sanction de la mauvaise tenue du dossier médical: Conseil d'État, 28 avril 2003, n° 238181, M. André P.’,</w:t>
      </w:r>
      <w:r w:rsidRPr="00426625">
        <w:rPr>
          <w:rFonts w:ascii="Times New Roman" w:hAnsi="Times New Roman"/>
          <w:i/>
          <w:iCs/>
          <w:shd w:val="clear" w:color="auto" w:fill="FFFFFF"/>
          <w:lang w:val="fr-BE"/>
        </w:rPr>
        <w:t xml:space="preserve"> G.H.</w:t>
      </w:r>
      <w:r w:rsidRPr="00426625">
        <w:rPr>
          <w:rFonts w:ascii="Times New Roman" w:hAnsi="Times New Roman"/>
          <w:shd w:val="clear" w:color="auto" w:fill="FFFFFF"/>
          <w:lang w:val="fr-BE"/>
        </w:rPr>
        <w:t xml:space="preserve">, 435 (2004), p. 284-285 ; GENOT-POK, I., ‘Le dossier médical archives hospitalières, sous le feu de l’actualité juridique. Arrêt de la cour administrative d’appel de Lyon 23 mars 2010, n° 07LY01554’, </w:t>
      </w:r>
      <w:r w:rsidRPr="00426625">
        <w:rPr>
          <w:rFonts w:ascii="Times New Roman" w:hAnsi="Times New Roman"/>
          <w:i/>
          <w:shd w:val="clear" w:color="auto" w:fill="FFFFFF"/>
          <w:lang w:val="fr-BE"/>
        </w:rPr>
        <w:t>A.J.S.</w:t>
      </w:r>
      <w:r w:rsidRPr="00426625">
        <w:rPr>
          <w:rFonts w:ascii="Times New Roman" w:hAnsi="Times New Roman"/>
          <w:shd w:val="clear" w:color="auto" w:fill="FFFFFF"/>
          <w:lang w:val="fr-BE"/>
        </w:rPr>
        <w:t>, 71 (2010), p. 37-38 ; TAMBURINI, S., ‘Perte et destruction du dossier médical’, 2007; TAMBURINI, S., ‘Quand un tribunal sanctionne la perte du dossier médical’, 2007.</w:t>
      </w:r>
    </w:p>
  </w:footnote>
  <w:footnote w:id="26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rPr>
        <w:t xml:space="preserve"> Art. R. 4127-45 § 2 CSP, ingevoerd bij besluit nr. 2004-802 van 29 juli 2004 betreffende delen IV en V (reg</w:t>
      </w:r>
      <w:r>
        <w:rPr>
          <w:rFonts w:ascii="Times New Roman" w:hAnsi="Times New Roman"/>
        </w:rPr>
        <w:t>-</w:t>
      </w:r>
      <w:r w:rsidRPr="00E333B6">
        <w:rPr>
          <w:rFonts w:ascii="Times New Roman" w:hAnsi="Times New Roman"/>
        </w:rPr>
        <w:t xml:space="preserve">lementaire bepalingen) van de </w:t>
      </w:r>
      <w:r w:rsidRPr="00426625">
        <w:rPr>
          <w:rFonts w:ascii="Times New Roman" w:hAnsi="Times New Roman"/>
          <w:i/>
          <w:iCs/>
        </w:rPr>
        <w:t>code de la santé publique</w:t>
      </w:r>
      <w:r w:rsidRPr="00E333B6">
        <w:rPr>
          <w:rFonts w:ascii="Times New Roman" w:hAnsi="Times New Roman"/>
        </w:rPr>
        <w:t xml:space="preserve"> en ter wijziging van enkele bepalingen van deze </w:t>
      </w:r>
      <w:r w:rsidRPr="00E333B6">
        <w:rPr>
          <w:rFonts w:ascii="Times New Roman" w:hAnsi="Times New Roman"/>
          <w:i/>
        </w:rPr>
        <w:t>code</w:t>
      </w:r>
      <w:r w:rsidRPr="00E333B6">
        <w:rPr>
          <w:rFonts w:ascii="Times New Roman" w:hAnsi="Times New Roman"/>
        </w:rPr>
        <w:t xml:space="preserve"> (</w:t>
      </w:r>
      <w:r w:rsidRPr="00E333B6">
        <w:rPr>
          <w:rFonts w:ascii="Times New Roman" w:hAnsi="Times New Roman"/>
          <w:i/>
          <w:iCs/>
        </w:rPr>
        <w:t>JORF</w:t>
      </w:r>
      <w:r w:rsidRPr="00E333B6">
        <w:rPr>
          <w:rFonts w:ascii="Times New Roman" w:hAnsi="Times New Roman"/>
        </w:rPr>
        <w:t xml:space="preserve"> 183, 8 augustus 2004).</w:t>
      </w:r>
    </w:p>
  </w:footnote>
  <w:footnote w:id="26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2 van wet nr. 79-18 van 3 januari 1979 inzake archieven (</w:t>
      </w:r>
      <w:r w:rsidRPr="00426625">
        <w:rPr>
          <w:rFonts w:ascii="Times New Roman" w:hAnsi="Times New Roman"/>
          <w:i/>
          <w:iCs/>
        </w:rPr>
        <w:t>JORF</w:t>
      </w:r>
      <w:r w:rsidRPr="00426625">
        <w:rPr>
          <w:rFonts w:ascii="Times New Roman" w:hAnsi="Times New Roman"/>
        </w:rPr>
        <w:t xml:space="preserve"> 5 januari 1979). Toen de Franse ar</w:t>
      </w:r>
      <w:r>
        <w:rPr>
          <w:rFonts w:ascii="Times New Roman" w:hAnsi="Times New Roman"/>
        </w:rPr>
        <w:t>-</w:t>
      </w:r>
      <w:r w:rsidRPr="00426625">
        <w:rPr>
          <w:rFonts w:ascii="Times New Roman" w:hAnsi="Times New Roman"/>
        </w:rPr>
        <w:t xml:space="preserve">chiefwet in de </w:t>
      </w:r>
      <w:r w:rsidRPr="00426625">
        <w:rPr>
          <w:rFonts w:ascii="Times New Roman" w:hAnsi="Times New Roman"/>
          <w:iCs/>
        </w:rPr>
        <w:t>CDP</w:t>
      </w:r>
      <w:r w:rsidRPr="00426625">
        <w:rPr>
          <w:rFonts w:ascii="Times New Roman" w:hAnsi="Times New Roman"/>
          <w:i/>
          <w:iCs/>
        </w:rPr>
        <w:t xml:space="preserve"> </w:t>
      </w:r>
      <w:r w:rsidRPr="00426625">
        <w:rPr>
          <w:rFonts w:ascii="Times New Roman" w:hAnsi="Times New Roman"/>
        </w:rPr>
        <w:t>geïntegreerd werd door wet nr. 2008-696 van 15 juli 2008 betreffende archieven I (</w:t>
      </w:r>
      <w:r w:rsidRPr="00426625">
        <w:rPr>
          <w:rFonts w:ascii="Times New Roman" w:hAnsi="Times New Roman"/>
          <w:i/>
          <w:iCs/>
        </w:rPr>
        <w:t>JORF</w:t>
      </w:r>
      <w:r w:rsidRPr="00426625">
        <w:rPr>
          <w:rFonts w:ascii="Times New Roman" w:hAnsi="Times New Roman"/>
        </w:rPr>
        <w:t xml:space="preserve"> 164, 16 juli 2008) komt deze bepaling overeen met art. L. 211-2 CDP.</w:t>
      </w:r>
    </w:p>
  </w:footnote>
  <w:footnote w:id="26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operatieverslag is immers één van de documenten die verplicht in het patiëntendossier opgenomen moe</w:t>
      </w:r>
      <w:r>
        <w:rPr>
          <w:rFonts w:ascii="Times New Roman" w:hAnsi="Times New Roman"/>
        </w:rPr>
        <w:t>-</w:t>
      </w:r>
      <w:r w:rsidRPr="00426625">
        <w:rPr>
          <w:rFonts w:ascii="Times New Roman" w:hAnsi="Times New Roman"/>
        </w:rPr>
        <w:t xml:space="preserve">ten worden. Zie infra. </w:t>
      </w:r>
    </w:p>
  </w:footnote>
  <w:footnote w:id="263">
    <w:p w:rsidR="00E82D16" w:rsidRPr="00296EA5" w:rsidRDefault="00E82D16" w:rsidP="00296EA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arrest kan integraal geraadpleegd worden op: </w:t>
      </w:r>
      <w:hyperlink r:id="rId25" w:history="1">
        <w:r w:rsidRPr="00EA26DD">
          <w:rPr>
            <w:rStyle w:val="Hyperlink"/>
            <w:rFonts w:ascii="Times New Roman" w:hAnsi="Times New Roman"/>
          </w:rPr>
          <w:t>http://www.legifrance.gouv.fr/affichJuriAdmin.do?idTexte =CETATEXT000008102664</w:t>
        </w:r>
      </w:hyperlink>
      <w:r w:rsidRPr="00426625">
        <w:rPr>
          <w:rFonts w:ascii="Times New Roman" w:hAnsi="Times New Roman"/>
        </w:rPr>
        <w:t xml:space="preserve"> (laatst geraadpleegd op 23 juli 2012). </w:t>
      </w:r>
      <w:r w:rsidRPr="00426625">
        <w:rPr>
          <w:rFonts w:ascii="Times New Roman" w:hAnsi="Times New Roman"/>
          <w:lang w:val="fr-BE"/>
        </w:rPr>
        <w:t xml:space="preserve">Zie ook: FRANCAIS MINOT, A., ‘Contenu et tenue du dossier médical: commentaire de l’arrêt en Conseil d’Etat du 28 avril 2003, n° 238.181’, </w:t>
      </w:r>
      <w:r w:rsidRPr="00426625">
        <w:rPr>
          <w:rFonts w:ascii="Times New Roman" w:hAnsi="Times New Roman"/>
          <w:i/>
          <w:iCs/>
          <w:lang w:val="fr-BE"/>
        </w:rPr>
        <w:t>G.H.</w:t>
      </w:r>
      <w:r w:rsidRPr="00426625">
        <w:rPr>
          <w:rFonts w:ascii="Times New Roman" w:hAnsi="Times New Roman"/>
          <w:lang w:val="fr-BE"/>
        </w:rPr>
        <w:t>, 431 (2003), p. 846-847; CHICHE, P., ‘Sanction de la mauvaise tenue du dossier médical’, p. 284-285.</w:t>
      </w:r>
    </w:p>
  </w:footnote>
  <w:footnote w:id="264">
    <w:p w:rsidR="00E82D16" w:rsidRPr="00296EA5" w:rsidRDefault="00E82D16" w:rsidP="00296EA5">
      <w:pPr>
        <w:pStyle w:val="Geenafstand"/>
        <w:ind w:firstLine="1"/>
        <w:jc w:val="both"/>
        <w:rPr>
          <w:rFonts w:ascii="Times New Roman" w:hAnsi="Times New Roman" w:cs="Times New Roman"/>
          <w:sz w:val="20"/>
          <w:szCs w:val="20"/>
        </w:rPr>
      </w:pPr>
      <w:r w:rsidRPr="00296EA5">
        <w:rPr>
          <w:rStyle w:val="Voetnootmarkering"/>
          <w:rFonts w:ascii="Times New Roman" w:hAnsi="Times New Roman" w:cs="Times New Roman"/>
          <w:sz w:val="20"/>
          <w:szCs w:val="20"/>
        </w:rPr>
        <w:footnoteRef/>
      </w:r>
      <w:r w:rsidRPr="00296EA5">
        <w:rPr>
          <w:rFonts w:ascii="Times New Roman" w:hAnsi="Times New Roman" w:cs="Times New Roman"/>
          <w:sz w:val="20"/>
          <w:szCs w:val="20"/>
        </w:rPr>
        <w:t xml:space="preserve"> Een vrije vertaling van definitie luidt als volgt: </w:t>
      </w:r>
      <w:r w:rsidRPr="00296EA5">
        <w:rPr>
          <w:rFonts w:ascii="Times New Roman" w:hAnsi="Times New Roman" w:cs="Times New Roman"/>
          <w:i/>
          <w:iCs/>
          <w:sz w:val="20"/>
          <w:szCs w:val="20"/>
        </w:rPr>
        <w:t>Het geheel van medische, verpleegkundige, sociale en admini</w:t>
      </w:r>
      <w:r>
        <w:rPr>
          <w:rFonts w:ascii="Times New Roman" w:hAnsi="Times New Roman" w:cs="Times New Roman"/>
          <w:i/>
          <w:iCs/>
          <w:sz w:val="20"/>
          <w:szCs w:val="20"/>
        </w:rPr>
        <w:t>-</w:t>
      </w:r>
      <w:r w:rsidRPr="00296EA5">
        <w:rPr>
          <w:rFonts w:ascii="Times New Roman" w:hAnsi="Times New Roman" w:cs="Times New Roman"/>
          <w:i/>
          <w:iCs/>
          <w:sz w:val="20"/>
          <w:szCs w:val="20"/>
        </w:rPr>
        <w:t>stratieve gegevens, dat de vrijwaring van een evenwichtige en gecoördineerde ondersteuning van de zorgverle</w:t>
      </w:r>
      <w:r>
        <w:rPr>
          <w:rFonts w:ascii="Times New Roman" w:hAnsi="Times New Roman" w:cs="Times New Roman"/>
          <w:i/>
          <w:iCs/>
          <w:sz w:val="20"/>
          <w:szCs w:val="20"/>
        </w:rPr>
        <w:t>-</w:t>
      </w:r>
      <w:r w:rsidRPr="00296EA5">
        <w:rPr>
          <w:rFonts w:ascii="Times New Roman" w:hAnsi="Times New Roman" w:cs="Times New Roman"/>
          <w:i/>
          <w:iCs/>
          <w:sz w:val="20"/>
          <w:szCs w:val="20"/>
        </w:rPr>
        <w:t xml:space="preserve">ning aan en het welzijn van patiënten door de verschillende betrokken beroepsbeoefenaars mogelijk maakt. Aan de hand van het patiëntendossier kan het zorgproces geïnspecteerd worden en verschillende voorstellingen van de in het dossier opgenomen gegevens vormen de basis voor werkingsoverzichten en onderzoekingen. Bovendien hebben de patiëntendossiers een educatieve waarde </w:t>
      </w:r>
      <w:r w:rsidRPr="00296EA5">
        <w:rPr>
          <w:rFonts w:ascii="Times New Roman" w:hAnsi="Times New Roman" w:cs="Times New Roman"/>
          <w:iCs/>
          <w:sz w:val="20"/>
          <w:szCs w:val="20"/>
        </w:rPr>
        <w:t>(</w:t>
      </w:r>
      <w:hyperlink r:id="rId26" w:history="1">
        <w:r w:rsidRPr="00EA26DD">
          <w:rPr>
            <w:rStyle w:val="Hyperlink"/>
            <w:rFonts w:ascii="Times New Roman" w:hAnsi="Times New Roman" w:cs="Times New Roman"/>
            <w:sz w:val="20"/>
            <w:szCs w:val="20"/>
          </w:rPr>
          <w:t>http://www.uvp5.univ-paris5.fr/staticmed/e-dosmed/cours/ dossier%20patient/references/DefinitionDossier.html</w:t>
        </w:r>
      </w:hyperlink>
      <w:r w:rsidRPr="00296EA5">
        <w:rPr>
          <w:rFonts w:ascii="Times New Roman" w:hAnsi="Times New Roman" w:cs="Times New Roman"/>
          <w:sz w:val="20"/>
          <w:szCs w:val="20"/>
        </w:rPr>
        <w:t>, laatst geraadpleegd op 23 juli 2012).</w:t>
      </w:r>
    </w:p>
  </w:footnote>
  <w:footnote w:id="265">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CERETTI, A.M.; ALBERTINI, L.; </w:t>
      </w:r>
      <w:r w:rsidRPr="00426625">
        <w:rPr>
          <w:rFonts w:ascii="Times New Roman" w:hAnsi="Times New Roman"/>
          <w:i/>
          <w:iCs/>
          <w:lang w:val="fr-BE"/>
        </w:rPr>
        <w:t>Bilan et propositions de réformes de la loi du 4 mars 2002 relative aux droits des malades et à la qualité du système de santé</w:t>
      </w:r>
      <w:r w:rsidRPr="00426625">
        <w:rPr>
          <w:rFonts w:ascii="Times New Roman" w:hAnsi="Times New Roman"/>
          <w:lang w:val="fr-BE"/>
        </w:rPr>
        <w:t>, 2011, p. 51-52</w:t>
      </w:r>
      <w:r w:rsidRPr="00426625">
        <w:rPr>
          <w:rStyle w:val="Hyperlink"/>
          <w:rFonts w:ascii="Times New Roman" w:hAnsi="Times New Roman"/>
          <w:lang w:val="fr-BE"/>
        </w:rPr>
        <w:t>;</w:t>
      </w:r>
      <w:r w:rsidRPr="00426625">
        <w:rPr>
          <w:rFonts w:ascii="Times New Roman" w:hAnsi="Times New Roman"/>
          <w:color w:val="000000"/>
          <w:shd w:val="clear" w:color="auto" w:fill="FFFFFF"/>
          <w:lang w:val="fr-BE"/>
        </w:rPr>
        <w:t xml:space="preserve"> FINLAY, I.G.; WILLIAMS, J.E.; ‘Dos</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siers conservés par le patient: peuvent-ils être gérés par lui même ou par les professionnels?’, </w:t>
      </w:r>
      <w:r w:rsidRPr="00426625">
        <w:rPr>
          <w:rFonts w:ascii="Times New Roman" w:hAnsi="Times New Roman"/>
          <w:i/>
          <w:color w:val="000000"/>
          <w:shd w:val="clear" w:color="auto" w:fill="FFFFFF"/>
          <w:lang w:val="fr-BE"/>
        </w:rPr>
        <w:t>E.J.P.C.</w:t>
      </w:r>
      <w:r w:rsidRPr="00426625">
        <w:rPr>
          <w:rFonts w:ascii="Times New Roman" w:hAnsi="Times New Roman"/>
          <w:color w:val="000000"/>
          <w:shd w:val="clear" w:color="auto" w:fill="FFFFFF"/>
          <w:lang w:val="fr-BE"/>
        </w:rPr>
        <w:t>, 9/5 (2002), p. 192-196</w:t>
      </w:r>
    </w:p>
  </w:footnote>
  <w:footnote w:id="266">
    <w:p w:rsidR="00E82D16" w:rsidRPr="00E333B6" w:rsidRDefault="00E82D16" w:rsidP="00426625">
      <w:pPr>
        <w:ind w:firstLine="1"/>
        <w:jc w:val="both"/>
        <w:rPr>
          <w:sz w:val="20"/>
          <w:szCs w:val="20"/>
        </w:rPr>
      </w:pPr>
      <w:r w:rsidRPr="00426625">
        <w:rPr>
          <w:rStyle w:val="Voetnootmarkering"/>
          <w:sz w:val="20"/>
          <w:szCs w:val="20"/>
        </w:rPr>
        <w:footnoteRef/>
      </w:r>
      <w:r w:rsidRPr="00426625">
        <w:rPr>
          <w:sz w:val="20"/>
          <w:szCs w:val="20"/>
        </w:rPr>
        <w:t xml:space="preserve"> Zie voetnoot 171.</w:t>
      </w:r>
      <w:r w:rsidRPr="00E333B6">
        <w:rPr>
          <w:sz w:val="20"/>
          <w:szCs w:val="20"/>
        </w:rPr>
        <w:t xml:space="preserve"> </w:t>
      </w:r>
    </w:p>
  </w:footnote>
  <w:footnote w:id="26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rPr>
        <w:t xml:space="preserve"> Art. R. 1112-3 CSP, gewijzigd door art. 9 van wet nr. 2011-803 van 5 juli 2011 betreffende de rechten en de bescherming van personen aan wie psychiatrische zorg verleend wordt en de modaliteiten van hun behandeling I (</w:t>
      </w:r>
      <w:r w:rsidRPr="00E333B6">
        <w:rPr>
          <w:rFonts w:ascii="Times New Roman" w:hAnsi="Times New Roman"/>
          <w:i/>
          <w:iCs/>
        </w:rPr>
        <w:t>JORF</w:t>
      </w:r>
      <w:r w:rsidRPr="00E333B6">
        <w:rPr>
          <w:rFonts w:ascii="Times New Roman" w:hAnsi="Times New Roman"/>
        </w:rPr>
        <w:t xml:space="preserve"> 155, 6 juli 2011).</w:t>
      </w:r>
    </w:p>
  </w:footnote>
  <w:footnote w:id="268">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In besluit nr. 2003-462 van 21 mei 2003 wordt de lijst uitgewerkt van het opgeheven art. R. 710-2-1 CSP, ge</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wijzigd door art. 9 van besluit nr. 2002-637 van 29 april 2002 betreffende de toegang tot de door beroepsbe</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 xml:space="preserve">oefenaars en verzorgingsinstellingen bijgehouden persoonsgegevens in toepassing van art. L. 1111-7 en art. L. 1112-1 van de </w:t>
      </w:r>
      <w:r w:rsidRPr="00426625">
        <w:rPr>
          <w:rFonts w:ascii="Times New Roman" w:hAnsi="Times New Roman"/>
          <w:i/>
          <w:iCs/>
        </w:rPr>
        <w:t>code de la santé publique</w:t>
      </w:r>
      <w:r w:rsidRPr="00426625">
        <w:rPr>
          <w:rFonts w:ascii="Times New Roman" w:hAnsi="Times New Roman"/>
        </w:rPr>
        <w:t xml:space="preserve"> </w:t>
      </w:r>
      <w:r w:rsidRPr="00426625">
        <w:rPr>
          <w:rFonts w:ascii="Times New Roman" w:eastAsia="Times New Roman" w:hAnsi="Times New Roman"/>
          <w:color w:val="000000"/>
          <w:lang w:eastAsia="nl-BE"/>
        </w:rPr>
        <w:t>(</w:t>
      </w:r>
      <w:r w:rsidRPr="00426625">
        <w:rPr>
          <w:rFonts w:ascii="Times New Roman" w:eastAsia="Times New Roman" w:hAnsi="Times New Roman"/>
          <w:i/>
          <w:iCs/>
          <w:color w:val="000000"/>
          <w:lang w:eastAsia="nl-BE"/>
        </w:rPr>
        <w:t>JORF</w:t>
      </w:r>
      <w:r w:rsidRPr="00426625">
        <w:rPr>
          <w:rFonts w:ascii="Times New Roman" w:eastAsia="Times New Roman" w:hAnsi="Times New Roman"/>
          <w:color w:val="000000"/>
          <w:lang w:eastAsia="nl-BE"/>
        </w:rPr>
        <w:t xml:space="preserve"> 101, 30 april 2002)</w:t>
      </w:r>
      <w:r w:rsidRPr="00426625">
        <w:rPr>
          <w:rFonts w:ascii="Times New Roman" w:hAnsi="Times New Roman"/>
        </w:rPr>
        <w:t xml:space="preserve"> en opgeheven door art. 4, 2° van besluit nr. 2003-462 van 21 mei 2003 betreffende de reglementaire bepalingen van delen I, II en III van de </w:t>
      </w:r>
      <w:r w:rsidRPr="00426625">
        <w:rPr>
          <w:rFonts w:ascii="Times New Roman" w:hAnsi="Times New Roman"/>
          <w:i/>
        </w:rPr>
        <w:t>code de la santé publique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122, 27 mei 2003); </w:t>
      </w:r>
      <w:r w:rsidRPr="00E333B6">
        <w:rPr>
          <w:rFonts w:ascii="Times New Roman" w:hAnsi="Times New Roman"/>
          <w:color w:val="000000"/>
          <w:shd w:val="clear" w:color="auto" w:fill="FFFFFF"/>
        </w:rPr>
        <w:t xml:space="preserve">‘Le point sur… </w:t>
      </w:r>
      <w:r w:rsidRPr="00426625">
        <w:rPr>
          <w:rFonts w:ascii="Times New Roman" w:hAnsi="Times New Roman"/>
          <w:color w:val="000000"/>
          <w:shd w:val="clear" w:color="auto" w:fill="FFFFFF"/>
          <w:lang w:val="fr-BE"/>
        </w:rPr>
        <w:t xml:space="preserve">Le contenu du dossier médical’, </w:t>
      </w:r>
      <w:r w:rsidRPr="00426625">
        <w:rPr>
          <w:rFonts w:ascii="Times New Roman" w:hAnsi="Times New Roman"/>
          <w:i/>
          <w:iCs/>
          <w:color w:val="000000"/>
          <w:shd w:val="clear" w:color="auto" w:fill="FFFFFF"/>
          <w:lang w:val="fr-BE"/>
        </w:rPr>
        <w:t>B.J.P.H.</w:t>
      </w:r>
      <w:r w:rsidRPr="00426625">
        <w:rPr>
          <w:rFonts w:ascii="Times New Roman" w:hAnsi="Times New Roman"/>
          <w:color w:val="000000"/>
          <w:shd w:val="clear" w:color="auto" w:fill="FFFFFF"/>
          <w:lang w:val="fr-BE"/>
        </w:rPr>
        <w:t xml:space="preserve">, 123 (2009), p. 18-23 ; BOUET, R.; PRADEAU, F.; PRADEAU, M.C.; ‘Le dossier du patient en établissement psychiatrique. Structure, contenu et tenue’, </w:t>
      </w:r>
      <w:r w:rsidRPr="00426625">
        <w:rPr>
          <w:rFonts w:ascii="Times New Roman" w:hAnsi="Times New Roman"/>
          <w:i/>
          <w:iCs/>
          <w:color w:val="000000"/>
          <w:shd w:val="clear" w:color="auto" w:fill="FFFFFF"/>
          <w:lang w:val="fr-BE"/>
        </w:rPr>
        <w:t>G.H.</w:t>
      </w:r>
      <w:r w:rsidRPr="00426625">
        <w:rPr>
          <w:rFonts w:ascii="Times New Roman" w:hAnsi="Times New Roman"/>
          <w:color w:val="000000"/>
          <w:shd w:val="clear" w:color="auto" w:fill="FFFFFF"/>
          <w:lang w:val="fr-BE"/>
        </w:rPr>
        <w:t>, 392 (2000), p. 43-49; CANAS, F., ‘Le contenu du dossier médical hospita</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lier’, </w:t>
      </w:r>
      <w:r w:rsidRPr="00426625">
        <w:rPr>
          <w:rFonts w:ascii="Times New Roman" w:hAnsi="Times New Roman"/>
          <w:i/>
          <w:color w:val="000000"/>
          <w:shd w:val="clear" w:color="auto" w:fill="FFFFFF"/>
          <w:lang w:val="fr-BE"/>
        </w:rPr>
        <w:t>R.F.Q.H.</w:t>
      </w:r>
      <w:r w:rsidRPr="00426625">
        <w:rPr>
          <w:rFonts w:ascii="Times New Roman" w:hAnsi="Times New Roman"/>
          <w:color w:val="000000"/>
          <w:shd w:val="clear" w:color="auto" w:fill="FFFFFF"/>
          <w:lang w:val="fr-BE"/>
        </w:rPr>
        <w:t xml:space="preserve">, 13 (2006), p. 289-320; CANAS, P., ‘Le contenu du dossier médical hospitalier’, </w:t>
      </w:r>
      <w:r w:rsidRPr="00426625">
        <w:rPr>
          <w:rFonts w:ascii="Times New Roman" w:hAnsi="Times New Roman"/>
          <w:i/>
          <w:iCs/>
          <w:color w:val="000000"/>
          <w:shd w:val="clear" w:color="auto" w:fill="FFFFFF"/>
          <w:lang w:val="fr-BE"/>
        </w:rPr>
        <w:t>B.J.P.H.</w:t>
      </w:r>
      <w:r w:rsidRPr="00426625">
        <w:rPr>
          <w:rFonts w:ascii="Times New Roman" w:hAnsi="Times New Roman"/>
          <w:color w:val="000000"/>
          <w:shd w:val="clear" w:color="auto" w:fill="FFFFFF"/>
          <w:lang w:val="fr-BE"/>
        </w:rPr>
        <w:t>, 84 (2006), p. 1-12; FRANÇAIS-MINOT, A., ‘Contenu et tenue du dossier médical. Commentaire de l’arrêt du Con</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seil d’Etat du 28 avril 2003’, </w:t>
      </w:r>
      <w:r w:rsidRPr="00426625">
        <w:rPr>
          <w:rFonts w:ascii="Times New Roman" w:hAnsi="Times New Roman"/>
          <w:i/>
          <w:iCs/>
          <w:color w:val="000000"/>
          <w:shd w:val="clear" w:color="auto" w:fill="FFFFFF"/>
          <w:lang w:val="fr-BE"/>
        </w:rPr>
        <w:t>G.H.</w:t>
      </w:r>
      <w:r w:rsidRPr="00426625">
        <w:rPr>
          <w:rFonts w:ascii="Times New Roman" w:hAnsi="Times New Roman"/>
          <w:color w:val="000000"/>
          <w:shd w:val="clear" w:color="auto" w:fill="FFFFFF"/>
          <w:lang w:val="fr-BE"/>
        </w:rPr>
        <w:t xml:space="preserve">, 431 (2003), p. 846-847; MANAOUIL, C.; MARGRAFF, A.; MORIUSER, J.; JARDE, O.; ‘Le dossier médical: conservation, contenu et accès’, </w:t>
      </w:r>
      <w:r w:rsidRPr="00426625">
        <w:rPr>
          <w:rFonts w:ascii="Times New Roman" w:hAnsi="Times New Roman"/>
          <w:i/>
          <w:iCs/>
          <w:color w:val="000000"/>
          <w:shd w:val="clear" w:color="auto" w:fill="FFFFFF"/>
          <w:lang w:val="fr-BE"/>
        </w:rPr>
        <w:t>J.M.L.</w:t>
      </w:r>
      <w:r w:rsidRPr="00426625">
        <w:rPr>
          <w:rFonts w:ascii="Times New Roman" w:hAnsi="Times New Roman"/>
          <w:color w:val="000000"/>
          <w:shd w:val="clear" w:color="auto" w:fill="FFFFFF"/>
          <w:lang w:val="fr-BE"/>
        </w:rPr>
        <w:t xml:space="preserve">, 49/1 (2006), p. 23-40 ; PAUCHET-TRAVERSAT, A.F. ; GEDDA, M. ; ‘Dossier du patient: de la qualité du contenu à l’information du patient’, J.P.C., 32 (2002), p. 11-14 ; PONTE, C., ‘Le dossier du patient, contenu et règles de bonne tenue (1/2)’, </w:t>
      </w:r>
      <w:r w:rsidRPr="00426625">
        <w:rPr>
          <w:rFonts w:ascii="Times New Roman" w:hAnsi="Times New Roman"/>
          <w:i/>
          <w:iCs/>
          <w:color w:val="000000"/>
          <w:shd w:val="clear" w:color="auto" w:fill="FFFFFF"/>
          <w:lang w:val="fr-BE"/>
        </w:rPr>
        <w:t>Soins</w:t>
      </w:r>
      <w:r w:rsidRPr="00426625">
        <w:rPr>
          <w:rFonts w:ascii="Times New Roman" w:hAnsi="Times New Roman"/>
          <w:color w:val="000000"/>
          <w:shd w:val="clear" w:color="auto" w:fill="FFFFFF"/>
          <w:lang w:val="fr-BE"/>
        </w:rPr>
        <w:t xml:space="preserve">, 703 (2007), p. 17-18 ; </w:t>
      </w:r>
      <w:r w:rsidRPr="00426625">
        <w:rPr>
          <w:rFonts w:ascii="Times New Roman" w:hAnsi="Times New Roman"/>
          <w:lang w:val="fr-BE"/>
        </w:rPr>
        <w:t xml:space="preserve">PRADEAU, F., ‘Le dossier du patient dans les établissements de santé. Tenue, contenu, archivage et communication’; </w:t>
      </w:r>
      <w:r w:rsidRPr="00426625">
        <w:rPr>
          <w:rFonts w:ascii="Times New Roman" w:hAnsi="Times New Roman"/>
          <w:color w:val="000000"/>
          <w:shd w:val="clear" w:color="auto" w:fill="FFFFFF"/>
          <w:lang w:val="fr-BE"/>
        </w:rPr>
        <w:t>PRADEAU, F.; PRADEAU, M.C.; BENZ-LEMOINE, E.; INGRAND, P.; ‘Le dossier du patient dans les établissements de santé. Tenue, contenu, archivage et communication - aspects médi</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co-légaux - revue de littérature’, </w:t>
      </w:r>
      <w:r w:rsidRPr="00426625">
        <w:rPr>
          <w:rFonts w:ascii="Times New Roman" w:hAnsi="Times New Roman"/>
          <w:i/>
          <w:iCs/>
          <w:color w:val="000000"/>
          <w:shd w:val="clear" w:color="auto" w:fill="FFFFFF"/>
          <w:lang w:val="fr-BE"/>
        </w:rPr>
        <w:t>J.M.L.</w:t>
      </w:r>
      <w:r w:rsidRPr="00426625">
        <w:rPr>
          <w:rFonts w:ascii="Times New Roman" w:hAnsi="Times New Roman"/>
          <w:color w:val="000000"/>
          <w:shd w:val="clear" w:color="auto" w:fill="FFFFFF"/>
          <w:lang w:val="fr-BE"/>
        </w:rPr>
        <w:t>, 41/5 (1998), p. 355-366; PROVILLE, S.; CHICHE, P.; ‘Le dossier mé</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dical du patient: son contenu à la lumière de la loi du 4 mars et du décret du 19 avril 2002’, </w:t>
      </w:r>
      <w:r w:rsidRPr="00426625">
        <w:rPr>
          <w:rFonts w:ascii="Times New Roman" w:hAnsi="Times New Roman"/>
          <w:i/>
          <w:color w:val="000000"/>
          <w:shd w:val="clear" w:color="auto" w:fill="FFFFFF"/>
          <w:lang w:val="fr-BE"/>
        </w:rPr>
        <w:t>B.J.S.P.</w:t>
      </w:r>
      <w:r w:rsidRPr="00426625">
        <w:rPr>
          <w:rFonts w:ascii="Times New Roman" w:hAnsi="Times New Roman"/>
          <w:color w:val="000000"/>
          <w:shd w:val="clear" w:color="auto" w:fill="FFFFFF"/>
          <w:lang w:val="fr-BE"/>
        </w:rPr>
        <w:t>, 52 (2002), p. 14-18.</w:t>
      </w:r>
    </w:p>
  </w:footnote>
  <w:footnote w:id="26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Deze aanvullingen hebben betrekking op: de procedure om aan patiënten palliatieve zorgen te verlenen in een vergevorderd- of eindstadium van een ernstige of ongeneeslijke aandoening die als bijverschijnsel het leven van de patiënt kunnen inkorten (art. L. 1110-5 § 5 CSP); de beslissing van de patiënt om elke behandeling te weige</w:t>
      </w:r>
      <w:r>
        <w:rPr>
          <w:rFonts w:ascii="Times New Roman" w:hAnsi="Times New Roman"/>
        </w:rPr>
        <w:t>-</w:t>
      </w:r>
      <w:r w:rsidRPr="00426625">
        <w:rPr>
          <w:rFonts w:ascii="Times New Roman" w:hAnsi="Times New Roman"/>
        </w:rPr>
        <w:t xml:space="preserve">ren of stop te zetten die levensbedreigend kan zijn (art. L. 1111-4 § 2 CSP); de beslissing van een patiënt, in een vergevorderd- of eindstadium van een ernstige en ongeneeslijke ziekte, om de behandeling te beperken of stop te zetten (art. L. 1111-10 § 1 CSP); de gemeenschappelijke medische beslissing om de behandeling van een patiënt te beperken of stop te zetten van een patiënt die niet in staat om zijn of haar wil te uiten die het leven van deze patiënt in gevaar kan brengen (art. L. 1111-4 § 5 CSP); de procedure om geneesmiddelen voor te schrijven die niet in de handel te verkrijgen zijn mits het </w:t>
      </w:r>
      <w:r w:rsidRPr="00426625">
        <w:rPr>
          <w:rFonts w:ascii="Times New Roman" w:hAnsi="Times New Roman"/>
          <w:i/>
          <w:iCs/>
        </w:rPr>
        <w:t xml:space="preserve">Agence française de sécurité sanitaire des produits de santé </w:t>
      </w:r>
      <w:r w:rsidRPr="00426625">
        <w:rPr>
          <w:rFonts w:ascii="Times New Roman" w:hAnsi="Times New Roman"/>
        </w:rPr>
        <w:t>hier een voorlopige toestemming voor verleend heeft (art. L. 5121-12 § 1 CSP); de gedeeltelijke ontbinding van het me</w:t>
      </w:r>
      <w:r>
        <w:rPr>
          <w:rFonts w:ascii="Times New Roman" w:hAnsi="Times New Roman"/>
        </w:rPr>
        <w:t>-</w:t>
      </w:r>
      <w:r w:rsidRPr="00426625">
        <w:rPr>
          <w:rFonts w:ascii="Times New Roman" w:hAnsi="Times New Roman"/>
        </w:rPr>
        <w:t>disch beroepsgeheim bij minderjarigen ten opzicht van hun ouders (art. R. 1111-6 CSP); de identiteit van de pa</w:t>
      </w:r>
      <w:r>
        <w:rPr>
          <w:rFonts w:ascii="Times New Roman" w:hAnsi="Times New Roman"/>
        </w:rPr>
        <w:t>-</w:t>
      </w:r>
      <w:r w:rsidRPr="00426625">
        <w:rPr>
          <w:rFonts w:ascii="Times New Roman" w:hAnsi="Times New Roman"/>
        </w:rPr>
        <w:t>tiënt en zijn vertrouwenspersoon (art. R. 1112-3 CSP); de verklaring met betrekking tot de voorlichting en toe</w:t>
      </w:r>
      <w:r>
        <w:rPr>
          <w:rFonts w:ascii="Times New Roman" w:hAnsi="Times New Roman"/>
        </w:rPr>
        <w:t>-</w:t>
      </w:r>
      <w:r w:rsidRPr="00426625">
        <w:rPr>
          <w:rFonts w:ascii="Times New Roman" w:hAnsi="Times New Roman"/>
        </w:rPr>
        <w:t>stemming van de patiënt die een genetisch onderzoek moet ondergaan (art. R. 1131-5 CSP); de weigering van een patiënt om de resultaten van genetische onderzoeken mee te delen (art. R. 1131-19 CSP); het transfusie</w:t>
      </w:r>
      <w:r>
        <w:rPr>
          <w:rFonts w:ascii="Times New Roman" w:hAnsi="Times New Roman"/>
        </w:rPr>
        <w:t>-</w:t>
      </w:r>
      <w:r w:rsidRPr="00426625">
        <w:rPr>
          <w:rFonts w:ascii="Times New Roman" w:hAnsi="Times New Roman"/>
        </w:rPr>
        <w:t>dossier (art. R. 1221-45 CSP); de originele overlijdensakte van een patiënt (art. R. 1232-4 CSP); de elementen met betrekking tot de medisch begeleide voortplanting (art. R. 2142-9 CSP); de identificatiegegevens van de aangewende medische apparatuur (art. R. 5212-40 en art. R. 5112-41 CSP); de resultaten van de consultatie voorafgaand aan de verdoving en de anesthesieverslagen (art. D. 6124-92 en art. D. 6124-102 CSP); de aanbeve</w:t>
      </w:r>
      <w:r>
        <w:rPr>
          <w:rFonts w:ascii="Times New Roman" w:hAnsi="Times New Roman"/>
        </w:rPr>
        <w:t>-</w:t>
      </w:r>
      <w:r w:rsidRPr="00426625">
        <w:rPr>
          <w:rFonts w:ascii="Times New Roman" w:hAnsi="Times New Roman"/>
        </w:rPr>
        <w:t>ling en het voorstel van het multidisciplinair overleg voor kankerpatiënten (art. D. 6124-131 CSP).</w:t>
      </w:r>
    </w:p>
  </w:footnote>
  <w:footnote w:id="270">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Cf. art. L. 1111-4 CSP, ingevoerd door art. 92 van wet nr. 2002-303 van 4 maart 2002 betreffende de rechten van patiënten en de kwaliteit van gezondheidszorgsystemen I (</w:t>
      </w:r>
      <w:r w:rsidRPr="00426625">
        <w:rPr>
          <w:rFonts w:ascii="Times New Roman" w:hAnsi="Times New Roman"/>
          <w:i/>
          <w:iCs/>
        </w:rPr>
        <w:t>JORF</w:t>
      </w:r>
      <w:r w:rsidRPr="00426625">
        <w:rPr>
          <w:rFonts w:ascii="Times New Roman" w:hAnsi="Times New Roman"/>
        </w:rPr>
        <w:t xml:space="preserve"> 54, 5 maart 2002) en gewijzigd door art. 3 van wet nr. 2005-370 van 22 april 2005 betreffende de rechten van patiënten en aan het levenseinde (</w:t>
      </w:r>
      <w:r w:rsidRPr="00426625">
        <w:rPr>
          <w:rFonts w:ascii="Times New Roman" w:hAnsi="Times New Roman"/>
          <w:i/>
          <w:iCs/>
        </w:rPr>
        <w:t>JORF</w:t>
      </w:r>
      <w:r w:rsidRPr="00426625">
        <w:rPr>
          <w:rFonts w:ascii="Times New Roman" w:hAnsi="Times New Roman"/>
        </w:rPr>
        <w:t xml:space="preserve"> 95, 23 april 2005). </w:t>
      </w:r>
      <w:r w:rsidRPr="00426625">
        <w:rPr>
          <w:rFonts w:ascii="Times New Roman" w:hAnsi="Times New Roman"/>
          <w:lang w:val="fr-BE"/>
        </w:rPr>
        <w:t xml:space="preserve">Zie ook: ‘Dossier de suivi médical et carnet médical’, </w:t>
      </w:r>
      <w:r w:rsidRPr="00426625">
        <w:rPr>
          <w:rFonts w:ascii="Times New Roman" w:hAnsi="Times New Roman"/>
          <w:i/>
          <w:lang w:val="fr-BE"/>
        </w:rPr>
        <w:t>A.S.H.</w:t>
      </w:r>
      <w:r w:rsidRPr="00426625">
        <w:rPr>
          <w:rFonts w:ascii="Times New Roman" w:hAnsi="Times New Roman"/>
          <w:lang w:val="fr-BE"/>
        </w:rPr>
        <w:t>, 1917 (1995), p. 7; </w:t>
      </w:r>
      <w:r w:rsidRPr="00426625">
        <w:rPr>
          <w:rFonts w:ascii="Times New Roman" w:hAnsi="Times New Roman"/>
          <w:i/>
          <w:iCs/>
          <w:lang w:val="fr-BE"/>
        </w:rPr>
        <w:t>Le dossier de suivi médical et le carnet médical: le projet de décret au 31 août 1994</w:t>
      </w:r>
      <w:r w:rsidRPr="00426625">
        <w:rPr>
          <w:rFonts w:ascii="Times New Roman" w:hAnsi="Times New Roman"/>
          <w:lang w:val="fr-BE"/>
        </w:rPr>
        <w:t>, Dossier d’information, Parijs, Ministère des Affaires Sociales de la Santé et de la Ville, 1994, 9p.; ‘Maîtrise des dépenses de santé: Dossier de suivi mé</w:t>
      </w:r>
      <w:r>
        <w:rPr>
          <w:rFonts w:ascii="Times New Roman" w:hAnsi="Times New Roman"/>
          <w:lang w:val="fr-BE"/>
        </w:rPr>
        <w:t>-</w:t>
      </w:r>
      <w:r w:rsidRPr="00426625">
        <w:rPr>
          <w:rFonts w:ascii="Times New Roman" w:hAnsi="Times New Roman"/>
          <w:lang w:val="fr-BE"/>
        </w:rPr>
        <w:t>dical’, </w:t>
      </w:r>
      <w:r w:rsidRPr="00426625">
        <w:rPr>
          <w:rFonts w:ascii="Times New Roman" w:hAnsi="Times New Roman"/>
          <w:i/>
          <w:lang w:val="fr-BE"/>
        </w:rPr>
        <w:t>L.S.</w:t>
      </w:r>
      <w:r w:rsidRPr="00426625">
        <w:rPr>
          <w:rFonts w:ascii="Times New Roman" w:hAnsi="Times New Roman"/>
          <w:lang w:val="fr-BE"/>
        </w:rPr>
        <w:t xml:space="preserve">, 245/7 (1995), p. 1-14; DUBOIS, O., ‘Dossier de suivi médical et carnet de santé’, </w:t>
      </w:r>
      <w:r w:rsidRPr="00426625">
        <w:rPr>
          <w:rFonts w:ascii="Times New Roman" w:hAnsi="Times New Roman"/>
          <w:i/>
          <w:lang w:val="fr-BE"/>
        </w:rPr>
        <w:t>B.O.M.</w:t>
      </w:r>
      <w:r w:rsidRPr="00426625">
        <w:rPr>
          <w:rFonts w:ascii="Times New Roman" w:hAnsi="Times New Roman"/>
          <w:lang w:val="fr-BE"/>
        </w:rPr>
        <w:t xml:space="preserve">, 3 1994, 3, p. 3-5; DUSSERRE, L., ‘Le dossier de suivi médical’, </w:t>
      </w:r>
      <w:r w:rsidRPr="00426625">
        <w:rPr>
          <w:rFonts w:ascii="Times New Roman" w:hAnsi="Times New Roman"/>
          <w:i/>
          <w:iCs/>
          <w:lang w:val="fr-BE"/>
        </w:rPr>
        <w:t>B.O.M.</w:t>
      </w:r>
      <w:r w:rsidRPr="00426625">
        <w:rPr>
          <w:rFonts w:ascii="Times New Roman" w:hAnsi="Times New Roman"/>
          <w:lang w:val="fr-BE"/>
        </w:rPr>
        <w:t xml:space="preserve">, 1994, 5, p. 6-8; PEDROT, P., ‘Dossier de suivi médical et carnet médical’, </w:t>
      </w:r>
      <w:r w:rsidRPr="00426625">
        <w:rPr>
          <w:rFonts w:ascii="Times New Roman" w:hAnsi="Times New Roman"/>
          <w:i/>
          <w:lang w:val="fr-BE"/>
        </w:rPr>
        <w:t>R.D.S.S.</w:t>
      </w:r>
      <w:r w:rsidRPr="00426625">
        <w:rPr>
          <w:rFonts w:ascii="Times New Roman" w:hAnsi="Times New Roman"/>
          <w:lang w:val="fr-BE"/>
        </w:rPr>
        <w:t>, 3 (1995), p. 610-613.</w:t>
      </w:r>
    </w:p>
  </w:footnote>
  <w:footnote w:id="27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art. R. 1221-40 CSP, gewijzigd door art. 11 van besluit nr. 2010-344 van 31 maart 2010 ter conclusie, op het vlak van de regelgeving, van de tussenkomst van wet nr. 2009-879 van 21 juli 2009 houdende ziekenhuis</w:t>
      </w:r>
      <w:r>
        <w:rPr>
          <w:rFonts w:ascii="Times New Roman" w:hAnsi="Times New Roman"/>
        </w:rPr>
        <w:t>-</w:t>
      </w:r>
      <w:r w:rsidRPr="00426625">
        <w:rPr>
          <w:rFonts w:ascii="Times New Roman" w:hAnsi="Times New Roman"/>
        </w:rPr>
        <w:t>hervorming en betreffende patiënten, gezondheid en verzorgingsgebieden (</w:t>
      </w:r>
      <w:r w:rsidRPr="00426625">
        <w:rPr>
          <w:rFonts w:ascii="Times New Roman" w:hAnsi="Times New Roman"/>
          <w:i/>
          <w:iCs/>
        </w:rPr>
        <w:t xml:space="preserve">JORF </w:t>
      </w:r>
      <w:r w:rsidRPr="00426625">
        <w:rPr>
          <w:rFonts w:ascii="Times New Roman" w:hAnsi="Times New Roman"/>
        </w:rPr>
        <w:t>77, 1 april 2010).</w:t>
      </w:r>
    </w:p>
  </w:footnote>
  <w:footnote w:id="27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art. L. 1111-11 CSP, ingevoerd door art. 7 en art. 10 van wet nr. 2005-370 van 22 april 2005.</w:t>
      </w:r>
    </w:p>
  </w:footnote>
  <w:footnote w:id="273">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ANAES, </w:t>
      </w:r>
      <w:r w:rsidRPr="00426625">
        <w:rPr>
          <w:rFonts w:ascii="Times New Roman" w:hAnsi="Times New Roman"/>
          <w:i/>
          <w:iCs/>
          <w:lang w:val="fr-BE"/>
        </w:rPr>
        <w:t>Evaluation des pratiques professionnelles dans les établissements de santé. Dossier du patient: Rég</w:t>
      </w:r>
      <w:r>
        <w:rPr>
          <w:rFonts w:ascii="Times New Roman" w:hAnsi="Times New Roman"/>
          <w:i/>
          <w:iCs/>
          <w:lang w:val="fr-BE"/>
        </w:rPr>
        <w:t>-</w:t>
      </w:r>
      <w:r w:rsidRPr="00426625">
        <w:rPr>
          <w:rFonts w:ascii="Times New Roman" w:hAnsi="Times New Roman"/>
          <w:i/>
          <w:iCs/>
          <w:lang w:val="fr-BE"/>
        </w:rPr>
        <w:t>lementation et recommendations</w:t>
      </w:r>
      <w:r w:rsidRPr="00426625">
        <w:rPr>
          <w:rFonts w:ascii="Times New Roman" w:hAnsi="Times New Roman"/>
          <w:lang w:val="fr-BE"/>
        </w:rPr>
        <w:t xml:space="preserve">, 2003, p. 13-14. </w:t>
      </w:r>
    </w:p>
  </w:footnote>
  <w:footnote w:id="27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lang w:val="fr-BE"/>
        </w:rPr>
        <w:t xml:space="preserve"> Art. R. 4127 CSP, ingevoerd door besluit nr. 2004-802 van 29 juli 2004. </w:t>
      </w:r>
      <w:r w:rsidRPr="00426625">
        <w:rPr>
          <w:rFonts w:ascii="Times New Roman" w:hAnsi="Times New Roman"/>
        </w:rPr>
        <w:t>Art. R. 4127-45 CSP werd opgeno</w:t>
      </w:r>
      <w:r>
        <w:rPr>
          <w:rFonts w:ascii="Times New Roman" w:hAnsi="Times New Roman"/>
        </w:rPr>
        <w:t>-</w:t>
      </w:r>
      <w:r w:rsidRPr="00426625">
        <w:rPr>
          <w:rFonts w:ascii="Times New Roman" w:hAnsi="Times New Roman"/>
        </w:rPr>
        <w:t>men in art. 45 van de Franse C.G.P.</w:t>
      </w:r>
    </w:p>
  </w:footnote>
  <w:footnote w:id="27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Titel V van w</w:t>
      </w:r>
      <w:r w:rsidRPr="00426625">
        <w:rPr>
          <w:rFonts w:ascii="Times New Roman" w:eastAsia="Times New Roman" w:hAnsi="Times New Roman"/>
          <w:color w:val="000000"/>
          <w:lang w:eastAsia="nl-BE"/>
        </w:rPr>
        <w:t>et nr. 94-43 van 18 juni 1994 betreffende de volksgezondheid en de sociale zekerheid I (</w:t>
      </w:r>
      <w:r w:rsidRPr="00426625">
        <w:rPr>
          <w:rFonts w:ascii="Times New Roman" w:eastAsia="Times New Roman" w:hAnsi="Times New Roman"/>
          <w:i/>
          <w:iCs/>
          <w:color w:val="000000"/>
          <w:lang w:eastAsia="nl-BE"/>
        </w:rPr>
        <w:t>JORF</w:t>
      </w:r>
      <w:r w:rsidRPr="00426625">
        <w:rPr>
          <w:rFonts w:ascii="Times New Roman" w:eastAsia="Times New Roman" w:hAnsi="Times New Roman"/>
          <w:color w:val="000000"/>
          <w:lang w:eastAsia="nl-BE"/>
        </w:rPr>
        <w:t xml:space="preserve"> 15, 19 januari 1994).</w:t>
      </w:r>
    </w:p>
  </w:footnote>
  <w:footnote w:id="27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Art. 15 van besluit nr. 96-345 van 24 april 1996 betreffende de medische beheersing van de zorguitgaven (</w:t>
      </w:r>
      <w:r w:rsidRPr="00426625">
        <w:rPr>
          <w:rFonts w:ascii="Times New Roman" w:eastAsia="Times New Roman" w:hAnsi="Times New Roman"/>
          <w:i/>
          <w:iCs/>
          <w:color w:val="000000"/>
          <w:lang w:eastAsia="nl-BE"/>
        </w:rPr>
        <w:t>JORF</w:t>
      </w:r>
      <w:r w:rsidRPr="00426625">
        <w:rPr>
          <w:rFonts w:ascii="Times New Roman" w:eastAsia="Times New Roman" w:hAnsi="Times New Roman"/>
          <w:color w:val="000000"/>
          <w:lang w:eastAsia="nl-BE"/>
        </w:rPr>
        <w:t xml:space="preserve"> 98, 25 april 1996).</w:t>
      </w:r>
    </w:p>
  </w:footnote>
  <w:footnote w:id="27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Art. R. 4127-45 CSP</w:t>
      </w:r>
      <w:r w:rsidRPr="00426625">
        <w:rPr>
          <w:rFonts w:ascii="Times New Roman" w:hAnsi="Times New Roman"/>
        </w:rPr>
        <w:t>, ingevoerd bij besluit nr. 2004-802 van 29 juli 2004</w:t>
      </w:r>
      <w:r w:rsidRPr="00426625">
        <w:rPr>
          <w:rFonts w:ascii="Times New Roman" w:eastAsia="Times New Roman" w:hAnsi="Times New Roman"/>
          <w:lang w:eastAsia="nl-BE"/>
        </w:rPr>
        <w:t xml:space="preserve">. </w:t>
      </w:r>
      <w:r w:rsidRPr="00426625">
        <w:rPr>
          <w:rFonts w:ascii="Times New Roman" w:eastAsia="Times New Roman" w:hAnsi="Times New Roman"/>
          <w:lang w:val="fr-BE" w:eastAsia="nl-BE"/>
        </w:rPr>
        <w:t>Zie ook:</w:t>
      </w:r>
      <w:r w:rsidRPr="00426625">
        <w:rPr>
          <w:rFonts w:ascii="Times New Roman" w:eastAsia="Times New Roman" w:hAnsi="Times New Roman"/>
          <w:color w:val="FF0000"/>
          <w:lang w:val="fr-BE" w:eastAsia="nl-BE"/>
        </w:rPr>
        <w:t xml:space="preserve"> </w:t>
      </w:r>
      <w:r w:rsidRPr="00E333B6">
        <w:rPr>
          <w:rFonts w:ascii="Times New Roman" w:eastAsia="Times New Roman" w:hAnsi="Times New Roman"/>
          <w:color w:val="000000"/>
          <w:lang w:val="fr-BE" w:eastAsia="nl-BE"/>
        </w:rPr>
        <w:t xml:space="preserve">ANAES, </w:t>
      </w:r>
      <w:r w:rsidRPr="00E333B6">
        <w:rPr>
          <w:rFonts w:ascii="Times New Roman" w:eastAsia="Times New Roman" w:hAnsi="Times New Roman"/>
          <w:i/>
          <w:iCs/>
          <w:color w:val="000000"/>
          <w:lang w:val="fr-BE" w:eastAsia="nl-BE"/>
        </w:rPr>
        <w:t>Evaluation des</w:t>
      </w:r>
      <w:r w:rsidRPr="00426625">
        <w:rPr>
          <w:rFonts w:ascii="Times New Roman" w:eastAsia="Times New Roman" w:hAnsi="Times New Roman"/>
          <w:i/>
          <w:iCs/>
          <w:color w:val="000000"/>
          <w:lang w:val="fr-BE" w:eastAsia="nl-BE"/>
        </w:rPr>
        <w:t xml:space="preserve"> </w:t>
      </w:r>
      <w:r w:rsidRPr="00E333B6">
        <w:rPr>
          <w:rFonts w:ascii="Times New Roman" w:eastAsia="Times New Roman" w:hAnsi="Times New Roman"/>
          <w:i/>
          <w:iCs/>
          <w:color w:val="000000"/>
          <w:lang w:val="fr-BE" w:eastAsia="nl-BE"/>
        </w:rPr>
        <w:t>pratiques professionnelles dans les établissements de santé</w:t>
      </w:r>
      <w:r w:rsidRPr="00E333B6">
        <w:rPr>
          <w:rFonts w:ascii="Times New Roman" w:eastAsia="Times New Roman" w:hAnsi="Times New Roman"/>
          <w:color w:val="000000"/>
          <w:lang w:val="fr-BE" w:eastAsia="nl-BE"/>
        </w:rPr>
        <w:t xml:space="preserve">, p. 63; LOUBRY, N., ‘Propriété, conservation en transmission des dossiers médicaux’, </w:t>
      </w:r>
      <w:r w:rsidRPr="00E333B6">
        <w:rPr>
          <w:rFonts w:ascii="Times New Roman" w:eastAsia="Times New Roman" w:hAnsi="Times New Roman"/>
          <w:i/>
          <w:color w:val="000000"/>
          <w:lang w:val="fr-BE" w:eastAsia="nl-BE"/>
        </w:rPr>
        <w:t>C.M.</w:t>
      </w:r>
      <w:r w:rsidRPr="00E333B6">
        <w:rPr>
          <w:rFonts w:ascii="Times New Roman" w:eastAsia="Times New Roman" w:hAnsi="Times New Roman"/>
          <w:color w:val="000000"/>
          <w:lang w:val="fr-BE" w:eastAsia="nl-BE"/>
        </w:rPr>
        <w:t>, 113/30 (1991), p. 2633-2635.</w:t>
      </w:r>
    </w:p>
  </w:footnote>
  <w:footnote w:id="278">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w:t>
      </w:r>
      <w:r w:rsidRPr="00E333B6">
        <w:rPr>
          <w:rFonts w:ascii="Times New Roman" w:eastAsia="Times New Roman" w:hAnsi="Times New Roman"/>
          <w:color w:val="000000"/>
          <w:lang w:val="fr-BE" w:eastAsia="nl-BE"/>
        </w:rPr>
        <w:t>KOUCHNER, C.</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LAUDE, A.</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TABUTEAU, D.</w:t>
      </w:r>
      <w:r w:rsidRPr="00426625">
        <w:rPr>
          <w:rFonts w:ascii="Times New Roman" w:eastAsia="Times New Roman" w:hAnsi="Times New Roman"/>
          <w:color w:val="000000"/>
          <w:lang w:val="fr-BE" w:eastAsia="nl-BE"/>
        </w:rPr>
        <w:t xml:space="preserve"> (reds.);</w:t>
      </w:r>
      <w:r w:rsidRPr="00E333B6">
        <w:rPr>
          <w:rFonts w:ascii="Times New Roman" w:eastAsia="Times New Roman" w:hAnsi="Times New Roman"/>
          <w:color w:val="000000"/>
          <w:lang w:val="fr-BE" w:eastAsia="nl-BE"/>
        </w:rPr>
        <w:t xml:space="preserve"> </w:t>
      </w:r>
      <w:r w:rsidRPr="00E333B6">
        <w:rPr>
          <w:rFonts w:ascii="Times New Roman" w:eastAsia="Times New Roman" w:hAnsi="Times New Roman"/>
          <w:i/>
          <w:iCs/>
          <w:color w:val="000000"/>
          <w:lang w:val="fr-BE" w:eastAsia="nl-BE"/>
        </w:rPr>
        <w:t>Rapport sur les droits des</w:t>
      </w:r>
      <w:r w:rsidRPr="00426625">
        <w:rPr>
          <w:rFonts w:ascii="Times New Roman" w:eastAsia="Times New Roman" w:hAnsi="Times New Roman"/>
          <w:i/>
          <w:iCs/>
          <w:color w:val="000000"/>
          <w:lang w:val="fr-BE" w:eastAsia="nl-BE"/>
        </w:rPr>
        <w:t xml:space="preserve"> </w:t>
      </w:r>
      <w:r w:rsidRPr="00E333B6">
        <w:rPr>
          <w:rFonts w:ascii="Times New Roman" w:eastAsia="Times New Roman" w:hAnsi="Times New Roman"/>
          <w:i/>
          <w:iCs/>
          <w:color w:val="000000"/>
          <w:lang w:val="fr-BE" w:eastAsia="nl-BE"/>
        </w:rPr>
        <w:t>malades</w:t>
      </w:r>
      <w:r w:rsidRPr="00426625">
        <w:rPr>
          <w:rFonts w:ascii="Times New Roman" w:eastAsia="Times New Roman" w:hAnsi="Times New Roman"/>
          <w:i/>
          <w:iCs/>
          <w:color w:val="000000"/>
          <w:lang w:val="fr-BE" w:eastAsia="nl-BE"/>
        </w:rPr>
        <w:t>:</w:t>
      </w:r>
      <w:r w:rsidRPr="00E333B6">
        <w:rPr>
          <w:rFonts w:ascii="Times New Roman" w:eastAsia="Times New Roman" w:hAnsi="Times New Roman"/>
          <w:i/>
          <w:iCs/>
          <w:color w:val="000000"/>
          <w:lang w:val="fr-BE" w:eastAsia="nl-BE"/>
        </w:rPr>
        <w:t xml:space="preserve"> 2007/2008</w:t>
      </w:r>
      <w:r w:rsidRPr="00E333B6">
        <w:rPr>
          <w:rFonts w:ascii="Times New Roman" w:eastAsia="Times New Roman" w:hAnsi="Times New Roman"/>
          <w:color w:val="000000"/>
          <w:lang w:val="fr-BE" w:eastAsia="nl-BE"/>
        </w:rPr>
        <w:t xml:space="preserve">, Presses de l’EHESP, </w:t>
      </w:r>
      <w:r w:rsidRPr="00426625">
        <w:rPr>
          <w:rFonts w:ascii="Times New Roman" w:eastAsia="Times New Roman" w:hAnsi="Times New Roman"/>
          <w:color w:val="000000"/>
          <w:lang w:val="fr-BE" w:eastAsia="nl-BE"/>
        </w:rPr>
        <w:t xml:space="preserve">s.l., </w:t>
      </w:r>
      <w:r w:rsidRPr="00E333B6">
        <w:rPr>
          <w:rFonts w:ascii="Times New Roman" w:eastAsia="Times New Roman" w:hAnsi="Times New Roman"/>
          <w:color w:val="000000"/>
          <w:lang w:val="fr-BE" w:eastAsia="nl-BE"/>
        </w:rPr>
        <w:t>2009, p. 56.</w:t>
      </w:r>
      <w:r w:rsidRPr="00426625">
        <w:rPr>
          <w:rFonts w:ascii="Times New Roman" w:eastAsia="Times New Roman" w:hAnsi="Times New Roman"/>
          <w:color w:val="000000"/>
          <w:lang w:val="fr-BE" w:eastAsia="nl-BE"/>
        </w:rPr>
        <w:t>; commentaren bij art.</w:t>
      </w:r>
      <w:r w:rsidRPr="00E333B6">
        <w:rPr>
          <w:rFonts w:ascii="Times New Roman" w:eastAsia="Times New Roman" w:hAnsi="Times New Roman"/>
          <w:color w:val="000000"/>
          <w:lang w:val="fr-BE" w:eastAsia="nl-BE"/>
        </w:rPr>
        <w:t xml:space="preserve"> 45 </w:t>
      </w:r>
      <w:r w:rsidRPr="00426625">
        <w:rPr>
          <w:rFonts w:ascii="Times New Roman" w:eastAsia="Times New Roman" w:hAnsi="Times New Roman"/>
          <w:color w:val="000000"/>
          <w:lang w:val="fr-BE" w:eastAsia="nl-BE"/>
        </w:rPr>
        <w:t xml:space="preserve">C.G.P., raadpleegbaar op de website van CNOM </w:t>
      </w:r>
      <w:r w:rsidRPr="00E333B6">
        <w:rPr>
          <w:rFonts w:ascii="Times New Roman" w:eastAsia="Times New Roman" w:hAnsi="Times New Roman"/>
          <w:color w:val="000000"/>
          <w:lang w:val="fr-BE" w:eastAsia="nl-BE"/>
        </w:rPr>
        <w:t>(</w:t>
      </w:r>
      <w:hyperlink r:id="rId27" w:history="1">
        <w:r w:rsidRPr="00EA26DD">
          <w:rPr>
            <w:rStyle w:val="Hyperlink"/>
            <w:rFonts w:ascii="Times New Roman" w:hAnsi="Times New Roman"/>
            <w:lang w:val="fr-BE"/>
          </w:rPr>
          <w:t>http://www.conseil-national.medecin.fr/article/article-45-fiche-d-observation-269</w:t>
        </w:r>
      </w:hyperlink>
      <w:r w:rsidRPr="00E333B6">
        <w:rPr>
          <w:rFonts w:ascii="Times New Roman" w:eastAsia="Times New Roman" w:hAnsi="Times New Roman"/>
          <w:color w:val="000000"/>
          <w:lang w:val="fr-BE" w:eastAsia="nl-BE"/>
        </w:rPr>
        <w:t>, laatst</w:t>
      </w:r>
      <w:hyperlink r:id="rId28" w:history="1"/>
      <w:r w:rsidRPr="00E333B6">
        <w:rPr>
          <w:rFonts w:ascii="Times New Roman" w:hAnsi="Times New Roman"/>
          <w:lang w:val="fr-BE"/>
        </w:rPr>
        <w:t xml:space="preserve"> geraadpleegd op 23 juli 2007).</w:t>
      </w:r>
    </w:p>
  </w:footnote>
  <w:footnote w:id="279">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w:t>
      </w:r>
      <w:r w:rsidRPr="00426625">
        <w:rPr>
          <w:rFonts w:ascii="Times New Roman" w:eastAsia="Times New Roman" w:hAnsi="Times New Roman"/>
          <w:color w:val="000000"/>
          <w:lang w:val="fr-BE" w:eastAsia="nl-BE"/>
        </w:rPr>
        <w:t>CNOM</w:t>
      </w:r>
      <w:r w:rsidRPr="00E333B6">
        <w:rPr>
          <w:rFonts w:ascii="Times New Roman" w:eastAsia="Times New Roman" w:hAnsi="Times New Roman"/>
          <w:color w:val="000000"/>
          <w:lang w:val="fr-BE" w:eastAsia="nl-BE"/>
        </w:rPr>
        <w:t xml:space="preserve">, </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Guide d’exercice professionnel</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w:t>
      </w:r>
      <w:r w:rsidRPr="00E333B6">
        <w:rPr>
          <w:rFonts w:ascii="Times New Roman" w:eastAsia="Times New Roman" w:hAnsi="Times New Roman"/>
          <w:i/>
          <w:color w:val="000000"/>
          <w:lang w:val="fr-BE" w:eastAsia="nl-BE"/>
        </w:rPr>
        <w:t>M.S.</w:t>
      </w:r>
      <w:r w:rsidRPr="00E333B6">
        <w:rPr>
          <w:rFonts w:ascii="Times New Roman" w:eastAsia="Times New Roman" w:hAnsi="Times New Roman"/>
          <w:color w:val="000000"/>
          <w:lang w:val="fr-BE" w:eastAsia="nl-BE"/>
        </w:rPr>
        <w:t>, 34</w:t>
      </w:r>
      <w:r w:rsidRPr="00426625">
        <w:rPr>
          <w:rFonts w:ascii="Times New Roman" w:eastAsia="Times New Roman" w:hAnsi="Times New Roman"/>
          <w:color w:val="000000"/>
          <w:lang w:val="fr-BE" w:eastAsia="nl-BE"/>
        </w:rPr>
        <w:t xml:space="preserve"> (</w:t>
      </w:r>
      <w:r w:rsidRPr="00E333B6">
        <w:rPr>
          <w:rFonts w:ascii="Times New Roman" w:eastAsia="Times New Roman" w:hAnsi="Times New Roman"/>
          <w:color w:val="000000"/>
          <w:lang w:val="fr-BE" w:eastAsia="nl-BE"/>
        </w:rPr>
        <w:t>1998</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p.</w:t>
      </w:r>
      <w:r w:rsidRPr="00426625">
        <w:rPr>
          <w:rFonts w:ascii="Times New Roman" w:eastAsia="Times New Roman" w:hAnsi="Times New Roman"/>
          <w:color w:val="000000"/>
          <w:lang w:val="fr-BE" w:eastAsia="nl-BE"/>
        </w:rPr>
        <w:t xml:space="preserve"> </w:t>
      </w:r>
      <w:r w:rsidRPr="00E333B6">
        <w:rPr>
          <w:rFonts w:ascii="Times New Roman" w:eastAsia="Times New Roman" w:hAnsi="Times New Roman"/>
          <w:color w:val="000000"/>
          <w:lang w:val="fr-BE" w:eastAsia="nl-BE"/>
        </w:rPr>
        <w:t>209</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KOUCHNER, C.</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LAUDE, A.</w:t>
      </w:r>
      <w:r w:rsidRPr="00426625">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 xml:space="preserve"> TABU</w:t>
      </w:r>
      <w:r>
        <w:rPr>
          <w:rFonts w:ascii="Times New Roman" w:eastAsia="Times New Roman" w:hAnsi="Times New Roman"/>
          <w:color w:val="000000"/>
          <w:lang w:val="fr-BE" w:eastAsia="nl-BE"/>
        </w:rPr>
        <w:t>-</w:t>
      </w:r>
      <w:r w:rsidRPr="00E333B6">
        <w:rPr>
          <w:rFonts w:ascii="Times New Roman" w:eastAsia="Times New Roman" w:hAnsi="Times New Roman"/>
          <w:color w:val="000000"/>
          <w:lang w:val="fr-BE" w:eastAsia="nl-BE"/>
        </w:rPr>
        <w:t>TEAU, D.</w:t>
      </w:r>
      <w:r w:rsidRPr="00426625">
        <w:rPr>
          <w:rFonts w:ascii="Times New Roman" w:eastAsia="Times New Roman" w:hAnsi="Times New Roman"/>
          <w:color w:val="000000"/>
          <w:lang w:val="fr-BE" w:eastAsia="nl-BE"/>
        </w:rPr>
        <w:t xml:space="preserve"> (reds.);</w:t>
      </w:r>
      <w:r w:rsidRPr="00E333B6">
        <w:rPr>
          <w:rFonts w:ascii="Times New Roman" w:eastAsia="Times New Roman" w:hAnsi="Times New Roman"/>
          <w:color w:val="000000"/>
          <w:lang w:val="fr-BE" w:eastAsia="nl-BE"/>
        </w:rPr>
        <w:t xml:space="preserve"> </w:t>
      </w:r>
      <w:r w:rsidRPr="00E333B6">
        <w:rPr>
          <w:rFonts w:ascii="Times New Roman" w:eastAsia="Times New Roman" w:hAnsi="Times New Roman"/>
          <w:i/>
          <w:iCs/>
          <w:color w:val="000000"/>
          <w:lang w:val="fr-BE" w:eastAsia="nl-BE"/>
        </w:rPr>
        <w:t>Rapport sur les droits des</w:t>
      </w:r>
      <w:r w:rsidRPr="00426625">
        <w:rPr>
          <w:rFonts w:ascii="Times New Roman" w:eastAsia="Times New Roman" w:hAnsi="Times New Roman"/>
          <w:i/>
          <w:iCs/>
          <w:color w:val="000000"/>
          <w:lang w:val="fr-BE" w:eastAsia="nl-BE"/>
        </w:rPr>
        <w:t xml:space="preserve"> </w:t>
      </w:r>
      <w:r w:rsidRPr="00E333B6">
        <w:rPr>
          <w:rFonts w:ascii="Times New Roman" w:eastAsia="Times New Roman" w:hAnsi="Times New Roman"/>
          <w:i/>
          <w:iCs/>
          <w:color w:val="000000"/>
          <w:lang w:val="fr-BE" w:eastAsia="nl-BE"/>
        </w:rPr>
        <w:t>malades</w:t>
      </w:r>
      <w:r w:rsidRPr="00426625">
        <w:rPr>
          <w:rFonts w:ascii="Times New Roman" w:eastAsia="Times New Roman" w:hAnsi="Times New Roman"/>
          <w:i/>
          <w:iCs/>
          <w:color w:val="000000"/>
          <w:lang w:val="fr-BE" w:eastAsia="nl-BE"/>
        </w:rPr>
        <w:t>:</w:t>
      </w:r>
      <w:r w:rsidRPr="00E333B6">
        <w:rPr>
          <w:rFonts w:ascii="Times New Roman" w:eastAsia="Times New Roman" w:hAnsi="Times New Roman"/>
          <w:i/>
          <w:iCs/>
          <w:color w:val="000000"/>
          <w:lang w:val="fr-BE" w:eastAsia="nl-BE"/>
        </w:rPr>
        <w:t xml:space="preserve"> 2007/2008</w:t>
      </w:r>
      <w:r w:rsidRPr="00E333B6">
        <w:rPr>
          <w:rFonts w:ascii="Times New Roman" w:eastAsia="Times New Roman" w:hAnsi="Times New Roman"/>
          <w:color w:val="000000"/>
          <w:lang w:val="fr-BE" w:eastAsia="nl-BE"/>
        </w:rPr>
        <w:t>, p. 56.</w:t>
      </w:r>
    </w:p>
  </w:footnote>
  <w:footnote w:id="28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rPr>
        <w:t xml:space="preserve"> Art. L. 1111-15 CSP, ingevoerd door art. 50 van wet nr. 2009-879 van 21 juli 2009 houdende ziekenhuisher</w:t>
      </w:r>
      <w:r>
        <w:rPr>
          <w:rFonts w:ascii="Times New Roman" w:hAnsi="Times New Roman"/>
        </w:rPr>
        <w:t>-</w:t>
      </w:r>
      <w:r w:rsidRPr="00E333B6">
        <w:rPr>
          <w:rFonts w:ascii="Times New Roman" w:hAnsi="Times New Roman"/>
        </w:rPr>
        <w:t>vorming en betreffende patiënten, gezondheid en verzorgingsgebieden (</w:t>
      </w:r>
      <w:r w:rsidRPr="00E333B6">
        <w:rPr>
          <w:rFonts w:ascii="Times New Roman" w:hAnsi="Times New Roman"/>
          <w:i/>
          <w:iCs/>
        </w:rPr>
        <w:t xml:space="preserve">JORF </w:t>
      </w:r>
      <w:r w:rsidRPr="00E333B6">
        <w:rPr>
          <w:rFonts w:ascii="Times New Roman" w:hAnsi="Times New Roman"/>
        </w:rPr>
        <w:t xml:space="preserve">167, 22 juli 2009). </w:t>
      </w:r>
    </w:p>
  </w:footnote>
  <w:footnote w:id="281">
    <w:p w:rsidR="00E82D16" w:rsidRPr="00E333B6" w:rsidRDefault="00E82D16" w:rsidP="00426625">
      <w:pPr>
        <w:pStyle w:val="Geenafstand1"/>
        <w:ind w:firstLine="1"/>
        <w:jc w:val="both"/>
        <w:rPr>
          <w:rFonts w:ascii="Times New Roman" w:hAnsi="Times New Roman"/>
          <w:sz w:val="20"/>
          <w:szCs w:val="20"/>
          <w:lang w:val="fr-BE"/>
        </w:rPr>
      </w:pPr>
      <w:r w:rsidRPr="00426625">
        <w:rPr>
          <w:rStyle w:val="Voetnootmarkering"/>
          <w:rFonts w:ascii="Times New Roman" w:hAnsi="Times New Roman"/>
          <w:sz w:val="20"/>
          <w:szCs w:val="20"/>
        </w:rPr>
        <w:footnoteRef/>
      </w:r>
      <w:r w:rsidRPr="00426625">
        <w:rPr>
          <w:rFonts w:ascii="Times New Roman" w:hAnsi="Times New Roman"/>
          <w:sz w:val="20"/>
          <w:szCs w:val="20"/>
          <w:lang w:val="fr-BE"/>
        </w:rPr>
        <w:t xml:space="preserve"> GENOT-POK, I., ‘Des archives publiques aux archives hospitalières: points de droit’, </w:t>
      </w:r>
      <w:r w:rsidRPr="00426625">
        <w:rPr>
          <w:rFonts w:ascii="Times New Roman" w:hAnsi="Times New Roman"/>
          <w:i/>
          <w:iCs/>
          <w:sz w:val="20"/>
          <w:szCs w:val="20"/>
          <w:lang w:val="fr-BE"/>
        </w:rPr>
        <w:t>A.J.S.</w:t>
      </w:r>
      <w:r w:rsidRPr="00426625">
        <w:rPr>
          <w:rFonts w:ascii="Times New Roman" w:hAnsi="Times New Roman"/>
          <w:sz w:val="20"/>
          <w:szCs w:val="20"/>
          <w:lang w:val="fr-BE"/>
        </w:rPr>
        <w:t xml:space="preserve">, 69 (2010), p. 6; CANAS, F.; FORNES, P.; PLUOT, M.; BERNARD, M.H.; ‘De la propriété du dossier médical hospitalier’, </w:t>
      </w:r>
      <w:r w:rsidRPr="00426625">
        <w:rPr>
          <w:rFonts w:ascii="Times New Roman" w:hAnsi="Times New Roman"/>
          <w:i/>
          <w:iCs/>
          <w:sz w:val="20"/>
          <w:szCs w:val="20"/>
          <w:lang w:val="fr-BE"/>
        </w:rPr>
        <w:t>Proceedings 16</w:t>
      </w:r>
      <w:r w:rsidRPr="00426625">
        <w:rPr>
          <w:rFonts w:ascii="Times New Roman" w:hAnsi="Times New Roman"/>
          <w:i/>
          <w:iCs/>
          <w:sz w:val="20"/>
          <w:szCs w:val="20"/>
          <w:vertAlign w:val="superscript"/>
          <w:lang w:val="fr-BE"/>
        </w:rPr>
        <w:t>th</w:t>
      </w:r>
      <w:r w:rsidRPr="00426625">
        <w:rPr>
          <w:rFonts w:ascii="Times New Roman" w:hAnsi="Times New Roman"/>
          <w:i/>
          <w:iCs/>
          <w:sz w:val="20"/>
          <w:szCs w:val="20"/>
          <w:lang w:val="fr-BE"/>
        </w:rPr>
        <w:t xml:space="preserve"> World Congress Medical Law</w:t>
      </w:r>
      <w:r w:rsidRPr="00426625">
        <w:rPr>
          <w:rFonts w:ascii="Times New Roman" w:hAnsi="Times New Roman"/>
          <w:sz w:val="20"/>
          <w:szCs w:val="20"/>
          <w:lang w:val="fr-BE"/>
        </w:rPr>
        <w:t>, II, Toulouse, 2006, p. 1160.</w:t>
      </w:r>
    </w:p>
  </w:footnote>
  <w:footnote w:id="282">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ROUBERT, J., ‘Les archives médicales en France’, </w:t>
      </w:r>
      <w:r w:rsidRPr="00E333B6">
        <w:rPr>
          <w:rFonts w:ascii="Times New Roman" w:hAnsi="Times New Roman"/>
          <w:i/>
          <w:lang w:val="fr-BE"/>
        </w:rPr>
        <w:t>Archivaria</w:t>
      </w:r>
      <w:r w:rsidRPr="00E333B6">
        <w:rPr>
          <w:rFonts w:ascii="Times New Roman" w:hAnsi="Times New Roman"/>
          <w:lang w:val="fr-BE"/>
        </w:rPr>
        <w:t>, 10 (1980), p. 253.</w:t>
      </w:r>
    </w:p>
  </w:footnote>
  <w:footnote w:id="283">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hyperlink r:id="rId29" w:history="1">
        <w:r w:rsidRPr="00E333B6">
          <w:rPr>
            <w:rStyle w:val="Hyperlink"/>
            <w:rFonts w:ascii="Times New Roman" w:hAnsi="Times New Roman"/>
            <w:lang w:val="fr-BE"/>
          </w:rPr>
          <w:t>http://www.axis-consultants.fr/Modules/Sanitaire/index_assets/Plan-detaille-Secret-Professionnel.pdf</w:t>
        </w:r>
      </w:hyperlink>
      <w:r w:rsidRPr="00E333B6">
        <w:rPr>
          <w:rFonts w:ascii="Times New Roman" w:hAnsi="Times New Roman"/>
          <w:lang w:val="fr-BE"/>
        </w:rPr>
        <w:t>.</w:t>
      </w:r>
    </w:p>
  </w:footnote>
  <w:footnote w:id="28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77 van wet nr. 94-43 van 18 januari 1994, opgeheven door art. 7 van ordonnantie nr. 96-345 van 24 april 1996</w:t>
      </w:r>
      <w:r w:rsidRPr="00426625">
        <w:rPr>
          <w:rFonts w:ascii="Times New Roman" w:eastAsia="Times New Roman" w:hAnsi="Times New Roman"/>
          <w:color w:val="000000"/>
          <w:lang w:eastAsia="nl-BE"/>
        </w:rPr>
        <w:t>;</w:t>
      </w:r>
      <w:r w:rsidRPr="00426625">
        <w:rPr>
          <w:rFonts w:ascii="Times New Roman" w:hAnsi="Times New Roman"/>
        </w:rPr>
        <w:t xml:space="preserve"> BLOCKX, F., ‘Over het eigendomsrecht van medische dossiers,… of toch niet?’, p. 234 (voetnoot 3). </w:t>
      </w:r>
    </w:p>
  </w:footnote>
  <w:footnote w:id="285">
    <w:p w:rsidR="00E82D16" w:rsidRPr="00E333B6" w:rsidRDefault="00E82D16" w:rsidP="00426625">
      <w:pPr>
        <w:ind w:firstLine="1"/>
        <w:jc w:val="both"/>
        <w:rPr>
          <w:sz w:val="20"/>
          <w:szCs w:val="20"/>
          <w:lang w:val="fr-BE"/>
        </w:rPr>
      </w:pPr>
      <w:r w:rsidRPr="00426625">
        <w:rPr>
          <w:rStyle w:val="Voetnootmarkering"/>
          <w:sz w:val="20"/>
          <w:szCs w:val="20"/>
        </w:rPr>
        <w:footnoteRef/>
      </w:r>
      <w:r w:rsidRPr="00426625">
        <w:rPr>
          <w:sz w:val="20"/>
          <w:szCs w:val="20"/>
        </w:rPr>
        <w:t xml:space="preserve"> Deze term is ontleend aan titel II van wet nr. 2002-303 van 4 maart 2002. </w:t>
      </w:r>
      <w:r w:rsidRPr="00426625">
        <w:rPr>
          <w:sz w:val="20"/>
          <w:szCs w:val="20"/>
          <w:lang w:val="fr-BE"/>
        </w:rPr>
        <w:t>Zie:</w:t>
      </w:r>
      <w:r w:rsidRPr="00426625">
        <w:rPr>
          <w:color w:val="000000"/>
          <w:sz w:val="20"/>
          <w:szCs w:val="20"/>
          <w:shd w:val="clear" w:color="auto" w:fill="FFFFFF"/>
          <w:lang w:val="fr-BE"/>
        </w:rPr>
        <w:t xml:space="preserve"> MOQUET-ANGER, M.L.; HARICHAUX, M.; GHERARDI, E.; VACARIE, I.; ‘</w:t>
      </w:r>
      <w:r w:rsidRPr="00426625">
        <w:rPr>
          <w:sz w:val="20"/>
          <w:szCs w:val="20"/>
          <w:lang w:val="fr-BE"/>
        </w:rPr>
        <w:t xml:space="preserve">Loi n° 2002-303 du 4 mars relative aux droits des malades et à la qualité du système de santé : titre II – la démocratie sanitaire’, </w:t>
      </w:r>
      <w:r w:rsidRPr="00426625">
        <w:rPr>
          <w:i/>
          <w:iCs/>
          <w:sz w:val="20"/>
          <w:szCs w:val="20"/>
          <w:lang w:val="fr-BE"/>
        </w:rPr>
        <w:t>R.D.S.S.</w:t>
      </w:r>
      <w:r w:rsidRPr="00426625">
        <w:rPr>
          <w:sz w:val="20"/>
          <w:szCs w:val="20"/>
          <w:lang w:val="fr-BE"/>
        </w:rPr>
        <w:t>, 4 (2002), p. 657-704.</w:t>
      </w:r>
    </w:p>
  </w:footnote>
  <w:footnote w:id="28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1111-4 CSP, ingevoerd door art. 92 van wet nr. 2002-303 van 4 maart 2002, gewijzigd door art. 3 van wet nr. 2005-370 van 22 april 2005.</w:t>
      </w:r>
    </w:p>
  </w:footnote>
  <w:footnote w:id="28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ANAES, </w:t>
      </w:r>
      <w:r w:rsidRPr="00426625">
        <w:rPr>
          <w:rFonts w:ascii="Times New Roman" w:hAnsi="Times New Roman"/>
          <w:i/>
          <w:iCs/>
          <w:lang w:val="fr-BE"/>
        </w:rPr>
        <w:t>Evaluation des pratiques professionnelles dans les établissements de santé</w:t>
      </w:r>
      <w:r w:rsidRPr="00426625">
        <w:rPr>
          <w:rFonts w:ascii="Times New Roman" w:hAnsi="Times New Roman"/>
          <w:lang w:val="fr-BE"/>
        </w:rPr>
        <w:t>, p. 49.</w:t>
      </w:r>
    </w:p>
  </w:footnote>
  <w:footnote w:id="288">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BERNARD, M.H.; CANAS, F.; </w:t>
      </w:r>
      <w:r w:rsidRPr="00426625">
        <w:rPr>
          <w:rFonts w:ascii="Times New Roman" w:hAnsi="Times New Roman"/>
          <w:i/>
          <w:iCs/>
          <w:lang w:val="fr-BE"/>
        </w:rPr>
        <w:t>Le dossier médical</w:t>
      </w:r>
      <w:r w:rsidRPr="00426625">
        <w:rPr>
          <w:rFonts w:ascii="Times New Roman" w:hAnsi="Times New Roman"/>
          <w:lang w:val="fr-BE"/>
        </w:rPr>
        <w:t>, 2003, slide 31 (</w:t>
      </w:r>
      <w:hyperlink r:id="rId30" w:history="1">
        <w:r w:rsidRPr="00EA26DD">
          <w:rPr>
            <w:rStyle w:val="Hyperlink"/>
            <w:rFonts w:ascii="Times New Roman" w:hAnsi="Times New Roman"/>
            <w:lang w:val="fr-BE"/>
          </w:rPr>
          <w:t>http://www.univ-reims.fr/gallery_files/ site/1/90/1129/1384/1536/1561/1562.ppt</w:t>
        </w:r>
      </w:hyperlink>
      <w:r w:rsidRPr="00E333B6">
        <w:rPr>
          <w:rFonts w:ascii="Times New Roman" w:hAnsi="Times New Roman"/>
          <w:lang w:val="fr-BE"/>
        </w:rPr>
        <w:t>).</w:t>
      </w:r>
    </w:p>
  </w:footnote>
  <w:footnote w:id="289">
    <w:p w:rsidR="00E82D16" w:rsidRPr="00426625" w:rsidRDefault="00E82D16" w:rsidP="00426625">
      <w:pPr>
        <w:pStyle w:val="Geenafstand2"/>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L. 212-1 CSP, gewijzigd door art. 5 van wet nr. 2008-696 van 15 juli 2008.</w:t>
      </w:r>
    </w:p>
  </w:footnote>
  <w:footnote w:id="29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1112-7 CSP, ingevoerd door bijlage van besluit nr. 2003-462 van 21 mei 2003, gewijzigd door art. 2 van besluit nr. 2006-6 van 4 januari 2006 betreffende de bewaring van gezondheidsgegevens en ter wijziging van de reglementaire bepalingen van de </w:t>
      </w:r>
      <w:r w:rsidRPr="00426625">
        <w:rPr>
          <w:rFonts w:ascii="Times New Roman" w:hAnsi="Times New Roman"/>
          <w:i/>
          <w:iCs/>
        </w:rPr>
        <w:t>code de la santé publique</w:t>
      </w:r>
      <w:r w:rsidRPr="00426625">
        <w:rPr>
          <w:rFonts w:ascii="Times New Roman" w:hAnsi="Times New Roman"/>
        </w:rPr>
        <w:t xml:space="preserve"> (</w:t>
      </w:r>
      <w:r w:rsidRPr="00426625">
        <w:rPr>
          <w:rFonts w:ascii="Times New Roman" w:hAnsi="Times New Roman"/>
          <w:i/>
          <w:iCs/>
        </w:rPr>
        <w:t xml:space="preserve">JORF </w:t>
      </w:r>
      <w:r w:rsidRPr="00426625">
        <w:rPr>
          <w:rFonts w:ascii="Times New Roman" w:hAnsi="Times New Roman"/>
        </w:rPr>
        <w:t xml:space="preserve">4, 5 januari 2006); LEONFORTE, S., </w:t>
      </w:r>
      <w:r w:rsidRPr="00426625">
        <w:rPr>
          <w:rFonts w:ascii="Times New Roman" w:hAnsi="Times New Roman"/>
          <w:i/>
          <w:iCs/>
        </w:rPr>
        <w:t>Re</w:t>
      </w:r>
      <w:r>
        <w:rPr>
          <w:rFonts w:ascii="Times New Roman" w:hAnsi="Times New Roman"/>
          <w:i/>
          <w:iCs/>
        </w:rPr>
        <w:t>-</w:t>
      </w:r>
      <w:r w:rsidRPr="00426625">
        <w:rPr>
          <w:rFonts w:ascii="Times New Roman" w:hAnsi="Times New Roman"/>
          <w:i/>
          <w:iCs/>
        </w:rPr>
        <w:t>penser la gestion du Dossier Patient: L’exemple du Centre Hospitalier de La Rochelle</w:t>
      </w:r>
      <w:r w:rsidRPr="00426625">
        <w:rPr>
          <w:rFonts w:ascii="Times New Roman" w:hAnsi="Times New Roman"/>
        </w:rPr>
        <w:t>, onuitgegeven meester</w:t>
      </w:r>
      <w:r>
        <w:rPr>
          <w:rFonts w:ascii="Times New Roman" w:hAnsi="Times New Roman"/>
        </w:rPr>
        <w:t>-</w:t>
      </w:r>
      <w:r w:rsidRPr="00426625">
        <w:rPr>
          <w:rFonts w:ascii="Times New Roman" w:hAnsi="Times New Roman"/>
        </w:rPr>
        <w:t>proef, Ecole Nationale de la Santé Publique, 2007, p. 10.</w:t>
      </w:r>
    </w:p>
  </w:footnote>
  <w:footnote w:id="291">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FR"/>
        </w:rPr>
        <w:t xml:space="preserve"> RAULT, J.F., ‘Le DMP et la loi’, FAROUDJA, J.M. (red.), </w:t>
      </w:r>
      <w:r w:rsidRPr="00426625">
        <w:rPr>
          <w:rFonts w:ascii="Times New Roman" w:hAnsi="Times New Roman"/>
          <w:i/>
          <w:iCs/>
          <w:lang w:val="fr-FR"/>
        </w:rPr>
        <w:t>Questions sur l’informatisation des dossiers mé</w:t>
      </w:r>
      <w:r>
        <w:rPr>
          <w:rFonts w:ascii="Times New Roman" w:hAnsi="Times New Roman"/>
          <w:i/>
          <w:iCs/>
          <w:lang w:val="fr-FR"/>
        </w:rPr>
        <w:t>-</w:t>
      </w:r>
      <w:r w:rsidRPr="00426625">
        <w:rPr>
          <w:rFonts w:ascii="Times New Roman" w:hAnsi="Times New Roman"/>
          <w:i/>
          <w:iCs/>
          <w:lang w:val="fr-FR"/>
        </w:rPr>
        <w:t>dicaux, le partage et l’hébergement des données</w:t>
      </w:r>
      <w:r w:rsidRPr="00426625">
        <w:rPr>
          <w:rFonts w:ascii="Times New Roman" w:hAnsi="Times New Roman"/>
          <w:lang w:val="fr-FR"/>
        </w:rPr>
        <w:t>, Rapport du CNOM, p. 24.</w:t>
      </w:r>
    </w:p>
  </w:footnote>
  <w:footnote w:id="292">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FR"/>
        </w:rPr>
        <w:t xml:space="preserve"> </w:t>
      </w:r>
      <w:r w:rsidRPr="00E333B6">
        <w:rPr>
          <w:rFonts w:ascii="Times New Roman" w:eastAsia="Times New Roman" w:hAnsi="Times New Roman"/>
          <w:color w:val="000000"/>
          <w:lang w:val="fr-BE" w:eastAsia="nl-BE"/>
        </w:rPr>
        <w:t xml:space="preserve">KOUCHNER, </w:t>
      </w:r>
      <w:r w:rsidRPr="00426625">
        <w:rPr>
          <w:rFonts w:ascii="Times New Roman" w:eastAsia="Times New Roman" w:hAnsi="Times New Roman"/>
          <w:color w:val="000000"/>
          <w:lang w:val="fr-FR" w:eastAsia="nl-BE"/>
        </w:rPr>
        <w:t xml:space="preserve">C.; </w:t>
      </w:r>
      <w:r w:rsidRPr="00E333B6">
        <w:rPr>
          <w:rFonts w:ascii="Times New Roman" w:eastAsia="Times New Roman" w:hAnsi="Times New Roman"/>
          <w:color w:val="000000"/>
          <w:lang w:val="fr-BE" w:eastAsia="nl-BE"/>
        </w:rPr>
        <w:t xml:space="preserve">LAUDE, </w:t>
      </w:r>
      <w:r w:rsidRPr="00426625">
        <w:rPr>
          <w:rFonts w:ascii="Times New Roman" w:eastAsia="Times New Roman" w:hAnsi="Times New Roman"/>
          <w:color w:val="000000"/>
          <w:lang w:val="fr-FR" w:eastAsia="nl-BE"/>
        </w:rPr>
        <w:t xml:space="preserve">A.; </w:t>
      </w:r>
      <w:r w:rsidRPr="00E333B6">
        <w:rPr>
          <w:rFonts w:ascii="Times New Roman" w:eastAsia="Times New Roman" w:hAnsi="Times New Roman"/>
          <w:color w:val="000000"/>
          <w:lang w:val="fr-BE" w:eastAsia="nl-BE"/>
        </w:rPr>
        <w:t xml:space="preserve">TABUTEAU, </w:t>
      </w:r>
      <w:r w:rsidRPr="00426625">
        <w:rPr>
          <w:rFonts w:ascii="Times New Roman" w:eastAsia="Times New Roman" w:hAnsi="Times New Roman"/>
          <w:color w:val="000000"/>
          <w:lang w:val="fr-FR" w:eastAsia="nl-BE"/>
        </w:rPr>
        <w:t xml:space="preserve">D.; </w:t>
      </w:r>
      <w:r w:rsidRPr="00E333B6">
        <w:rPr>
          <w:rFonts w:ascii="Times New Roman" w:eastAsia="Times New Roman" w:hAnsi="Times New Roman"/>
          <w:i/>
          <w:iCs/>
          <w:color w:val="000000"/>
          <w:lang w:val="fr-BE" w:eastAsia="nl-BE"/>
        </w:rPr>
        <w:t xml:space="preserve">Rapport sur les droits des malades – </w:t>
      </w:r>
      <w:r w:rsidRPr="00E333B6">
        <w:rPr>
          <w:rFonts w:ascii="Times New Roman" w:eastAsia="Times New Roman" w:hAnsi="Times New Roman"/>
          <w:i/>
          <w:iCs/>
          <w:lang w:val="fr-BE" w:eastAsia="nl-BE"/>
        </w:rPr>
        <w:t>2007</w:t>
      </w:r>
      <w:r w:rsidRPr="00E333B6">
        <w:rPr>
          <w:rFonts w:ascii="Times New Roman" w:eastAsia="Times New Roman" w:hAnsi="Times New Roman"/>
          <w:i/>
          <w:iCs/>
          <w:color w:val="000000"/>
          <w:lang w:val="fr-BE" w:eastAsia="nl-BE"/>
        </w:rPr>
        <w:t>/2008</w:t>
      </w:r>
      <w:r w:rsidRPr="00E333B6">
        <w:rPr>
          <w:rFonts w:ascii="Times New Roman" w:eastAsia="Times New Roman" w:hAnsi="Times New Roman"/>
          <w:color w:val="000000"/>
          <w:lang w:val="fr-BE" w:eastAsia="nl-BE"/>
        </w:rPr>
        <w:t>, Presses de</w:t>
      </w:r>
      <w:r w:rsidRPr="00426625">
        <w:rPr>
          <w:rFonts w:ascii="Times New Roman" w:eastAsia="Times New Roman" w:hAnsi="Times New Roman"/>
          <w:color w:val="000000"/>
          <w:lang w:val="fr-FR" w:eastAsia="nl-BE"/>
        </w:rPr>
        <w:t xml:space="preserve"> </w:t>
      </w:r>
      <w:r w:rsidRPr="00E333B6">
        <w:rPr>
          <w:rFonts w:ascii="Times New Roman" w:eastAsia="Times New Roman" w:hAnsi="Times New Roman"/>
          <w:color w:val="000000"/>
          <w:lang w:val="fr-BE" w:eastAsia="nl-BE"/>
        </w:rPr>
        <w:t>l’EHESP, 2009, p. 57.</w:t>
      </w:r>
    </w:p>
  </w:footnote>
  <w:footnote w:id="29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 xml:space="preserve">Art. L. 1111-15 CSP, gewijzigd door art. 50 van </w:t>
      </w:r>
      <w:r w:rsidRPr="00426625">
        <w:rPr>
          <w:rFonts w:ascii="Times New Roman" w:hAnsi="Times New Roman"/>
        </w:rPr>
        <w:t>wet nr. 2009-879 van 21 juli 2009.</w:t>
      </w:r>
    </w:p>
  </w:footnote>
  <w:footnote w:id="294">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FR"/>
        </w:rPr>
        <w:t xml:space="preserve"> TAMBURINI, S., ‘Départ en retraite: que deviennent les dossiers?’, 2007.</w:t>
      </w:r>
    </w:p>
  </w:footnote>
  <w:footnote w:id="295">
    <w:p w:rsidR="00E82D16" w:rsidRPr="00426625" w:rsidRDefault="00E82D16" w:rsidP="00426625">
      <w:pPr>
        <w:pStyle w:val="Geenafstand2"/>
        <w:ind w:firstLine="1"/>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R. 4127-45</w:t>
      </w:r>
      <w:r w:rsidRPr="00426625">
        <w:rPr>
          <w:rStyle w:val="apple-converted-space"/>
          <w:rFonts w:ascii="Times New Roman" w:hAnsi="Times New Roman" w:cs="Times New Roman"/>
          <w:sz w:val="20"/>
          <w:szCs w:val="20"/>
          <w:shd w:val="clear" w:color="auto" w:fill="FFFFFF"/>
        </w:rPr>
        <w:t> </w:t>
      </w:r>
      <w:r w:rsidRPr="00426625">
        <w:rPr>
          <w:rFonts w:ascii="Times New Roman" w:hAnsi="Times New Roman" w:cs="Times New Roman"/>
          <w:sz w:val="20"/>
          <w:szCs w:val="20"/>
        </w:rPr>
        <w:t>§ 3-§ 4 CSP, ingevoerd door art. 5 van besluit nr. 2004-802 van 29 juli 2004.</w:t>
      </w:r>
    </w:p>
  </w:footnote>
  <w:footnote w:id="29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214-3 </w:t>
      </w:r>
      <w:r w:rsidRPr="00426625">
        <w:rPr>
          <w:rFonts w:ascii="Times New Roman" w:hAnsi="Times New Roman"/>
          <w:iCs/>
        </w:rPr>
        <w:t>CDP</w:t>
      </w:r>
      <w:r w:rsidRPr="00426625">
        <w:rPr>
          <w:rFonts w:ascii="Times New Roman" w:hAnsi="Times New Roman"/>
        </w:rPr>
        <w:t xml:space="preserve">, ingevoegd door de bijlage van beschikking nr. 2004-178 van 20 februari 2004 betreffende het wetgevend gedeelte van de </w:t>
      </w:r>
      <w:r w:rsidRPr="00426625">
        <w:rPr>
          <w:rFonts w:ascii="Times New Roman" w:hAnsi="Times New Roman"/>
          <w:i/>
          <w:iCs/>
        </w:rPr>
        <w:t>code de la santé publique</w:t>
      </w:r>
      <w:r w:rsidRPr="00426625">
        <w:rPr>
          <w:rFonts w:ascii="Times New Roman" w:hAnsi="Times New Roman"/>
        </w:rPr>
        <w:t xml:space="preserve"> (</w:t>
      </w:r>
      <w:r w:rsidRPr="00426625">
        <w:rPr>
          <w:rFonts w:ascii="Times New Roman" w:hAnsi="Times New Roman"/>
          <w:i/>
          <w:iCs/>
        </w:rPr>
        <w:t>JORF</w:t>
      </w:r>
      <w:r w:rsidRPr="00426625">
        <w:rPr>
          <w:rFonts w:ascii="Times New Roman" w:hAnsi="Times New Roman"/>
        </w:rPr>
        <w:t xml:space="preserve"> 46, 24 februari 2004).</w:t>
      </w:r>
    </w:p>
  </w:footnote>
  <w:footnote w:id="29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FR"/>
        </w:rPr>
        <w:t xml:space="preserve"> CHABRUN-ROBERT, C., ‘La retraite du médecin libéral’, </w:t>
      </w:r>
      <w:r w:rsidRPr="00426625">
        <w:rPr>
          <w:rFonts w:ascii="Times New Roman" w:hAnsi="Times New Roman"/>
          <w:i/>
          <w:iCs/>
          <w:lang w:val="fr-FR"/>
        </w:rPr>
        <w:t>C.M.</w:t>
      </w:r>
      <w:r w:rsidRPr="00426625">
        <w:rPr>
          <w:rFonts w:ascii="Times New Roman" w:hAnsi="Times New Roman"/>
          <w:lang w:val="fr-FR"/>
        </w:rPr>
        <w:t xml:space="preserve">, 115/18 (1993), p. 1485-1487; ID., ‘Les nouvelles perspectives pour la retraite du médecin’, </w:t>
      </w:r>
      <w:r w:rsidRPr="00426625">
        <w:rPr>
          <w:rFonts w:ascii="Times New Roman" w:hAnsi="Times New Roman"/>
          <w:i/>
          <w:iCs/>
          <w:lang w:val="fr-FR"/>
        </w:rPr>
        <w:t>C.M.</w:t>
      </w:r>
      <w:r w:rsidRPr="00426625">
        <w:rPr>
          <w:rFonts w:ascii="Times New Roman" w:hAnsi="Times New Roman"/>
          <w:lang w:val="fr-FR"/>
        </w:rPr>
        <w:t>, 121/25-26 (1999), p. 2041-2044; MARIN LA MES</w:t>
      </w:r>
      <w:r>
        <w:rPr>
          <w:rFonts w:ascii="Times New Roman" w:hAnsi="Times New Roman"/>
          <w:lang w:val="fr-FR"/>
        </w:rPr>
        <w:t>-</w:t>
      </w:r>
      <w:r w:rsidRPr="00426625">
        <w:rPr>
          <w:rFonts w:ascii="Times New Roman" w:hAnsi="Times New Roman"/>
          <w:lang w:val="fr-FR"/>
        </w:rPr>
        <w:t xml:space="preserve">LEE, R., ‘Le point sur le rôle du médecin généraliste dans la préparation à la retraite’, </w:t>
      </w:r>
      <w:r w:rsidRPr="00426625">
        <w:rPr>
          <w:rFonts w:ascii="Times New Roman" w:hAnsi="Times New Roman"/>
          <w:i/>
          <w:iCs/>
          <w:lang w:val="fr-FR"/>
        </w:rPr>
        <w:t>C.M.</w:t>
      </w:r>
      <w:r w:rsidRPr="00426625">
        <w:rPr>
          <w:rFonts w:ascii="Times New Roman" w:hAnsi="Times New Roman"/>
          <w:lang w:val="fr-FR"/>
        </w:rPr>
        <w:t>, 119/38 (1997), p. 2894-2896.</w:t>
      </w:r>
    </w:p>
  </w:footnote>
  <w:footnote w:id="29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Commentaren bij art. 45 C.G.P. (</w:t>
      </w:r>
      <w:hyperlink r:id="rId31" w:history="1">
        <w:r w:rsidRPr="00EA26DD">
          <w:rPr>
            <w:rStyle w:val="Hyperlink"/>
            <w:rFonts w:ascii="Times New Roman" w:hAnsi="Times New Roman"/>
          </w:rPr>
          <w:t>http://www.conseil-national.medecin.fr/article/article-45-fiche-d-observation -269</w:t>
        </w:r>
      </w:hyperlink>
      <w:r w:rsidRPr="00426625">
        <w:rPr>
          <w:rFonts w:ascii="Times New Roman" w:eastAsia="Times New Roman" w:hAnsi="Times New Roman"/>
          <w:color w:val="000000"/>
          <w:lang w:eastAsia="nl-BE"/>
        </w:rPr>
        <w:t>).</w:t>
      </w:r>
    </w:p>
  </w:footnote>
  <w:footnote w:id="299">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FR"/>
        </w:rPr>
        <w:t xml:space="preserve"> ALMERAS, J.P., ‘La transmission du dossier d’un malade’, </w:t>
      </w:r>
      <w:r w:rsidRPr="00426625">
        <w:rPr>
          <w:rFonts w:ascii="Times New Roman" w:hAnsi="Times New Roman"/>
          <w:i/>
          <w:iCs/>
          <w:lang w:val="fr-FR"/>
        </w:rPr>
        <w:t>C.M.</w:t>
      </w:r>
      <w:r w:rsidRPr="00426625">
        <w:rPr>
          <w:rFonts w:ascii="Times New Roman" w:hAnsi="Times New Roman"/>
          <w:lang w:val="fr-FR"/>
        </w:rPr>
        <w:t xml:space="preserve">, 111/41 (1989), p. 3713-3714; LACOEUILHE, G., ‘Transmission du dossier médical’, </w:t>
      </w:r>
      <w:r w:rsidRPr="00426625">
        <w:rPr>
          <w:rFonts w:ascii="Times New Roman" w:hAnsi="Times New Roman"/>
          <w:i/>
          <w:iCs/>
          <w:lang w:val="fr-FR"/>
        </w:rPr>
        <w:t>C.M.</w:t>
      </w:r>
      <w:r w:rsidRPr="00426625">
        <w:rPr>
          <w:rFonts w:ascii="Times New Roman" w:hAnsi="Times New Roman"/>
          <w:lang w:val="fr-FR"/>
        </w:rPr>
        <w:t>, 122/13 (2000), p. 927-930.</w:t>
      </w:r>
    </w:p>
  </w:footnote>
  <w:footnote w:id="30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lang w:eastAsia="nl-BE"/>
        </w:rPr>
        <w:t xml:space="preserve">Art. 7 </w:t>
      </w:r>
      <w:r w:rsidRPr="00426625">
        <w:rPr>
          <w:rFonts w:ascii="Times New Roman" w:hAnsi="Times New Roman"/>
        </w:rPr>
        <w:t>van het reglement van ziekenhuisarchieven, toegevoegd aan het besluit van 11 maart 1968 (</w:t>
      </w:r>
      <w:r w:rsidRPr="00426625">
        <w:rPr>
          <w:rFonts w:ascii="Times New Roman" w:hAnsi="Times New Roman"/>
          <w:i/>
          <w:iCs/>
        </w:rPr>
        <w:t>JORF</w:t>
      </w:r>
      <w:r w:rsidRPr="00426625">
        <w:rPr>
          <w:rFonts w:ascii="Times New Roman" w:hAnsi="Times New Roman"/>
        </w:rPr>
        <w:t>, 25 oktober 1968).</w:t>
      </w:r>
    </w:p>
  </w:footnote>
  <w:footnote w:id="30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lang w:eastAsia="nl-BE"/>
        </w:rPr>
        <w:t>Art. R. 1112-8 CSP, ingevoerd door besluit nr. 2003-462 van 21 mei 2003.</w:t>
      </w:r>
    </w:p>
  </w:footnote>
  <w:footnote w:id="30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1341 CC, gewijzigd door art. 2 van wet nr. 80-525 van 12 juli 1980 betreffende de bewijskracht van juri</w:t>
      </w:r>
      <w:r>
        <w:rPr>
          <w:rFonts w:ascii="Times New Roman" w:hAnsi="Times New Roman"/>
        </w:rPr>
        <w:t>-</w:t>
      </w:r>
      <w:r w:rsidRPr="00426625">
        <w:rPr>
          <w:rFonts w:ascii="Times New Roman" w:hAnsi="Times New Roman"/>
        </w:rPr>
        <w:t>dische aktes I (</w:t>
      </w:r>
      <w:r w:rsidRPr="00426625">
        <w:rPr>
          <w:rFonts w:ascii="Times New Roman" w:hAnsi="Times New Roman"/>
          <w:i/>
          <w:iCs/>
        </w:rPr>
        <w:t>JORF</w:t>
      </w:r>
      <w:r w:rsidRPr="00426625">
        <w:rPr>
          <w:rFonts w:ascii="Times New Roman" w:hAnsi="Times New Roman"/>
        </w:rPr>
        <w:t>, 13 juli 1980).</w:t>
      </w:r>
    </w:p>
  </w:footnote>
  <w:footnote w:id="30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1316-1 CC, gewijzigd door art. 1 van wet nr. 2000-230 van 13 maart 2000.</w:t>
      </w:r>
    </w:p>
  </w:footnote>
  <w:footnote w:id="304">
    <w:p w:rsidR="00E82D16" w:rsidRPr="00426625" w:rsidRDefault="00E82D16" w:rsidP="00426625">
      <w:pPr>
        <w:pStyle w:val="Voetnoottekst"/>
        <w:ind w:firstLine="1"/>
        <w:jc w:val="both"/>
        <w:rPr>
          <w:rFonts w:ascii="Times New Roman" w:hAnsi="Times New Roman"/>
          <w:highlight w:val="yellow"/>
        </w:rPr>
      </w:pPr>
      <w:r w:rsidRPr="00426625">
        <w:rPr>
          <w:rStyle w:val="Voetnootmarkering"/>
          <w:rFonts w:ascii="Times New Roman" w:hAnsi="Times New Roman"/>
        </w:rPr>
        <w:footnoteRef/>
      </w:r>
      <w:r w:rsidRPr="00426625">
        <w:rPr>
          <w:rFonts w:ascii="Times New Roman" w:hAnsi="Times New Roman"/>
        </w:rPr>
        <w:t xml:space="preserve"> Dit is één van de voorwaarden waaraan documenten moeten voldoen om als authentiek te worden gekwalifi</w:t>
      </w:r>
      <w:r>
        <w:rPr>
          <w:rFonts w:ascii="Times New Roman" w:hAnsi="Times New Roman"/>
        </w:rPr>
        <w:t>-</w:t>
      </w:r>
      <w:r w:rsidRPr="00426625">
        <w:rPr>
          <w:rFonts w:ascii="Times New Roman" w:hAnsi="Times New Roman"/>
        </w:rPr>
        <w:t>ceerd. Als ook de inhoud van een document is wat het pretendeert te zijn én het document op aangegeven tijdstip gecreëerd werd, wordt aan alle authenticiteitsvereisten voldaan. De integriteit van een document wordt, in tegen</w:t>
      </w:r>
      <w:r>
        <w:rPr>
          <w:rFonts w:ascii="Times New Roman" w:hAnsi="Times New Roman"/>
        </w:rPr>
        <w:t>-</w:t>
      </w:r>
      <w:r w:rsidRPr="00426625">
        <w:rPr>
          <w:rFonts w:ascii="Times New Roman" w:hAnsi="Times New Roman"/>
        </w:rPr>
        <w:t xml:space="preserve">stelling tot de authenticiteit, na de creatie bepaald. </w:t>
      </w:r>
      <w:r w:rsidRPr="00426625">
        <w:rPr>
          <w:rFonts w:ascii="Times New Roman" w:eastAsia="Times New Roman" w:hAnsi="Times New Roman"/>
          <w:lang w:eastAsia="nl-BE"/>
        </w:rPr>
        <w:t xml:space="preserve">Een integer archiefstuk is hetzij een ongewijzigd document, hetzij een document dat op gecontroleerde wijze gewijzigd werd, op voorwaarde dat de wijzigingen duidelijk aangegeven zijn. </w:t>
      </w:r>
    </w:p>
  </w:footnote>
  <w:footnote w:id="305">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Art. 1316-4 CC, ingevoerd door art. 4 van wet nr. 2000-230 van 13 maart 2000 houdende aanpassing van het bewijsrecht aan de informatietechnologieën en betreffende de elektronische handtekening (</w:t>
      </w:r>
      <w:r w:rsidRPr="00426625">
        <w:rPr>
          <w:rFonts w:ascii="Times New Roman" w:hAnsi="Times New Roman"/>
          <w:i/>
          <w:iCs/>
        </w:rPr>
        <w:t xml:space="preserve">JORF </w:t>
      </w:r>
      <w:r w:rsidRPr="00426625">
        <w:rPr>
          <w:rFonts w:ascii="Times New Roman" w:hAnsi="Times New Roman"/>
        </w:rPr>
        <w:t xml:space="preserve">62, 14 maart 2000). </w:t>
      </w:r>
      <w:r w:rsidRPr="00E333B6">
        <w:rPr>
          <w:rFonts w:ascii="Times New Roman" w:hAnsi="Times New Roman"/>
          <w:lang w:val="fr-BE"/>
        </w:rPr>
        <w:t>Zie: GENOT-POK, I., ‘Des archives publiques aux archives hospitalières: points de droit’, p. 13-14.</w:t>
      </w:r>
    </w:p>
  </w:footnote>
  <w:footnote w:id="306">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CNOM, ‘Dossiers médicaux. </w:t>
      </w:r>
      <w:r w:rsidRPr="00426625">
        <w:rPr>
          <w:rFonts w:ascii="Times New Roman" w:hAnsi="Times New Roman"/>
          <w:lang w:val="fr-BE"/>
        </w:rPr>
        <w:t xml:space="preserve">Consérvation – Archivage’, 2009. Zie ook: </w:t>
      </w:r>
      <w:r w:rsidRPr="00426625">
        <w:rPr>
          <w:rFonts w:ascii="Times New Roman" w:hAnsi="Times New Roman"/>
          <w:shd w:val="clear" w:color="auto" w:fill="FFFFFF"/>
          <w:lang w:val="fr-BE"/>
        </w:rPr>
        <w:t>BRANDNER, R.; VAN DER HAAK, M.; HARTMANN, M.; HAUX, R.; SCHMUCKER, P.; ‘Electronic signature for medical documents: In</w:t>
      </w:r>
      <w:r>
        <w:rPr>
          <w:rFonts w:ascii="Times New Roman" w:hAnsi="Times New Roman"/>
          <w:shd w:val="clear" w:color="auto" w:fill="FFFFFF"/>
          <w:lang w:val="fr-BE"/>
        </w:rPr>
        <w:t>-</w:t>
      </w:r>
      <w:r w:rsidRPr="00426625">
        <w:rPr>
          <w:rFonts w:ascii="Times New Roman" w:hAnsi="Times New Roman"/>
          <w:shd w:val="clear" w:color="auto" w:fill="FFFFFF"/>
          <w:lang w:val="fr-BE"/>
        </w:rPr>
        <w:t xml:space="preserve">tegration and evaluation of a public key infrastructure in hospitals’, </w:t>
      </w:r>
      <w:r w:rsidRPr="00426625">
        <w:rPr>
          <w:rFonts w:ascii="Times New Roman" w:hAnsi="Times New Roman"/>
          <w:i/>
          <w:shd w:val="clear" w:color="auto" w:fill="FFFFFF"/>
          <w:lang w:val="fr-BE"/>
        </w:rPr>
        <w:t>M.I.M.</w:t>
      </w:r>
      <w:r w:rsidRPr="00426625">
        <w:rPr>
          <w:rFonts w:ascii="Times New Roman" w:hAnsi="Times New Roman"/>
          <w:shd w:val="clear" w:color="auto" w:fill="FFFFFF"/>
          <w:lang w:val="fr-BE"/>
        </w:rPr>
        <w:t xml:space="preserve">, 41/4 (2002), p. 321-330; MISSE, A., ‘Archivage des dossiers médicaux avant le vidéodisque: le microfilmage’, </w:t>
      </w:r>
      <w:r w:rsidRPr="00426625">
        <w:rPr>
          <w:rFonts w:ascii="Times New Roman" w:hAnsi="Times New Roman"/>
          <w:i/>
          <w:iCs/>
          <w:shd w:val="clear" w:color="auto" w:fill="FFFFFF"/>
          <w:lang w:val="fr-BE"/>
        </w:rPr>
        <w:t>G.H.</w:t>
      </w:r>
      <w:r w:rsidRPr="00426625">
        <w:rPr>
          <w:rFonts w:ascii="Times New Roman" w:hAnsi="Times New Roman"/>
          <w:shd w:val="clear" w:color="auto" w:fill="FFFFFF"/>
          <w:lang w:val="fr-BE"/>
        </w:rPr>
        <w:t xml:space="preserve">, 246 (1985), p. 410-415; </w:t>
      </w:r>
      <w:r w:rsidRPr="00426625">
        <w:rPr>
          <w:rFonts w:ascii="Times New Roman" w:hAnsi="Times New Roman"/>
          <w:i/>
          <w:shd w:val="clear" w:color="auto" w:fill="FFFFFF"/>
          <w:lang w:val="fr-BE"/>
        </w:rPr>
        <w:t>T.H.M.S.</w:t>
      </w:r>
      <w:r w:rsidRPr="00426625">
        <w:rPr>
          <w:rFonts w:ascii="Times New Roman" w:hAnsi="Times New Roman"/>
          <w:shd w:val="clear" w:color="auto" w:fill="FFFFFF"/>
          <w:lang w:val="fr-BE"/>
        </w:rPr>
        <w:t>, 476/40 (1985), p. 52-56.</w:t>
      </w:r>
    </w:p>
  </w:footnote>
  <w:footnote w:id="30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bewaring van digitale gegevensdragers is in art. R. 1111-1 tot art. R. 1111-15-1 CSP geregeld; de bewa</w:t>
      </w:r>
      <w:r>
        <w:rPr>
          <w:rFonts w:ascii="Times New Roman" w:hAnsi="Times New Roman"/>
        </w:rPr>
        <w:t>-</w:t>
      </w:r>
      <w:r w:rsidRPr="00426625">
        <w:rPr>
          <w:rFonts w:ascii="Times New Roman" w:hAnsi="Times New Roman"/>
        </w:rPr>
        <w:t xml:space="preserve">ring van papieren gegevensdragers in art. R. 1111-16 tot art. R. 1111-16-1 CSP. </w:t>
      </w:r>
    </w:p>
  </w:footnote>
  <w:footnote w:id="30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 van het reglement van ziekenhuisarchieven.</w:t>
      </w:r>
    </w:p>
  </w:footnote>
  <w:footnote w:id="309">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w:t>
      </w:r>
      <w:r w:rsidRPr="00E333B6">
        <w:rPr>
          <w:rFonts w:ascii="Times New Roman" w:hAnsi="Times New Roman"/>
          <w:i/>
          <w:lang w:val="fr-BE"/>
        </w:rPr>
        <w:t>Gestion des départements de dossiers médicaux. Réglementation</w:t>
      </w:r>
      <w:r w:rsidRPr="00E333B6">
        <w:rPr>
          <w:rFonts w:ascii="Times New Roman" w:hAnsi="Times New Roman"/>
          <w:lang w:val="fr-BE"/>
        </w:rPr>
        <w:t>, I, Fiches techniques d’organisation hospita</w:t>
      </w:r>
      <w:r>
        <w:rPr>
          <w:rFonts w:ascii="Times New Roman" w:hAnsi="Times New Roman"/>
          <w:lang w:val="fr-BE"/>
        </w:rPr>
        <w:t>-</w:t>
      </w:r>
      <w:r w:rsidRPr="00E333B6">
        <w:rPr>
          <w:rFonts w:ascii="Times New Roman" w:hAnsi="Times New Roman"/>
          <w:lang w:val="fr-BE"/>
        </w:rPr>
        <w:t>lières nr. 8 en Bulletin official, fascicule spécial nr. 80/39bis, Parijs, Ministère de la Santé et de la Sécurité Soci</w:t>
      </w:r>
      <w:r>
        <w:rPr>
          <w:rFonts w:ascii="Times New Roman" w:hAnsi="Times New Roman"/>
          <w:lang w:val="fr-BE"/>
        </w:rPr>
        <w:t>-</w:t>
      </w:r>
      <w:r w:rsidRPr="00E333B6">
        <w:rPr>
          <w:rFonts w:ascii="Times New Roman" w:hAnsi="Times New Roman"/>
          <w:lang w:val="fr-BE"/>
        </w:rPr>
        <w:t xml:space="preserve">ale, 1980, </w:t>
      </w:r>
      <w:r w:rsidRPr="00426625">
        <w:rPr>
          <w:rFonts w:ascii="Times New Roman" w:hAnsi="Times New Roman"/>
          <w:lang w:val="fr-BE"/>
        </w:rPr>
        <w:t xml:space="preserve">p. 3; ANAES, </w:t>
      </w:r>
      <w:r w:rsidRPr="00426625">
        <w:rPr>
          <w:rFonts w:ascii="Times New Roman" w:hAnsi="Times New Roman"/>
          <w:i/>
          <w:iCs/>
          <w:lang w:val="fr-BE"/>
        </w:rPr>
        <w:t>Evaluation des pratiques professionnelles dans les établissements de santé</w:t>
      </w:r>
      <w:r w:rsidRPr="00426625">
        <w:rPr>
          <w:rFonts w:ascii="Times New Roman" w:hAnsi="Times New Roman"/>
          <w:lang w:val="fr-BE"/>
        </w:rPr>
        <w:t>, p. 47.</w:t>
      </w:r>
    </w:p>
  </w:footnote>
  <w:footnote w:id="310">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LENOIR, P., ‘Microfilm ou tradition: étude coût-efficacité en archivage médical’, </w:t>
      </w:r>
      <w:r w:rsidRPr="00426625">
        <w:rPr>
          <w:rFonts w:ascii="Times New Roman" w:hAnsi="Times New Roman"/>
          <w:i/>
          <w:iCs/>
          <w:lang w:val="fr-BE"/>
        </w:rPr>
        <w:t>G.H.</w:t>
      </w:r>
      <w:r w:rsidRPr="00426625">
        <w:rPr>
          <w:rFonts w:ascii="Times New Roman" w:hAnsi="Times New Roman"/>
          <w:lang w:val="fr-BE"/>
        </w:rPr>
        <w:t>, 184 (1979), p. 195-205.</w:t>
      </w:r>
    </w:p>
  </w:footnote>
  <w:footnote w:id="31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1316-3 CC, ingevoerd door art. 3 van wet nr. 2000-230 van 13 maart 2000.</w:t>
      </w:r>
    </w:p>
  </w:footnote>
  <w:footnote w:id="312">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color w:val="FF0000"/>
        </w:rPr>
        <w:t xml:space="preserve"> </w:t>
      </w:r>
      <w:r w:rsidRPr="00426625">
        <w:rPr>
          <w:rFonts w:ascii="Times New Roman" w:hAnsi="Times New Roman"/>
        </w:rPr>
        <w:t xml:space="preserve">Beraadslaging nr. 01-012 van 8 maart 2001 van de CNIL houdende advies over een ontwerp van uitspraak aangeboden door de </w:t>
      </w:r>
      <w:r w:rsidRPr="00426625">
        <w:rPr>
          <w:rFonts w:ascii="Times New Roman" w:hAnsi="Times New Roman"/>
          <w:i/>
        </w:rPr>
        <w:t xml:space="preserve">Association pour la bonne coordination médico-chirurgicale </w:t>
      </w:r>
      <w:r w:rsidRPr="00426625">
        <w:rPr>
          <w:rFonts w:ascii="Times New Roman" w:hAnsi="Times New Roman"/>
        </w:rPr>
        <w:t>betreffende de voorbereiding van een stedelijk ziekenhuisnetwerk dat het beheer en de archivering van patiëntendossiers op internet moet mo</w:t>
      </w:r>
      <w:r>
        <w:rPr>
          <w:rFonts w:ascii="Times New Roman" w:hAnsi="Times New Roman"/>
        </w:rPr>
        <w:t>-</w:t>
      </w:r>
      <w:r w:rsidRPr="00426625">
        <w:rPr>
          <w:rFonts w:ascii="Times New Roman" w:hAnsi="Times New Roman"/>
        </w:rPr>
        <w:t xml:space="preserve">gelijk maken, door de medisch-chirurgische kosten op zich te nemen, CNIL, </w:t>
      </w:r>
      <w:r w:rsidRPr="00426625">
        <w:rPr>
          <w:rFonts w:ascii="Times New Roman" w:hAnsi="Times New Roman"/>
          <w:i/>
        </w:rPr>
        <w:t>21</w:t>
      </w:r>
      <w:r w:rsidRPr="00426625">
        <w:rPr>
          <w:rFonts w:ascii="Times New Roman" w:hAnsi="Times New Roman"/>
          <w:i/>
          <w:vertAlign w:val="superscript"/>
        </w:rPr>
        <w:t>e</w:t>
      </w:r>
      <w:r w:rsidRPr="00426625">
        <w:rPr>
          <w:rFonts w:ascii="Times New Roman" w:hAnsi="Times New Roman"/>
          <w:i/>
        </w:rPr>
        <w:t xml:space="preserve"> rapport d’activité 2000</w:t>
      </w:r>
      <w:r w:rsidRPr="00426625">
        <w:rPr>
          <w:rFonts w:ascii="Times New Roman" w:hAnsi="Times New Roman"/>
        </w:rPr>
        <w:t>,</w:t>
      </w:r>
      <w:r w:rsidRPr="00426625">
        <w:rPr>
          <w:rFonts w:ascii="Times New Roman" w:hAnsi="Times New Roman"/>
          <w:i/>
        </w:rPr>
        <w:t xml:space="preserve"> </w:t>
      </w:r>
      <w:r w:rsidRPr="00426625">
        <w:rPr>
          <w:rFonts w:ascii="Times New Roman" w:hAnsi="Times New Roman"/>
        </w:rPr>
        <w:t>Parijs, La Documentation française, 2001, p. 158-160; Beraadslaging nr. 01-013 van 8 maart 2001 van het CNIL hou</w:t>
      </w:r>
      <w:r>
        <w:rPr>
          <w:rFonts w:ascii="Times New Roman" w:hAnsi="Times New Roman"/>
        </w:rPr>
        <w:t>-</w:t>
      </w:r>
      <w:r w:rsidRPr="00426625">
        <w:rPr>
          <w:rFonts w:ascii="Times New Roman" w:hAnsi="Times New Roman"/>
        </w:rPr>
        <w:t xml:space="preserve">dende advies over een ontwerpuitspraak door de </w:t>
      </w:r>
      <w:r w:rsidRPr="00426625">
        <w:rPr>
          <w:rFonts w:ascii="Times New Roman" w:hAnsi="Times New Roman"/>
          <w:i/>
        </w:rPr>
        <w:t xml:space="preserve">Association Intégrale Santé </w:t>
      </w:r>
      <w:r w:rsidRPr="00426625">
        <w:rPr>
          <w:rFonts w:ascii="Times New Roman" w:hAnsi="Times New Roman"/>
        </w:rPr>
        <w:t xml:space="preserve"> betreffende de voorbereiding van een zorgnetwerk in de regio Lens waarmee patiëntendossiers op internet beheerd en gearchiveerd zouden kunnen worden, CNIL, </w:t>
      </w:r>
      <w:r w:rsidRPr="00426625">
        <w:rPr>
          <w:rFonts w:ascii="Times New Roman" w:hAnsi="Times New Roman"/>
          <w:i/>
        </w:rPr>
        <w:t>21</w:t>
      </w:r>
      <w:r w:rsidRPr="00426625">
        <w:rPr>
          <w:rFonts w:ascii="Times New Roman" w:hAnsi="Times New Roman"/>
          <w:i/>
          <w:vertAlign w:val="superscript"/>
        </w:rPr>
        <w:t>e</w:t>
      </w:r>
      <w:r w:rsidRPr="00426625">
        <w:rPr>
          <w:rFonts w:ascii="Times New Roman" w:hAnsi="Times New Roman"/>
          <w:i/>
        </w:rPr>
        <w:t xml:space="preserve"> rapport d’activité 2000</w:t>
      </w:r>
      <w:r w:rsidRPr="00426625">
        <w:rPr>
          <w:rFonts w:ascii="Times New Roman" w:hAnsi="Times New Roman"/>
        </w:rPr>
        <w:t>,</w:t>
      </w:r>
      <w:r w:rsidRPr="00426625">
        <w:rPr>
          <w:rFonts w:ascii="Times New Roman" w:hAnsi="Times New Roman"/>
          <w:i/>
        </w:rPr>
        <w:t xml:space="preserve"> </w:t>
      </w:r>
      <w:r w:rsidRPr="00426625">
        <w:rPr>
          <w:rFonts w:ascii="Times New Roman" w:hAnsi="Times New Roman"/>
        </w:rPr>
        <w:t xml:space="preserve">p. 160-163; LACOEUILHE, G., ‘Dossier médical: composition, conservation et informatisation’, </w:t>
      </w:r>
      <w:r w:rsidRPr="00426625">
        <w:rPr>
          <w:rFonts w:ascii="Times New Roman" w:hAnsi="Times New Roman"/>
          <w:i/>
          <w:iCs/>
        </w:rPr>
        <w:t>C.M.</w:t>
      </w:r>
      <w:r w:rsidRPr="00426625">
        <w:rPr>
          <w:rFonts w:ascii="Times New Roman" w:hAnsi="Times New Roman"/>
        </w:rPr>
        <w:t>, 122/12 (2000), p. 859-862.</w:t>
      </w:r>
    </w:p>
  </w:footnote>
  <w:footnote w:id="313">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79 van wet nr. 2002-303 van 4 maart 2002, bevestigd in art. 1 van besluit nr. 2006-6 van 4 januari 2006.</w:t>
      </w:r>
    </w:p>
  </w:footnote>
  <w:footnote w:id="31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1348 § 2 CC, gewijzigd door art. 7 van wet nr. 80-525 van 12 juli 1980. </w:t>
      </w:r>
    </w:p>
  </w:footnote>
  <w:footnote w:id="315">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 Archives postérieures à 1790’, ‘Série R: Archives médicales’ van de bijlage ‘Classificatieschema en lijst van bewaartermijnen’ van het besluit van 11 maart 1968.</w:t>
      </w:r>
    </w:p>
  </w:footnote>
  <w:footnote w:id="316">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van besluit nr. 2006-6 van 4 januari 2006.</w:t>
      </w:r>
    </w:p>
  </w:footnote>
  <w:footnote w:id="317">
    <w:p w:rsidR="00E82D16" w:rsidRPr="00E333B6"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Zie deel 3.</w:t>
      </w:r>
    </w:p>
  </w:footnote>
  <w:footnote w:id="318">
    <w:p w:rsidR="00E82D16" w:rsidRPr="00426625" w:rsidRDefault="00E82D16" w:rsidP="00426625">
      <w:pPr>
        <w:ind w:firstLine="1"/>
        <w:jc w:val="both"/>
        <w:rPr>
          <w:color w:val="000000"/>
          <w:sz w:val="20"/>
          <w:szCs w:val="20"/>
          <w:shd w:val="clear" w:color="auto" w:fill="FFFFFF"/>
          <w:lang w:val="fr-BE"/>
        </w:rPr>
      </w:pPr>
      <w:r w:rsidRPr="00426625">
        <w:rPr>
          <w:rStyle w:val="Voetnootmarkering"/>
          <w:sz w:val="20"/>
          <w:szCs w:val="20"/>
        </w:rPr>
        <w:footnoteRef/>
      </w:r>
      <w:r w:rsidRPr="00E333B6">
        <w:rPr>
          <w:sz w:val="20"/>
          <w:szCs w:val="20"/>
          <w:lang w:val="fr-BE"/>
        </w:rPr>
        <w:t xml:space="preserve"> </w:t>
      </w:r>
      <w:r w:rsidRPr="00426625">
        <w:rPr>
          <w:color w:val="000000"/>
          <w:sz w:val="20"/>
          <w:szCs w:val="20"/>
          <w:shd w:val="clear" w:color="auto" w:fill="FFFFFF"/>
          <w:lang w:val="fr-BE"/>
        </w:rPr>
        <w:t xml:space="preserve">DOOZE, E.; MOREL, V. </w:t>
      </w:r>
      <w:r w:rsidRPr="00426625">
        <w:rPr>
          <w:bCs/>
          <w:color w:val="000000"/>
          <w:sz w:val="20"/>
          <w:szCs w:val="20"/>
          <w:shd w:val="clear" w:color="auto" w:fill="FFFFFF"/>
          <w:lang w:val="fr-BE"/>
        </w:rPr>
        <w:t>et al.</w:t>
      </w:r>
      <w:r w:rsidRPr="00426625">
        <w:rPr>
          <w:color w:val="000000"/>
          <w:sz w:val="20"/>
          <w:szCs w:val="20"/>
          <w:shd w:val="clear" w:color="auto" w:fill="FFFFFF"/>
          <w:lang w:val="fr-BE"/>
        </w:rPr>
        <w:t xml:space="preserve">; ‘Le dossier patient unique: la traçabilité des soins’, </w:t>
      </w:r>
      <w:r w:rsidRPr="00426625">
        <w:rPr>
          <w:i/>
          <w:color w:val="000000"/>
          <w:sz w:val="20"/>
          <w:szCs w:val="20"/>
          <w:shd w:val="clear" w:color="auto" w:fill="FFFFFF"/>
          <w:lang w:val="fr-BE"/>
        </w:rPr>
        <w:t>O.S.</w:t>
      </w:r>
      <w:r w:rsidRPr="00426625">
        <w:rPr>
          <w:color w:val="000000"/>
          <w:sz w:val="20"/>
          <w:szCs w:val="20"/>
          <w:shd w:val="clear" w:color="auto" w:fill="FFFFFF"/>
          <w:lang w:val="fr-BE"/>
        </w:rPr>
        <w:t>, 137 (2005), p. 22-31.</w:t>
      </w:r>
    </w:p>
  </w:footnote>
  <w:footnote w:id="319">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1432-159 CSP, ingevoerd door art. 1 van besluit nr. 2010-1733 van 30 december 2010 betreffende het agentschapscomité, de vertegenwoordiging van vakbonden, personeel en directieleden van regionale gezond</w:t>
      </w:r>
      <w:r>
        <w:rPr>
          <w:rFonts w:ascii="Times New Roman" w:hAnsi="Times New Roman"/>
        </w:rPr>
        <w:t>-</w:t>
      </w:r>
      <w:r w:rsidRPr="00426625">
        <w:rPr>
          <w:rFonts w:ascii="Times New Roman" w:hAnsi="Times New Roman"/>
        </w:rPr>
        <w:t xml:space="preserve">heidsagentschappen en ter wijziging van verschillende bepalingen van de </w:t>
      </w:r>
      <w:r w:rsidRPr="00426625">
        <w:rPr>
          <w:rFonts w:ascii="Times New Roman" w:hAnsi="Times New Roman"/>
          <w:i/>
          <w:iCs/>
        </w:rPr>
        <w:t>code de la santé publique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303, 31 december 2010).</w:t>
      </w:r>
    </w:p>
  </w:footnote>
  <w:footnote w:id="320">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6311-1 CSP, ingevoerd door art. 92 van wet nr. 2002-303 van 4 maart 2002, gewijzigd door art. 11 van beschikking nr. 2003-850 van 4 september 2003 houdende de vereenvoudiging van de organisatie en de wer</w:t>
      </w:r>
      <w:r>
        <w:rPr>
          <w:rFonts w:ascii="Times New Roman" w:hAnsi="Times New Roman"/>
        </w:rPr>
        <w:t>-</w:t>
      </w:r>
      <w:r w:rsidRPr="00426625">
        <w:rPr>
          <w:rFonts w:ascii="Times New Roman" w:hAnsi="Times New Roman"/>
        </w:rPr>
        <w:t>king van het gezondheidszorgsysteem en de procedures om bedrijven of sociale en medisch-sociale diensten waarvoor een vergunning vereist is (</w:t>
      </w:r>
      <w:r w:rsidRPr="00426625">
        <w:rPr>
          <w:rFonts w:ascii="Times New Roman" w:hAnsi="Times New Roman"/>
          <w:i/>
        </w:rPr>
        <w:t xml:space="preserve">JORF </w:t>
      </w:r>
      <w:r w:rsidRPr="00426625">
        <w:rPr>
          <w:rFonts w:ascii="Times New Roman" w:hAnsi="Times New Roman"/>
        </w:rPr>
        <w:t>206, 6 september 2003).</w:t>
      </w:r>
    </w:p>
  </w:footnote>
  <w:footnote w:id="321">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D. 6431-59 tot art. D. 6431-65 CSP, ingevoerd door besluit nr. 2005-840 van 20 juli 2005 betreffende het zesde deel (reglementaire bepalingen) van de </w:t>
      </w:r>
      <w:r w:rsidRPr="00426625">
        <w:rPr>
          <w:rFonts w:ascii="Times New Roman" w:hAnsi="Times New Roman"/>
          <w:i/>
          <w:iCs/>
        </w:rPr>
        <w:t>code de la santé publique</w:t>
      </w:r>
      <w:r w:rsidRPr="00426625">
        <w:rPr>
          <w:rFonts w:ascii="Times New Roman" w:hAnsi="Times New Roman"/>
          <w:i/>
        </w:rPr>
        <w:t xml:space="preserve"> </w:t>
      </w:r>
      <w:r w:rsidRPr="00426625">
        <w:rPr>
          <w:rFonts w:ascii="Times New Roman" w:hAnsi="Times New Roman"/>
        </w:rPr>
        <w:t xml:space="preserve">en ter wijziging van enkele bepalingen van deze </w:t>
      </w:r>
      <w:r w:rsidRPr="00426625">
        <w:rPr>
          <w:rFonts w:ascii="Times New Roman" w:hAnsi="Times New Roman"/>
          <w:i/>
        </w:rPr>
        <w:t xml:space="preserve">code </w:t>
      </w:r>
      <w:r w:rsidRPr="00426625">
        <w:rPr>
          <w:rFonts w:ascii="Times New Roman" w:hAnsi="Times New Roman"/>
        </w:rPr>
        <w:t>(</w:t>
      </w:r>
      <w:r w:rsidRPr="00426625">
        <w:rPr>
          <w:rFonts w:ascii="Times New Roman" w:hAnsi="Times New Roman"/>
          <w:i/>
        </w:rPr>
        <w:t>JORF</w:t>
      </w:r>
      <w:r w:rsidRPr="00426625">
        <w:rPr>
          <w:rFonts w:ascii="Times New Roman" w:hAnsi="Times New Roman"/>
        </w:rPr>
        <w:t xml:space="preserve"> 172, 26 juli 2005).</w:t>
      </w:r>
    </w:p>
  </w:footnote>
  <w:footnote w:id="322">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rPr>
        <w:t xml:space="preserve"> De enige bepaling met betrekking tot deze patiëntendossiers is art. 45 van besluit nr. 95-1000 van 6 september 1995 houdende code van geneeskundige plichtenleer (</w:t>
      </w:r>
      <w:r w:rsidRPr="00E333B6">
        <w:rPr>
          <w:rFonts w:ascii="Times New Roman" w:hAnsi="Times New Roman"/>
          <w:i/>
        </w:rPr>
        <w:t>JORF</w:t>
      </w:r>
      <w:r w:rsidRPr="00E333B6">
        <w:rPr>
          <w:rFonts w:ascii="Times New Roman" w:hAnsi="Times New Roman"/>
        </w:rPr>
        <w:t xml:space="preserve"> 209, 8 september 1995). </w:t>
      </w:r>
      <w:r w:rsidRPr="00426625">
        <w:rPr>
          <w:rFonts w:ascii="Times New Roman" w:hAnsi="Times New Roman"/>
          <w:lang w:val="fr-BE"/>
        </w:rPr>
        <w:t xml:space="preserve">Zie ook: ANAES, </w:t>
      </w:r>
      <w:r w:rsidRPr="00426625">
        <w:rPr>
          <w:rFonts w:ascii="Times New Roman" w:hAnsi="Times New Roman"/>
          <w:i/>
          <w:lang w:val="fr-BE"/>
        </w:rPr>
        <w:t>La tenue du dossier médical en médecine générale: état des lieux et recommendations</w:t>
      </w:r>
      <w:r w:rsidRPr="00426625">
        <w:rPr>
          <w:rFonts w:ascii="Times New Roman" w:hAnsi="Times New Roman"/>
          <w:lang w:val="fr-BE"/>
        </w:rPr>
        <w:t>, Parijs, 1996, p. 43. Zie ook : BRA</w:t>
      </w:r>
      <w:r>
        <w:rPr>
          <w:rFonts w:ascii="Times New Roman" w:hAnsi="Times New Roman"/>
          <w:lang w:val="fr-BE"/>
        </w:rPr>
        <w:t>-</w:t>
      </w:r>
      <w:r w:rsidRPr="00426625">
        <w:rPr>
          <w:rFonts w:ascii="Times New Roman" w:hAnsi="Times New Roman"/>
          <w:lang w:val="fr-BE"/>
        </w:rPr>
        <w:t xml:space="preserve">MI, J.; DANIERE, M.; DE BRUN, A.; DOUMENC, M.; DURR, J.F.; ELKINE, J.; FALCOFF, H.; GALLAIS, J.L.; GALLOIS, P.; GAVID, B.; HUMBERT, J.; LAMBERT, A.; WAINSTEN, J.P.; ‘Recommendations pour la tenue du dossier du patient en médecine générale’, </w:t>
      </w:r>
      <w:r w:rsidRPr="00426625">
        <w:rPr>
          <w:rFonts w:ascii="Times New Roman" w:hAnsi="Times New Roman"/>
          <w:i/>
          <w:lang w:val="fr-BE"/>
        </w:rPr>
        <w:t>R.P.M.G.</w:t>
      </w:r>
      <w:r w:rsidRPr="00426625">
        <w:rPr>
          <w:rFonts w:ascii="Times New Roman" w:hAnsi="Times New Roman"/>
          <w:lang w:val="fr-BE"/>
        </w:rPr>
        <w:t>, 361 (1996), p. 41-49; BRAMI, J.; DOUMENC, M.; LAFONT, M.; ‘Le dossier médical en médecine générale: un audit clinique réalisé par 276 médecins géné</w:t>
      </w:r>
      <w:r>
        <w:rPr>
          <w:rFonts w:ascii="Times New Roman" w:hAnsi="Times New Roman"/>
          <w:lang w:val="fr-BE"/>
        </w:rPr>
        <w:t>-</w:t>
      </w:r>
      <w:r w:rsidRPr="00426625">
        <w:rPr>
          <w:rFonts w:ascii="Times New Roman" w:hAnsi="Times New Roman"/>
          <w:lang w:val="fr-BE"/>
        </w:rPr>
        <w:t xml:space="preserve">ralistes’, </w:t>
      </w:r>
      <w:r w:rsidRPr="00426625">
        <w:rPr>
          <w:rFonts w:ascii="Times New Roman" w:hAnsi="Times New Roman"/>
          <w:i/>
          <w:iCs/>
          <w:lang w:val="fr-BE"/>
        </w:rPr>
        <w:t>R.P.M.G.</w:t>
      </w:r>
      <w:r w:rsidRPr="00426625">
        <w:rPr>
          <w:rFonts w:ascii="Times New Roman" w:hAnsi="Times New Roman"/>
          <w:lang w:val="fr-BE"/>
        </w:rPr>
        <w:t xml:space="preserve">, 481 (1999), p. 2081-2086; FALCOFF, H., ‘Le dossier médical en medicine générale’, </w:t>
      </w:r>
      <w:r w:rsidRPr="00426625">
        <w:rPr>
          <w:rFonts w:ascii="Times New Roman" w:hAnsi="Times New Roman"/>
          <w:i/>
          <w:iCs/>
          <w:lang w:val="fr-BE"/>
        </w:rPr>
        <w:t>R.P.M.G.</w:t>
      </w:r>
      <w:r w:rsidRPr="00426625">
        <w:rPr>
          <w:rFonts w:ascii="Times New Roman" w:hAnsi="Times New Roman"/>
          <w:lang w:val="fr-BE"/>
        </w:rPr>
        <w:t xml:space="preserve">, 404/11 (1997), p. 71-78; MANAOUIT, C., ‘Dossier médical’, </w:t>
      </w:r>
      <w:r w:rsidRPr="00426625">
        <w:rPr>
          <w:rFonts w:ascii="Times New Roman" w:hAnsi="Times New Roman"/>
          <w:i/>
          <w:iCs/>
          <w:lang w:val="fr-BE"/>
        </w:rPr>
        <w:t>R.P.M.G.</w:t>
      </w:r>
      <w:r w:rsidRPr="00426625">
        <w:rPr>
          <w:rFonts w:ascii="Times New Roman" w:hAnsi="Times New Roman"/>
          <w:lang w:val="fr-BE"/>
        </w:rPr>
        <w:t xml:space="preserve">, 762-763 (2007), p. 277-282; ROY, C., </w:t>
      </w:r>
      <w:r w:rsidRPr="00426625">
        <w:rPr>
          <w:rFonts w:ascii="Times New Roman" w:hAnsi="Times New Roman"/>
          <w:i/>
          <w:iCs/>
          <w:lang w:val="fr-BE"/>
        </w:rPr>
        <w:t>Audit de pratique sur la tenue du dossier médical en médicine générale</w:t>
      </w:r>
      <w:r w:rsidRPr="00426625">
        <w:rPr>
          <w:rFonts w:ascii="Times New Roman" w:hAnsi="Times New Roman"/>
          <w:lang w:val="fr-BE"/>
        </w:rPr>
        <w:t>, onuitgeg. Doctoraatsverhan</w:t>
      </w:r>
      <w:r>
        <w:rPr>
          <w:rFonts w:ascii="Times New Roman" w:hAnsi="Times New Roman"/>
          <w:lang w:val="fr-BE"/>
        </w:rPr>
        <w:t>-</w:t>
      </w:r>
      <w:r w:rsidRPr="00426625">
        <w:rPr>
          <w:rFonts w:ascii="Times New Roman" w:hAnsi="Times New Roman"/>
          <w:lang w:val="fr-BE"/>
        </w:rPr>
        <w:t xml:space="preserve">deling, Faculté de Médecine et de Pharmacie, Université de Poitiers, promotor dr. Olivier Kandel, 2006, 45p.; WAINSTEIN, J.P., ‘Réflexions sur le dossier médical en médecine générale’, </w:t>
      </w:r>
      <w:r w:rsidRPr="00426625">
        <w:rPr>
          <w:rFonts w:ascii="Times New Roman" w:hAnsi="Times New Roman"/>
          <w:i/>
          <w:lang w:val="fr-BE"/>
        </w:rPr>
        <w:t>C.M.</w:t>
      </w:r>
      <w:r w:rsidRPr="00426625">
        <w:rPr>
          <w:rFonts w:ascii="Times New Roman" w:hAnsi="Times New Roman"/>
          <w:lang w:val="fr-BE"/>
        </w:rPr>
        <w:t>, 1986, p. 2907-2910.</w:t>
      </w:r>
    </w:p>
  </w:footnote>
  <w:footnote w:id="323">
    <w:p w:rsidR="00E82D16" w:rsidRPr="00E333B6"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rPr>
        <w:t xml:space="preserve"> Zie deel 3.</w:t>
      </w:r>
    </w:p>
  </w:footnote>
  <w:footnote w:id="32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w:t>
      </w:r>
    </w:p>
  </w:footnote>
  <w:footnote w:id="32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Integraal raadpleegbaar op </w:t>
      </w:r>
      <w:hyperlink r:id="rId32" w:history="1">
        <w:r w:rsidRPr="00426625">
          <w:rPr>
            <w:rStyle w:val="Hyperlink"/>
            <w:rFonts w:ascii="Times New Roman" w:hAnsi="Times New Roman"/>
          </w:rPr>
          <w:t>www.ordomedic.be</w:t>
        </w:r>
      </w:hyperlink>
      <w:r w:rsidRPr="00426625">
        <w:rPr>
          <w:rFonts w:ascii="Times New Roman" w:hAnsi="Times New Roman"/>
        </w:rPr>
        <w:t xml:space="preserve">. </w:t>
      </w:r>
    </w:p>
  </w:footnote>
  <w:footnote w:id="32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KB van 27 april 2007 houdende bepaling van de regels volgens welke bepaalde ziekenhuisgegevens moeten worden medegedeeld aan de Minister die de Volksgezondheid onder zijn bevoegdheid heeft (</w:t>
      </w:r>
      <w:r w:rsidRPr="00426625">
        <w:rPr>
          <w:rFonts w:ascii="Times New Roman" w:hAnsi="Times New Roman"/>
          <w:i/>
        </w:rPr>
        <w:t>BS</w:t>
      </w:r>
      <w:r w:rsidRPr="00426625">
        <w:rPr>
          <w:rFonts w:ascii="Times New Roman" w:hAnsi="Times New Roman"/>
        </w:rPr>
        <w:t xml:space="preserve"> 10 juli 2007).</w:t>
      </w:r>
    </w:p>
  </w:footnote>
  <w:footnote w:id="32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27 april 1998 houdende uitvoering van artikel 156, lid 5 van de wet van 29 april 1996 houdende so</w:t>
      </w:r>
      <w:r>
        <w:rPr>
          <w:rFonts w:ascii="Times New Roman" w:hAnsi="Times New Roman" w:cs="Times New Roman"/>
          <w:sz w:val="20"/>
          <w:szCs w:val="20"/>
        </w:rPr>
        <w:t>-</w:t>
      </w:r>
      <w:r w:rsidRPr="00426625">
        <w:rPr>
          <w:rFonts w:ascii="Times New Roman" w:hAnsi="Times New Roman" w:cs="Times New Roman"/>
          <w:sz w:val="20"/>
          <w:szCs w:val="20"/>
        </w:rPr>
        <w:t>ciale bepalingen, met betrekking tot de wijze waarop de ziekenhuizen aan de technische cel de noodzakelijke in</w:t>
      </w:r>
      <w:r>
        <w:rPr>
          <w:rFonts w:ascii="Times New Roman" w:hAnsi="Times New Roman" w:cs="Times New Roman"/>
          <w:sz w:val="20"/>
          <w:szCs w:val="20"/>
        </w:rPr>
        <w:t>-</w:t>
      </w:r>
      <w:r w:rsidRPr="00426625">
        <w:rPr>
          <w:rFonts w:ascii="Times New Roman" w:hAnsi="Times New Roman" w:cs="Times New Roman"/>
          <w:sz w:val="20"/>
          <w:szCs w:val="20"/>
        </w:rPr>
        <w:t>formatie meedelen voor de samenvoeging van de anonieme minimale klinische en financiële gegevens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14 augustus 1998); KB van 22 maart 1999 houdende uitvoering van [artikel 156 § 2, vierde lid] van de wet van 29 april 1996 houdende sociale bepalingen, met betrekking tot de wijze waarop de verzekeringsinstellingen aan de technische cel de noodzakelijke informatie meedelen voor de samenvoeging van de anonieme minimale klini</w:t>
      </w:r>
      <w:r>
        <w:rPr>
          <w:rFonts w:ascii="Times New Roman" w:hAnsi="Times New Roman" w:cs="Times New Roman"/>
          <w:sz w:val="20"/>
          <w:szCs w:val="20"/>
        </w:rPr>
        <w:t>-</w:t>
      </w:r>
      <w:r w:rsidRPr="00426625">
        <w:rPr>
          <w:rFonts w:ascii="Times New Roman" w:hAnsi="Times New Roman" w:cs="Times New Roman"/>
          <w:sz w:val="20"/>
          <w:szCs w:val="20"/>
        </w:rPr>
        <w:t>sche en financiële gegevens (</w:t>
      </w:r>
      <w:r w:rsidRPr="00426625">
        <w:rPr>
          <w:rFonts w:ascii="Times New Roman" w:hAnsi="Times New Roman" w:cs="Times New Roman"/>
          <w:i/>
          <w:sz w:val="20"/>
          <w:szCs w:val="20"/>
        </w:rPr>
        <w:t xml:space="preserve">BS </w:t>
      </w:r>
      <w:r w:rsidRPr="00426625">
        <w:rPr>
          <w:rFonts w:ascii="Times New Roman" w:hAnsi="Times New Roman" w:cs="Times New Roman"/>
          <w:sz w:val="20"/>
          <w:szCs w:val="20"/>
        </w:rPr>
        <w:t>7 april 1999), gewijzigd door het KB van 24 september 2001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9 oktober 2001) en het KB van 1 juli 2006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11 juli 2006); KB van 19 maart 2007 houdende vaststelling van de metho</w:t>
      </w:r>
      <w:r>
        <w:rPr>
          <w:rFonts w:ascii="Times New Roman" w:hAnsi="Times New Roman" w:cs="Times New Roman"/>
          <w:sz w:val="20"/>
          <w:szCs w:val="20"/>
        </w:rPr>
        <w:t>-</w:t>
      </w:r>
      <w:r w:rsidRPr="00426625">
        <w:rPr>
          <w:rFonts w:ascii="Times New Roman" w:hAnsi="Times New Roman" w:cs="Times New Roman"/>
          <w:sz w:val="20"/>
          <w:szCs w:val="20"/>
        </w:rPr>
        <w:t>dologie voor de controle van de minimale klinische gegevens en de regelen volgens dewelke hun juistheid en hun volledigheid worden gecontroleerd en vastgelegd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 mei 2007).</w:t>
      </w:r>
    </w:p>
  </w:footnote>
  <w:footnote w:id="32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25 april 2002 betreffende de vaststelling en de vereffening van het budget van financiële middelen van de ziekenhuizen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mei 2005), gewijzigd door het KB van 26 oktober 2011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29november 2011).</w:t>
      </w:r>
    </w:p>
  </w:footnote>
  <w:footnote w:id="32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Artikel 45</w:t>
      </w:r>
      <w:r w:rsidRPr="00426625">
        <w:rPr>
          <w:rFonts w:ascii="Times New Roman" w:hAnsi="Times New Roman" w:cs="Times New Roman"/>
          <w:i/>
          <w:sz w:val="20"/>
          <w:szCs w:val="20"/>
        </w:rPr>
        <w:t>ter</w:t>
      </w:r>
      <w:r w:rsidRPr="00426625">
        <w:rPr>
          <w:rFonts w:ascii="Times New Roman" w:hAnsi="Times New Roman" w:cs="Times New Roman"/>
          <w:sz w:val="20"/>
          <w:szCs w:val="20"/>
        </w:rPr>
        <w:t xml:space="preserve"> van KB nr. 78; CALLENS; GOOSSENS; CIERKENS; p. 369-370 (nrs. 929); EECKLO, K., ‘Externe verantwoording van ziekenhuizen: analyse en synthese van de federale en Vlaamse regelgeving’, </w:t>
      </w:r>
      <w:r w:rsidRPr="00426625">
        <w:rPr>
          <w:rFonts w:ascii="Times New Roman" w:hAnsi="Times New Roman" w:cs="Times New Roman"/>
          <w:i/>
          <w:sz w:val="20"/>
          <w:szCs w:val="20"/>
        </w:rPr>
        <w:t>T.Gez.</w:t>
      </w:r>
      <w:r w:rsidRPr="00426625">
        <w:rPr>
          <w:rFonts w:ascii="Times New Roman" w:hAnsi="Times New Roman" w:cs="Times New Roman"/>
          <w:sz w:val="20"/>
          <w:szCs w:val="20"/>
        </w:rPr>
        <w:t>, 2009-2010, 4, p. 203.</w:t>
      </w:r>
    </w:p>
  </w:footnote>
  <w:footnote w:id="33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25 februari 1996 houdende bepaling van de regels volgens welke bepaalde minimale psychiatrische statistische gegevens moeten worden medegedeeld aan de Minister die de Volksgezondheid onder zijn bevoegd</w:t>
      </w:r>
      <w:r>
        <w:rPr>
          <w:rFonts w:ascii="Times New Roman" w:hAnsi="Times New Roman" w:cs="Times New Roman"/>
          <w:sz w:val="20"/>
          <w:szCs w:val="20"/>
        </w:rPr>
        <w:t>-</w:t>
      </w:r>
      <w:r w:rsidRPr="00426625">
        <w:rPr>
          <w:rFonts w:ascii="Times New Roman" w:hAnsi="Times New Roman" w:cs="Times New Roman"/>
          <w:sz w:val="20"/>
          <w:szCs w:val="20"/>
        </w:rPr>
        <w:t>heid heeft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29 juni 1996), gewijzigd door het KB van 16 december 1998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6 maart 1999); KB van 20 sep</w:t>
      </w:r>
      <w:r>
        <w:rPr>
          <w:rFonts w:ascii="Times New Roman" w:hAnsi="Times New Roman" w:cs="Times New Roman"/>
          <w:sz w:val="20"/>
          <w:szCs w:val="20"/>
        </w:rPr>
        <w:t>-</w:t>
      </w:r>
      <w:r w:rsidRPr="00426625">
        <w:rPr>
          <w:rFonts w:ascii="Times New Roman" w:hAnsi="Times New Roman" w:cs="Times New Roman"/>
          <w:sz w:val="20"/>
          <w:szCs w:val="20"/>
        </w:rPr>
        <w:t>tember 1998 houdende bepaling van de regels volgens welke bepaalde minimale psychiatrische statistische gege</w:t>
      </w:r>
      <w:r>
        <w:rPr>
          <w:rFonts w:ascii="Times New Roman" w:hAnsi="Times New Roman" w:cs="Times New Roman"/>
          <w:sz w:val="20"/>
          <w:szCs w:val="20"/>
        </w:rPr>
        <w:t>-</w:t>
      </w:r>
      <w:r w:rsidRPr="00426625">
        <w:rPr>
          <w:rFonts w:ascii="Times New Roman" w:hAnsi="Times New Roman" w:cs="Times New Roman"/>
          <w:sz w:val="20"/>
          <w:szCs w:val="20"/>
        </w:rPr>
        <w:t>vens van de initiatieven van beschut wonen moeten worden medegedeeld aan de Minister die de Volksgezond</w:t>
      </w:r>
      <w:r>
        <w:rPr>
          <w:rFonts w:ascii="Times New Roman" w:hAnsi="Times New Roman" w:cs="Times New Roman"/>
          <w:sz w:val="20"/>
          <w:szCs w:val="20"/>
        </w:rPr>
        <w:t>-</w:t>
      </w:r>
      <w:r w:rsidRPr="00426625">
        <w:rPr>
          <w:rFonts w:ascii="Times New Roman" w:hAnsi="Times New Roman" w:cs="Times New Roman"/>
          <w:sz w:val="20"/>
          <w:szCs w:val="20"/>
        </w:rPr>
        <w:t>heid onder zijn bevoegdheid heeft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11 december 1998); KB van 25 april 2002 betreffende de vaststelling en de vereffening van het budget van financiële middelen van de ziekenhuizen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mei 2005), gewijzigd door het KB van 26 oktober 2011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29 november 2011); KB van 1 oktober 2002 houdende bepaling van de regels volgens welke bepaalde minimale psychiatrische statistische gegevens moeten worden medegedeeld aan de Minister die de Volksgezondheid onder zijn bevoegdheid heeft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10 december 2002); CALLENS, S., ‘Mini</w:t>
      </w:r>
      <w:r>
        <w:rPr>
          <w:rFonts w:ascii="Times New Roman" w:hAnsi="Times New Roman" w:cs="Times New Roman"/>
          <w:sz w:val="20"/>
          <w:szCs w:val="20"/>
        </w:rPr>
        <w:t>-</w:t>
      </w:r>
      <w:r w:rsidRPr="00426625">
        <w:rPr>
          <w:rFonts w:ascii="Times New Roman" w:hAnsi="Times New Roman" w:cs="Times New Roman"/>
          <w:sz w:val="20"/>
          <w:szCs w:val="20"/>
        </w:rPr>
        <w:t xml:space="preserve">male psychiatrische gegevens en privacybescherming’, </w:t>
      </w:r>
      <w:r w:rsidRPr="00426625">
        <w:rPr>
          <w:rFonts w:ascii="Times New Roman" w:hAnsi="Times New Roman" w:cs="Times New Roman"/>
          <w:i/>
          <w:sz w:val="20"/>
          <w:szCs w:val="20"/>
        </w:rPr>
        <w:t>T.Gez.</w:t>
      </w:r>
      <w:r w:rsidRPr="00426625">
        <w:rPr>
          <w:rFonts w:ascii="Times New Roman" w:hAnsi="Times New Roman" w:cs="Times New Roman"/>
          <w:sz w:val="20"/>
          <w:szCs w:val="20"/>
        </w:rPr>
        <w:t>, 2000-2001, p. 289-290.</w:t>
      </w:r>
    </w:p>
  </w:footnote>
  <w:footnote w:id="331">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w:t>
      </w:r>
      <w:r w:rsidRPr="00E333B6">
        <w:rPr>
          <w:rFonts w:ascii="Times New Roman" w:hAnsi="Times New Roman" w:cs="Times New Roman"/>
          <w:i/>
          <w:sz w:val="20"/>
          <w:szCs w:val="20"/>
          <w:lang w:val="fr-BE"/>
        </w:rPr>
        <w:t>Documentatierapport Landelijke Medische Registratie (LMR) 2009V1</w:t>
      </w:r>
      <w:r w:rsidRPr="00E333B6">
        <w:rPr>
          <w:rFonts w:ascii="Times New Roman" w:hAnsi="Times New Roman" w:cs="Times New Roman"/>
          <w:sz w:val="20"/>
          <w:szCs w:val="20"/>
          <w:lang w:val="fr-BE"/>
        </w:rPr>
        <w:t xml:space="preserve">, Centraal Bureau voor de Statistiek – Centrum voor Beleidsstatistiek, Leiden, 2011, 51p.; MATTKE, S., ‘Suivi et amélioration de la qualité technique des soins médicaux’, JOHNSTON, D.J. (red.), </w:t>
      </w:r>
      <w:r w:rsidRPr="00E333B6">
        <w:rPr>
          <w:rFonts w:ascii="Times New Roman" w:hAnsi="Times New Roman" w:cs="Times New Roman"/>
          <w:i/>
          <w:sz w:val="20"/>
          <w:szCs w:val="20"/>
          <w:lang w:val="fr-BE"/>
        </w:rPr>
        <w:t>Le Projet de l’OCDE sur la santé vers des systèmes de santé plus performants: études thématiques</w:t>
      </w:r>
      <w:r w:rsidRPr="00E333B6">
        <w:rPr>
          <w:rFonts w:ascii="Times New Roman" w:hAnsi="Times New Roman" w:cs="Times New Roman"/>
          <w:sz w:val="20"/>
          <w:szCs w:val="20"/>
          <w:lang w:val="fr-BE"/>
        </w:rPr>
        <w:t>, Parijs, OCDE, 2004, p. 106.</w:t>
      </w:r>
    </w:p>
  </w:footnote>
  <w:footnote w:id="332">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SERVAIS, P., </w:t>
      </w:r>
      <w:r w:rsidRPr="00E333B6">
        <w:rPr>
          <w:rFonts w:ascii="Times New Roman" w:hAnsi="Times New Roman"/>
          <w:i/>
          <w:lang w:val="fr-BE"/>
        </w:rPr>
        <w:t>L’information médicale Clinique. Archivage, utilization et gestion du dossier médical</w:t>
      </w:r>
      <w:r w:rsidRPr="00E333B6">
        <w:rPr>
          <w:rFonts w:ascii="Times New Roman" w:hAnsi="Times New Roman"/>
          <w:lang w:val="fr-BE"/>
        </w:rPr>
        <w:t>, Ren</w:t>
      </w:r>
      <w:r>
        <w:rPr>
          <w:rFonts w:ascii="Times New Roman" w:hAnsi="Times New Roman"/>
          <w:lang w:val="fr-BE"/>
        </w:rPr>
        <w:t>-</w:t>
      </w:r>
      <w:r w:rsidRPr="00E333B6">
        <w:rPr>
          <w:rFonts w:ascii="Times New Roman" w:hAnsi="Times New Roman"/>
          <w:lang w:val="fr-BE"/>
        </w:rPr>
        <w:t>contres de bibliothéconomie, 7, Louvain-la-Neuve, Academia-Bruylant, 1996, p. 50-62.</w:t>
      </w:r>
    </w:p>
  </w:footnote>
  <w:footnote w:id="33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D147A7">
        <w:rPr>
          <w:rFonts w:ascii="Times New Roman" w:hAnsi="Times New Roman"/>
          <w:lang w:val="fr-BE"/>
        </w:rPr>
        <w:t xml:space="preserve"> Idem, p. 51 en p. 53-54; </w:t>
      </w:r>
      <w:hyperlink r:id="rId33" w:history="1">
        <w:r w:rsidRPr="00D147A7">
          <w:rPr>
            <w:rStyle w:val="Hyperlink"/>
            <w:rFonts w:ascii="Times New Roman" w:hAnsi="Times New Roman"/>
            <w:lang w:val="fr-BE"/>
          </w:rPr>
          <w:t>http://www.cdc.gov/nchs/icd.htm</w:t>
        </w:r>
      </w:hyperlink>
      <w:r w:rsidRPr="00D147A7">
        <w:rPr>
          <w:rFonts w:ascii="Times New Roman" w:hAnsi="Times New Roman"/>
          <w:lang w:val="fr-BE"/>
        </w:rPr>
        <w:t xml:space="preserve">; </w:t>
      </w:r>
      <w:hyperlink r:id="rId34" w:history="1">
        <w:r w:rsidRPr="00D147A7">
          <w:rPr>
            <w:rStyle w:val="Hyperlink"/>
            <w:rFonts w:ascii="Times New Roman" w:hAnsi="Times New Roman"/>
            <w:lang w:val="fr-BE"/>
          </w:rPr>
          <w:t>http://www.who.int/classification/icd/en/</w:t>
        </w:r>
      </w:hyperlink>
      <w:r w:rsidRPr="00D147A7">
        <w:rPr>
          <w:rFonts w:ascii="Times New Roman" w:hAnsi="Times New Roman"/>
          <w:lang w:val="fr-BE"/>
        </w:rPr>
        <w:t xml:space="preserve">. </w:t>
      </w:r>
      <w:r w:rsidRPr="00E333B6">
        <w:rPr>
          <w:rFonts w:ascii="Times New Roman" w:hAnsi="Times New Roman"/>
          <w:lang w:val="fr-BE"/>
        </w:rPr>
        <w:t xml:space="preserve">Zie ook: </w:t>
      </w:r>
      <w:r w:rsidRPr="00E333B6">
        <w:rPr>
          <w:rFonts w:ascii="Times New Roman" w:hAnsi="Times New Roman"/>
          <w:i/>
          <w:lang w:val="fr-BE"/>
        </w:rPr>
        <w:t>Classification internationale des maladies, neuvième révision: liste de base pour la mise en tableau suivie d’un index alphabétique</w:t>
      </w:r>
      <w:r w:rsidRPr="00E333B6">
        <w:rPr>
          <w:rFonts w:ascii="Times New Roman" w:hAnsi="Times New Roman"/>
          <w:lang w:val="fr-BE"/>
        </w:rPr>
        <w:t>, Genève, Wereldgezondheidsorganisatie, 1979, 292p.; PAVILLON, G.; BOILEAU, J.; RE</w:t>
      </w:r>
      <w:r>
        <w:rPr>
          <w:rFonts w:ascii="Times New Roman" w:hAnsi="Times New Roman"/>
          <w:lang w:val="fr-BE"/>
        </w:rPr>
        <w:t>-</w:t>
      </w:r>
      <w:r w:rsidRPr="00E333B6">
        <w:rPr>
          <w:rFonts w:ascii="Times New Roman" w:hAnsi="Times New Roman"/>
          <w:lang w:val="fr-BE"/>
        </w:rPr>
        <w:t xml:space="preserve">NAUD, G.; LEFEVRE, H.; JOUGLA, E.; ‘Conséquences des changements de coddage des causes médicales de décès sur les données nationales de mortalité en France, à partir de l’année 2000’, </w:t>
      </w:r>
      <w:r w:rsidRPr="00E333B6">
        <w:rPr>
          <w:rFonts w:ascii="Times New Roman" w:hAnsi="Times New Roman"/>
          <w:i/>
          <w:lang w:val="fr-BE"/>
        </w:rPr>
        <w:t>Bulletin épidemiologiques hebdomadaire</w:t>
      </w:r>
      <w:r w:rsidRPr="00E333B6">
        <w:rPr>
          <w:rFonts w:ascii="Times New Roman" w:hAnsi="Times New Roman"/>
          <w:lang w:val="fr-BE"/>
        </w:rPr>
        <w:t>, 2005, 4, p. 13-16.</w:t>
      </w:r>
    </w:p>
  </w:footnote>
  <w:footnote w:id="334">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hyperlink r:id="rId35" w:history="1">
        <w:r w:rsidRPr="00E333B6">
          <w:rPr>
            <w:rStyle w:val="Hyperlink"/>
            <w:rFonts w:ascii="Times New Roman" w:hAnsi="Times New Roman"/>
            <w:lang w:val="fr-BE"/>
          </w:rPr>
          <w:t>http://www.udcc.org/</w:t>
        </w:r>
      </w:hyperlink>
      <w:r w:rsidRPr="00E333B6">
        <w:rPr>
          <w:rFonts w:ascii="Times New Roman" w:hAnsi="Times New Roman"/>
          <w:lang w:val="fr-BE"/>
        </w:rPr>
        <w:t xml:space="preserve">. </w:t>
      </w:r>
    </w:p>
  </w:footnote>
  <w:footnote w:id="3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lang w:val="fr-BE"/>
        </w:rPr>
        <w:t xml:space="preserve"> </w:t>
      </w:r>
      <w:hyperlink r:id="rId36" w:history="1">
        <w:r w:rsidRPr="00E333B6">
          <w:rPr>
            <w:rStyle w:val="Hyperlink"/>
            <w:rFonts w:ascii="Times New Roman" w:hAnsi="Times New Roman"/>
            <w:lang w:val="fr-BE"/>
          </w:rPr>
          <w:t>http://ndc.inforum.be/</w:t>
        </w:r>
      </w:hyperlink>
      <w:r w:rsidRPr="00E333B6">
        <w:rPr>
          <w:rFonts w:ascii="Times New Roman" w:hAnsi="Times New Roman"/>
          <w:lang w:val="fr-BE"/>
        </w:rPr>
        <w:t xml:space="preserve">. </w:t>
      </w:r>
      <w:r w:rsidRPr="00426625">
        <w:rPr>
          <w:rFonts w:ascii="Times New Roman" w:hAnsi="Times New Roman"/>
        </w:rPr>
        <w:t xml:space="preserve">Zie ook: VANDERBORGHT, J., ‘De NDC, weg ermee?’, </w:t>
      </w:r>
      <w:r w:rsidRPr="00426625">
        <w:rPr>
          <w:rFonts w:ascii="Times New Roman" w:hAnsi="Times New Roman"/>
          <w:i/>
        </w:rPr>
        <w:t>B.A.G.</w:t>
      </w:r>
      <w:r w:rsidRPr="00426625">
        <w:rPr>
          <w:rFonts w:ascii="Times New Roman" w:hAnsi="Times New Roman"/>
        </w:rPr>
        <w:t>, 82/6 (2006), p. 11-15.</w:t>
      </w:r>
    </w:p>
  </w:footnote>
  <w:footnote w:id="3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BELMANS, L.; DEVOGELE, M.; DEVREKER, N.; FIERENS, C. et al.; </w:t>
      </w:r>
      <w:r w:rsidRPr="00426625">
        <w:rPr>
          <w:rFonts w:ascii="Times New Roman" w:hAnsi="Times New Roman"/>
          <w:i/>
        </w:rPr>
        <w:t>Handboek ICD-9-CM-codering 2011/2012</w:t>
      </w:r>
      <w:r w:rsidRPr="00426625">
        <w:rPr>
          <w:rFonts w:ascii="Times New Roman" w:hAnsi="Times New Roman"/>
        </w:rPr>
        <w:t>, Brussel, FOD Volksgezondheid, Veiligheid van de Voedselketen en Leefmilieu – Directoraat-gene</w:t>
      </w:r>
      <w:r>
        <w:rPr>
          <w:rFonts w:ascii="Times New Roman" w:hAnsi="Times New Roman"/>
        </w:rPr>
        <w:t>-</w:t>
      </w:r>
      <w:r w:rsidRPr="00426625">
        <w:rPr>
          <w:rFonts w:ascii="Times New Roman" w:hAnsi="Times New Roman"/>
        </w:rPr>
        <w:t>raal Organisatie van de Gezondheidszorgvoorzieningen Dienst Management, 2011, p. 5-7.</w:t>
      </w:r>
    </w:p>
  </w:footnote>
  <w:footnote w:id="33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Rondzendbrief van 10 juni 1854 houdende aanwijzingen voor de ordening en de inventarisatie van zieken</w:t>
      </w:r>
      <w:r>
        <w:rPr>
          <w:rFonts w:ascii="Times New Roman" w:hAnsi="Times New Roman"/>
        </w:rPr>
        <w:t>-</w:t>
      </w:r>
      <w:r w:rsidRPr="00426625">
        <w:rPr>
          <w:rFonts w:ascii="Times New Roman" w:hAnsi="Times New Roman"/>
        </w:rPr>
        <w:t>huisarchieven.</w:t>
      </w:r>
    </w:p>
  </w:footnote>
  <w:footnote w:id="33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Besluit van het Ministerie van Culturele Zaken (</w:t>
      </w:r>
      <w:r w:rsidRPr="00426625">
        <w:rPr>
          <w:rFonts w:ascii="Times New Roman" w:hAnsi="Times New Roman"/>
          <w:i/>
        </w:rPr>
        <w:t>Archives de France</w:t>
      </w:r>
      <w:r w:rsidRPr="00426625">
        <w:rPr>
          <w:rFonts w:ascii="Times New Roman" w:hAnsi="Times New Roman"/>
        </w:rPr>
        <w:t>) van 20 november 1944 houdende regle</w:t>
      </w:r>
      <w:r>
        <w:rPr>
          <w:rFonts w:ascii="Times New Roman" w:hAnsi="Times New Roman"/>
        </w:rPr>
        <w:t>-</w:t>
      </w:r>
      <w:r w:rsidRPr="00426625">
        <w:rPr>
          <w:rFonts w:ascii="Times New Roman" w:hAnsi="Times New Roman"/>
        </w:rPr>
        <w:t>ment van ziekenhuisarchieven.</w:t>
      </w:r>
    </w:p>
  </w:footnote>
  <w:footnote w:id="33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hyperlink r:id="rId37" w:history="1">
        <w:r w:rsidRPr="00E333B6">
          <w:rPr>
            <w:rStyle w:val="Hyperlink"/>
            <w:rFonts w:ascii="Times New Roman" w:hAnsi="Times New Roman"/>
            <w:lang w:val="fr-BE"/>
          </w:rPr>
          <w:t>http://www.archives.var.fr/informer_consulter/pdf/cadre_classement_hospitalieres.pdf</w:t>
        </w:r>
      </w:hyperlink>
      <w:r w:rsidRPr="00E333B6">
        <w:rPr>
          <w:rFonts w:ascii="Times New Roman" w:hAnsi="Times New Roman"/>
          <w:lang w:val="fr-BE"/>
        </w:rPr>
        <w:t xml:space="preserve">.; HONNORE, L., </w:t>
      </w:r>
      <w:r w:rsidRPr="00E333B6">
        <w:rPr>
          <w:rFonts w:ascii="Times New Roman" w:hAnsi="Times New Roman"/>
          <w:i/>
          <w:lang w:val="fr-BE"/>
        </w:rPr>
        <w:t>Ar</w:t>
      </w:r>
      <w:r>
        <w:rPr>
          <w:rFonts w:ascii="Times New Roman" w:hAnsi="Times New Roman"/>
          <w:i/>
          <w:lang w:val="fr-BE"/>
        </w:rPr>
        <w:t>-</w:t>
      </w:r>
      <w:r w:rsidRPr="00E333B6">
        <w:rPr>
          <w:rFonts w:ascii="Times New Roman" w:hAnsi="Times New Roman"/>
          <w:i/>
          <w:lang w:val="fr-BE"/>
        </w:rPr>
        <w:t>chives sociales, archives médicales, archives scientifiques: La pratique française</w:t>
      </w:r>
      <w:r w:rsidRPr="00E333B6">
        <w:rPr>
          <w:rFonts w:ascii="Times New Roman" w:hAnsi="Times New Roman"/>
          <w:lang w:val="fr-BE"/>
        </w:rPr>
        <w:t>, Miscellanea Archivistica Stu</w:t>
      </w:r>
      <w:r>
        <w:rPr>
          <w:rFonts w:ascii="Times New Roman" w:hAnsi="Times New Roman"/>
          <w:lang w:val="fr-BE"/>
        </w:rPr>
        <w:t>-</w:t>
      </w:r>
      <w:r w:rsidRPr="00E333B6">
        <w:rPr>
          <w:rFonts w:ascii="Times New Roman" w:hAnsi="Times New Roman"/>
          <w:lang w:val="fr-BE"/>
        </w:rPr>
        <w:t>dia, 166, Brussel, Algemeen Rijksarchief en Rijksarchief in de Provinciën, 2005, p. 22.</w:t>
      </w:r>
    </w:p>
  </w:footnote>
  <w:footnote w:id="34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MEIRESONNE, A., ‘Records Management op de Campus Brugmann: het patiëntendossier’, JANSSENS, G.; MARECHAL, G.; SCHEELINGS, F. (reds.); </w:t>
      </w:r>
      <w:r w:rsidRPr="002B73B6">
        <w:rPr>
          <w:rFonts w:ascii="Times New Roman" w:hAnsi="Times New Roman" w:cs="Times New Roman"/>
          <w:i/>
          <w:sz w:val="20"/>
          <w:szCs w:val="20"/>
        </w:rPr>
        <w:t>Archiefinitiatie(f), 4: Door de archivistiek gestrikt. Liber amico</w:t>
      </w:r>
      <w:r>
        <w:rPr>
          <w:rFonts w:ascii="Times New Roman" w:hAnsi="Times New Roman" w:cs="Times New Roman"/>
          <w:i/>
          <w:sz w:val="20"/>
          <w:szCs w:val="20"/>
        </w:rPr>
        <w:t>-</w:t>
      </w:r>
      <w:r w:rsidRPr="002B73B6">
        <w:rPr>
          <w:rFonts w:ascii="Times New Roman" w:hAnsi="Times New Roman" w:cs="Times New Roman"/>
          <w:i/>
          <w:sz w:val="20"/>
          <w:szCs w:val="20"/>
        </w:rPr>
        <w:t>rum prof. dr. Juul Verhelst</w:t>
      </w:r>
      <w:r w:rsidRPr="00426625">
        <w:rPr>
          <w:rFonts w:ascii="Times New Roman" w:hAnsi="Times New Roman" w:cs="Times New Roman"/>
          <w:sz w:val="20"/>
          <w:szCs w:val="20"/>
        </w:rPr>
        <w:t>, Brussel, VUBPress, 2000, p. 176.</w:t>
      </w:r>
    </w:p>
  </w:footnote>
  <w:footnote w:id="34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hyperlink r:id="rId38" w:history="1">
        <w:r w:rsidRPr="002E0847">
          <w:rPr>
            <w:rStyle w:val="Hyperlink"/>
            <w:rFonts w:ascii="Times New Roman" w:hAnsi="Times New Roman" w:cs="Times New Roman"/>
            <w:sz w:val="20"/>
            <w:szCs w:val="20"/>
          </w:rPr>
          <w:t>http://webshop.kleinbeernink.nl/kb/item/512594</w:t>
        </w:r>
      </w:hyperlink>
      <w:r>
        <w:rPr>
          <w:rFonts w:ascii="Times New Roman" w:hAnsi="Times New Roman" w:cs="Times New Roman"/>
          <w:sz w:val="20"/>
          <w:szCs w:val="20"/>
        </w:rPr>
        <w:t xml:space="preserve">. </w:t>
      </w:r>
    </w:p>
  </w:footnote>
  <w:footnote w:id="342">
    <w:p w:rsidR="00E82D16" w:rsidRPr="00426625" w:rsidRDefault="00E82D16" w:rsidP="00426625">
      <w:pPr>
        <w:jc w:val="both"/>
        <w:rPr>
          <w:sz w:val="20"/>
          <w:szCs w:val="20"/>
        </w:rPr>
      </w:pPr>
      <w:r w:rsidRPr="00426625">
        <w:rPr>
          <w:rStyle w:val="Voetnootmarkering"/>
          <w:sz w:val="20"/>
          <w:szCs w:val="20"/>
        </w:rPr>
        <w:footnoteRef/>
      </w:r>
      <w:r w:rsidRPr="00426625">
        <w:rPr>
          <w:sz w:val="20"/>
          <w:szCs w:val="20"/>
        </w:rPr>
        <w:t xml:space="preserve"> Dixit Annie Meiresonne op 28 december 2011.</w:t>
      </w:r>
    </w:p>
  </w:footnote>
  <w:footnote w:id="34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drie locaties zijn Langendijk Breda, Molengracht Breda en Pasteurlaan Oosterhout. BREURE, E.; KAMST, N.; ‘Alle gegevens van de patiënten op het juiste moment op de juiste plek’,  </w:t>
      </w:r>
      <w:r w:rsidRPr="00426625">
        <w:rPr>
          <w:rFonts w:ascii="Times New Roman" w:hAnsi="Times New Roman"/>
          <w:i/>
        </w:rPr>
        <w:t>Z&amp;I</w:t>
      </w:r>
      <w:r w:rsidRPr="00426625">
        <w:rPr>
          <w:rFonts w:ascii="Times New Roman" w:hAnsi="Times New Roman"/>
        </w:rPr>
        <w:t>, 31/121 (2005), p. 9-11.</w:t>
      </w:r>
    </w:p>
  </w:footnote>
  <w:footnote w:id="344">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EYSENBACH, G., ‘What is e-Health?’, </w:t>
      </w:r>
      <w:r w:rsidRPr="00426625">
        <w:rPr>
          <w:rFonts w:ascii="Times New Roman" w:hAnsi="Times New Roman" w:cs="Times New Roman"/>
          <w:i/>
          <w:sz w:val="20"/>
          <w:szCs w:val="20"/>
          <w:lang w:val="en-US"/>
        </w:rPr>
        <w:t>Journal of Medical Internet Research</w:t>
      </w:r>
      <w:r w:rsidRPr="00426625">
        <w:rPr>
          <w:rFonts w:ascii="Times New Roman" w:hAnsi="Times New Roman" w:cs="Times New Roman"/>
          <w:sz w:val="20"/>
          <w:szCs w:val="20"/>
          <w:lang w:val="en-US"/>
        </w:rPr>
        <w:t>, 3/2 (2001) (</w:t>
      </w:r>
      <w:hyperlink w:history="1">
        <w:r w:rsidRPr="00EA26DD">
          <w:rPr>
            <w:rStyle w:val="Hyperlink"/>
            <w:rFonts w:ascii="Times New Roman" w:hAnsi="Times New Roman" w:cs="Times New Roman"/>
            <w:sz w:val="20"/>
            <w:szCs w:val="20"/>
            <w:lang w:val="en-US"/>
          </w:rPr>
          <w:t>http://www.jmir. org/2001/2/e20</w:t>
        </w:r>
      </w:hyperlink>
      <w:r w:rsidRPr="00426625">
        <w:rPr>
          <w:rFonts w:ascii="Times New Roman" w:hAnsi="Times New Roman" w:cs="Times New Roman"/>
          <w:sz w:val="20"/>
          <w:szCs w:val="20"/>
          <w:lang w:val="en-US"/>
        </w:rPr>
        <w:t>).</w:t>
      </w:r>
    </w:p>
  </w:footnote>
  <w:footnote w:id="345">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OH, H.; RIZO, C.; ENKIN, L.; JADAD, A.; ‘What is eHealth (3): A systematic review of published deﬁni</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tions’, </w:t>
      </w:r>
      <w:r w:rsidRPr="00426625">
        <w:rPr>
          <w:rFonts w:ascii="Times New Roman" w:hAnsi="Times New Roman" w:cs="Times New Roman"/>
          <w:i/>
          <w:sz w:val="20"/>
          <w:szCs w:val="20"/>
          <w:lang w:val="en-US"/>
        </w:rPr>
        <w:t>Journal of Medical Internet Research</w:t>
      </w:r>
      <w:r w:rsidRPr="00426625">
        <w:rPr>
          <w:rFonts w:ascii="Times New Roman" w:hAnsi="Times New Roman" w:cs="Times New Roman"/>
          <w:sz w:val="20"/>
          <w:szCs w:val="20"/>
          <w:lang w:val="en-US"/>
        </w:rPr>
        <w:t>, 7/1 (2005) (</w:t>
      </w:r>
      <w:hyperlink r:id="rId39" w:history="1">
        <w:r w:rsidRPr="00426625">
          <w:rPr>
            <w:rStyle w:val="Hyperlink"/>
            <w:rFonts w:ascii="Times New Roman" w:hAnsi="Times New Roman" w:cs="Times New Roman"/>
            <w:sz w:val="20"/>
            <w:szCs w:val="20"/>
            <w:lang w:val="en-US"/>
          </w:rPr>
          <w:t>http://www.jmir.org/2005/1/e1</w:t>
        </w:r>
      </w:hyperlink>
      <w:r w:rsidRPr="00426625">
        <w:rPr>
          <w:rFonts w:ascii="Times New Roman" w:hAnsi="Times New Roman" w:cs="Times New Roman"/>
          <w:sz w:val="20"/>
          <w:szCs w:val="20"/>
          <w:lang w:val="en-US"/>
        </w:rPr>
        <w:t xml:space="preserve">). </w:t>
      </w:r>
    </w:p>
  </w:footnote>
  <w:footnote w:id="346">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O’REILLY, T., ‘What is Web 2.0. Designing Patterns and Business Models for the Next Generation of Soft</w:t>
      </w:r>
      <w:r>
        <w:rPr>
          <w:rFonts w:ascii="Times New Roman" w:hAnsi="Times New Roman" w:cs="Times New Roman"/>
          <w:sz w:val="20"/>
          <w:szCs w:val="20"/>
          <w:lang w:val="en-US"/>
        </w:rPr>
        <w:t>-</w:t>
      </w:r>
      <w:r w:rsidRPr="00426625">
        <w:rPr>
          <w:rFonts w:ascii="Times New Roman" w:hAnsi="Times New Roman" w:cs="Times New Roman"/>
          <w:sz w:val="20"/>
          <w:szCs w:val="20"/>
          <w:lang w:val="en-US"/>
        </w:rPr>
        <w:t>ware’, s.l., 2005 (</w:t>
      </w:r>
      <w:hyperlink r:id="rId40" w:history="1">
        <w:r w:rsidRPr="00426625">
          <w:rPr>
            <w:rStyle w:val="Hyperlink"/>
            <w:rFonts w:ascii="Times New Roman" w:hAnsi="Times New Roman" w:cs="Times New Roman"/>
            <w:sz w:val="20"/>
            <w:szCs w:val="20"/>
            <w:lang w:val="en-US"/>
          </w:rPr>
          <w:t>http://oreilly.com/web2/archive/what-is-web-20.html</w:t>
        </w:r>
      </w:hyperlink>
      <w:r w:rsidRPr="00426625">
        <w:rPr>
          <w:rFonts w:ascii="Times New Roman" w:hAnsi="Times New Roman" w:cs="Times New Roman"/>
          <w:sz w:val="20"/>
          <w:szCs w:val="20"/>
          <w:lang w:val="en-US"/>
        </w:rPr>
        <w:t xml:space="preserve">). </w:t>
      </w:r>
    </w:p>
  </w:footnote>
  <w:footnote w:id="347">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EYSENBACH, G., ‘What is e-Health?’. </w:t>
      </w:r>
    </w:p>
  </w:footnote>
  <w:footnote w:id="348">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European Commission, ‘What is eHealth’ (</w:t>
      </w:r>
      <w:hyperlink r:id="rId41" w:history="1">
        <w:r w:rsidRPr="002E0847">
          <w:rPr>
            <w:rStyle w:val="Hyperlink"/>
            <w:rFonts w:ascii="Times New Roman" w:hAnsi="Times New Roman" w:cs="Times New Roman"/>
            <w:sz w:val="20"/>
            <w:szCs w:val="20"/>
            <w:lang w:val="en-US"/>
          </w:rPr>
          <w:t>http://ec.europe.eu/information_society/activities/health/whatis_ ehealth/index_en.htm</w:t>
        </w:r>
      </w:hyperlink>
      <w:r w:rsidRPr="00426625">
        <w:rPr>
          <w:rFonts w:ascii="Times New Roman" w:hAnsi="Times New Roman" w:cs="Times New Roman"/>
          <w:sz w:val="20"/>
          <w:szCs w:val="20"/>
          <w:lang w:val="en-US"/>
        </w:rPr>
        <w:t>); e-Health-making healthcare better for European citizens: An action plan for a European e-Health Area, COM(2004)356 def., (</w:t>
      </w:r>
      <w:hyperlink r:id="rId42" w:history="1">
        <w:r w:rsidRPr="002E0847">
          <w:rPr>
            <w:rStyle w:val="Hyperlink"/>
            <w:rFonts w:ascii="Times New Roman" w:hAnsi="Times New Roman" w:cs="Times New Roman"/>
            <w:sz w:val="20"/>
            <w:szCs w:val="20"/>
            <w:lang w:val="en-US"/>
          </w:rPr>
          <w:t>http://eur-lex.europa.eu/LexUriServ/LexUriServ.do?uri=COM:2004:0356: FIN:EN:PDF</w:t>
        </w:r>
      </w:hyperlink>
      <w:r w:rsidRPr="00426625">
        <w:rPr>
          <w:rFonts w:ascii="Times New Roman" w:hAnsi="Times New Roman" w:cs="Times New Roman"/>
          <w:sz w:val="20"/>
          <w:szCs w:val="20"/>
          <w:lang w:val="en-US"/>
        </w:rPr>
        <w:t>); Het tweede Europese actieplan voor de periode 2012-2020 (</w:t>
      </w:r>
      <w:hyperlink r:id="rId43" w:history="1">
        <w:r w:rsidRPr="002E0847">
          <w:rPr>
            <w:rStyle w:val="Hyperlink"/>
            <w:rFonts w:ascii="Times New Roman" w:hAnsi="Times New Roman" w:cs="Times New Roman"/>
            <w:sz w:val="20"/>
            <w:szCs w:val="20"/>
            <w:lang w:val="en-US"/>
          </w:rPr>
          <w:t>http://ec.europa.eu/information_ society/activities/health/docs/policy/ehap2012public-consult-report.pdf</w:t>
        </w:r>
      </w:hyperlink>
      <w:r w:rsidRPr="00426625">
        <w:rPr>
          <w:rFonts w:ascii="Times New Roman" w:hAnsi="Times New Roman" w:cs="Times New Roman"/>
          <w:sz w:val="20"/>
          <w:szCs w:val="20"/>
          <w:lang w:val="en-US"/>
        </w:rPr>
        <w:t>).</w:t>
      </w:r>
    </w:p>
  </w:footnote>
  <w:footnote w:id="34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CALLENS, S., ‘Recente ontwikkelingen inzake onlinecontact arts-patiënt in Nederland en België’,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29/4 (2006), p. 266-275; HOOGHIEMSTRA, T.F.M.; NOUWT, S.; ‘eHealth en recht. Een inleiding op een thema’,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xml:space="preserve">, 2011, 6, p. 289-291; SCHIPHOLT, I.L., ‘Artsen afficheren zich op internet. Websites om patiënten te informeren’, </w:t>
      </w:r>
      <w:r w:rsidRPr="00426625">
        <w:rPr>
          <w:rFonts w:ascii="Times New Roman" w:hAnsi="Times New Roman" w:cs="Times New Roman"/>
          <w:i/>
          <w:sz w:val="20"/>
          <w:szCs w:val="20"/>
        </w:rPr>
        <w:t>M.C.</w:t>
      </w:r>
      <w:r w:rsidRPr="00426625">
        <w:rPr>
          <w:rFonts w:ascii="Times New Roman" w:hAnsi="Times New Roman" w:cs="Times New Roman"/>
          <w:sz w:val="20"/>
          <w:szCs w:val="20"/>
        </w:rPr>
        <w:t xml:space="preserve">, 65/26 (2010), p. 1290-1291; SIEGERS, P.; VOGELS, O.; ‘Webspreekuur is goed en snel. Digitaal consult brengt wachttijden polipatiënten omlaag’, </w:t>
      </w:r>
      <w:r w:rsidRPr="00426625">
        <w:rPr>
          <w:rFonts w:ascii="Times New Roman" w:hAnsi="Times New Roman" w:cs="Times New Roman"/>
          <w:i/>
          <w:sz w:val="20"/>
          <w:szCs w:val="20"/>
        </w:rPr>
        <w:t>M.C.</w:t>
      </w:r>
      <w:r w:rsidRPr="00426625">
        <w:rPr>
          <w:rFonts w:ascii="Times New Roman" w:hAnsi="Times New Roman" w:cs="Times New Roman"/>
          <w:sz w:val="20"/>
          <w:szCs w:val="20"/>
        </w:rPr>
        <w:t>, 64/44 (2009), p. 1830-1831.</w:t>
      </w:r>
    </w:p>
  </w:footnote>
  <w:footnote w:id="35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‘Zorg op afstand’, </w:t>
      </w:r>
      <w:r w:rsidRPr="00426625">
        <w:rPr>
          <w:rFonts w:ascii="Times New Roman" w:hAnsi="Times New Roman" w:cs="Times New Roman"/>
          <w:i/>
          <w:sz w:val="20"/>
          <w:szCs w:val="20"/>
        </w:rPr>
        <w:t>P&amp;I</w:t>
      </w:r>
      <w:r w:rsidRPr="00426625">
        <w:rPr>
          <w:rFonts w:ascii="Times New Roman" w:hAnsi="Times New Roman" w:cs="Times New Roman"/>
          <w:sz w:val="20"/>
          <w:szCs w:val="20"/>
        </w:rPr>
        <w:t>, 12/4 (2009), p. 197 (nr. 166); CALLENS, S., ‘Recente juridische ontwikkelingen in</w:t>
      </w:r>
      <w:r>
        <w:rPr>
          <w:rFonts w:ascii="Times New Roman" w:hAnsi="Times New Roman" w:cs="Times New Roman"/>
          <w:sz w:val="20"/>
          <w:szCs w:val="20"/>
        </w:rPr>
        <w:t>-</w:t>
      </w:r>
      <w:r w:rsidRPr="00426625">
        <w:rPr>
          <w:rFonts w:ascii="Times New Roman" w:hAnsi="Times New Roman" w:cs="Times New Roman"/>
          <w:sz w:val="20"/>
          <w:szCs w:val="20"/>
        </w:rPr>
        <w:t xml:space="preserve">zake onlinecontact arts-patiënt in Nederland en België’, p. 266-275; CALLENS, S.; TER HEERDT, J.; ‘Juridische beschouwingen bij telegeneeskunde’, </w:t>
      </w:r>
      <w:r w:rsidRPr="00426625">
        <w:rPr>
          <w:rFonts w:ascii="Times New Roman" w:hAnsi="Times New Roman" w:cs="Times New Roman"/>
          <w:i/>
          <w:sz w:val="20"/>
          <w:szCs w:val="20"/>
        </w:rPr>
        <w:t>T.Gez.</w:t>
      </w:r>
      <w:r w:rsidRPr="00426625">
        <w:rPr>
          <w:rFonts w:ascii="Times New Roman" w:hAnsi="Times New Roman" w:cs="Times New Roman"/>
          <w:sz w:val="20"/>
          <w:szCs w:val="20"/>
        </w:rPr>
        <w:t xml:space="preserve">, 1999-2000, p. 310-321; DANS, E.; VAN DER VORST, P.R.; ‘Teleradiologie. </w:t>
      </w:r>
      <w:r w:rsidRPr="00E333B6">
        <w:rPr>
          <w:rFonts w:ascii="Times New Roman" w:hAnsi="Times New Roman" w:cs="Times New Roman"/>
          <w:sz w:val="20"/>
          <w:szCs w:val="20"/>
          <w:lang w:val="fr-BE"/>
        </w:rPr>
        <w:t xml:space="preserve">Enkele juridische implicaties van een nieuw fenomeen’, </w:t>
      </w:r>
      <w:r w:rsidRPr="00E333B6">
        <w:rPr>
          <w:rFonts w:ascii="Times New Roman" w:hAnsi="Times New Roman" w:cs="Times New Roman"/>
          <w:i/>
          <w:sz w:val="20"/>
          <w:szCs w:val="20"/>
          <w:lang w:val="fr-BE"/>
        </w:rPr>
        <w:t>T.G.</w:t>
      </w:r>
      <w:r w:rsidRPr="00E333B6">
        <w:rPr>
          <w:rFonts w:ascii="Times New Roman" w:hAnsi="Times New Roman" w:cs="Times New Roman"/>
          <w:sz w:val="20"/>
          <w:szCs w:val="20"/>
          <w:lang w:val="fr-BE"/>
        </w:rPr>
        <w:t xml:space="preserve">, 31/3 (2008), p. 187-199; DE LARD, B., ‘La télémédecine: le souci de la sécurisation des pratiques’, </w:t>
      </w:r>
      <w:r w:rsidRPr="00E333B6">
        <w:rPr>
          <w:rFonts w:ascii="Times New Roman" w:hAnsi="Times New Roman" w:cs="Times New Roman"/>
          <w:i/>
          <w:sz w:val="20"/>
          <w:szCs w:val="20"/>
          <w:lang w:val="fr-BE"/>
        </w:rPr>
        <w:t>A.J.S.</w:t>
      </w:r>
      <w:r w:rsidRPr="00E333B6">
        <w:rPr>
          <w:rFonts w:ascii="Times New Roman" w:hAnsi="Times New Roman" w:cs="Times New Roman"/>
          <w:sz w:val="20"/>
          <w:szCs w:val="20"/>
          <w:lang w:val="fr-BE"/>
        </w:rPr>
        <w:t xml:space="preserve">, 71 (2010), p. 20-22; FERRAUD-CIANDET, N., </w:t>
      </w:r>
      <w:r w:rsidRPr="00E333B6">
        <w:rPr>
          <w:rFonts w:ascii="Times New Roman" w:hAnsi="Times New Roman" w:cs="Times New Roman"/>
          <w:i/>
          <w:sz w:val="20"/>
          <w:szCs w:val="20"/>
          <w:lang w:val="fr-BE"/>
        </w:rPr>
        <w:t>Droit de la télésanté et de la télémédecine: à jour du décret du 19 décembre sur la télémédecine</w:t>
      </w:r>
      <w:r w:rsidRPr="00E333B6">
        <w:rPr>
          <w:rFonts w:ascii="Times New Roman" w:hAnsi="Times New Roman" w:cs="Times New Roman"/>
          <w:sz w:val="20"/>
          <w:szCs w:val="20"/>
          <w:lang w:val="fr-BE"/>
        </w:rPr>
        <w:t xml:space="preserve">, Droit professionnel, Parijs, Editions Heures de France, 2011, 158p.; HOOGHIEMSTRA, T.; NOUWT, J.; ‘eHealth en recht. </w:t>
      </w:r>
      <w:r w:rsidRPr="00426625">
        <w:rPr>
          <w:rFonts w:ascii="Times New Roman" w:hAnsi="Times New Roman" w:cs="Times New Roman"/>
          <w:sz w:val="20"/>
          <w:szCs w:val="20"/>
        </w:rPr>
        <w:t xml:space="preserve">Inleiding op het thema’,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xml:space="preserve">, 2011, 6, p. 282-291; PLOEM, M.C., ‘(Thuis)zorg op afstand in juridisch perspectief’,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31/5 (2008), p. 312-327; PLOEM, M.C.; HENDRIKS, A.C.; ‘Kritische uitingen over individuele zorgverleners op het internet: waar ligt de grens?’, </w:t>
      </w:r>
      <w:r w:rsidRPr="00426625">
        <w:rPr>
          <w:rFonts w:ascii="Times New Roman" w:hAnsi="Times New Roman" w:cs="Times New Roman"/>
          <w:i/>
          <w:sz w:val="20"/>
          <w:szCs w:val="20"/>
        </w:rPr>
        <w:t>T.G.</w:t>
      </w:r>
      <w:r w:rsidRPr="00426625">
        <w:rPr>
          <w:rFonts w:ascii="Times New Roman" w:hAnsi="Times New Roman" w:cs="Times New Roman"/>
          <w:sz w:val="20"/>
          <w:szCs w:val="20"/>
        </w:rPr>
        <w:t xml:space="preserve">, 34/1 (2011), p. 4-17; VAN MEERSBERGEN, D., ‘Het e-consult’, NOUWT, S.; PLOEM, M.C. (reds.); </w:t>
      </w:r>
      <w:r w:rsidRPr="00426625">
        <w:rPr>
          <w:rFonts w:ascii="Times New Roman" w:hAnsi="Times New Roman" w:cs="Times New Roman"/>
          <w:i/>
          <w:sz w:val="20"/>
          <w:szCs w:val="20"/>
        </w:rPr>
        <w:t>Gezondheidsrecht en ICT</w:t>
      </w:r>
      <w:r w:rsidRPr="00426625">
        <w:rPr>
          <w:rFonts w:ascii="Times New Roman" w:hAnsi="Times New Roman" w:cs="Times New Roman"/>
          <w:sz w:val="20"/>
          <w:szCs w:val="20"/>
        </w:rPr>
        <w:t>, ICT en Recht, 7, Den Haag, Sdu Uitgevers, 2012, p. 97-113.</w:t>
      </w:r>
    </w:p>
  </w:footnote>
  <w:footnote w:id="35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CALLENS; TER HEERDT; p. 314-316; CALLENS; GOOSSENS; CIERKENS; p. 366-368 (nrs. 924-926); TIEMS, S., ‘Civiele aansprakelijkheid bij elektronische transmurale gegevensuitwisseling’, NOUWT, S.; PLOEM, M.C.; </w:t>
      </w:r>
      <w:r w:rsidRPr="00426625">
        <w:rPr>
          <w:rFonts w:ascii="Times New Roman" w:hAnsi="Times New Roman" w:cs="Times New Roman"/>
          <w:i/>
          <w:sz w:val="20"/>
          <w:szCs w:val="20"/>
        </w:rPr>
        <w:t>Gezondheidsrecht en ICT</w:t>
      </w:r>
      <w:r w:rsidRPr="00426625">
        <w:rPr>
          <w:rFonts w:ascii="Times New Roman" w:hAnsi="Times New Roman" w:cs="Times New Roman"/>
          <w:sz w:val="20"/>
          <w:szCs w:val="20"/>
        </w:rPr>
        <w:t>, ICT en Recht, 7, Den Haag, Sdu Uitgevers, 2012, p. 68-78.</w:t>
      </w:r>
    </w:p>
  </w:footnote>
  <w:footnote w:id="35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CALLENS; TER HEERDT; p. 317-318; CALLENS; GOOSSENS; CIERKENS; p. 364-365 (nrs. 922-923).</w:t>
      </w:r>
    </w:p>
  </w:footnote>
  <w:footnote w:id="35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MECHEAL, P.; KAONGA, N.; BATAVIA, H.; ESKANDAR, H.; DZENOWAGIS, J.; PEREZ-CHAVOL</w:t>
      </w:r>
      <w:r>
        <w:rPr>
          <w:rFonts w:ascii="Times New Roman" w:hAnsi="Times New Roman" w:cs="Times New Roman"/>
          <w:sz w:val="20"/>
          <w:szCs w:val="20"/>
          <w:lang w:val="en-US"/>
        </w:rPr>
        <w:t>-</w:t>
      </w:r>
      <w:r w:rsidRPr="00426625">
        <w:rPr>
          <w:rFonts w:ascii="Times New Roman" w:hAnsi="Times New Roman" w:cs="Times New Roman"/>
          <w:sz w:val="20"/>
          <w:szCs w:val="20"/>
          <w:lang w:val="en-US"/>
        </w:rPr>
        <w:t xml:space="preserve">LA, L.; </w:t>
      </w:r>
      <w:r w:rsidRPr="00426625">
        <w:rPr>
          <w:rFonts w:ascii="Times New Roman" w:hAnsi="Times New Roman" w:cs="Times New Roman"/>
          <w:i/>
          <w:sz w:val="20"/>
          <w:szCs w:val="20"/>
          <w:lang w:val="en-US"/>
        </w:rPr>
        <w:t>mHealth: New horizons for health through mobile technologies</w:t>
      </w:r>
      <w:r w:rsidRPr="00426625">
        <w:rPr>
          <w:rFonts w:ascii="Times New Roman" w:hAnsi="Times New Roman" w:cs="Times New Roman"/>
          <w:sz w:val="20"/>
          <w:szCs w:val="20"/>
          <w:lang w:val="en-US"/>
        </w:rPr>
        <w:t xml:space="preserve">, Global Observatory for eHealth series, 3, Genève, WHO Press, 2011, 102p. </w:t>
      </w:r>
      <w:r w:rsidRPr="00426625">
        <w:rPr>
          <w:rFonts w:ascii="Times New Roman" w:hAnsi="Times New Roman" w:cs="Times New Roman"/>
          <w:sz w:val="20"/>
          <w:szCs w:val="20"/>
        </w:rPr>
        <w:t>(</w:t>
      </w:r>
      <w:hyperlink r:id="rId44" w:history="1">
        <w:r w:rsidRPr="00EA26DD">
          <w:rPr>
            <w:rStyle w:val="Hyperlink"/>
            <w:rFonts w:ascii="Times New Roman" w:hAnsi="Times New Roman" w:cs="Times New Roman"/>
            <w:sz w:val="20"/>
            <w:szCs w:val="20"/>
          </w:rPr>
          <w:t>http://www.who.int/goe/publications/goe_mhealth_web.pdf</w:t>
        </w:r>
      </w:hyperlink>
      <w:r w:rsidRPr="00426625">
        <w:rPr>
          <w:rFonts w:ascii="Times New Roman" w:hAnsi="Times New Roman" w:cs="Times New Roman"/>
          <w:sz w:val="20"/>
          <w:szCs w:val="20"/>
        </w:rPr>
        <w:t xml:space="preserve">); ‘Mobiel elektronisch medicatiedossier’, </w:t>
      </w:r>
      <w:r w:rsidRPr="00426625">
        <w:rPr>
          <w:rFonts w:ascii="Times New Roman" w:hAnsi="Times New Roman" w:cs="Times New Roman"/>
          <w:i/>
          <w:sz w:val="20"/>
          <w:szCs w:val="20"/>
        </w:rPr>
        <w:t>P&amp;I</w:t>
      </w:r>
      <w:r w:rsidRPr="00426625">
        <w:rPr>
          <w:rFonts w:ascii="Times New Roman" w:hAnsi="Times New Roman" w:cs="Times New Roman"/>
          <w:sz w:val="20"/>
          <w:szCs w:val="20"/>
        </w:rPr>
        <w:t>, 11/3 (2008), p. 134 (nr. 139).</w:t>
      </w:r>
    </w:p>
  </w:footnote>
  <w:footnote w:id="35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CALLENS; GOOSSENS; CIERKENS;  p</w:t>
      </w:r>
      <w:r w:rsidRPr="00426625">
        <w:rPr>
          <w:rFonts w:ascii="Times New Roman" w:hAnsi="Times New Roman" w:cs="Times New Roman"/>
          <w:iCs/>
          <w:sz w:val="20"/>
          <w:szCs w:val="20"/>
        </w:rPr>
        <w:t>. 325-326 (</w:t>
      </w:r>
      <w:r w:rsidRPr="00426625">
        <w:rPr>
          <w:rFonts w:ascii="Times New Roman" w:hAnsi="Times New Roman" w:cs="Times New Roman"/>
          <w:sz w:val="20"/>
          <w:szCs w:val="20"/>
        </w:rPr>
        <w:t xml:space="preserve">nr. 823); VAN DAMME; NYS; VAN DAMME; </w:t>
      </w:r>
      <w:r w:rsidRPr="00426625">
        <w:rPr>
          <w:rFonts w:ascii="Times New Roman" w:hAnsi="Times New Roman" w:cs="Times New Roman"/>
          <w:i/>
          <w:iCs/>
          <w:sz w:val="20"/>
          <w:szCs w:val="20"/>
        </w:rPr>
        <w:t>De arts, de huisarts en zijn dossier</w:t>
      </w:r>
      <w:r w:rsidRPr="00426625">
        <w:rPr>
          <w:rFonts w:ascii="Times New Roman" w:hAnsi="Times New Roman" w:cs="Times New Roman"/>
          <w:sz w:val="20"/>
          <w:szCs w:val="20"/>
        </w:rPr>
        <w:t>, p. 159; VANDEWEERDT, M., ‘De bescherming van de medische persoonsge</w:t>
      </w:r>
      <w:r>
        <w:rPr>
          <w:rFonts w:ascii="Times New Roman" w:hAnsi="Times New Roman" w:cs="Times New Roman"/>
          <w:sz w:val="20"/>
          <w:szCs w:val="20"/>
        </w:rPr>
        <w:t>-</w:t>
      </w:r>
      <w:r w:rsidRPr="00426625">
        <w:rPr>
          <w:rFonts w:ascii="Times New Roman" w:hAnsi="Times New Roman" w:cs="Times New Roman"/>
          <w:sz w:val="20"/>
          <w:szCs w:val="20"/>
        </w:rPr>
        <w:t xml:space="preserve">gevens’, </w:t>
      </w:r>
      <w:r w:rsidRPr="00426625">
        <w:rPr>
          <w:rFonts w:ascii="Times New Roman" w:hAnsi="Times New Roman" w:cs="Times New Roman"/>
          <w:i/>
          <w:sz w:val="20"/>
          <w:szCs w:val="20"/>
        </w:rPr>
        <w:t>B.T.S.Z.</w:t>
      </w:r>
      <w:r w:rsidRPr="00426625">
        <w:rPr>
          <w:rFonts w:ascii="Times New Roman" w:hAnsi="Times New Roman" w:cs="Times New Roman"/>
          <w:sz w:val="20"/>
          <w:szCs w:val="20"/>
        </w:rPr>
        <w:t>, 1993, p. 263.</w:t>
      </w:r>
    </w:p>
  </w:footnote>
  <w:footnote w:id="35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Richtlijn 2011/24/EU van 9 maart 2011 betreffende de toepassing van de rechten van de patiënten bij grens</w:t>
      </w:r>
      <w:r>
        <w:rPr>
          <w:rFonts w:ascii="Times New Roman" w:hAnsi="Times New Roman" w:cs="Times New Roman"/>
          <w:sz w:val="20"/>
          <w:szCs w:val="20"/>
        </w:rPr>
        <w:t>-</w:t>
      </w:r>
      <w:r w:rsidRPr="00426625">
        <w:rPr>
          <w:rFonts w:ascii="Times New Roman" w:hAnsi="Times New Roman" w:cs="Times New Roman"/>
          <w:sz w:val="20"/>
          <w:szCs w:val="20"/>
        </w:rPr>
        <w:t>overschrijdende gezondheidszorg (</w:t>
      </w:r>
      <w:r w:rsidRPr="00426625">
        <w:rPr>
          <w:rFonts w:ascii="Times New Roman" w:hAnsi="Times New Roman" w:cs="Times New Roman"/>
          <w:i/>
          <w:sz w:val="20"/>
          <w:szCs w:val="20"/>
        </w:rPr>
        <w:t xml:space="preserve">Pb.EG L. </w:t>
      </w:r>
      <w:r w:rsidRPr="00426625">
        <w:rPr>
          <w:rFonts w:ascii="Times New Roman" w:hAnsi="Times New Roman" w:cs="Times New Roman"/>
          <w:sz w:val="20"/>
          <w:szCs w:val="20"/>
        </w:rPr>
        <w:t>88, 4 april 2001); KRANENBORG, H.R., ‘Health en privacy: wel</w:t>
      </w:r>
      <w:r>
        <w:rPr>
          <w:rFonts w:ascii="Times New Roman" w:hAnsi="Times New Roman" w:cs="Times New Roman"/>
          <w:sz w:val="20"/>
          <w:szCs w:val="20"/>
        </w:rPr>
        <w:t>-</w:t>
      </w:r>
      <w:r w:rsidRPr="00426625">
        <w:rPr>
          <w:rFonts w:ascii="Times New Roman" w:hAnsi="Times New Roman" w:cs="Times New Roman"/>
          <w:sz w:val="20"/>
          <w:szCs w:val="20"/>
        </w:rPr>
        <w:t xml:space="preserve">ke rol voor de Europese Unie?’,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2011, 6, p. 293; NYS, H., ‘De rechten van de europatiënt. De indi</w:t>
      </w:r>
      <w:r>
        <w:rPr>
          <w:rFonts w:ascii="Times New Roman" w:hAnsi="Times New Roman" w:cs="Times New Roman"/>
          <w:sz w:val="20"/>
          <w:szCs w:val="20"/>
        </w:rPr>
        <w:t>-</w:t>
      </w:r>
      <w:r w:rsidRPr="00426625">
        <w:rPr>
          <w:rFonts w:ascii="Times New Roman" w:hAnsi="Times New Roman" w:cs="Times New Roman"/>
          <w:sz w:val="20"/>
          <w:szCs w:val="20"/>
        </w:rPr>
        <w:t xml:space="preserve">viduele rechten van de patiënt in Richtlijn 2011/24/EU’, </w:t>
      </w:r>
      <w:r w:rsidRPr="00426625">
        <w:rPr>
          <w:rFonts w:ascii="Times New Roman" w:hAnsi="Times New Roman" w:cs="Times New Roman"/>
          <w:i/>
          <w:sz w:val="20"/>
          <w:szCs w:val="20"/>
        </w:rPr>
        <w:t>Ars Aequi</w:t>
      </w:r>
      <w:r w:rsidRPr="00426625">
        <w:rPr>
          <w:rFonts w:ascii="Times New Roman" w:hAnsi="Times New Roman" w:cs="Times New Roman"/>
          <w:sz w:val="20"/>
          <w:szCs w:val="20"/>
        </w:rPr>
        <w:t>, 60 (2011), speciaal nummer, p. 558-564; PEETERS, M., ‘Richtlijn 2011/24 betreffende de toepassing van de rechten van patiënten bij grens-overschrij</w:t>
      </w:r>
      <w:r>
        <w:rPr>
          <w:rFonts w:ascii="Times New Roman" w:hAnsi="Times New Roman" w:cs="Times New Roman"/>
          <w:sz w:val="20"/>
          <w:szCs w:val="20"/>
        </w:rPr>
        <w:t>-</w:t>
      </w:r>
      <w:r w:rsidRPr="00426625">
        <w:rPr>
          <w:rFonts w:ascii="Times New Roman" w:hAnsi="Times New Roman" w:cs="Times New Roman"/>
          <w:sz w:val="20"/>
          <w:szCs w:val="20"/>
        </w:rPr>
        <w:t xml:space="preserve">dende gezondheidszorg: impact op de (Belgische) gezondheidszorg, </w:t>
      </w:r>
      <w:r w:rsidRPr="00426625">
        <w:rPr>
          <w:rFonts w:ascii="Times New Roman" w:hAnsi="Times New Roman" w:cs="Times New Roman"/>
          <w:i/>
          <w:sz w:val="20"/>
          <w:szCs w:val="20"/>
        </w:rPr>
        <w:t>T.Gez.</w:t>
      </w:r>
      <w:r w:rsidRPr="00426625">
        <w:rPr>
          <w:rFonts w:ascii="Times New Roman" w:hAnsi="Times New Roman" w:cs="Times New Roman"/>
          <w:sz w:val="20"/>
          <w:szCs w:val="20"/>
        </w:rPr>
        <w:t xml:space="preserve">, 2011-2012, 2, p. 94-112; VAN DER MEI, A., ‘De nieuwe Richtlijn betreffende de toepassing van de rechten van patiënten bij grensoverschrijdende zorg’, </w:t>
      </w:r>
      <w:r w:rsidRPr="00426625">
        <w:rPr>
          <w:rFonts w:ascii="Times New Roman" w:hAnsi="Times New Roman" w:cs="Times New Roman"/>
          <w:i/>
          <w:sz w:val="20"/>
          <w:szCs w:val="20"/>
        </w:rPr>
        <w:t>N.J.B.</w:t>
      </w:r>
      <w:r w:rsidRPr="00426625">
        <w:rPr>
          <w:rFonts w:ascii="Times New Roman" w:hAnsi="Times New Roman" w:cs="Times New Roman"/>
          <w:sz w:val="20"/>
          <w:szCs w:val="20"/>
        </w:rPr>
        <w:t>, 2011, 40, p. 2712-2719.</w:t>
      </w:r>
    </w:p>
  </w:footnote>
  <w:footnote w:id="356">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Cf. IACOVINO, L.; REED, B.; ‘Recordkeeping research tools in a multi-disciplinair context for cross-juris</w:t>
      </w:r>
      <w:r>
        <w:rPr>
          <w:rFonts w:ascii="Times New Roman" w:hAnsi="Times New Roman"/>
          <w:lang w:val="en-US"/>
        </w:rPr>
        <w:t>-</w:t>
      </w:r>
      <w:r w:rsidRPr="00426625">
        <w:rPr>
          <w:rFonts w:ascii="Times New Roman" w:hAnsi="Times New Roman"/>
          <w:lang w:val="en-US"/>
        </w:rPr>
        <w:t>d</w:t>
      </w:r>
      <w:r>
        <w:rPr>
          <w:rFonts w:ascii="Times New Roman" w:hAnsi="Times New Roman"/>
          <w:lang w:val="en-US"/>
        </w:rPr>
        <w:t>i</w:t>
      </w:r>
      <w:r w:rsidRPr="00426625">
        <w:rPr>
          <w:rFonts w:ascii="Times New Roman" w:hAnsi="Times New Roman"/>
          <w:lang w:val="en-US"/>
        </w:rPr>
        <w:t xml:space="preserve">ctional health records systems’, </w:t>
      </w:r>
      <w:r w:rsidRPr="00426625">
        <w:rPr>
          <w:rFonts w:ascii="Times New Roman" w:hAnsi="Times New Roman"/>
          <w:i/>
          <w:lang w:val="en-US"/>
        </w:rPr>
        <w:t>Archival Science</w:t>
      </w:r>
      <w:r w:rsidRPr="00426625">
        <w:rPr>
          <w:rFonts w:ascii="Times New Roman" w:hAnsi="Times New Roman"/>
          <w:lang w:val="en-US"/>
        </w:rPr>
        <w:t>, 8/1 (2008), p. 37-68.</w:t>
      </w:r>
    </w:p>
  </w:footnote>
  <w:footnote w:id="35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DELOITTE; IPSOS; </w:t>
      </w:r>
      <w:r w:rsidRPr="00426625">
        <w:rPr>
          <w:rFonts w:ascii="Times New Roman" w:hAnsi="Times New Roman"/>
          <w:i/>
        </w:rPr>
        <w:t>eHealth Benchmarking III</w:t>
      </w:r>
      <w:r w:rsidRPr="00426625">
        <w:rPr>
          <w:rFonts w:ascii="Times New Roman" w:hAnsi="Times New Roman"/>
        </w:rPr>
        <w:t>, Directoraat-generaal Informatiemaatschappij en Media van de Europese Commissie, 2011, p. 118 (figuur 65).</w:t>
      </w:r>
    </w:p>
  </w:footnote>
  <w:footnote w:id="35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DEVLIES, J.; WALOSSEK, U.; ARTMANN, J.; GIEST, S.; DUMORTIER, J.; </w:t>
      </w:r>
      <w:r w:rsidRPr="00426625">
        <w:rPr>
          <w:rFonts w:ascii="Times New Roman" w:hAnsi="Times New Roman"/>
          <w:i/>
        </w:rPr>
        <w:t>Country Brief: Bel</w:t>
      </w:r>
      <w:r>
        <w:rPr>
          <w:rFonts w:ascii="Times New Roman" w:hAnsi="Times New Roman"/>
          <w:i/>
        </w:rPr>
        <w:t>-</w:t>
      </w:r>
      <w:r w:rsidRPr="00426625">
        <w:rPr>
          <w:rFonts w:ascii="Times New Roman" w:hAnsi="Times New Roman"/>
          <w:i/>
        </w:rPr>
        <w:t>gium</w:t>
      </w:r>
      <w:r w:rsidRPr="00426625">
        <w:rPr>
          <w:rFonts w:ascii="Times New Roman" w:hAnsi="Times New Roman"/>
        </w:rPr>
        <w:t>, Directoraat-generaal Informatiemaatschappij en Media van de Europese Commissie, 2010, p. 14 (figuur 2).</w:t>
      </w:r>
    </w:p>
  </w:footnote>
  <w:footnote w:id="359">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Bron: DELOITTE; IPSOS; </w:t>
      </w:r>
      <w:r w:rsidRPr="00426625">
        <w:rPr>
          <w:rFonts w:ascii="Times New Roman" w:hAnsi="Times New Roman"/>
          <w:i/>
          <w:lang w:val="en-US"/>
        </w:rPr>
        <w:t>eHealth Benchmarking III</w:t>
      </w:r>
      <w:r w:rsidRPr="00426625">
        <w:rPr>
          <w:rFonts w:ascii="Times New Roman" w:hAnsi="Times New Roman"/>
          <w:lang w:val="en-US"/>
        </w:rPr>
        <w:t>, p. 148 (figuur 84).</w:t>
      </w:r>
    </w:p>
  </w:footnote>
  <w:footnote w:id="36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FLIM, C.; GIEST, S.; DUMORTIER, J.; </w:t>
      </w:r>
      <w:r w:rsidRPr="00426625">
        <w:rPr>
          <w:rFonts w:ascii="Times New Roman" w:hAnsi="Times New Roman"/>
          <w:i/>
        </w:rPr>
        <w:t>Country Brief: Netherlands</w:t>
      </w:r>
      <w:r w:rsidRPr="00426625">
        <w:rPr>
          <w:rFonts w:ascii="Times New Roman" w:hAnsi="Times New Roman"/>
        </w:rPr>
        <w:t>, Directoraat-generaal Informatie</w:t>
      </w:r>
      <w:r>
        <w:rPr>
          <w:rFonts w:ascii="Times New Roman" w:hAnsi="Times New Roman"/>
        </w:rPr>
        <w:t>-</w:t>
      </w:r>
      <w:r w:rsidRPr="00426625">
        <w:rPr>
          <w:rFonts w:ascii="Times New Roman" w:hAnsi="Times New Roman"/>
        </w:rPr>
        <w:t>maatschappij en Media van de Europese Commissie, 2010, p. 13 (figuur 2).</w:t>
      </w:r>
    </w:p>
  </w:footnote>
  <w:footnote w:id="36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DELOITTE; IPSOS; p. 131 (figuur 73).</w:t>
      </w:r>
    </w:p>
  </w:footnote>
  <w:footnote w:id="36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ARTMANN, J.; GIEST, S.; DUMORTIER, J.; </w:t>
      </w:r>
      <w:r w:rsidRPr="00426625">
        <w:rPr>
          <w:rFonts w:ascii="Times New Roman" w:hAnsi="Times New Roman"/>
          <w:i/>
        </w:rPr>
        <w:t>Country Brief: France</w:t>
      </w:r>
      <w:r w:rsidRPr="00426625">
        <w:rPr>
          <w:rFonts w:ascii="Times New Roman" w:hAnsi="Times New Roman"/>
        </w:rPr>
        <w:t>, Directoraat-generaal Informatie</w:t>
      </w:r>
      <w:r>
        <w:rPr>
          <w:rFonts w:ascii="Times New Roman" w:hAnsi="Times New Roman"/>
        </w:rPr>
        <w:t>-</w:t>
      </w:r>
      <w:r w:rsidRPr="00426625">
        <w:rPr>
          <w:rFonts w:ascii="Times New Roman" w:hAnsi="Times New Roman"/>
        </w:rPr>
        <w:t>maatschappij en Media van de Europese Commissie, 2010, p. 15 (figuur 1).</w:t>
      </w:r>
    </w:p>
  </w:footnote>
  <w:footnote w:id="36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‘Vraagtekens bij bescherming privacy op eHealth’, </w:t>
      </w:r>
      <w:r w:rsidRPr="00426625">
        <w:rPr>
          <w:rFonts w:ascii="Times New Roman" w:hAnsi="Times New Roman"/>
          <w:i/>
        </w:rPr>
        <w:t>De Standaard</w:t>
      </w:r>
      <w:r w:rsidRPr="00426625">
        <w:rPr>
          <w:rFonts w:ascii="Times New Roman" w:hAnsi="Times New Roman"/>
        </w:rPr>
        <w:t>, 30 mei 2008.</w:t>
      </w:r>
    </w:p>
  </w:footnote>
  <w:footnote w:id="36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2 van het KB van 28 december 2006.</w:t>
      </w:r>
    </w:p>
  </w:footnote>
  <w:footnote w:id="36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2 van het KB van 3 mei 1999 (2).</w:t>
      </w:r>
    </w:p>
  </w:footnote>
  <w:footnote w:id="36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 1 van het KB van 3 mei 1999 (2); art. 7 van het KB van 28 december 2006.</w:t>
      </w:r>
    </w:p>
  </w:footnote>
  <w:footnote w:id="36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45</w:t>
      </w:r>
      <w:r w:rsidRPr="00426625">
        <w:rPr>
          <w:rFonts w:ascii="Times New Roman" w:hAnsi="Times New Roman" w:cs="Times New Roman"/>
          <w:i/>
          <w:sz w:val="20"/>
          <w:szCs w:val="20"/>
        </w:rPr>
        <w:t>bis</w:t>
      </w:r>
      <w:r w:rsidRPr="00426625">
        <w:rPr>
          <w:rFonts w:ascii="Times New Roman" w:hAnsi="Times New Roman" w:cs="Times New Roman"/>
          <w:sz w:val="20"/>
          <w:szCs w:val="20"/>
        </w:rPr>
        <w:t xml:space="preserve"> § 1 van KB nr. 78, ingevoerd door art. 176 van het KB van 25 januari 1999 houdende sociale bepa</w:t>
      </w:r>
      <w:r>
        <w:rPr>
          <w:rFonts w:ascii="Times New Roman" w:hAnsi="Times New Roman" w:cs="Times New Roman"/>
          <w:sz w:val="20"/>
          <w:szCs w:val="20"/>
        </w:rPr>
        <w:t>-</w:t>
      </w:r>
      <w:r w:rsidRPr="00426625">
        <w:rPr>
          <w:rFonts w:ascii="Times New Roman" w:hAnsi="Times New Roman" w:cs="Times New Roman"/>
          <w:sz w:val="20"/>
          <w:szCs w:val="20"/>
        </w:rPr>
        <w:t>lingen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6 februari 1999); VAN GOSSUM, K., ‘Het elektronisch gedeeld patiëntendossier in België: een stand van zaken’, </w:t>
      </w:r>
      <w:r w:rsidRPr="00426625">
        <w:rPr>
          <w:rFonts w:ascii="Times New Roman" w:hAnsi="Times New Roman" w:cs="Times New Roman"/>
          <w:i/>
          <w:sz w:val="20"/>
          <w:szCs w:val="20"/>
        </w:rPr>
        <w:t>P&amp;I</w:t>
      </w:r>
      <w:r w:rsidRPr="00426625">
        <w:rPr>
          <w:rFonts w:ascii="Times New Roman" w:hAnsi="Times New Roman" w:cs="Times New Roman"/>
          <w:sz w:val="20"/>
          <w:szCs w:val="20"/>
        </w:rPr>
        <w:t>, 11/1 (2008), p. 18-19 (nr. 4).</w:t>
      </w:r>
    </w:p>
  </w:footnote>
  <w:footnote w:id="36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45bis § 2 van KB nr. 78.</w:t>
      </w:r>
    </w:p>
  </w:footnote>
  <w:footnote w:id="36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3 mei 1999 houdende oprichting van een Commissie ‘Standaarden inzake Telematica ten behoeve van de sector van de gezondheidszorg’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30 juli 1999); KB van 13 januari 2010 tot vaststelling van de datum van opheffing van het KB van 3 mei 1999 houdende oprichting van een Commissie ‘Standaarden inzake Tele</w:t>
      </w:r>
      <w:r>
        <w:rPr>
          <w:rFonts w:ascii="Times New Roman" w:hAnsi="Times New Roman" w:cs="Times New Roman"/>
          <w:sz w:val="20"/>
          <w:szCs w:val="20"/>
        </w:rPr>
        <w:t>-</w:t>
      </w:r>
      <w:r w:rsidRPr="00426625">
        <w:rPr>
          <w:rFonts w:ascii="Times New Roman" w:hAnsi="Times New Roman" w:cs="Times New Roman"/>
          <w:sz w:val="20"/>
          <w:szCs w:val="20"/>
        </w:rPr>
        <w:t>matica ten behoeve van de sector van de gezondheidszorg’ en tot vaststelling van de nadere regels van de over</w:t>
      </w:r>
      <w:r>
        <w:rPr>
          <w:rFonts w:ascii="Times New Roman" w:hAnsi="Times New Roman" w:cs="Times New Roman"/>
          <w:sz w:val="20"/>
          <w:szCs w:val="20"/>
        </w:rPr>
        <w:t>-</w:t>
      </w:r>
      <w:r w:rsidRPr="00426625">
        <w:rPr>
          <w:rFonts w:ascii="Times New Roman" w:hAnsi="Times New Roman" w:cs="Times New Roman"/>
          <w:sz w:val="20"/>
          <w:szCs w:val="20"/>
        </w:rPr>
        <w:t>name van haar opdrachten door het eHealth-platform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27 januari 2010); ‘eHealth-platform’, </w:t>
      </w:r>
      <w:r w:rsidRPr="00426625">
        <w:rPr>
          <w:rFonts w:ascii="Times New Roman" w:hAnsi="Times New Roman" w:cs="Times New Roman"/>
          <w:i/>
          <w:sz w:val="20"/>
          <w:szCs w:val="20"/>
        </w:rPr>
        <w:t>N.J.W.</w:t>
      </w:r>
      <w:r w:rsidRPr="00426625">
        <w:rPr>
          <w:rFonts w:ascii="Times New Roman" w:hAnsi="Times New Roman" w:cs="Times New Roman"/>
          <w:sz w:val="20"/>
          <w:szCs w:val="20"/>
        </w:rPr>
        <w:t>, 217 (2010), p. 143.</w:t>
      </w:r>
    </w:p>
  </w:footnote>
  <w:footnote w:id="37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 § 1 van het KB van 3 mei 1999 houdende oprichting van een Commissie ‘Standaarden inzake Telematica ten behoeve van de sector van de gezondheidszorg’.</w:t>
      </w:r>
    </w:p>
  </w:footnote>
  <w:footnote w:id="37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ALENGREAU, V., ‘De inbreng van de nieuwe informatie- en communicatietechnologieën in het domein van de gezondheid’, </w:t>
      </w:r>
      <w:r w:rsidRPr="00426625">
        <w:rPr>
          <w:rFonts w:ascii="Times New Roman" w:hAnsi="Times New Roman" w:cs="Times New Roman"/>
          <w:i/>
          <w:sz w:val="20"/>
          <w:szCs w:val="20"/>
        </w:rPr>
        <w:t>Inf.RIZIV</w:t>
      </w:r>
      <w:r w:rsidRPr="00426625">
        <w:rPr>
          <w:rFonts w:ascii="Times New Roman" w:hAnsi="Times New Roman" w:cs="Times New Roman"/>
          <w:sz w:val="20"/>
          <w:szCs w:val="20"/>
        </w:rPr>
        <w:t xml:space="preserve">, 2006, 4, p. 430 (noot 10). </w:t>
      </w:r>
      <w:r w:rsidRPr="00E333B6">
        <w:rPr>
          <w:rFonts w:ascii="Times New Roman" w:hAnsi="Times New Roman" w:cs="Times New Roman"/>
          <w:sz w:val="20"/>
          <w:szCs w:val="20"/>
          <w:lang w:val="fr-BE"/>
        </w:rPr>
        <w:t xml:space="preserve">Zie ook: ‘Tous les dossiers médicaux online…’, </w:t>
      </w:r>
      <w:r w:rsidRPr="00E333B6">
        <w:rPr>
          <w:rFonts w:ascii="Times New Roman" w:hAnsi="Times New Roman" w:cs="Times New Roman"/>
          <w:i/>
          <w:sz w:val="20"/>
          <w:szCs w:val="20"/>
          <w:lang w:val="fr-BE"/>
        </w:rPr>
        <w:t>La Libre Belgique</w:t>
      </w:r>
      <w:r w:rsidRPr="00E333B6">
        <w:rPr>
          <w:rFonts w:ascii="Times New Roman" w:hAnsi="Times New Roman" w:cs="Times New Roman"/>
          <w:sz w:val="20"/>
          <w:szCs w:val="20"/>
          <w:lang w:val="fr-BE"/>
        </w:rPr>
        <w:t>, 8 september 2005; CALLENS; GOOSSENS; CIERKENS; p. 347-348 (nrs. 897-899); POULLET, Y., ‘Construire un cadre juridique pour l’e-Health. A propos d’un avant-projet de loi belge en matière de télé</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matique’, HERVEG, J. (red.), </w:t>
      </w:r>
      <w:r w:rsidRPr="00E333B6">
        <w:rPr>
          <w:rFonts w:ascii="Times New Roman" w:hAnsi="Times New Roman" w:cs="Times New Roman"/>
          <w:i/>
          <w:sz w:val="20"/>
          <w:szCs w:val="20"/>
          <w:lang w:val="fr-BE"/>
        </w:rPr>
        <w:t xml:space="preserve">The protection of medical data. </w:t>
      </w:r>
      <w:r w:rsidRPr="00426625">
        <w:rPr>
          <w:rFonts w:ascii="Times New Roman" w:hAnsi="Times New Roman" w:cs="Times New Roman"/>
          <w:i/>
          <w:sz w:val="20"/>
          <w:szCs w:val="20"/>
        </w:rPr>
        <w:t>Challenges of the 21st century</w:t>
      </w:r>
      <w:r w:rsidRPr="00426625">
        <w:rPr>
          <w:rFonts w:ascii="Times New Roman" w:hAnsi="Times New Roman" w:cs="Times New Roman"/>
          <w:sz w:val="20"/>
          <w:szCs w:val="20"/>
        </w:rPr>
        <w:t>, Louvain-la-Neuve, 2008, p. 89-130.</w:t>
      </w:r>
    </w:p>
  </w:footnote>
  <w:footnote w:id="37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 van de wet van 27 december 2006 houdende diverse bepalingen I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28 december 2006); VAN GOS</w:t>
      </w:r>
      <w:r>
        <w:rPr>
          <w:rFonts w:ascii="Times New Roman" w:hAnsi="Times New Roman" w:cs="Times New Roman"/>
          <w:sz w:val="20"/>
          <w:szCs w:val="20"/>
        </w:rPr>
        <w:t>-</w:t>
      </w:r>
      <w:r w:rsidRPr="00426625">
        <w:rPr>
          <w:rFonts w:ascii="Times New Roman" w:hAnsi="Times New Roman" w:cs="Times New Roman"/>
          <w:sz w:val="20"/>
          <w:szCs w:val="20"/>
        </w:rPr>
        <w:t>SUM, ‘Het elektronisch gedeeld patiëntendossier in België: een stand van zaken’, p. 16-17 (nr. 4).</w:t>
      </w:r>
    </w:p>
  </w:footnote>
  <w:footnote w:id="37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VANDENBROUCKE, F., ‘Elektronische overdracht van medische gegevens’, </w:t>
      </w:r>
      <w:r w:rsidRPr="00426625">
        <w:rPr>
          <w:rFonts w:ascii="Times New Roman" w:hAnsi="Times New Roman" w:cs="Times New Roman"/>
          <w:i/>
          <w:sz w:val="20"/>
          <w:szCs w:val="20"/>
        </w:rPr>
        <w:t>Het medisch dossier. Verslag symposium 4 mei 2002</w:t>
      </w:r>
      <w:r w:rsidRPr="00426625">
        <w:rPr>
          <w:rFonts w:ascii="Times New Roman" w:hAnsi="Times New Roman" w:cs="Times New Roman"/>
          <w:sz w:val="20"/>
          <w:szCs w:val="20"/>
        </w:rPr>
        <w:t>, Hippocrates, 42, Gent, Orde der geneesheren – Provinciale Raad van Oost-Vlaanderen, 2002, p. 29.</w:t>
      </w:r>
    </w:p>
  </w:footnote>
  <w:footnote w:id="37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ROBBEN, F., </w:t>
      </w:r>
      <w:r w:rsidRPr="00426625">
        <w:rPr>
          <w:rFonts w:ascii="Times New Roman" w:hAnsi="Times New Roman" w:cs="Times New Roman"/>
          <w:i/>
          <w:sz w:val="20"/>
          <w:szCs w:val="20"/>
        </w:rPr>
        <w:t>Een visie op elektronische samenwerking in de gezondheidszorg, gebaseerd op de ervaring in de sociale sector, en de mogelijke rol van een BeHealth-platform</w:t>
      </w:r>
      <w:r w:rsidRPr="00426625">
        <w:rPr>
          <w:rFonts w:ascii="Times New Roman" w:hAnsi="Times New Roman" w:cs="Times New Roman"/>
          <w:sz w:val="20"/>
          <w:szCs w:val="20"/>
        </w:rPr>
        <w:t>, Brussel, 2007, slide 2.</w:t>
      </w:r>
    </w:p>
  </w:footnote>
  <w:footnote w:id="37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DECHAMPS, F., ‘Be-Health moet een volwaardige organisatie worden’, </w:t>
      </w:r>
      <w:r w:rsidRPr="00426625">
        <w:rPr>
          <w:rFonts w:ascii="Times New Roman" w:hAnsi="Times New Roman" w:cs="Times New Roman"/>
          <w:i/>
          <w:iCs/>
          <w:sz w:val="20"/>
          <w:szCs w:val="20"/>
        </w:rPr>
        <w:t>Citizen-e</w:t>
      </w:r>
      <w:r w:rsidRPr="00426625">
        <w:rPr>
          <w:rFonts w:ascii="Times New Roman" w:hAnsi="Times New Roman" w:cs="Times New Roman"/>
          <w:sz w:val="20"/>
          <w:szCs w:val="20"/>
        </w:rPr>
        <w:t>, 2007, 5, p. 5.</w:t>
      </w:r>
    </w:p>
  </w:footnote>
  <w:footnote w:id="37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Belgian Care Providers Telematic Advisory Group, kortweg G19-werkgroep, ‘Nota betreffende de toestem</w:t>
      </w:r>
      <w:r>
        <w:rPr>
          <w:rFonts w:ascii="Times New Roman" w:hAnsi="Times New Roman" w:cs="Times New Roman"/>
          <w:sz w:val="20"/>
          <w:szCs w:val="20"/>
        </w:rPr>
        <w:t>-</w:t>
      </w:r>
      <w:r w:rsidRPr="00426625">
        <w:rPr>
          <w:rFonts w:ascii="Times New Roman" w:hAnsi="Times New Roman" w:cs="Times New Roman"/>
          <w:sz w:val="20"/>
          <w:szCs w:val="20"/>
        </w:rPr>
        <w:t xml:space="preserve">ming in het hub &amp; metahubproject’, Brussel, 14 september 2010. </w:t>
      </w:r>
    </w:p>
  </w:footnote>
  <w:footnote w:id="37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Artikel 5, 4°, b van de wet van 21 augustus 2008.</w:t>
      </w:r>
    </w:p>
  </w:footnote>
  <w:footnote w:id="37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VANSWEEVELT; DEWALLENS; p. 59 (nr. 87).</w:t>
      </w:r>
    </w:p>
  </w:footnote>
  <w:footnote w:id="37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Dit voorontwerp kan geraadpleegd worden op: </w:t>
      </w:r>
      <w:hyperlink r:id="rId45" w:history="1">
        <w:r w:rsidRPr="00426625">
          <w:rPr>
            <w:rStyle w:val="Hyperlink"/>
            <w:rFonts w:ascii="Times New Roman" w:hAnsi="Times New Roman" w:cs="Times New Roman"/>
            <w:sz w:val="20"/>
            <w:szCs w:val="20"/>
          </w:rPr>
          <w:t>http://www.absym.be/behealth.html</w:t>
        </w:r>
      </w:hyperlink>
      <w:r w:rsidRPr="00426625">
        <w:rPr>
          <w:rFonts w:ascii="Times New Roman" w:hAnsi="Times New Roman" w:cs="Times New Roman"/>
          <w:sz w:val="20"/>
          <w:szCs w:val="20"/>
        </w:rPr>
        <w:t xml:space="preserve"> en </w:t>
      </w:r>
      <w:hyperlink r:id="rId46" w:history="1">
        <w:r w:rsidRPr="00EA26DD">
          <w:rPr>
            <w:rStyle w:val="Hyperlink"/>
            <w:rFonts w:ascii="Times New Roman" w:hAnsi="Times New Roman" w:cs="Times New Roman"/>
            <w:sz w:val="20"/>
            <w:szCs w:val="20"/>
          </w:rPr>
          <w:t>http://www.svh.be/ behealth.htm</w:t>
        </w:r>
      </w:hyperlink>
      <w:r>
        <w:rPr>
          <w:rFonts w:ascii="Times New Roman" w:hAnsi="Times New Roman" w:cs="Times New Roman"/>
          <w:sz w:val="20"/>
          <w:szCs w:val="20"/>
        </w:rPr>
        <w:t xml:space="preserve">. Zie ook: Koninklijke Academie voor Geneeskunde van België, ‘Advies nopens het wetsvoorstel rond ‘Be-Health’ of het ‘Wetsontwerp betreffende de verwerking en de informatisering van de gezondheidsgege-vens alsook de toepassingen voor telegeneeskunde’, </w:t>
      </w:r>
      <w:r>
        <w:rPr>
          <w:rFonts w:ascii="Times New Roman" w:hAnsi="Times New Roman" w:cs="Times New Roman"/>
          <w:i/>
          <w:sz w:val="20"/>
          <w:szCs w:val="20"/>
        </w:rPr>
        <w:t>T.G.</w:t>
      </w:r>
      <w:r>
        <w:rPr>
          <w:rFonts w:ascii="Times New Roman" w:hAnsi="Times New Roman" w:cs="Times New Roman"/>
          <w:sz w:val="20"/>
          <w:szCs w:val="20"/>
        </w:rPr>
        <w:t>, 63/7 (2007), p. 289-291.</w:t>
      </w:r>
    </w:p>
  </w:footnote>
  <w:footnote w:id="38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‘Artsen waarschuwen voor Big Brother. BeHealth-databank is een gevaar voor privacy van patiënten’,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8 september 2005; ‘BeHealthproject’, </w:t>
      </w:r>
      <w:r w:rsidRPr="00426625">
        <w:rPr>
          <w:rFonts w:ascii="Times New Roman" w:hAnsi="Times New Roman" w:cs="Times New Roman"/>
          <w:i/>
          <w:sz w:val="20"/>
          <w:szCs w:val="20"/>
        </w:rPr>
        <w:t>T.N.R.</w:t>
      </w:r>
      <w:r w:rsidRPr="00426625">
        <w:rPr>
          <w:rFonts w:ascii="Times New Roman" w:hAnsi="Times New Roman" w:cs="Times New Roman"/>
          <w:sz w:val="20"/>
          <w:szCs w:val="20"/>
        </w:rPr>
        <w:t>, 111 (2005), p. 5; ‘Wetsontwerp houdende diverse be</w:t>
      </w:r>
      <w:r>
        <w:rPr>
          <w:rFonts w:ascii="Times New Roman" w:hAnsi="Times New Roman" w:cs="Times New Roman"/>
          <w:sz w:val="20"/>
          <w:szCs w:val="20"/>
        </w:rPr>
        <w:t>-</w:t>
      </w:r>
      <w:r w:rsidRPr="00426625">
        <w:rPr>
          <w:rFonts w:ascii="Times New Roman" w:hAnsi="Times New Roman" w:cs="Times New Roman"/>
          <w:sz w:val="20"/>
          <w:szCs w:val="20"/>
        </w:rPr>
        <w:t xml:space="preserve">palingen betreffende de gezondheid’, </w:t>
      </w:r>
      <w:r w:rsidRPr="00426625">
        <w:rPr>
          <w:rFonts w:ascii="Times New Roman" w:hAnsi="Times New Roman" w:cs="Times New Roman"/>
          <w:i/>
          <w:sz w:val="20"/>
          <w:szCs w:val="20"/>
        </w:rPr>
        <w:t>T.N.R.</w:t>
      </w:r>
      <w:r w:rsidRPr="00426625">
        <w:rPr>
          <w:rFonts w:ascii="Times New Roman" w:hAnsi="Times New Roman" w:cs="Times New Roman"/>
          <w:sz w:val="20"/>
          <w:szCs w:val="20"/>
        </w:rPr>
        <w:t>, 114 (2006), p. 5. Het Vlaams Agentschap Zorg &amp; Gezondheid juichte het initiatief daarentegen toe: advies van 27 januari 2007 nopens het wetsvoorstel rond ‘Be-Health’ of het ‘Wetsontwerp betreffende de verwerking en de informatisering van de gezondheidsgegevens alsook de toepas</w:t>
      </w:r>
      <w:r>
        <w:rPr>
          <w:rFonts w:ascii="Times New Roman" w:hAnsi="Times New Roman" w:cs="Times New Roman"/>
          <w:sz w:val="20"/>
          <w:szCs w:val="20"/>
        </w:rPr>
        <w:t>-</w:t>
      </w:r>
      <w:r w:rsidRPr="00426625">
        <w:rPr>
          <w:rFonts w:ascii="Times New Roman" w:hAnsi="Times New Roman" w:cs="Times New Roman"/>
          <w:sz w:val="20"/>
          <w:szCs w:val="20"/>
        </w:rPr>
        <w:t>singen voor telegeneeskunde’ (</w:t>
      </w:r>
      <w:hyperlink r:id="rId47" w:history="1">
        <w:r w:rsidRPr="00EA26DD">
          <w:rPr>
            <w:rStyle w:val="Hyperlink"/>
            <w:rFonts w:ascii="Times New Roman" w:hAnsi="Times New Roman" w:cs="Times New Roman"/>
            <w:sz w:val="20"/>
            <w:szCs w:val="20"/>
          </w:rPr>
          <w:t>http://www.zorg-en-gezondheid.be/Over-ons/KAGB/Adviezen/Advies,-27-januari-2007,-Be-Health/</w:t>
        </w:r>
      </w:hyperlink>
      <w:r w:rsidRPr="00426625">
        <w:rPr>
          <w:rFonts w:ascii="Times New Roman" w:hAnsi="Times New Roman" w:cs="Times New Roman"/>
          <w:sz w:val="20"/>
          <w:szCs w:val="20"/>
        </w:rPr>
        <w:t>).</w:t>
      </w:r>
    </w:p>
  </w:footnote>
  <w:footnote w:id="38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31</w:t>
      </w:r>
      <w:r w:rsidRPr="00426625">
        <w:rPr>
          <w:rFonts w:ascii="Times New Roman" w:hAnsi="Times New Roman" w:cs="Times New Roman"/>
          <w:i/>
          <w:sz w:val="20"/>
          <w:szCs w:val="20"/>
        </w:rPr>
        <w:t>bis</w:t>
      </w:r>
      <w:r w:rsidRPr="00426625">
        <w:rPr>
          <w:rFonts w:ascii="Times New Roman" w:hAnsi="Times New Roman" w:cs="Times New Roman"/>
          <w:sz w:val="20"/>
          <w:szCs w:val="20"/>
        </w:rPr>
        <w:t xml:space="preserve"> Privacywet, ingevoegd door art. 6 van de wet van 26 februari 2003 tot wijziging van de wet van 8 december 1992 tot bescherming van de persoonlijke levenssfeer ten opzichte van de verwerking van persoons</w:t>
      </w:r>
      <w:r>
        <w:rPr>
          <w:rFonts w:ascii="Times New Roman" w:hAnsi="Times New Roman" w:cs="Times New Roman"/>
          <w:sz w:val="20"/>
          <w:szCs w:val="20"/>
        </w:rPr>
        <w:t>-</w:t>
      </w:r>
      <w:r w:rsidRPr="00426625">
        <w:rPr>
          <w:rFonts w:ascii="Times New Roman" w:hAnsi="Times New Roman" w:cs="Times New Roman"/>
          <w:sz w:val="20"/>
          <w:szCs w:val="20"/>
        </w:rPr>
        <w:t>gegevens en van de wet van 15 januari 1990 houdende oprichting en organisatie van een Kruispuntbank van de Commissie voor de bescherming van de persoonlijke levenssfeer en tot uitbreiding van haar bevoegdheden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16 juni 2003); KB van 17 december 2003 tot vaststelling van de nadere regels met betrekking tot de samenstel</w:t>
      </w:r>
      <w:r>
        <w:rPr>
          <w:rFonts w:ascii="Times New Roman" w:hAnsi="Times New Roman" w:cs="Times New Roman"/>
          <w:sz w:val="20"/>
          <w:szCs w:val="20"/>
        </w:rPr>
        <w:t>-</w:t>
      </w:r>
      <w:r w:rsidRPr="00426625">
        <w:rPr>
          <w:rFonts w:ascii="Times New Roman" w:hAnsi="Times New Roman" w:cs="Times New Roman"/>
          <w:sz w:val="20"/>
          <w:szCs w:val="20"/>
        </w:rPr>
        <w:t>ling en de werking van bepaalde sectorale comités opgericht binnen de Commissie voor de bescherming van de persoonlijke levenssfeer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december 2003); DE BOT, D., ‘De Commissie voor de Bescherming van de Per</w:t>
      </w:r>
      <w:r>
        <w:rPr>
          <w:rFonts w:ascii="Times New Roman" w:hAnsi="Times New Roman" w:cs="Times New Roman"/>
          <w:sz w:val="20"/>
          <w:szCs w:val="20"/>
        </w:rPr>
        <w:t>-</w:t>
      </w:r>
      <w:r w:rsidRPr="00426625">
        <w:rPr>
          <w:rFonts w:ascii="Times New Roman" w:hAnsi="Times New Roman" w:cs="Times New Roman"/>
          <w:sz w:val="20"/>
          <w:szCs w:val="20"/>
        </w:rPr>
        <w:t>soonlijke Levenssfeer: ‘Tussen droom en daad staan er niet alleen wetten in de weg, maar vooral praktische pro</w:t>
      </w:r>
      <w:r>
        <w:rPr>
          <w:rFonts w:ascii="Times New Roman" w:hAnsi="Times New Roman" w:cs="Times New Roman"/>
          <w:sz w:val="20"/>
          <w:szCs w:val="20"/>
        </w:rPr>
        <w:t>-</w:t>
      </w:r>
      <w:r w:rsidRPr="00426625">
        <w:rPr>
          <w:rFonts w:ascii="Times New Roman" w:hAnsi="Times New Roman" w:cs="Times New Roman"/>
          <w:sz w:val="20"/>
          <w:szCs w:val="20"/>
        </w:rPr>
        <w:t xml:space="preserve">blemen’’, </w:t>
      </w:r>
      <w:r w:rsidRPr="00426625">
        <w:rPr>
          <w:rFonts w:ascii="Times New Roman" w:hAnsi="Times New Roman" w:cs="Times New Roman"/>
          <w:i/>
          <w:sz w:val="20"/>
          <w:szCs w:val="20"/>
        </w:rPr>
        <w:t>T.B.B.R.</w:t>
      </w:r>
      <w:r w:rsidRPr="00426625">
        <w:rPr>
          <w:rFonts w:ascii="Times New Roman" w:hAnsi="Times New Roman" w:cs="Times New Roman"/>
          <w:sz w:val="20"/>
          <w:szCs w:val="20"/>
        </w:rPr>
        <w:t>, 2003, 6, p. 384-402.</w:t>
      </w:r>
    </w:p>
  </w:footnote>
  <w:footnote w:id="38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15 van de wet van 8 augustus 1983 tot regeling van een Rijksregister van de natuurlijke personen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21 april 1984), ingevoegd door art. 12 van de wet van 25 maart 2003 tot wijziging van de wet van 8 augustus 1983 tot regeling van een Rijksregister van de natuurlijke personen en van de wet van 19 juli 1991 betreffende de be</w:t>
      </w:r>
      <w:r>
        <w:rPr>
          <w:rFonts w:ascii="Times New Roman" w:hAnsi="Times New Roman" w:cs="Times New Roman"/>
          <w:sz w:val="20"/>
          <w:szCs w:val="20"/>
        </w:rPr>
        <w:t>-</w:t>
      </w:r>
      <w:r w:rsidRPr="00426625">
        <w:rPr>
          <w:rFonts w:ascii="Times New Roman" w:hAnsi="Times New Roman" w:cs="Times New Roman"/>
          <w:sz w:val="20"/>
          <w:szCs w:val="20"/>
        </w:rPr>
        <w:t>volkingsregisters en de identiteitskaarten en tot wijziging van de wet van 8 augustus 1983 tot regeling van een Rijksregister van de natuurlijke personen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28 maart 2003); huishoudelijk reglement van 20 juni 2007 van het Sectoraal Comité van het Rijksregister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20 juli 2007).</w:t>
      </w:r>
    </w:p>
  </w:footnote>
  <w:footnote w:id="38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Het sectoraal comité van de sociale zekerheid werd opgericht door art. 37 van de wet van 15 januari 1990 houdende oprichting en organisatie van een Kruispuntbank van de sociale zekerheid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22 februari 1990), aan</w:t>
      </w:r>
      <w:r>
        <w:rPr>
          <w:rFonts w:ascii="Times New Roman" w:hAnsi="Times New Roman" w:cs="Times New Roman"/>
          <w:sz w:val="20"/>
          <w:szCs w:val="20"/>
        </w:rPr>
        <w:t>-</w:t>
      </w:r>
      <w:r w:rsidRPr="00426625">
        <w:rPr>
          <w:rFonts w:ascii="Times New Roman" w:hAnsi="Times New Roman" w:cs="Times New Roman"/>
          <w:sz w:val="20"/>
          <w:szCs w:val="20"/>
        </w:rPr>
        <w:t>gevuld door art. 42 van de wet van 13 december 2006 houdende diverse bepalingen betreffende gezondheid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22 december 2006) en gewijzigd door art. 68 tot art. 72 van de wet van 1 maart 2007 houdende diverse bepa</w:t>
      </w:r>
      <w:r>
        <w:rPr>
          <w:rFonts w:ascii="Times New Roman" w:hAnsi="Times New Roman" w:cs="Times New Roman"/>
          <w:sz w:val="20"/>
          <w:szCs w:val="20"/>
        </w:rPr>
        <w:t>-</w:t>
      </w:r>
      <w:r w:rsidRPr="00426625">
        <w:rPr>
          <w:rFonts w:ascii="Times New Roman" w:hAnsi="Times New Roman" w:cs="Times New Roman"/>
          <w:sz w:val="20"/>
          <w:szCs w:val="20"/>
        </w:rPr>
        <w:t>lingen III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14 maart 2007).</w:t>
      </w:r>
    </w:p>
  </w:footnote>
  <w:footnote w:id="38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36</w:t>
      </w:r>
      <w:r w:rsidRPr="00426625">
        <w:rPr>
          <w:rFonts w:ascii="Times New Roman" w:hAnsi="Times New Roman" w:cs="Times New Roman"/>
          <w:i/>
          <w:sz w:val="20"/>
          <w:szCs w:val="20"/>
        </w:rPr>
        <w:t xml:space="preserve">bis </w:t>
      </w:r>
      <w:r w:rsidRPr="00426625">
        <w:rPr>
          <w:rFonts w:ascii="Times New Roman" w:hAnsi="Times New Roman" w:cs="Times New Roman"/>
          <w:sz w:val="20"/>
          <w:szCs w:val="20"/>
        </w:rPr>
        <w:t>van de</w:t>
      </w:r>
      <w:r w:rsidRPr="00426625">
        <w:rPr>
          <w:rFonts w:ascii="Times New Roman" w:hAnsi="Times New Roman" w:cs="Times New Roman"/>
          <w:i/>
          <w:sz w:val="20"/>
          <w:szCs w:val="20"/>
        </w:rPr>
        <w:t xml:space="preserve"> </w:t>
      </w:r>
      <w:r w:rsidRPr="00426625">
        <w:rPr>
          <w:rFonts w:ascii="Times New Roman" w:hAnsi="Times New Roman" w:cs="Times New Roman"/>
          <w:sz w:val="20"/>
          <w:szCs w:val="20"/>
        </w:rPr>
        <w:t>Privacywet, ingevoegd door art. 10 van de wet van 26 februari 2003 tot wijziging van de wet van 8 december 1992 tot bescherming van de persoonlijke levenssfeer ten opzichte van de verwerking van persoonsgegevens en van de wet van 15 januari 1990 houdende oprichting en organisatie van een Kruispuntbank van de Commissie voor de bescherming van de persoonlijke levenssfeer en tot uitbreiding van haar bevoegdhe</w:t>
      </w:r>
      <w:r>
        <w:rPr>
          <w:rFonts w:ascii="Times New Roman" w:hAnsi="Times New Roman" w:cs="Times New Roman"/>
          <w:sz w:val="20"/>
          <w:szCs w:val="20"/>
        </w:rPr>
        <w:t>-</w:t>
      </w:r>
      <w:r w:rsidRPr="00426625">
        <w:rPr>
          <w:rFonts w:ascii="Times New Roman" w:hAnsi="Times New Roman" w:cs="Times New Roman"/>
          <w:sz w:val="20"/>
          <w:szCs w:val="20"/>
        </w:rPr>
        <w:t>den (</w:t>
      </w:r>
      <w:r w:rsidRPr="00426625">
        <w:rPr>
          <w:rFonts w:ascii="Times New Roman" w:hAnsi="Times New Roman" w:cs="Times New Roman"/>
          <w:i/>
          <w:sz w:val="20"/>
          <w:szCs w:val="20"/>
        </w:rPr>
        <w:t xml:space="preserve">BS </w:t>
      </w:r>
      <w:r w:rsidRPr="00426625">
        <w:rPr>
          <w:rFonts w:ascii="Times New Roman" w:hAnsi="Times New Roman" w:cs="Times New Roman"/>
          <w:sz w:val="20"/>
          <w:szCs w:val="20"/>
        </w:rPr>
        <w:t>26 juni 2003); huishoudelijk reglement van 14 februari 2008 van het Sectoraal Comité voor de Federale Overheid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15 april 2008).</w:t>
      </w:r>
    </w:p>
  </w:footnote>
  <w:footnote w:id="38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27 van de wet van 16 januari 2003 tot oprichting van een Kruispuntbank van Ondernemingen, tot moder</w:t>
      </w:r>
      <w:r>
        <w:rPr>
          <w:rFonts w:ascii="Times New Roman" w:hAnsi="Times New Roman" w:cs="Times New Roman"/>
          <w:sz w:val="20"/>
          <w:szCs w:val="20"/>
        </w:rPr>
        <w:t>-</w:t>
      </w:r>
      <w:r w:rsidRPr="00426625">
        <w:rPr>
          <w:rFonts w:ascii="Times New Roman" w:hAnsi="Times New Roman" w:cs="Times New Roman"/>
          <w:sz w:val="20"/>
          <w:szCs w:val="20"/>
        </w:rPr>
        <w:t>nisering van het handelsregister, tot oprichting van erkende ondernemingsloketten en houdende diverse bepaling</w:t>
      </w:r>
      <w:r>
        <w:rPr>
          <w:rFonts w:ascii="Times New Roman" w:hAnsi="Times New Roman" w:cs="Times New Roman"/>
          <w:sz w:val="20"/>
          <w:szCs w:val="20"/>
        </w:rPr>
        <w:t>-</w:t>
      </w:r>
      <w:r w:rsidRPr="00426625">
        <w:rPr>
          <w:rFonts w:ascii="Times New Roman" w:hAnsi="Times New Roman" w:cs="Times New Roman"/>
          <w:sz w:val="20"/>
          <w:szCs w:val="20"/>
        </w:rPr>
        <w:t>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5 februari 2003); huishoudelijk reglement van 11 juni 2008 van het Sectoraal Comité van de Kruispunt</w:t>
      </w:r>
      <w:r>
        <w:rPr>
          <w:rFonts w:ascii="Times New Roman" w:hAnsi="Times New Roman" w:cs="Times New Roman"/>
          <w:sz w:val="20"/>
          <w:szCs w:val="20"/>
        </w:rPr>
        <w:t>-</w:t>
      </w:r>
      <w:r w:rsidRPr="00426625">
        <w:rPr>
          <w:rFonts w:ascii="Times New Roman" w:hAnsi="Times New Roman" w:cs="Times New Roman"/>
          <w:sz w:val="20"/>
          <w:szCs w:val="20"/>
        </w:rPr>
        <w:t>bank van Ondernemingen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oktober 2008).</w:t>
      </w:r>
    </w:p>
  </w:footnote>
  <w:footnote w:id="38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22 van de wet van 10 augustus 2005 tot oprichting van het informatiesysteem Phenix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 september 2005).</w:t>
      </w:r>
    </w:p>
  </w:footnote>
  <w:footnote w:id="38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33 tot art. 36 van de wet van 22 maart 2006 tot wijziging van de wet van 4 juli 1962 betreffende de open</w:t>
      </w:r>
      <w:r>
        <w:rPr>
          <w:rFonts w:ascii="Times New Roman" w:hAnsi="Times New Roman" w:cs="Times New Roman"/>
          <w:sz w:val="20"/>
          <w:szCs w:val="20"/>
        </w:rPr>
        <w:t>-</w:t>
      </w:r>
      <w:r w:rsidRPr="00426625">
        <w:rPr>
          <w:rFonts w:ascii="Times New Roman" w:hAnsi="Times New Roman" w:cs="Times New Roman"/>
          <w:sz w:val="20"/>
          <w:szCs w:val="20"/>
        </w:rPr>
        <w:t>bare statistiek en van de wet van 8 augustus 1983 tot regeling van een Rijksregister van de natuurlijke personen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21 april 2006). Zie ook: </w:t>
      </w:r>
      <w:hyperlink r:id="rId48" w:history="1">
        <w:r w:rsidRPr="00426625">
          <w:rPr>
            <w:rStyle w:val="Hyperlink"/>
            <w:rFonts w:ascii="Times New Roman" w:hAnsi="Times New Roman" w:cs="Times New Roman"/>
            <w:sz w:val="20"/>
            <w:szCs w:val="20"/>
          </w:rPr>
          <w:t>http://www.privacycommission.be/nl/sectoral_committees/</w:t>
        </w:r>
      </w:hyperlink>
      <w:r w:rsidRPr="00426625">
        <w:rPr>
          <w:rFonts w:ascii="Times New Roman" w:hAnsi="Times New Roman" w:cs="Times New Roman"/>
          <w:sz w:val="20"/>
          <w:szCs w:val="20"/>
        </w:rPr>
        <w:t>.</w:t>
      </w:r>
    </w:p>
  </w:footnote>
  <w:footnote w:id="38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hyperlink r:id="rId49" w:history="1">
        <w:r w:rsidRPr="00426625">
          <w:rPr>
            <w:rStyle w:val="Hyperlink"/>
            <w:rFonts w:ascii="Times New Roman" w:hAnsi="Times New Roman" w:cs="Times New Roman"/>
            <w:sz w:val="20"/>
            <w:szCs w:val="20"/>
          </w:rPr>
          <w:t>http://elections2007.belgium.be/nl/index.html</w:t>
        </w:r>
      </w:hyperlink>
      <w:r w:rsidRPr="00426625">
        <w:rPr>
          <w:rFonts w:ascii="Times New Roman" w:hAnsi="Times New Roman" w:cs="Times New Roman"/>
          <w:sz w:val="20"/>
          <w:szCs w:val="20"/>
        </w:rPr>
        <w:t>.</w:t>
      </w:r>
    </w:p>
  </w:footnote>
  <w:footnote w:id="38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iCs/>
          <w:sz w:val="20"/>
          <w:szCs w:val="20"/>
        </w:rPr>
        <w:t>Parl.St.</w:t>
      </w:r>
      <w:r w:rsidRPr="00426625">
        <w:rPr>
          <w:rFonts w:ascii="Times New Roman" w:hAnsi="Times New Roman" w:cs="Times New Roman"/>
          <w:sz w:val="20"/>
          <w:szCs w:val="20"/>
        </w:rPr>
        <w:t xml:space="preserve"> Kamer, 2007-2008, nr. 52-1257/003; </w:t>
      </w:r>
      <w:r w:rsidRPr="00426625">
        <w:rPr>
          <w:rFonts w:ascii="Times New Roman" w:hAnsi="Times New Roman" w:cs="Times New Roman"/>
          <w:i/>
          <w:sz w:val="20"/>
          <w:szCs w:val="20"/>
        </w:rPr>
        <w:t>Parl. St.</w:t>
      </w:r>
      <w:r w:rsidRPr="00426625">
        <w:rPr>
          <w:rFonts w:ascii="Times New Roman" w:hAnsi="Times New Roman" w:cs="Times New Roman"/>
          <w:sz w:val="20"/>
          <w:szCs w:val="20"/>
        </w:rPr>
        <w:t xml:space="preserve"> Kamer, 2007-2008, nr. 52-1257/006; </w:t>
      </w:r>
      <w:r w:rsidRPr="00426625">
        <w:rPr>
          <w:rFonts w:ascii="Times New Roman" w:hAnsi="Times New Roman" w:cs="Times New Roman"/>
          <w:i/>
          <w:sz w:val="20"/>
          <w:szCs w:val="20"/>
        </w:rPr>
        <w:t>Parl.</w:t>
      </w:r>
      <w:r w:rsidRPr="00426625">
        <w:rPr>
          <w:rFonts w:ascii="Times New Roman" w:hAnsi="Times New Roman" w:cs="Times New Roman"/>
          <w:sz w:val="20"/>
          <w:szCs w:val="20"/>
        </w:rPr>
        <w:t xml:space="preserve"> </w:t>
      </w:r>
      <w:r w:rsidRPr="00426625">
        <w:rPr>
          <w:rFonts w:ascii="Times New Roman" w:hAnsi="Times New Roman" w:cs="Times New Roman"/>
          <w:i/>
          <w:sz w:val="20"/>
          <w:szCs w:val="20"/>
        </w:rPr>
        <w:t xml:space="preserve">St. </w:t>
      </w:r>
      <w:r>
        <w:rPr>
          <w:rFonts w:ascii="Times New Roman" w:hAnsi="Times New Roman" w:cs="Times New Roman"/>
          <w:sz w:val="20"/>
          <w:szCs w:val="20"/>
        </w:rPr>
        <w:t>Senaat, 2007-2008, nr. 4-863/3. Zie ook: Advies nr. 14/2008 van 2 april 2008 van de CBPL op verzoek van de Minister van Sociale Zaken en Volksgezondheid en de Minister van Ambtenarenzaken en Overheidsbedrijven met betrek-king tot een ontwerp van wet houdende oprichting en organisatie van het eHealth-platform;</w:t>
      </w:r>
      <w:r w:rsidRPr="00426625">
        <w:rPr>
          <w:rFonts w:ascii="Times New Roman" w:hAnsi="Times New Roman" w:cs="Times New Roman"/>
          <w:sz w:val="20"/>
          <w:szCs w:val="20"/>
        </w:rPr>
        <w:t xml:space="preserve"> ‘La majorité corrige le projet e-Health’, </w:t>
      </w:r>
      <w:r w:rsidRPr="00426625">
        <w:rPr>
          <w:rFonts w:ascii="Times New Roman" w:hAnsi="Times New Roman" w:cs="Times New Roman"/>
          <w:i/>
          <w:sz w:val="20"/>
          <w:szCs w:val="20"/>
        </w:rPr>
        <w:t>La Libre Belgique</w:t>
      </w:r>
      <w:r w:rsidRPr="00426625">
        <w:rPr>
          <w:rFonts w:ascii="Times New Roman" w:hAnsi="Times New Roman" w:cs="Times New Roman"/>
          <w:sz w:val="20"/>
          <w:szCs w:val="20"/>
        </w:rPr>
        <w:t xml:space="preserve">, 2 juli 2008; ‘Kamer bespreekt en stemt later over e-Health-platform’,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10 juli 2008; ‘Kamer stemt over eHealth, artsen blijven morren’,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10 juli 2008; ‘Op</w:t>
      </w:r>
      <w:r>
        <w:rPr>
          <w:rFonts w:ascii="Times New Roman" w:hAnsi="Times New Roman" w:cs="Times New Roman"/>
          <w:sz w:val="20"/>
          <w:szCs w:val="20"/>
        </w:rPr>
        <w:t>-</w:t>
      </w:r>
      <w:r w:rsidRPr="00426625">
        <w:rPr>
          <w:rFonts w:ascii="Times New Roman" w:hAnsi="Times New Roman" w:cs="Times New Roman"/>
          <w:sz w:val="20"/>
          <w:szCs w:val="20"/>
        </w:rPr>
        <w:t xml:space="preserve">richting en organisatie van het e-Health-platform’, </w:t>
      </w:r>
      <w:r w:rsidRPr="00426625">
        <w:rPr>
          <w:rFonts w:ascii="Times New Roman" w:hAnsi="Times New Roman" w:cs="Times New Roman"/>
          <w:i/>
          <w:sz w:val="20"/>
          <w:szCs w:val="20"/>
        </w:rPr>
        <w:t>T.N.R.</w:t>
      </w:r>
      <w:r w:rsidRPr="00426625">
        <w:rPr>
          <w:rFonts w:ascii="Times New Roman" w:hAnsi="Times New Roman" w:cs="Times New Roman"/>
          <w:sz w:val="20"/>
          <w:szCs w:val="20"/>
        </w:rPr>
        <w:t xml:space="preserve">, 121 (2008), p. 4; ‘Senaat werkt vrijdag zware agenda af’,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17 juli 2008.</w:t>
      </w:r>
    </w:p>
  </w:footnote>
  <w:footnote w:id="39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‘Onkelinx haalt eHealth uit programmawet’, </w:t>
      </w:r>
      <w:r w:rsidRPr="00426625">
        <w:rPr>
          <w:rFonts w:ascii="Times New Roman" w:hAnsi="Times New Roman"/>
          <w:i/>
        </w:rPr>
        <w:t>Datanews Knack</w:t>
      </w:r>
      <w:r w:rsidRPr="00426625">
        <w:rPr>
          <w:rFonts w:ascii="Times New Roman" w:hAnsi="Times New Roman"/>
        </w:rPr>
        <w:t xml:space="preserve">, 12 juni 2008; ‘E-Health en E-care voorlopig afgevoerd’, </w:t>
      </w:r>
      <w:r w:rsidRPr="00426625">
        <w:rPr>
          <w:rFonts w:ascii="Times New Roman" w:hAnsi="Times New Roman"/>
          <w:i/>
        </w:rPr>
        <w:t>De Standaard</w:t>
      </w:r>
      <w:r w:rsidRPr="00426625">
        <w:rPr>
          <w:rFonts w:ascii="Times New Roman" w:hAnsi="Times New Roman"/>
        </w:rPr>
        <w:t>, 12 juni 2008.</w:t>
      </w:r>
    </w:p>
  </w:footnote>
  <w:footnote w:id="39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In de zin van het KB van 3 april 1997 houdende maatregelen met het oog op de responsabilisering van de openbare instellingen van sociale zekerheid, met toepassing van artikel 47 van de wet van 26 juli 1996 tot mo</w:t>
      </w:r>
      <w:r>
        <w:rPr>
          <w:rFonts w:ascii="Times New Roman" w:hAnsi="Times New Roman" w:cs="Times New Roman"/>
          <w:sz w:val="20"/>
          <w:szCs w:val="20"/>
        </w:rPr>
        <w:t>-</w:t>
      </w:r>
      <w:r w:rsidRPr="00426625">
        <w:rPr>
          <w:rFonts w:ascii="Times New Roman" w:hAnsi="Times New Roman" w:cs="Times New Roman"/>
          <w:sz w:val="20"/>
          <w:szCs w:val="20"/>
        </w:rPr>
        <w:t>dernisering van de sociale zekerheid en tot vrijwaring van de leefbaarheid van de wettelijke pensioenstelsels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april 1997). Art. 2 § 1 en § 2 van de wet van 21 augustus 2008. </w:t>
      </w:r>
    </w:p>
    <w:p w:rsidR="00E82D16" w:rsidRPr="00E333B6" w:rsidRDefault="00E82D16" w:rsidP="00426625">
      <w:pPr>
        <w:pStyle w:val="Geenafstand"/>
        <w:jc w:val="both"/>
        <w:rPr>
          <w:rFonts w:ascii="Times New Roman" w:hAnsi="Times New Roman" w:cs="Times New Roman"/>
          <w:sz w:val="20"/>
          <w:szCs w:val="20"/>
          <w:lang w:val="fr-BE"/>
        </w:rPr>
      </w:pPr>
      <w:r w:rsidRPr="00426625">
        <w:rPr>
          <w:rFonts w:ascii="Times New Roman" w:hAnsi="Times New Roman" w:cs="Times New Roman"/>
          <w:sz w:val="20"/>
          <w:szCs w:val="20"/>
        </w:rPr>
        <w:t xml:space="preserve">Iedere overheidsinstelling moet over een selectielijst beschikken. Sinds kort is dat ook het geval voor het eHealth-platform. </w:t>
      </w:r>
      <w:r w:rsidRPr="00E333B6">
        <w:rPr>
          <w:rFonts w:ascii="Times New Roman" w:hAnsi="Times New Roman" w:cs="Times New Roman"/>
          <w:sz w:val="20"/>
          <w:szCs w:val="20"/>
          <w:lang w:val="fr-BE"/>
        </w:rPr>
        <w:t xml:space="preserve">VIOLA, M.F., </w:t>
      </w:r>
      <w:r w:rsidRPr="00E333B6">
        <w:rPr>
          <w:rFonts w:ascii="Times New Roman" w:hAnsi="Times New Roman" w:cs="Times New Roman"/>
          <w:i/>
          <w:sz w:val="20"/>
          <w:szCs w:val="20"/>
          <w:lang w:val="fr-BE"/>
        </w:rPr>
        <w:t>Plate-forme eHealth. Dossier d’étude et de préparation du tableau de tri pour les archives</w:t>
      </w:r>
      <w:r w:rsidRPr="00E333B6">
        <w:rPr>
          <w:rFonts w:ascii="Times New Roman" w:hAnsi="Times New Roman" w:cs="Times New Roman"/>
          <w:sz w:val="20"/>
          <w:szCs w:val="20"/>
          <w:lang w:val="fr-BE"/>
        </w:rPr>
        <w:t xml:space="preserve">, Brussel, Algemeen Rijksarchief, 2012, 23p.; ID., </w:t>
      </w:r>
      <w:r w:rsidRPr="00E333B6">
        <w:rPr>
          <w:rFonts w:ascii="Times New Roman" w:hAnsi="Times New Roman" w:cs="Times New Roman"/>
          <w:i/>
          <w:sz w:val="20"/>
          <w:szCs w:val="20"/>
          <w:lang w:val="fr-BE"/>
        </w:rPr>
        <w:t>Plate-forme eHealth. Tableau de tri pour les ar</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chives</w:t>
      </w:r>
      <w:r w:rsidRPr="00E333B6">
        <w:rPr>
          <w:rFonts w:ascii="Times New Roman" w:hAnsi="Times New Roman" w:cs="Times New Roman"/>
          <w:sz w:val="20"/>
          <w:szCs w:val="20"/>
          <w:lang w:val="fr-BE"/>
        </w:rPr>
        <w:t>, Brussel, Algemeen Rijksarchief, 2012, 33p.</w:t>
      </w:r>
    </w:p>
  </w:footnote>
  <w:footnote w:id="39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Wet van 21 augustus 2008 houdende oprichting en organisatie van het eHealth-platform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13 oktober 2008); ‘Be-health-platform wordt e-health-platform’,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11/3 (2008), p. 156-157 (nr. 189); ‘Eén artsenbond niet tegen E-Health’,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10 augustus 2008; ‘eHealth-platform. Projecten op kruissnelheid’, </w:t>
      </w:r>
      <w:r w:rsidRPr="00426625">
        <w:rPr>
          <w:rFonts w:ascii="Times New Roman" w:hAnsi="Times New Roman" w:cs="Times New Roman"/>
          <w:i/>
          <w:sz w:val="20"/>
          <w:szCs w:val="20"/>
        </w:rPr>
        <w:t>Citizen-e</w:t>
      </w:r>
      <w:r w:rsidRPr="00426625">
        <w:rPr>
          <w:rFonts w:ascii="Times New Roman" w:hAnsi="Times New Roman" w:cs="Times New Roman"/>
          <w:sz w:val="20"/>
          <w:szCs w:val="20"/>
        </w:rPr>
        <w:t xml:space="preserve">, 2010, 1, p. 13-14; ‘Het eHealth-platform opgericht’,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11/5 (2008), p. 259-260 (nr. 270); ANKAERT, E., ‘Een informatie-uitwisselingsplatform op het vlak van gezondheidszorg’, </w:t>
      </w:r>
      <w:r w:rsidRPr="00426625">
        <w:rPr>
          <w:rFonts w:ascii="Times New Roman" w:hAnsi="Times New Roman" w:cs="Times New Roman"/>
          <w:i/>
          <w:sz w:val="20"/>
          <w:szCs w:val="20"/>
        </w:rPr>
        <w:t>T.v.W.</w:t>
      </w:r>
      <w:r w:rsidRPr="00426625">
        <w:rPr>
          <w:rFonts w:ascii="Times New Roman" w:hAnsi="Times New Roman" w:cs="Times New Roman"/>
          <w:sz w:val="20"/>
          <w:szCs w:val="20"/>
        </w:rPr>
        <w:t>, 2009, 1, p. 62-64; CALLENS; GOOSSENS; CIERKENS; p. 348-349 (nrs. 900-901); MOENS, M., ‘Wordt het E-Health platform een grabbel</w:t>
      </w:r>
      <w:r>
        <w:rPr>
          <w:rFonts w:ascii="Times New Roman" w:hAnsi="Times New Roman" w:cs="Times New Roman"/>
          <w:sz w:val="20"/>
          <w:szCs w:val="20"/>
        </w:rPr>
        <w:t>-</w:t>
      </w:r>
      <w:r w:rsidRPr="00426625">
        <w:rPr>
          <w:rFonts w:ascii="Times New Roman" w:hAnsi="Times New Roman" w:cs="Times New Roman"/>
          <w:sz w:val="20"/>
          <w:szCs w:val="20"/>
        </w:rPr>
        <w:t xml:space="preserve">ton voor politici’,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11 augustus 2008; MOEREMANS, H., ‘De snelwegen van E-health’, </w:t>
      </w:r>
      <w:r w:rsidRPr="00426625">
        <w:rPr>
          <w:rFonts w:ascii="Times New Roman" w:hAnsi="Times New Roman" w:cs="Times New Roman"/>
          <w:i/>
          <w:sz w:val="20"/>
          <w:szCs w:val="20"/>
        </w:rPr>
        <w:t>De Stan</w:t>
      </w:r>
      <w:r>
        <w:rPr>
          <w:rFonts w:ascii="Times New Roman" w:hAnsi="Times New Roman" w:cs="Times New Roman"/>
          <w:i/>
          <w:sz w:val="20"/>
          <w:szCs w:val="20"/>
        </w:rPr>
        <w:t>-</w:t>
      </w:r>
      <w:r w:rsidRPr="00426625">
        <w:rPr>
          <w:rFonts w:ascii="Times New Roman" w:hAnsi="Times New Roman" w:cs="Times New Roman"/>
          <w:i/>
          <w:sz w:val="20"/>
          <w:szCs w:val="20"/>
        </w:rPr>
        <w:t>daard</w:t>
      </w:r>
      <w:r w:rsidRPr="00426625">
        <w:rPr>
          <w:rFonts w:ascii="Times New Roman" w:hAnsi="Times New Roman" w:cs="Times New Roman"/>
          <w:sz w:val="20"/>
          <w:szCs w:val="20"/>
        </w:rPr>
        <w:t>, 11 augustus 2008.</w:t>
      </w:r>
    </w:p>
  </w:footnote>
  <w:footnote w:id="39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Grondwettelijk Hof 18 maart 2010, Arrest 29/2010 (</w:t>
      </w:r>
      <w:hyperlink r:id="rId50" w:history="1">
        <w:r w:rsidRPr="00426625">
          <w:rPr>
            <w:rStyle w:val="Hyperlink"/>
            <w:rFonts w:ascii="Times New Roman" w:hAnsi="Times New Roman" w:cs="Times New Roman"/>
            <w:sz w:val="20"/>
            <w:szCs w:val="20"/>
          </w:rPr>
          <w:t>www.const-court.be/public/n/2010/2010-029n.pdf</w:t>
        </w:r>
      </w:hyperlink>
      <w:r w:rsidRPr="00426625">
        <w:rPr>
          <w:rFonts w:ascii="Times New Roman" w:hAnsi="Times New Roman" w:cs="Times New Roman"/>
          <w:sz w:val="20"/>
          <w:szCs w:val="20"/>
        </w:rPr>
        <w:t xml:space="preserve">). Dit arrest werd gepubliceerd in: ‘Cour const., 18 mars 2010’, </w:t>
      </w:r>
      <w:r w:rsidRPr="00426625">
        <w:rPr>
          <w:rFonts w:ascii="Times New Roman" w:hAnsi="Times New Roman" w:cs="Times New Roman"/>
          <w:i/>
          <w:sz w:val="20"/>
          <w:szCs w:val="20"/>
        </w:rPr>
        <w:t>R.D.T.I.</w:t>
      </w:r>
      <w:r w:rsidRPr="00426625">
        <w:rPr>
          <w:rFonts w:ascii="Times New Roman" w:hAnsi="Times New Roman" w:cs="Times New Roman"/>
          <w:sz w:val="20"/>
          <w:szCs w:val="20"/>
        </w:rPr>
        <w:t xml:space="preserve">, 41 (2010), p. 23-38. Voor commentaar, zie: CALLENS, S.; CIERKENS, K.; ‘Elektronische patiëntendossiers’, </w:t>
      </w:r>
      <w:r w:rsidRPr="00426625">
        <w:rPr>
          <w:rFonts w:ascii="Times New Roman" w:hAnsi="Times New Roman" w:cs="Times New Roman"/>
          <w:i/>
          <w:sz w:val="20"/>
          <w:szCs w:val="20"/>
        </w:rPr>
        <w:t>N.J.W.</w:t>
      </w:r>
      <w:r w:rsidRPr="00426625">
        <w:rPr>
          <w:rFonts w:ascii="Times New Roman" w:hAnsi="Times New Roman" w:cs="Times New Roman"/>
          <w:sz w:val="20"/>
          <w:szCs w:val="20"/>
        </w:rPr>
        <w:t xml:space="preserve">, 227 (2010), p. 585-586; HERVEG, J., ‘Une première mise à l’épreuve de la plate-forme eHealth’, </w:t>
      </w:r>
      <w:r w:rsidRPr="00426625">
        <w:rPr>
          <w:rFonts w:ascii="Times New Roman" w:hAnsi="Times New Roman" w:cs="Times New Roman"/>
          <w:i/>
          <w:sz w:val="20"/>
          <w:szCs w:val="20"/>
        </w:rPr>
        <w:t>R.D.T.I.</w:t>
      </w:r>
      <w:r w:rsidRPr="00426625">
        <w:rPr>
          <w:rFonts w:ascii="Times New Roman" w:hAnsi="Times New Roman" w:cs="Times New Roman"/>
          <w:sz w:val="20"/>
          <w:szCs w:val="20"/>
        </w:rPr>
        <w:t xml:space="preserve">, 41 (2010), p. 38-52; JUDO, F., ‘eHealth overleeft, maar binnen strikte grenzen’, </w:t>
      </w:r>
      <w:r w:rsidRPr="00426625">
        <w:rPr>
          <w:rFonts w:ascii="Times New Roman" w:hAnsi="Times New Roman" w:cs="Times New Roman"/>
          <w:i/>
          <w:sz w:val="20"/>
          <w:szCs w:val="20"/>
        </w:rPr>
        <w:t>Juristenkrant</w:t>
      </w:r>
      <w:r w:rsidRPr="00426625">
        <w:rPr>
          <w:rFonts w:ascii="Times New Roman" w:hAnsi="Times New Roman" w:cs="Times New Roman"/>
          <w:sz w:val="20"/>
          <w:szCs w:val="20"/>
        </w:rPr>
        <w:t xml:space="preserve">, 207 (2010), p. 4-5; ROCOUR, V., ‘Un recours contre le projet e-Health’, </w:t>
      </w:r>
      <w:r w:rsidRPr="00426625">
        <w:rPr>
          <w:rFonts w:ascii="Times New Roman" w:hAnsi="Times New Roman" w:cs="Times New Roman"/>
          <w:i/>
          <w:sz w:val="20"/>
          <w:szCs w:val="20"/>
        </w:rPr>
        <w:t>La Libre Belgique</w:t>
      </w:r>
      <w:r w:rsidRPr="00426625">
        <w:rPr>
          <w:rFonts w:ascii="Times New Roman" w:hAnsi="Times New Roman" w:cs="Times New Roman"/>
          <w:sz w:val="20"/>
          <w:szCs w:val="20"/>
        </w:rPr>
        <w:t>, 17 april 2009; SAELENS, R.; DE HERT, P.; ‘eHealth-wet: nog enkele on</w:t>
      </w:r>
      <w:r>
        <w:rPr>
          <w:rFonts w:ascii="Times New Roman" w:hAnsi="Times New Roman" w:cs="Times New Roman"/>
          <w:sz w:val="20"/>
          <w:szCs w:val="20"/>
        </w:rPr>
        <w:t>-</w:t>
      </w:r>
      <w:r w:rsidRPr="00426625">
        <w:rPr>
          <w:rFonts w:ascii="Times New Roman" w:hAnsi="Times New Roman" w:cs="Times New Roman"/>
          <w:sz w:val="20"/>
          <w:szCs w:val="20"/>
        </w:rPr>
        <w:t xml:space="preserve">duidelijkheden’, </w:t>
      </w:r>
      <w:r w:rsidRPr="00426625">
        <w:rPr>
          <w:rFonts w:ascii="Times New Roman" w:hAnsi="Times New Roman" w:cs="Times New Roman"/>
          <w:i/>
          <w:sz w:val="20"/>
          <w:szCs w:val="20"/>
        </w:rPr>
        <w:t>Juristenkrant</w:t>
      </w:r>
      <w:r w:rsidRPr="00426625">
        <w:rPr>
          <w:rFonts w:ascii="Times New Roman" w:hAnsi="Times New Roman" w:cs="Times New Roman"/>
          <w:sz w:val="20"/>
          <w:szCs w:val="20"/>
        </w:rPr>
        <w:t xml:space="preserve">, 209 (2010), p. 12-13; THEUNIS, J., ‘De toetsing aan grondrechten door het Grondwettelijk Hof – Overzicht van rechtspraak 2010’, </w:t>
      </w:r>
      <w:r w:rsidRPr="00426625">
        <w:rPr>
          <w:rFonts w:ascii="Times New Roman" w:hAnsi="Times New Roman" w:cs="Times New Roman"/>
          <w:i/>
          <w:sz w:val="20"/>
          <w:szCs w:val="20"/>
        </w:rPr>
        <w:t>T.B.P.</w:t>
      </w:r>
      <w:r w:rsidRPr="00426625">
        <w:rPr>
          <w:rFonts w:ascii="Times New Roman" w:hAnsi="Times New Roman" w:cs="Times New Roman"/>
          <w:sz w:val="20"/>
          <w:szCs w:val="20"/>
        </w:rPr>
        <w:t>, 2012, 1, p. 7 (nrs. 9-12) en p. 34 (nr. 91).</w:t>
      </w:r>
    </w:p>
  </w:footnote>
  <w:footnote w:id="39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‘Grondwettelijk Hof geeft eHealth groen licht’,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19 maart 2010.</w:t>
      </w:r>
    </w:p>
  </w:footnote>
  <w:footnote w:id="39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van de wet van 21 augustus 2008.</w:t>
      </w:r>
    </w:p>
  </w:footnote>
  <w:footnote w:id="39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 9° van de wet van 21 augustus 2008; CALLENS, S., ‘Omtrent het e-Health-platform en het recht op privacy van de patiënt’, </w:t>
      </w:r>
      <w:r w:rsidRPr="00426625">
        <w:rPr>
          <w:rFonts w:ascii="Times New Roman" w:hAnsi="Times New Roman" w:cs="Times New Roman"/>
          <w:i/>
          <w:sz w:val="20"/>
          <w:szCs w:val="20"/>
        </w:rPr>
        <w:t>T.Gez.</w:t>
      </w:r>
      <w:r w:rsidRPr="00426625">
        <w:rPr>
          <w:rFonts w:ascii="Times New Roman" w:hAnsi="Times New Roman" w:cs="Times New Roman"/>
          <w:sz w:val="20"/>
          <w:szCs w:val="20"/>
        </w:rPr>
        <w:t>, 2008-2009, p. 186.</w:t>
      </w:r>
    </w:p>
  </w:footnote>
  <w:footnote w:id="39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‘eHealth-platform. Projecten op kruissnelheid’, </w:t>
      </w:r>
      <w:r w:rsidRPr="00426625">
        <w:rPr>
          <w:rFonts w:ascii="Times New Roman" w:hAnsi="Times New Roman" w:cs="Times New Roman"/>
          <w:i/>
          <w:sz w:val="20"/>
          <w:szCs w:val="20"/>
        </w:rPr>
        <w:t>Citizen-e</w:t>
      </w:r>
      <w:r w:rsidRPr="00426625">
        <w:rPr>
          <w:rFonts w:ascii="Times New Roman" w:hAnsi="Times New Roman" w:cs="Times New Roman"/>
          <w:sz w:val="20"/>
          <w:szCs w:val="20"/>
        </w:rPr>
        <w:t xml:space="preserve">, 2010, 1, p. 14; GROMMEN, S., ‘eHealth-platform kost slechts 80 miljoen euro’,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9 februari 2009.</w:t>
      </w:r>
    </w:p>
  </w:footnote>
  <w:footnote w:id="39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BOONE, R., ‘Frank Robben, de paus van succesvol e-government’, </w:t>
      </w:r>
      <w:r w:rsidRPr="00426625">
        <w:rPr>
          <w:rFonts w:ascii="Times New Roman" w:hAnsi="Times New Roman" w:cs="Times New Roman"/>
          <w:i/>
          <w:iCs/>
          <w:sz w:val="20"/>
          <w:szCs w:val="20"/>
        </w:rPr>
        <w:t>Juristenkrant</w:t>
      </w:r>
      <w:r w:rsidRPr="00426625">
        <w:rPr>
          <w:rFonts w:ascii="Times New Roman" w:hAnsi="Times New Roman" w:cs="Times New Roman"/>
          <w:sz w:val="20"/>
          <w:szCs w:val="20"/>
        </w:rPr>
        <w:t xml:space="preserve">, 208 (2010), p. 15. Zie ook: DE GROOTE, K., ‘Frank Robben (Kruispuntbank van de Sociale Zekerheid, e-Health-platform): Leidersfiguur met passie’, </w:t>
      </w:r>
      <w:r w:rsidRPr="00426625">
        <w:rPr>
          <w:rFonts w:ascii="Times New Roman" w:hAnsi="Times New Roman" w:cs="Times New Roman"/>
          <w:i/>
          <w:sz w:val="20"/>
          <w:szCs w:val="20"/>
        </w:rPr>
        <w:t>HRMagazine: mens en werk</w:t>
      </w:r>
      <w:r w:rsidRPr="00426625">
        <w:rPr>
          <w:rFonts w:ascii="Times New Roman" w:hAnsi="Times New Roman" w:cs="Times New Roman"/>
          <w:sz w:val="20"/>
          <w:szCs w:val="20"/>
        </w:rPr>
        <w:t>, 181/17 (2011), p. 10-14.</w:t>
      </w:r>
    </w:p>
  </w:footnote>
  <w:footnote w:id="39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Voor de Kruispuntbank van de Sociale Zekerheid, zie: ‘De kruispuntbank van de sociale zekerheid’, </w:t>
      </w:r>
      <w:r w:rsidRPr="00426625">
        <w:rPr>
          <w:rFonts w:ascii="Times New Roman" w:hAnsi="Times New Roman" w:cs="Times New Roman"/>
          <w:i/>
          <w:sz w:val="20"/>
          <w:szCs w:val="20"/>
        </w:rPr>
        <w:t>Med.</w:t>
      </w:r>
      <w:r>
        <w:rPr>
          <w:rFonts w:ascii="Times New Roman" w:hAnsi="Times New Roman" w:cs="Times New Roman"/>
          <w:i/>
          <w:sz w:val="20"/>
          <w:szCs w:val="20"/>
        </w:rPr>
        <w:t xml:space="preserve"> </w:t>
      </w:r>
      <w:r w:rsidRPr="00426625">
        <w:rPr>
          <w:rFonts w:ascii="Times New Roman" w:hAnsi="Times New Roman" w:cs="Times New Roman"/>
          <w:i/>
          <w:sz w:val="20"/>
          <w:szCs w:val="20"/>
        </w:rPr>
        <w:t>V.B.O.</w:t>
      </w:r>
      <w:r w:rsidRPr="00426625">
        <w:rPr>
          <w:rFonts w:ascii="Times New Roman" w:hAnsi="Times New Roman" w:cs="Times New Roman"/>
          <w:sz w:val="20"/>
          <w:szCs w:val="20"/>
        </w:rPr>
        <w:t xml:space="preserve">, 1989, p. 1786-1789; HUYSEGEMS, R., ‘Informatisering van de sociale zekerheid’, </w:t>
      </w:r>
      <w:r w:rsidRPr="00426625">
        <w:rPr>
          <w:rFonts w:ascii="Times New Roman" w:hAnsi="Times New Roman" w:cs="Times New Roman"/>
          <w:i/>
          <w:sz w:val="20"/>
          <w:szCs w:val="20"/>
        </w:rPr>
        <w:t>Kijk Uit</w:t>
      </w:r>
      <w:r w:rsidRPr="00426625">
        <w:rPr>
          <w:rFonts w:ascii="Times New Roman" w:hAnsi="Times New Roman" w:cs="Times New Roman"/>
          <w:sz w:val="20"/>
          <w:szCs w:val="20"/>
        </w:rPr>
        <w:t xml:space="preserve">, 1990, p. 63-64; ROBBEN, F., ‘De werking van de kruispuntbank van de sociale zekerheid’, </w:t>
      </w:r>
      <w:r w:rsidRPr="00426625">
        <w:rPr>
          <w:rFonts w:ascii="Times New Roman" w:hAnsi="Times New Roman" w:cs="Times New Roman"/>
          <w:i/>
          <w:sz w:val="20"/>
          <w:szCs w:val="20"/>
        </w:rPr>
        <w:t>B.T.S.Z.</w:t>
      </w:r>
      <w:r w:rsidRPr="00426625">
        <w:rPr>
          <w:rFonts w:ascii="Times New Roman" w:hAnsi="Times New Roman" w:cs="Times New Roman"/>
          <w:sz w:val="20"/>
          <w:szCs w:val="20"/>
        </w:rPr>
        <w:t>, 1989, extra afleve</w:t>
      </w:r>
      <w:r>
        <w:rPr>
          <w:rFonts w:ascii="Times New Roman" w:hAnsi="Times New Roman" w:cs="Times New Roman"/>
          <w:sz w:val="20"/>
          <w:szCs w:val="20"/>
        </w:rPr>
        <w:t>-</w:t>
      </w:r>
      <w:r w:rsidRPr="00426625">
        <w:rPr>
          <w:rFonts w:ascii="Times New Roman" w:hAnsi="Times New Roman" w:cs="Times New Roman"/>
          <w:sz w:val="20"/>
          <w:szCs w:val="20"/>
        </w:rPr>
        <w:t xml:space="preserve">ring, p. 23-48; </w:t>
      </w:r>
      <w:r w:rsidRPr="00426625">
        <w:rPr>
          <w:rFonts w:ascii="Times New Roman" w:hAnsi="Times New Roman" w:cs="Times New Roman"/>
          <w:i/>
          <w:sz w:val="20"/>
          <w:szCs w:val="20"/>
        </w:rPr>
        <w:t>De Gemeente</w:t>
      </w:r>
      <w:r w:rsidRPr="00426625">
        <w:rPr>
          <w:rFonts w:ascii="Times New Roman" w:hAnsi="Times New Roman" w:cs="Times New Roman"/>
          <w:sz w:val="20"/>
          <w:szCs w:val="20"/>
        </w:rPr>
        <w:t>, 1989, p. 545-553; ID., ‘Oprichting en organisatie van een kruispuntbank van de so</w:t>
      </w:r>
      <w:r>
        <w:rPr>
          <w:rFonts w:ascii="Times New Roman" w:hAnsi="Times New Roman" w:cs="Times New Roman"/>
          <w:sz w:val="20"/>
          <w:szCs w:val="20"/>
        </w:rPr>
        <w:t>-</w:t>
      </w:r>
      <w:r w:rsidRPr="00426625">
        <w:rPr>
          <w:rFonts w:ascii="Times New Roman" w:hAnsi="Times New Roman" w:cs="Times New Roman"/>
          <w:sz w:val="20"/>
          <w:szCs w:val="20"/>
        </w:rPr>
        <w:t xml:space="preserve">ciale zekerheid’, </w:t>
      </w:r>
      <w:r w:rsidRPr="00426625">
        <w:rPr>
          <w:rFonts w:ascii="Times New Roman" w:hAnsi="Times New Roman" w:cs="Times New Roman"/>
          <w:i/>
          <w:sz w:val="20"/>
          <w:szCs w:val="20"/>
        </w:rPr>
        <w:t>D.C.C.R.</w:t>
      </w:r>
      <w:r w:rsidRPr="00426625">
        <w:rPr>
          <w:rFonts w:ascii="Times New Roman" w:hAnsi="Times New Roman" w:cs="Times New Roman"/>
          <w:sz w:val="20"/>
          <w:szCs w:val="20"/>
        </w:rPr>
        <w:t xml:space="preserve">, 1989-1990, p. 198-216; ROBBEN, F.; MAES, P.; ‘De Kruispuntbank van de sociale zekerheid anno 2004’, </w:t>
      </w:r>
      <w:r w:rsidRPr="00426625">
        <w:rPr>
          <w:rFonts w:ascii="Times New Roman" w:hAnsi="Times New Roman" w:cs="Times New Roman"/>
          <w:i/>
          <w:sz w:val="20"/>
          <w:szCs w:val="20"/>
        </w:rPr>
        <w:t>B.T.S.Z.</w:t>
      </w:r>
      <w:r w:rsidRPr="00426625">
        <w:rPr>
          <w:rFonts w:ascii="Times New Roman" w:hAnsi="Times New Roman" w:cs="Times New Roman"/>
          <w:sz w:val="20"/>
          <w:szCs w:val="20"/>
        </w:rPr>
        <w:t xml:space="preserve">, 2004, 1, p. 145-174; ID., ‘De Kruispuntbank van de Sociale Zekerheid als motor van e-government in de sociale sector’, </w:t>
      </w:r>
      <w:r w:rsidRPr="00426625">
        <w:rPr>
          <w:rFonts w:ascii="Times New Roman" w:hAnsi="Times New Roman" w:cs="Times New Roman"/>
          <w:i/>
          <w:sz w:val="20"/>
          <w:szCs w:val="20"/>
        </w:rPr>
        <w:t>Vl.T.O.</w:t>
      </w:r>
      <w:r w:rsidRPr="00426625">
        <w:rPr>
          <w:rFonts w:ascii="Times New Roman" w:hAnsi="Times New Roman" w:cs="Times New Roman"/>
          <w:sz w:val="20"/>
          <w:szCs w:val="20"/>
        </w:rPr>
        <w:t>, 2005, 4, p. 35-55; SNIJKERS, K., ‘e-Government en welzijns</w:t>
      </w:r>
      <w:r>
        <w:rPr>
          <w:rFonts w:ascii="Times New Roman" w:hAnsi="Times New Roman" w:cs="Times New Roman"/>
          <w:sz w:val="20"/>
          <w:szCs w:val="20"/>
        </w:rPr>
        <w:t>-</w:t>
      </w:r>
      <w:r w:rsidRPr="00426625">
        <w:rPr>
          <w:rFonts w:ascii="Times New Roman" w:hAnsi="Times New Roman" w:cs="Times New Roman"/>
          <w:sz w:val="20"/>
          <w:szCs w:val="20"/>
        </w:rPr>
        <w:t xml:space="preserve">beleid: de kruispuntbank van de sociale zekerheid’, MERTENS, J. (red.), </w:t>
      </w:r>
      <w:r w:rsidRPr="00426625">
        <w:rPr>
          <w:rFonts w:ascii="Times New Roman" w:hAnsi="Times New Roman" w:cs="Times New Roman"/>
          <w:i/>
          <w:sz w:val="20"/>
          <w:szCs w:val="20"/>
        </w:rPr>
        <w:t>Welzijnsgids: gezondheidszorg, wel</w:t>
      </w:r>
      <w:r>
        <w:rPr>
          <w:rFonts w:ascii="Times New Roman" w:hAnsi="Times New Roman" w:cs="Times New Roman"/>
          <w:i/>
          <w:sz w:val="20"/>
          <w:szCs w:val="20"/>
        </w:rPr>
        <w:t>-</w:t>
      </w:r>
      <w:r w:rsidRPr="00426625">
        <w:rPr>
          <w:rFonts w:ascii="Times New Roman" w:hAnsi="Times New Roman" w:cs="Times New Roman"/>
          <w:i/>
          <w:sz w:val="20"/>
          <w:szCs w:val="20"/>
        </w:rPr>
        <w:t>zijnszorg</w:t>
      </w:r>
      <w:r w:rsidRPr="00426625">
        <w:rPr>
          <w:rFonts w:ascii="Times New Roman" w:hAnsi="Times New Roman" w:cs="Times New Roman"/>
          <w:sz w:val="20"/>
          <w:szCs w:val="20"/>
        </w:rPr>
        <w:t>, Mechelen, Kluwer, 2004, p. 1-20; VERDEYEN, V., ‘Informatisering van het socialezekerheidsbe</w:t>
      </w:r>
      <w:r>
        <w:rPr>
          <w:rFonts w:ascii="Times New Roman" w:hAnsi="Times New Roman" w:cs="Times New Roman"/>
          <w:sz w:val="20"/>
          <w:szCs w:val="20"/>
        </w:rPr>
        <w:t>-</w:t>
      </w:r>
      <w:r w:rsidRPr="00426625">
        <w:rPr>
          <w:rFonts w:ascii="Times New Roman" w:hAnsi="Times New Roman" w:cs="Times New Roman"/>
          <w:sz w:val="20"/>
          <w:szCs w:val="20"/>
        </w:rPr>
        <w:t xml:space="preserve">heer’, PUT, J.; VERDEYEN, V. (reds.); </w:t>
      </w:r>
      <w:r w:rsidRPr="00426625">
        <w:rPr>
          <w:rFonts w:ascii="Times New Roman" w:hAnsi="Times New Roman" w:cs="Times New Roman"/>
          <w:i/>
          <w:sz w:val="20"/>
          <w:szCs w:val="20"/>
        </w:rPr>
        <w:t>Praktijkboek sociale zekerheid 2011 voor de onderneming en de sociale adviseur</w:t>
      </w:r>
      <w:r w:rsidRPr="00426625">
        <w:rPr>
          <w:rFonts w:ascii="Times New Roman" w:hAnsi="Times New Roman" w:cs="Times New Roman"/>
          <w:sz w:val="20"/>
          <w:szCs w:val="20"/>
        </w:rPr>
        <w:t xml:space="preserve">, Mechelen, Kluwer, 2011, p. 11-24; VIAENE, J., ‘Het informatiseringsplan van de sociale zekerheid’, </w:t>
      </w:r>
      <w:r w:rsidRPr="00426625">
        <w:rPr>
          <w:rFonts w:ascii="Times New Roman" w:hAnsi="Times New Roman" w:cs="Times New Roman"/>
          <w:i/>
          <w:sz w:val="20"/>
          <w:szCs w:val="20"/>
        </w:rPr>
        <w:t>B.T.S.Z.</w:t>
      </w:r>
      <w:r w:rsidRPr="00426625">
        <w:rPr>
          <w:rFonts w:ascii="Times New Roman" w:hAnsi="Times New Roman" w:cs="Times New Roman"/>
          <w:sz w:val="20"/>
          <w:szCs w:val="20"/>
        </w:rPr>
        <w:t xml:space="preserve">, 1989, speciaal nummer, p. 3-22. Voor de bescherming van medische gegevens in de Kruispuntbank, zie: LAFFINEUR, J., ‘Réflexions sur la protection des données médicales dans le cadre de la Banque-carrefour de la sécurité sociale’, </w:t>
      </w:r>
      <w:r w:rsidRPr="00426625">
        <w:rPr>
          <w:rFonts w:ascii="Times New Roman" w:hAnsi="Times New Roman" w:cs="Times New Roman"/>
          <w:i/>
          <w:sz w:val="20"/>
          <w:szCs w:val="20"/>
        </w:rPr>
        <w:t>D.C.C.R.</w:t>
      </w:r>
      <w:r w:rsidRPr="00426625">
        <w:rPr>
          <w:rFonts w:ascii="Times New Roman" w:hAnsi="Times New Roman" w:cs="Times New Roman"/>
          <w:sz w:val="20"/>
          <w:szCs w:val="20"/>
        </w:rPr>
        <w:t>, 1994-1995, p. 123-133; VANDEWEERDT, M., ‘De bescherming van de medi</w:t>
      </w:r>
      <w:r>
        <w:rPr>
          <w:rFonts w:ascii="Times New Roman" w:hAnsi="Times New Roman" w:cs="Times New Roman"/>
          <w:sz w:val="20"/>
          <w:szCs w:val="20"/>
        </w:rPr>
        <w:t>-</w:t>
      </w:r>
      <w:r w:rsidRPr="00426625">
        <w:rPr>
          <w:rFonts w:ascii="Times New Roman" w:hAnsi="Times New Roman" w:cs="Times New Roman"/>
          <w:sz w:val="20"/>
          <w:szCs w:val="20"/>
        </w:rPr>
        <w:t xml:space="preserve">sche persoonsgegevens’, </w:t>
      </w:r>
      <w:r w:rsidRPr="00426625">
        <w:rPr>
          <w:rFonts w:ascii="Times New Roman" w:hAnsi="Times New Roman" w:cs="Times New Roman"/>
          <w:i/>
          <w:sz w:val="20"/>
          <w:szCs w:val="20"/>
        </w:rPr>
        <w:t>B.T.S.Z.</w:t>
      </w:r>
      <w:r w:rsidRPr="00426625">
        <w:rPr>
          <w:rFonts w:ascii="Times New Roman" w:hAnsi="Times New Roman" w:cs="Times New Roman"/>
          <w:sz w:val="20"/>
          <w:szCs w:val="20"/>
        </w:rPr>
        <w:t xml:space="preserve">, 1993, p. 263-281; ID.; VIAENE, J.; ‘Mededeling van medische gegevens van persoonlijke aard aan gerechtigden op sociale zekerheid en medische motivering van bestuurshandelingen’, </w:t>
      </w:r>
      <w:r w:rsidRPr="00426625">
        <w:rPr>
          <w:rFonts w:ascii="Times New Roman" w:hAnsi="Times New Roman" w:cs="Times New Roman"/>
          <w:i/>
          <w:sz w:val="20"/>
          <w:szCs w:val="20"/>
        </w:rPr>
        <w:t>Soc.Kron.</w:t>
      </w:r>
      <w:r w:rsidRPr="00426625">
        <w:rPr>
          <w:rFonts w:ascii="Times New Roman" w:hAnsi="Times New Roman" w:cs="Times New Roman"/>
          <w:sz w:val="20"/>
          <w:szCs w:val="20"/>
        </w:rPr>
        <w:t>, 1996, p. 365-376.</w:t>
      </w:r>
    </w:p>
  </w:footnote>
  <w:footnote w:id="40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Wet van 10 augustus 2005 tot oprichting van het informatiesysteem Phenix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 september 2005); KB van 15 februari 2006 tot vaststelling van de nadere regels voor de werking van het comité van gebruikers opgericht bij artikel 27 van de wet van 10 augustus 2005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28 februari 2006). </w:t>
      </w:r>
      <w:r w:rsidRPr="00E333B6">
        <w:rPr>
          <w:rFonts w:ascii="Times New Roman" w:hAnsi="Times New Roman" w:cs="Times New Roman"/>
          <w:sz w:val="20"/>
          <w:szCs w:val="20"/>
          <w:lang w:val="fr-BE"/>
        </w:rPr>
        <w:t>Zie ook: HUBIN, J., ‘La diffusion des données jurisprudentielles dans le cadre du programme ‘Phénix’ d’informatisation de l’ordre judiciaire’, HEN</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ROTTE, J.; POULLET, Y. (reds.); </w:t>
      </w:r>
      <w:r w:rsidRPr="00E333B6">
        <w:rPr>
          <w:rFonts w:ascii="Times New Roman" w:hAnsi="Times New Roman" w:cs="Times New Roman"/>
          <w:i/>
          <w:sz w:val="20"/>
          <w:szCs w:val="20"/>
          <w:lang w:val="fr-BE"/>
        </w:rPr>
        <w:t>Cabinets d’avocats et technologies de l’information: balises et enjeux</w:t>
      </w:r>
      <w:r w:rsidRPr="00E333B6">
        <w:rPr>
          <w:rFonts w:ascii="Times New Roman" w:hAnsi="Times New Roman" w:cs="Times New Roman"/>
          <w:sz w:val="20"/>
          <w:szCs w:val="20"/>
          <w:lang w:val="fr-BE"/>
        </w:rPr>
        <w:t>, Ca</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hiers du centre de recherches informatique et droit, 26, Brussel, Bruylant, 2005, p. 321-384; MONTERO, E.; MOUGENOT, D. (reds.); </w:t>
      </w:r>
      <w:r w:rsidRPr="00E333B6">
        <w:rPr>
          <w:rFonts w:ascii="Times New Roman" w:hAnsi="Times New Roman" w:cs="Times New Roman"/>
          <w:i/>
          <w:sz w:val="20"/>
          <w:szCs w:val="20"/>
          <w:lang w:val="fr-BE"/>
        </w:rPr>
        <w:t>Phenix: les tribunaux à l’ère électronique</w:t>
      </w:r>
      <w:r w:rsidRPr="00E333B6">
        <w:rPr>
          <w:rFonts w:ascii="Times New Roman" w:hAnsi="Times New Roman" w:cs="Times New Roman"/>
          <w:sz w:val="20"/>
          <w:szCs w:val="20"/>
          <w:lang w:val="fr-BE"/>
        </w:rPr>
        <w:t>, Cahiers du centre de recherches informa</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tique et droit, 29, Brussel, Bruylant, 2007, 249p.; VEROUGSTRAETE, I., ‘ICT in de gerechtelijke wereld: het Phenix-project’, DEPRE, R.; PLESSERS, J.; HONDEGHEM, A. (reds.); </w:t>
      </w:r>
      <w:r w:rsidRPr="00E333B6">
        <w:rPr>
          <w:rFonts w:ascii="Times New Roman" w:hAnsi="Times New Roman" w:cs="Times New Roman"/>
          <w:i/>
          <w:sz w:val="20"/>
          <w:szCs w:val="20"/>
          <w:lang w:val="fr-BE"/>
        </w:rPr>
        <w:t>Managementhervormingen in justitie: van internationale ontwikkelingen tot dagelijkse praktijk</w:t>
      </w:r>
      <w:r w:rsidRPr="00E333B6">
        <w:rPr>
          <w:rFonts w:ascii="Times New Roman" w:hAnsi="Times New Roman" w:cs="Times New Roman"/>
          <w:sz w:val="20"/>
          <w:szCs w:val="20"/>
          <w:lang w:val="fr-BE"/>
        </w:rPr>
        <w:t xml:space="preserve">, KUL. </w:t>
      </w:r>
      <w:r w:rsidRPr="00426625">
        <w:rPr>
          <w:rFonts w:ascii="Times New Roman" w:hAnsi="Times New Roman" w:cs="Times New Roman"/>
          <w:sz w:val="20"/>
          <w:szCs w:val="20"/>
        </w:rPr>
        <w:t>Instituut voor de overheid. Overheidsmanage</w:t>
      </w:r>
      <w:r>
        <w:rPr>
          <w:rFonts w:ascii="Times New Roman" w:hAnsi="Times New Roman" w:cs="Times New Roman"/>
          <w:sz w:val="20"/>
          <w:szCs w:val="20"/>
        </w:rPr>
        <w:t>-</w:t>
      </w:r>
      <w:r w:rsidRPr="00426625">
        <w:rPr>
          <w:rFonts w:ascii="Times New Roman" w:hAnsi="Times New Roman" w:cs="Times New Roman"/>
          <w:sz w:val="20"/>
          <w:szCs w:val="20"/>
        </w:rPr>
        <w:t xml:space="preserve">ment, 19, Brugge, die Keure, 2005, p. 183-206; ID., ‘Phenix: een toekomst voor de rechterlijke orde’, </w:t>
      </w:r>
      <w:r w:rsidRPr="00426625">
        <w:rPr>
          <w:rFonts w:ascii="Times New Roman" w:hAnsi="Times New Roman" w:cs="Times New Roman"/>
          <w:i/>
          <w:sz w:val="20"/>
          <w:szCs w:val="20"/>
        </w:rPr>
        <w:t>Recht in beweging</w:t>
      </w:r>
      <w:r w:rsidRPr="00426625">
        <w:rPr>
          <w:rFonts w:ascii="Times New Roman" w:hAnsi="Times New Roman" w:cs="Times New Roman"/>
          <w:sz w:val="20"/>
          <w:szCs w:val="20"/>
        </w:rPr>
        <w:t>, Antwerpen, Maklu, 2007, p. 87-110.</w:t>
      </w:r>
    </w:p>
  </w:footnote>
  <w:footnote w:id="40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‘Turtelboom belooft megadatabank ‘JustX’ voor Justitie’,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8 mei 2012.</w:t>
      </w:r>
    </w:p>
  </w:footnote>
  <w:footnote w:id="40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 van de wet van 21 augustus 2008.</w:t>
      </w:r>
    </w:p>
  </w:footnote>
  <w:footnote w:id="40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iCs/>
          <w:sz w:val="20"/>
          <w:szCs w:val="20"/>
        </w:rPr>
        <w:t>Parl.St.</w:t>
      </w:r>
      <w:r w:rsidRPr="00426625">
        <w:rPr>
          <w:rFonts w:ascii="Times New Roman" w:hAnsi="Times New Roman" w:cs="Times New Roman"/>
          <w:sz w:val="20"/>
          <w:szCs w:val="20"/>
        </w:rPr>
        <w:t xml:space="preserve"> Kamer, 2007-2008, nr. 52-1257/003, p. 64.</w:t>
      </w:r>
    </w:p>
  </w:footnote>
  <w:footnote w:id="40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In de zin van art. 7 § 2 van het KB van 3 april 1997 houdende maatregelen met het oog op de responsabilise</w:t>
      </w:r>
      <w:r>
        <w:rPr>
          <w:rFonts w:ascii="Times New Roman" w:hAnsi="Times New Roman" w:cs="Times New Roman"/>
          <w:sz w:val="20"/>
          <w:szCs w:val="20"/>
        </w:rPr>
        <w:t>-</w:t>
      </w:r>
      <w:r w:rsidRPr="00426625">
        <w:rPr>
          <w:rFonts w:ascii="Times New Roman" w:hAnsi="Times New Roman" w:cs="Times New Roman"/>
          <w:sz w:val="20"/>
          <w:szCs w:val="20"/>
        </w:rPr>
        <w:t>ring van de openbare instellingen van de sociale zekerheid, met toepassing van artikel 47 van de wet van 26 juli 1996 tot modernisering van de sociale zekerheid en tot vrijwaring van de leefbaarheid van de wettelijke pensi</w:t>
      </w:r>
      <w:r>
        <w:rPr>
          <w:rFonts w:ascii="Times New Roman" w:hAnsi="Times New Roman" w:cs="Times New Roman"/>
          <w:sz w:val="20"/>
          <w:szCs w:val="20"/>
        </w:rPr>
        <w:t>-</w:t>
      </w:r>
      <w:r w:rsidRPr="00426625">
        <w:rPr>
          <w:rFonts w:ascii="Times New Roman" w:hAnsi="Times New Roman" w:cs="Times New Roman"/>
          <w:sz w:val="20"/>
          <w:szCs w:val="20"/>
        </w:rPr>
        <w:t>oenstelsels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30 april 1997); art. 2 § 4 van de wet van 21 augustus 2008.</w:t>
      </w:r>
    </w:p>
  </w:footnote>
  <w:footnote w:id="40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15 van de wet van 21 augustus 2008; KB van 20 oktober 2009 tot vaststelling van de toelage en het pre</w:t>
      </w:r>
      <w:r>
        <w:rPr>
          <w:rFonts w:ascii="Times New Roman" w:hAnsi="Times New Roman" w:cs="Times New Roman"/>
          <w:sz w:val="20"/>
          <w:szCs w:val="20"/>
        </w:rPr>
        <w:t>-</w:t>
      </w:r>
      <w:r w:rsidRPr="00426625">
        <w:rPr>
          <w:rFonts w:ascii="Times New Roman" w:hAnsi="Times New Roman" w:cs="Times New Roman"/>
          <w:sz w:val="20"/>
          <w:szCs w:val="20"/>
        </w:rPr>
        <w:t>sentiegeld toegekend aan de voorzitter en aan de leden van het beheerscomité van het eHealth-platform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20 november 2009).</w:t>
      </w:r>
    </w:p>
  </w:footnote>
  <w:footnote w:id="40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17 november 2009 houdende samenstelling en organisatie van het Overlegcomité met de gebruikers van het eHealth-platform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17 november 2009); MB van 17 mei 2011 houdende oprichting van een Basis</w:t>
      </w:r>
      <w:r>
        <w:rPr>
          <w:rFonts w:ascii="Times New Roman" w:hAnsi="Times New Roman" w:cs="Times New Roman"/>
          <w:sz w:val="20"/>
          <w:szCs w:val="20"/>
        </w:rPr>
        <w:t>-</w:t>
      </w:r>
      <w:r w:rsidRPr="00426625">
        <w:rPr>
          <w:rFonts w:ascii="Times New Roman" w:hAnsi="Times New Roman" w:cs="Times New Roman"/>
          <w:sz w:val="20"/>
          <w:szCs w:val="20"/>
        </w:rPr>
        <w:t>overlegcomité voor het eHealth-platform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17 mei 2011).</w:t>
      </w:r>
    </w:p>
  </w:footnote>
  <w:footnote w:id="40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1° van de wet van 21 augustus 2008.</w:t>
      </w:r>
    </w:p>
  </w:footnote>
  <w:footnote w:id="40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2° van de wet van 21 augustus 2008.</w:t>
      </w:r>
    </w:p>
  </w:footnote>
  <w:footnote w:id="409">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BOUDREZ, F.; DEKEYSER, H.; DUMORTIER, J.; </w:t>
      </w:r>
      <w:r w:rsidRPr="00426625">
        <w:rPr>
          <w:rFonts w:ascii="Times New Roman" w:hAnsi="Times New Roman"/>
          <w:i/>
          <w:lang w:val="en-US"/>
        </w:rPr>
        <w:t>Digital archiving-the new challenge. Legal and archival issues</w:t>
      </w:r>
      <w:r w:rsidRPr="00426625">
        <w:rPr>
          <w:rFonts w:ascii="Times New Roman" w:hAnsi="Times New Roman"/>
          <w:lang w:val="en-US"/>
        </w:rPr>
        <w:t xml:space="preserve">, Mont Saint Guibert, I.R.I.S. Document to Knowledge, 2005, p. 41. </w:t>
      </w:r>
    </w:p>
  </w:footnote>
  <w:footnote w:id="41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51" w:history="1">
        <w:r w:rsidRPr="00426625">
          <w:rPr>
            <w:rStyle w:val="Hyperlink"/>
            <w:rFonts w:ascii="Times New Roman" w:hAnsi="Times New Roman"/>
          </w:rPr>
          <w:t>http://nl.prorec.be/</w:t>
        </w:r>
      </w:hyperlink>
      <w:r w:rsidRPr="00426625">
        <w:rPr>
          <w:rFonts w:ascii="Times New Roman" w:hAnsi="Times New Roman"/>
        </w:rPr>
        <w:t xml:space="preserve">. Geciteerd door: </w:t>
      </w:r>
      <w:r w:rsidRPr="00426625">
        <w:rPr>
          <w:rFonts w:ascii="Times New Roman" w:eastAsia="SimSun" w:hAnsi="Times New Roman"/>
          <w:lang w:eastAsia="hi-IN" w:bidi="hi-IN"/>
        </w:rPr>
        <w:t>NUYTTENS, M., ‘Het Archiefbeheer in de West-Vlaamse Openbare Zie</w:t>
      </w:r>
      <w:r>
        <w:rPr>
          <w:rFonts w:ascii="Times New Roman" w:eastAsia="SimSun" w:hAnsi="Times New Roman"/>
          <w:lang w:eastAsia="hi-IN" w:bidi="hi-IN"/>
        </w:rPr>
        <w:t>-</w:t>
      </w:r>
      <w:r w:rsidRPr="00426625">
        <w:rPr>
          <w:rFonts w:ascii="Times New Roman" w:eastAsia="SimSun" w:hAnsi="Times New Roman"/>
          <w:lang w:eastAsia="hi-IN" w:bidi="hi-IN"/>
        </w:rPr>
        <w:t xml:space="preserve">kenhuizen: enkele vaststellingen en voorstellen in verband met selectie’, HONNORE, L. (red.), </w:t>
      </w:r>
      <w:r w:rsidRPr="00426625">
        <w:rPr>
          <w:rFonts w:ascii="Times New Roman" w:eastAsia="SimSun" w:hAnsi="Times New Roman"/>
          <w:i/>
          <w:lang w:eastAsia="hi-IN" w:bidi="hi-IN"/>
        </w:rPr>
        <w:t>Handelingen van het Internationaal colloquium: Het geheugen van onze gezondheid, het medisch archief en zijn hulpbronnen, Brussel, 15-17 maart 2007</w:t>
      </w:r>
      <w:r w:rsidRPr="00426625">
        <w:rPr>
          <w:rFonts w:ascii="Times New Roman" w:eastAsia="SimSun" w:hAnsi="Times New Roman"/>
          <w:lang w:eastAsia="hi-IN" w:bidi="hi-IN"/>
        </w:rPr>
        <w:t xml:space="preserve">, A.B.B., 86, Brussel, 2008, p. 71; </w:t>
      </w:r>
      <w:r w:rsidRPr="00426625">
        <w:rPr>
          <w:rFonts w:ascii="Times New Roman" w:hAnsi="Times New Roman"/>
        </w:rPr>
        <w:t xml:space="preserve">ID., </w:t>
      </w:r>
      <w:r w:rsidRPr="00426625">
        <w:rPr>
          <w:rFonts w:ascii="Times New Roman" w:hAnsi="Times New Roman"/>
          <w:i/>
          <w:iCs/>
        </w:rPr>
        <w:t>Inspectieverslag betreffende het archief van openbare ziekenhuizen</w:t>
      </w:r>
      <w:r w:rsidRPr="00426625">
        <w:rPr>
          <w:rFonts w:ascii="Times New Roman" w:hAnsi="Times New Roman"/>
        </w:rPr>
        <w:t>, p. 46.</w:t>
      </w:r>
    </w:p>
  </w:footnote>
  <w:footnote w:id="41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52" w:history="1">
        <w:r w:rsidRPr="00426625">
          <w:rPr>
            <w:rStyle w:val="Hyperlink"/>
            <w:rFonts w:ascii="Times New Roman" w:hAnsi="Times New Roman"/>
          </w:rPr>
          <w:t>https://www.ehealth.fgov.be/nl/standaarden</w:t>
        </w:r>
      </w:hyperlink>
      <w:r w:rsidRPr="00426625">
        <w:rPr>
          <w:rFonts w:ascii="Times New Roman" w:hAnsi="Times New Roman"/>
        </w:rPr>
        <w:t>.</w:t>
      </w:r>
    </w:p>
  </w:footnote>
  <w:footnote w:id="41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3° van de wet van 21 augustus 2008.</w:t>
      </w:r>
    </w:p>
  </w:footnote>
  <w:footnote w:id="41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53" w:history="1">
        <w:r w:rsidRPr="00426625">
          <w:rPr>
            <w:rStyle w:val="Hyperlink"/>
            <w:rFonts w:ascii="Times New Roman" w:hAnsi="Times New Roman"/>
          </w:rPr>
          <w:t>https://www.ehealth.fgov.be/nl/registratie-van-de-medische-softwarepakketten</w:t>
        </w:r>
      </w:hyperlink>
      <w:r w:rsidRPr="00426625">
        <w:rPr>
          <w:rFonts w:ascii="Times New Roman" w:hAnsi="Times New Roman"/>
        </w:rPr>
        <w:t>.</w:t>
      </w:r>
    </w:p>
  </w:footnote>
  <w:footnote w:id="41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iCs/>
          <w:sz w:val="20"/>
          <w:szCs w:val="20"/>
        </w:rPr>
        <w:t>Parl.St.</w:t>
      </w:r>
      <w:r w:rsidRPr="00426625">
        <w:rPr>
          <w:rFonts w:ascii="Times New Roman" w:hAnsi="Times New Roman" w:cs="Times New Roman"/>
          <w:sz w:val="20"/>
          <w:szCs w:val="20"/>
        </w:rPr>
        <w:t xml:space="preserve"> Kamer, 2007-2008, nr. 52-1257/003, p. 50, p. 69-70 en p. 83-84.</w:t>
      </w:r>
    </w:p>
  </w:footnote>
  <w:footnote w:id="41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4° van de wet van 21 augustus 2008.</w:t>
      </w:r>
    </w:p>
  </w:footnote>
  <w:footnote w:id="41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POLLET, I., </w:t>
      </w:r>
      <w:r w:rsidRPr="00426625">
        <w:rPr>
          <w:rFonts w:ascii="Times New Roman" w:hAnsi="Times New Roman"/>
          <w:i/>
          <w:lang w:val="en-US"/>
        </w:rPr>
        <w:t xml:space="preserve">eHealth platform services connectors. </w:t>
      </w:r>
      <w:r w:rsidRPr="00426625">
        <w:rPr>
          <w:rFonts w:ascii="Times New Roman" w:hAnsi="Times New Roman"/>
          <w:i/>
        </w:rPr>
        <w:t>Algemene presentatie, functionaliteiten en toegankelijk</w:t>
      </w:r>
      <w:r>
        <w:rPr>
          <w:rFonts w:ascii="Times New Roman" w:hAnsi="Times New Roman"/>
          <w:i/>
        </w:rPr>
        <w:t>-</w:t>
      </w:r>
      <w:r w:rsidRPr="00426625">
        <w:rPr>
          <w:rFonts w:ascii="Times New Roman" w:hAnsi="Times New Roman"/>
          <w:i/>
        </w:rPr>
        <w:t>heid</w:t>
      </w:r>
      <w:r w:rsidRPr="00426625">
        <w:rPr>
          <w:rFonts w:ascii="Times New Roman" w:hAnsi="Times New Roman"/>
        </w:rPr>
        <w:t xml:space="preserve">, Brussel, 2011. </w:t>
      </w:r>
    </w:p>
  </w:footnote>
  <w:footnote w:id="41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 EECKE, P.; DUMORTIER, J.; ‘Een juridisch kader voor Trusted Third Parties in België’,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1998, 5, p. 228-232.</w:t>
      </w:r>
    </w:p>
  </w:footnote>
  <w:footnote w:id="41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‘eHealth: ‘Nieuwe hubs in Antwerpen en in Brugge’’,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xml:space="preserve">, 15 januari 2010; ‘eHealth-platform. Projecten op kruissnelheid’, </w:t>
      </w:r>
      <w:r w:rsidRPr="00426625">
        <w:rPr>
          <w:rFonts w:ascii="Times New Roman" w:hAnsi="Times New Roman" w:cs="Times New Roman"/>
          <w:i/>
          <w:sz w:val="20"/>
          <w:szCs w:val="20"/>
        </w:rPr>
        <w:t>Citizen-e</w:t>
      </w:r>
      <w:r w:rsidRPr="00426625">
        <w:rPr>
          <w:rFonts w:ascii="Times New Roman" w:hAnsi="Times New Roman" w:cs="Times New Roman"/>
          <w:sz w:val="20"/>
          <w:szCs w:val="20"/>
        </w:rPr>
        <w:t>, 2010, 1, p. 14; BELLON, E.; NEYENS, P.; FERON, M.; VINCKX, M.; VAN DEN BOSCH, B.; ‘The Leuven hub in the eHealth ‘hubs &amp; metahub’ project’; Collaboratief Zorgplatform (CoZo), ‘Snel en veilig patiëntengegevens uitwisselen’, 2012, p. 24-25; GROMMEN, S., ‘Antwerpse ziekenhui</w:t>
      </w:r>
      <w:r>
        <w:rPr>
          <w:rFonts w:ascii="Times New Roman" w:hAnsi="Times New Roman" w:cs="Times New Roman"/>
          <w:sz w:val="20"/>
          <w:szCs w:val="20"/>
        </w:rPr>
        <w:t>-</w:t>
      </w:r>
      <w:r w:rsidRPr="00426625">
        <w:rPr>
          <w:rFonts w:ascii="Times New Roman" w:hAnsi="Times New Roman" w:cs="Times New Roman"/>
          <w:sz w:val="20"/>
          <w:szCs w:val="20"/>
        </w:rPr>
        <w:t xml:space="preserve">zen creëren portaal voor patiëntengegevens’,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xml:space="preserve">, 16 november 2010; TIBAU, F., ‘UZ Leuven rolt elektronisch medisch dossier uit bij 7 partnerziekenhuizen,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28 april 2011; Vlaams Patiënten</w:t>
      </w:r>
      <w:r>
        <w:rPr>
          <w:rFonts w:ascii="Times New Roman" w:hAnsi="Times New Roman" w:cs="Times New Roman"/>
          <w:sz w:val="20"/>
          <w:szCs w:val="20"/>
        </w:rPr>
        <w:t>-</w:t>
      </w:r>
      <w:r w:rsidRPr="00426625">
        <w:rPr>
          <w:rFonts w:ascii="Times New Roman" w:hAnsi="Times New Roman" w:cs="Times New Roman"/>
          <w:sz w:val="20"/>
          <w:szCs w:val="20"/>
        </w:rPr>
        <w:t xml:space="preserve">platform, </w:t>
      </w:r>
      <w:r w:rsidRPr="00426625">
        <w:rPr>
          <w:rFonts w:ascii="Times New Roman" w:hAnsi="Times New Roman" w:cs="Times New Roman"/>
          <w:i/>
          <w:sz w:val="20"/>
          <w:szCs w:val="20"/>
        </w:rPr>
        <w:t>De elektronische uitwisseling van gezondheidsgegevens</w:t>
      </w:r>
      <w:r w:rsidRPr="00426625">
        <w:rPr>
          <w:rFonts w:ascii="Times New Roman" w:hAnsi="Times New Roman" w:cs="Times New Roman"/>
          <w:sz w:val="20"/>
          <w:szCs w:val="20"/>
        </w:rPr>
        <w:t>, Heverlee, 2011, p. 9-10 en p. 11-13 .</w:t>
      </w:r>
    </w:p>
  </w:footnote>
  <w:footnote w:id="41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Deze kaart kan geraadpleegd worden op: </w:t>
      </w:r>
      <w:hyperlink r:id="rId54" w:history="1">
        <w:r w:rsidRPr="00EA26DD">
          <w:rPr>
            <w:rStyle w:val="Hyperlink"/>
            <w:rFonts w:ascii="Times New Roman" w:hAnsi="Times New Roman" w:cs="Times New Roman"/>
            <w:sz w:val="20"/>
            <w:szCs w:val="20"/>
          </w:rPr>
          <w:t>http://www.health.belgium.be/internet2Prd/groups/public/@public/ @dg1/@acutecare/documents/ie2divers/19074028.gif?ie2Term=hubs&amp;ie2section=83</w:t>
        </w:r>
      </w:hyperlink>
      <w:r>
        <w:rPr>
          <w:rFonts w:ascii="Times New Roman" w:hAnsi="Times New Roman" w:cs="Times New Roman"/>
          <w:sz w:val="20"/>
          <w:szCs w:val="20"/>
        </w:rPr>
        <w:t>.</w:t>
      </w:r>
    </w:p>
  </w:footnote>
  <w:footnote w:id="42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Deze tabel kan geraadpleegd worden op: </w:t>
      </w:r>
      <w:hyperlink r:id="rId55" w:history="1">
        <w:r w:rsidRPr="00EA26DD">
          <w:rPr>
            <w:rStyle w:val="Hyperlink"/>
            <w:rFonts w:ascii="Times New Roman" w:hAnsi="Times New Roman" w:cs="Times New Roman"/>
            <w:sz w:val="20"/>
            <w:szCs w:val="20"/>
          </w:rPr>
          <w:t>http://www.health.belgium.be/internet2Prd/groups/public/@public/ @dg1/@acutecare/documents/ie2divers/19064607.pdf</w:t>
        </w:r>
      </w:hyperlink>
      <w:r>
        <w:rPr>
          <w:rFonts w:ascii="Times New Roman" w:hAnsi="Times New Roman" w:cs="Times New Roman"/>
          <w:sz w:val="20"/>
          <w:szCs w:val="20"/>
        </w:rPr>
        <w:t>.</w:t>
      </w:r>
    </w:p>
  </w:footnote>
  <w:footnote w:id="42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7 § 2, a van de Privacywet; art. 5, 4° van de wet van 21 augustus 2008; DUMORTIER, J., ‘Recente ont</w:t>
      </w:r>
      <w:r>
        <w:rPr>
          <w:rFonts w:ascii="Times New Roman" w:hAnsi="Times New Roman" w:cs="Times New Roman"/>
          <w:sz w:val="20"/>
          <w:szCs w:val="20"/>
        </w:rPr>
        <w:t>-</w:t>
      </w:r>
      <w:r w:rsidRPr="00426625">
        <w:rPr>
          <w:rFonts w:ascii="Times New Roman" w:hAnsi="Times New Roman" w:cs="Times New Roman"/>
          <w:sz w:val="20"/>
          <w:szCs w:val="20"/>
        </w:rPr>
        <w:t xml:space="preserve">wikkelingen in het privacyrecht 2008-2009’, </w:t>
      </w:r>
      <w:r w:rsidRPr="00426625">
        <w:rPr>
          <w:rFonts w:ascii="Times New Roman" w:hAnsi="Times New Roman" w:cs="Times New Roman"/>
          <w:i/>
          <w:sz w:val="20"/>
          <w:szCs w:val="20"/>
        </w:rPr>
        <w:t>Recht in beweging. 17de VRG-Alumnidag 2010</w:t>
      </w:r>
      <w:r>
        <w:rPr>
          <w:rFonts w:ascii="Times New Roman" w:hAnsi="Times New Roman" w:cs="Times New Roman"/>
          <w:sz w:val="20"/>
          <w:szCs w:val="20"/>
        </w:rPr>
        <w:t>, Antwerpen-Ap</w:t>
      </w:r>
      <w:r w:rsidRPr="00426625">
        <w:rPr>
          <w:rFonts w:ascii="Times New Roman" w:hAnsi="Times New Roman" w:cs="Times New Roman"/>
          <w:sz w:val="20"/>
          <w:szCs w:val="20"/>
        </w:rPr>
        <w:t>el</w:t>
      </w:r>
      <w:r>
        <w:rPr>
          <w:rFonts w:ascii="Times New Roman" w:hAnsi="Times New Roman" w:cs="Times New Roman"/>
          <w:sz w:val="20"/>
          <w:szCs w:val="20"/>
        </w:rPr>
        <w:t>-</w:t>
      </w:r>
      <w:r w:rsidRPr="00426625">
        <w:rPr>
          <w:rFonts w:ascii="Times New Roman" w:hAnsi="Times New Roman" w:cs="Times New Roman"/>
          <w:sz w:val="20"/>
          <w:szCs w:val="20"/>
        </w:rPr>
        <w:t>doorn, Maklu, 2010, p. 176-177.</w:t>
      </w:r>
    </w:p>
  </w:footnote>
  <w:footnote w:id="42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 2, j van de Privacywet; Werkgroep G19, ‘Nota betreffende de geïnformeerde toestemming in het hub &amp; metahub-project’, 2011, p. 3.</w:t>
      </w:r>
    </w:p>
  </w:footnote>
  <w:footnote w:id="423">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Art. 5, 4°, b eHealth-wet.</w:t>
      </w:r>
    </w:p>
  </w:footnote>
  <w:footnote w:id="424">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BOUCKAERT, J.M.C.; DEGRYSE, H.A.; </w:t>
      </w:r>
      <w:r w:rsidRPr="00426625">
        <w:rPr>
          <w:rFonts w:ascii="Times New Roman" w:hAnsi="Times New Roman"/>
          <w:i/>
          <w:lang w:val="en-US"/>
        </w:rPr>
        <w:t>Opt In versus Opt Out: A Free-Entry Analysis of Privacy Policies</w:t>
      </w:r>
      <w:r w:rsidRPr="00426625">
        <w:rPr>
          <w:rFonts w:ascii="Times New Roman" w:hAnsi="Times New Roman"/>
          <w:lang w:val="en-US"/>
        </w:rPr>
        <w:t>, CentER Discussion Paper, 96, Tilburg, 2006, 27p.</w:t>
      </w:r>
    </w:p>
  </w:footnote>
  <w:footnote w:id="42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VANSWEEVELT, DEWALLENS, p. 62 (nr. 91).</w:t>
      </w:r>
    </w:p>
  </w:footnote>
  <w:footnote w:id="42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DUMORTIER, ‘Recente ontwikkelingen in het privacyrecht 2008-2009’, p. 176; Federale Commissie ‘Recht</w:t>
      </w:r>
      <w:r>
        <w:rPr>
          <w:rFonts w:ascii="Times New Roman" w:hAnsi="Times New Roman" w:cs="Times New Roman"/>
          <w:sz w:val="20"/>
          <w:szCs w:val="20"/>
        </w:rPr>
        <w:t>-</w:t>
      </w:r>
      <w:r w:rsidRPr="00426625">
        <w:rPr>
          <w:rFonts w:ascii="Times New Roman" w:hAnsi="Times New Roman" w:cs="Times New Roman"/>
          <w:sz w:val="20"/>
          <w:szCs w:val="20"/>
        </w:rPr>
        <w:t xml:space="preserve">en van de patiënt’, </w:t>
      </w:r>
      <w:r w:rsidRPr="00426625">
        <w:rPr>
          <w:rFonts w:ascii="Times New Roman" w:hAnsi="Times New Roman" w:cs="Times New Roman"/>
          <w:i/>
          <w:sz w:val="20"/>
          <w:szCs w:val="20"/>
        </w:rPr>
        <w:t>Advies over de Nota van de e-Health Werkgroep G19 van 14 september 2010 betreffende de geïnformeerde toestemming in het hub &amp; metahub-project</w:t>
      </w:r>
      <w:r w:rsidRPr="00426625">
        <w:rPr>
          <w:rFonts w:ascii="Times New Roman" w:hAnsi="Times New Roman" w:cs="Times New Roman"/>
          <w:sz w:val="20"/>
          <w:szCs w:val="20"/>
        </w:rPr>
        <w:t xml:space="preserve">, p. 5; Federale Commissie ‘Rechten van de patiënt’, ‘Advies in verband met de ‘Nota betreffende de therapeutische relatie’ opgesteld door de werkgroep G19 van het eHealth-platform’, </w:t>
      </w:r>
      <w:r w:rsidRPr="00426625">
        <w:rPr>
          <w:rFonts w:ascii="Times New Roman" w:hAnsi="Times New Roman" w:cs="Times New Roman"/>
          <w:i/>
          <w:sz w:val="20"/>
          <w:szCs w:val="20"/>
        </w:rPr>
        <w:t>T.Gez.</w:t>
      </w:r>
      <w:r w:rsidRPr="00426625">
        <w:rPr>
          <w:rFonts w:ascii="Times New Roman" w:hAnsi="Times New Roman" w:cs="Times New Roman"/>
          <w:sz w:val="20"/>
          <w:szCs w:val="20"/>
        </w:rPr>
        <w:t>, 2009-2010, p. 168-170 (nrs. 7-10); GRAUX, H.; DUMORTIER, J.; m.m.v. VAN</w:t>
      </w:r>
      <w:r>
        <w:rPr>
          <w:rFonts w:ascii="Times New Roman" w:hAnsi="Times New Roman" w:cs="Times New Roman"/>
          <w:sz w:val="20"/>
          <w:szCs w:val="20"/>
        </w:rPr>
        <w:t>-</w:t>
      </w:r>
      <w:r w:rsidRPr="00426625">
        <w:rPr>
          <w:rFonts w:ascii="Times New Roman" w:hAnsi="Times New Roman" w:cs="Times New Roman"/>
          <w:sz w:val="20"/>
          <w:szCs w:val="20"/>
        </w:rPr>
        <w:t xml:space="preserve">HAUWAERT, F.; </w:t>
      </w:r>
      <w:r w:rsidRPr="00426625">
        <w:rPr>
          <w:rFonts w:ascii="Times New Roman" w:hAnsi="Times New Roman" w:cs="Times New Roman"/>
          <w:i/>
          <w:sz w:val="20"/>
          <w:szCs w:val="20"/>
        </w:rPr>
        <w:t>Privacywetgeving in de praktijk</w:t>
      </w:r>
      <w:r w:rsidRPr="00426625">
        <w:rPr>
          <w:rFonts w:ascii="Times New Roman" w:hAnsi="Times New Roman" w:cs="Times New Roman"/>
          <w:sz w:val="20"/>
          <w:szCs w:val="20"/>
        </w:rPr>
        <w:t>, Recht en ICT, 1, Kortrijk, UGA, 2009, p. 241.</w:t>
      </w:r>
    </w:p>
  </w:footnote>
  <w:footnote w:id="42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7 § 2, a van de Privacywet.</w:t>
      </w:r>
    </w:p>
  </w:footnote>
  <w:footnote w:id="42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CALLENS; GOOSSENS; CIERKENS; p. 342-343 (nrs. 881-884); HERVEG, J., ‘L’accès du patient aux log files de son dossier informatisé’, </w:t>
      </w:r>
      <w:r w:rsidRPr="00E333B6">
        <w:rPr>
          <w:rFonts w:ascii="Times New Roman" w:hAnsi="Times New Roman"/>
          <w:i/>
          <w:lang w:val="fr-BE"/>
        </w:rPr>
        <w:t>D.C.C.R.</w:t>
      </w:r>
      <w:r w:rsidRPr="00E333B6">
        <w:rPr>
          <w:rFonts w:ascii="Times New Roman" w:hAnsi="Times New Roman"/>
          <w:lang w:val="fr-BE"/>
        </w:rPr>
        <w:t>, 90 (2011), p. 34-55.</w:t>
      </w:r>
    </w:p>
  </w:footnote>
  <w:footnote w:id="4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rPr>
        <w:t>eHealthBox: Webtoepassing en webservices</w:t>
      </w:r>
      <w:r w:rsidRPr="00426625">
        <w:rPr>
          <w:rFonts w:ascii="Times New Roman" w:hAnsi="Times New Roman"/>
        </w:rPr>
        <w:t xml:space="preserve">, Brussel, 2010; </w:t>
      </w:r>
      <w:r w:rsidRPr="00426625">
        <w:rPr>
          <w:rFonts w:ascii="Times New Roman" w:hAnsi="Times New Roman"/>
          <w:i/>
        </w:rPr>
        <w:t>eHealthBox: Beveiligde elektronische brieven</w:t>
      </w:r>
      <w:r>
        <w:rPr>
          <w:rFonts w:ascii="Times New Roman" w:hAnsi="Times New Roman"/>
          <w:i/>
        </w:rPr>
        <w:t>-</w:t>
      </w:r>
      <w:r w:rsidRPr="00426625">
        <w:rPr>
          <w:rFonts w:ascii="Times New Roman" w:hAnsi="Times New Roman"/>
          <w:i/>
        </w:rPr>
        <w:t>bus</w:t>
      </w:r>
      <w:r w:rsidRPr="00426625">
        <w:rPr>
          <w:rFonts w:ascii="Times New Roman" w:hAnsi="Times New Roman"/>
        </w:rPr>
        <w:t xml:space="preserve">, Brussel, 2011; WAUTERS, W., </w:t>
      </w:r>
      <w:r w:rsidRPr="00426625">
        <w:rPr>
          <w:rFonts w:ascii="Times New Roman" w:hAnsi="Times New Roman"/>
          <w:i/>
        </w:rPr>
        <w:t>eHealthBox. Presentatie van de huidige en toekomstige functionaliteiten</w:t>
      </w:r>
      <w:r w:rsidRPr="00426625">
        <w:rPr>
          <w:rFonts w:ascii="Times New Roman" w:hAnsi="Times New Roman"/>
        </w:rPr>
        <w:t>, Brussel, 2011.</w:t>
      </w:r>
    </w:p>
  </w:footnote>
  <w:footnote w:id="43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11/088 van 18 oktober 2011 van de afdeling Gezondheid van het Sectoraal Comité van de Sociale Zekerheid en van de Gezondheid met betrekking tot de nota betreffende de elektronische bewijsmiddelen van een therapeutische relatie en van een zorgrelatie, p. 1-5; Federale Commissie ‘Rechten van de patiënt’, ‘Advies in verband met de ‘nota betreffende de therapeutische relatie’ opgesteld door de werkgroep G19 van het eHealth-platform’, p. 170-173 (nrs. 11-16); POLLET, I., </w:t>
      </w:r>
      <w:r w:rsidRPr="00426625">
        <w:rPr>
          <w:rFonts w:ascii="Times New Roman" w:hAnsi="Times New Roman" w:cs="Times New Roman"/>
          <w:i/>
          <w:sz w:val="20"/>
          <w:szCs w:val="20"/>
        </w:rPr>
        <w:t>Elektronische bewijzen van een therapeutische relatie. Archi</w:t>
      </w:r>
      <w:r>
        <w:rPr>
          <w:rFonts w:ascii="Times New Roman" w:hAnsi="Times New Roman" w:cs="Times New Roman"/>
          <w:i/>
          <w:sz w:val="20"/>
          <w:szCs w:val="20"/>
        </w:rPr>
        <w:t>-</w:t>
      </w:r>
      <w:r w:rsidRPr="00426625">
        <w:rPr>
          <w:rFonts w:ascii="Times New Roman" w:hAnsi="Times New Roman" w:cs="Times New Roman"/>
          <w:i/>
          <w:sz w:val="20"/>
          <w:szCs w:val="20"/>
        </w:rPr>
        <w:t>tectuurelementen</w:t>
      </w:r>
      <w:r w:rsidRPr="00426625">
        <w:rPr>
          <w:rFonts w:ascii="Times New Roman" w:hAnsi="Times New Roman" w:cs="Times New Roman"/>
          <w:sz w:val="20"/>
          <w:szCs w:val="20"/>
        </w:rPr>
        <w:t xml:space="preserve">, Brussel, 2012; Werkgroep G19, </w:t>
      </w:r>
      <w:r w:rsidRPr="00426625">
        <w:rPr>
          <w:rFonts w:ascii="Times New Roman" w:hAnsi="Times New Roman" w:cs="Times New Roman"/>
          <w:i/>
          <w:sz w:val="20"/>
          <w:szCs w:val="20"/>
        </w:rPr>
        <w:t>Nota betreffende de elektronische bewijsmiddelen van een therapeutische relatie en van een zorgrelatie</w:t>
      </w:r>
      <w:r w:rsidRPr="00426625">
        <w:rPr>
          <w:rFonts w:ascii="Times New Roman" w:hAnsi="Times New Roman" w:cs="Times New Roman"/>
          <w:sz w:val="20"/>
          <w:szCs w:val="20"/>
        </w:rPr>
        <w:t xml:space="preserve">, Brussel, 2010.  </w:t>
      </w:r>
    </w:p>
  </w:footnote>
  <w:footnote w:id="43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Werkgroep G19, </w:t>
      </w:r>
      <w:r w:rsidRPr="00426625">
        <w:rPr>
          <w:rFonts w:ascii="Times New Roman" w:hAnsi="Times New Roman" w:cs="Times New Roman"/>
          <w:i/>
          <w:sz w:val="20"/>
          <w:szCs w:val="20"/>
        </w:rPr>
        <w:t>Nota betreffende de geïnformeerde toestemming in het hub &amp; metahub-project</w:t>
      </w:r>
      <w:r w:rsidRPr="00426625">
        <w:rPr>
          <w:rFonts w:ascii="Times New Roman" w:hAnsi="Times New Roman" w:cs="Times New Roman"/>
          <w:sz w:val="20"/>
          <w:szCs w:val="20"/>
        </w:rPr>
        <w:t xml:space="preserve">, Brussel, 2011. </w:t>
      </w:r>
    </w:p>
  </w:footnote>
  <w:footnote w:id="4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Federale Commissie ‘Rechten van de patiënt’, ‘Advies in verband met de ‘nota betreffende de therapeutische relatie’ opgesteld door de werkgroep G19 van het eHealth-platform’, p. 173-174 (nrs. 17-18).</w:t>
      </w:r>
    </w:p>
  </w:footnote>
  <w:footnote w:id="43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Beraadslaging nr. 09/008 van 20 januari 2009 van het Sectoraal Comité van de Sociale Zekerheid en van de Gezondheid met betrekking tot het geïntegreerd gebruikers- en toegangsbeheer door het eHealth-platform bij de uitwisseling van persoonsgegevens.</w:t>
      </w:r>
    </w:p>
  </w:footnote>
  <w:footnote w:id="43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Federale Commissie ‘Rechten van de patiënt’, ‘Advies in verband met de ‘nota betreffende de therapeutische relatie’ opgesteld door de werkgroep G19 van het eHealth-platform’, p. 174 (nr. 19).</w:t>
      </w:r>
    </w:p>
  </w:footnote>
  <w:footnote w:id="43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Zie bijvoorbeeld: VAN DEN BOSCH, B., ‘Toegangscontrole in ziekenhuisinformatiesystemen’, CALLENS, S.; BRILLON, S.; DE BOT, D.; NYS, H.; VAN DEN BOSCH, B.; </w:t>
      </w:r>
      <w:r w:rsidRPr="00426625">
        <w:rPr>
          <w:rFonts w:ascii="Times New Roman" w:hAnsi="Times New Roman" w:cs="Times New Roman"/>
          <w:i/>
          <w:iCs/>
          <w:sz w:val="20"/>
          <w:szCs w:val="20"/>
        </w:rPr>
        <w:t>Privacy en verwerking van gegevens in het ziekenhuis</w:t>
      </w:r>
      <w:r w:rsidRPr="00426625">
        <w:rPr>
          <w:rFonts w:ascii="Times New Roman" w:hAnsi="Times New Roman" w:cs="Times New Roman"/>
          <w:sz w:val="20"/>
          <w:szCs w:val="20"/>
        </w:rPr>
        <w:t>, Diegem, Kluwer, 2002, p. 59-88.</w:t>
      </w:r>
    </w:p>
  </w:footnote>
  <w:footnote w:id="43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en art. 8 Wet Patiëntenrechten.</w:t>
      </w:r>
    </w:p>
  </w:footnote>
  <w:footnote w:id="43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VERHENNEMAN, G., ROBBEN, F., DUMORTIER, J., ‘Het Belgische eHealth-platform en haar praktische en juridische uitdagingen’,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2011, 6, p. 308.</w:t>
      </w:r>
    </w:p>
  </w:footnote>
  <w:footnote w:id="438">
    <w:p w:rsidR="00E82D16" w:rsidRPr="00BE6BB0"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Idem. Zie ook: advies nr. 19/2002 van 10 juni 2002 van de CBPL betreffende het ontwerp van wet tot wijzig</w:t>
      </w:r>
      <w:r>
        <w:rPr>
          <w:rFonts w:ascii="Times New Roman" w:hAnsi="Times New Roman" w:cs="Times New Roman"/>
          <w:sz w:val="20"/>
          <w:szCs w:val="20"/>
        </w:rPr>
        <w:t>-</w:t>
      </w:r>
      <w:r w:rsidRPr="00426625">
        <w:rPr>
          <w:rFonts w:ascii="Times New Roman" w:hAnsi="Times New Roman" w:cs="Times New Roman"/>
          <w:sz w:val="20"/>
          <w:szCs w:val="20"/>
        </w:rPr>
        <w:t>ing van de wet van 8 augustus 1983 tot regeling van een Rijksregister van de natuurlijke personen en van de wet van 19 juli 1991 betreffende de bevolkingsregisters en de identiteitskaarten en tot wijziging van de wet van 8 au</w:t>
      </w:r>
      <w:r>
        <w:rPr>
          <w:rFonts w:ascii="Times New Roman" w:hAnsi="Times New Roman" w:cs="Times New Roman"/>
          <w:sz w:val="20"/>
          <w:szCs w:val="20"/>
        </w:rPr>
        <w:t>-</w:t>
      </w:r>
      <w:r w:rsidRPr="00426625">
        <w:rPr>
          <w:rFonts w:ascii="Times New Roman" w:hAnsi="Times New Roman" w:cs="Times New Roman"/>
          <w:sz w:val="20"/>
          <w:szCs w:val="20"/>
        </w:rPr>
        <w:t>gustus 1983 tot regeling van een Rijksregister van de natuurlijke personen, het ontwerp van koninklijk besluit betreffende de identiteitskaarten, en het ontwerp van koninklijk besluit houdende overgangsmaatregelen in ver</w:t>
      </w:r>
      <w:r>
        <w:rPr>
          <w:rFonts w:ascii="Times New Roman" w:hAnsi="Times New Roman" w:cs="Times New Roman"/>
          <w:sz w:val="20"/>
          <w:szCs w:val="20"/>
        </w:rPr>
        <w:t>-</w:t>
      </w:r>
      <w:r w:rsidRPr="00426625">
        <w:rPr>
          <w:rFonts w:ascii="Times New Roman" w:hAnsi="Times New Roman" w:cs="Times New Roman"/>
          <w:sz w:val="20"/>
          <w:szCs w:val="20"/>
        </w:rPr>
        <w:t>band met de elektronische identiteitskaarten in België, p. 8-11; advies nr. 30/2002 van 12 augustus 2002 van de CBPL betreffende het ontwerp van decreet betreffende het preventieve gezondheidsbeleid, p. 5; advies nr. 33/</w:t>
      </w:r>
      <w:r>
        <w:rPr>
          <w:rFonts w:ascii="Times New Roman" w:hAnsi="Times New Roman" w:cs="Times New Roman"/>
          <w:sz w:val="20"/>
          <w:szCs w:val="20"/>
        </w:rPr>
        <w:t xml:space="preserve"> </w:t>
      </w:r>
      <w:r w:rsidRPr="00426625">
        <w:rPr>
          <w:rFonts w:ascii="Times New Roman" w:hAnsi="Times New Roman" w:cs="Times New Roman"/>
          <w:sz w:val="20"/>
          <w:szCs w:val="20"/>
        </w:rPr>
        <w:t>2002 van 22 augustus 2002 van de CBPL betreffende het ontwerp van wet houdende oprichting van het Fede</w:t>
      </w:r>
      <w:r>
        <w:rPr>
          <w:rFonts w:ascii="Times New Roman" w:hAnsi="Times New Roman" w:cs="Times New Roman"/>
          <w:sz w:val="20"/>
          <w:szCs w:val="20"/>
        </w:rPr>
        <w:t>-</w:t>
      </w:r>
      <w:r w:rsidRPr="00426625">
        <w:rPr>
          <w:rFonts w:ascii="Times New Roman" w:hAnsi="Times New Roman" w:cs="Times New Roman"/>
          <w:sz w:val="20"/>
          <w:szCs w:val="20"/>
        </w:rPr>
        <w:t>raal Kenniscentrum voor de Gezondheidszorg, p. 5 en p. 9; advies nr. 10/2004 van 23 september 2004 van de CBPL betreffende het ontwerp van koninklijk besluit houdende organisatie van de kankerregistratie, p. 4-5; ad</w:t>
      </w:r>
      <w:r>
        <w:rPr>
          <w:rFonts w:ascii="Times New Roman" w:hAnsi="Times New Roman" w:cs="Times New Roman"/>
          <w:sz w:val="20"/>
          <w:szCs w:val="20"/>
        </w:rPr>
        <w:t>-</w:t>
      </w:r>
      <w:r w:rsidRPr="00426625">
        <w:rPr>
          <w:rFonts w:ascii="Times New Roman" w:hAnsi="Times New Roman" w:cs="Times New Roman"/>
          <w:sz w:val="20"/>
          <w:szCs w:val="20"/>
        </w:rPr>
        <w:t xml:space="preserve">vies nr. 01/2005 van 10 januari 2005 van de CBPL betreffende ontwerp van koninklijk besluit houdende </w:t>
      </w:r>
      <w:r w:rsidRPr="00BE6BB0">
        <w:rPr>
          <w:rFonts w:ascii="Times New Roman" w:hAnsi="Times New Roman" w:cs="Times New Roman"/>
          <w:sz w:val="20"/>
          <w:szCs w:val="20"/>
        </w:rPr>
        <w:t>organi</w:t>
      </w:r>
      <w:r>
        <w:rPr>
          <w:rFonts w:ascii="Times New Roman" w:hAnsi="Times New Roman" w:cs="Times New Roman"/>
          <w:sz w:val="20"/>
          <w:szCs w:val="20"/>
        </w:rPr>
        <w:t>-</w:t>
      </w:r>
      <w:r w:rsidRPr="00BE6BB0">
        <w:rPr>
          <w:rFonts w:ascii="Times New Roman" w:hAnsi="Times New Roman" w:cs="Times New Roman"/>
          <w:sz w:val="20"/>
          <w:szCs w:val="20"/>
        </w:rPr>
        <w:t>satie van de kankerregistratie</w:t>
      </w:r>
      <w:r w:rsidRPr="00BE6BB0">
        <w:rPr>
          <w:rStyle w:val="Hyperlink"/>
          <w:rFonts w:ascii="Times New Roman" w:hAnsi="Times New Roman" w:cs="Times New Roman"/>
          <w:color w:val="auto"/>
          <w:sz w:val="20"/>
          <w:szCs w:val="20"/>
          <w:u w:val="none"/>
        </w:rPr>
        <w:t>, p. 3-4 en p. 6-7; advies nr. 14/2008 van 2 april 2008, p. 9</w:t>
      </w:r>
      <w:r w:rsidRPr="00BE6BB0">
        <w:rPr>
          <w:rFonts w:ascii="Times New Roman" w:hAnsi="Times New Roman" w:cs="Times New Roman"/>
          <w:sz w:val="20"/>
          <w:szCs w:val="20"/>
        </w:rPr>
        <w:t>.</w:t>
      </w:r>
    </w:p>
  </w:footnote>
  <w:footnote w:id="43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DUMORTIER; GRAUX; </w:t>
      </w:r>
      <w:r w:rsidRPr="00426625">
        <w:rPr>
          <w:rFonts w:ascii="Times New Roman" w:hAnsi="Times New Roman" w:cs="Times New Roman"/>
          <w:i/>
          <w:sz w:val="20"/>
          <w:szCs w:val="20"/>
        </w:rPr>
        <w:t>Privacywetgeving in de praktijk</w:t>
      </w:r>
      <w:r w:rsidRPr="00426625">
        <w:rPr>
          <w:rFonts w:ascii="Times New Roman" w:hAnsi="Times New Roman" w:cs="Times New Roman"/>
          <w:sz w:val="20"/>
          <w:szCs w:val="20"/>
        </w:rPr>
        <w:t>, p. 241.</w:t>
      </w:r>
    </w:p>
  </w:footnote>
  <w:footnote w:id="440">
    <w:p w:rsidR="00E82D16" w:rsidRPr="00BE6BB0" w:rsidRDefault="00E82D16" w:rsidP="00426625">
      <w:pPr>
        <w:pStyle w:val="Geenafstand"/>
        <w:jc w:val="both"/>
        <w:rPr>
          <w:rFonts w:ascii="Times New Roman" w:hAnsi="Times New Roman" w:cs="Times New Roman"/>
          <w:sz w:val="20"/>
          <w:szCs w:val="20"/>
        </w:rPr>
      </w:pPr>
      <w:r w:rsidRPr="00BE6BB0">
        <w:rPr>
          <w:rStyle w:val="Voetnootmarkering"/>
          <w:rFonts w:ascii="Times New Roman" w:hAnsi="Times New Roman" w:cs="Times New Roman"/>
          <w:sz w:val="20"/>
          <w:szCs w:val="20"/>
        </w:rPr>
        <w:footnoteRef/>
      </w:r>
      <w:r w:rsidRPr="00BE6BB0">
        <w:rPr>
          <w:rStyle w:val="Hyperlink"/>
          <w:rFonts w:ascii="Times New Roman" w:hAnsi="Times New Roman" w:cs="Times New Roman"/>
          <w:color w:val="auto"/>
          <w:sz w:val="20"/>
          <w:szCs w:val="20"/>
          <w:u w:val="none"/>
        </w:rPr>
        <w:t xml:space="preserve"> Advies nr. 14/2008 van 2 april 2008</w:t>
      </w:r>
      <w:r w:rsidRPr="00BE6BB0">
        <w:rPr>
          <w:rFonts w:ascii="Times New Roman" w:hAnsi="Times New Roman" w:cs="Times New Roman"/>
          <w:sz w:val="20"/>
          <w:szCs w:val="20"/>
        </w:rPr>
        <w:t xml:space="preserve">, p. 12-13. </w:t>
      </w:r>
    </w:p>
  </w:footnote>
  <w:footnote w:id="44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‘Privacycommissie geeft in advies eHealth-platform groen licht voor gebruik Rijksregisternummer’, </w:t>
      </w:r>
      <w:r w:rsidRPr="00426625">
        <w:rPr>
          <w:rFonts w:ascii="Times New Roman" w:hAnsi="Times New Roman" w:cs="Times New Roman"/>
          <w:i/>
          <w:sz w:val="20"/>
          <w:szCs w:val="20"/>
        </w:rPr>
        <w:t>P&amp;I</w:t>
      </w:r>
      <w:r w:rsidRPr="00426625">
        <w:rPr>
          <w:rFonts w:ascii="Times New Roman" w:hAnsi="Times New Roman" w:cs="Times New Roman"/>
          <w:sz w:val="20"/>
          <w:szCs w:val="20"/>
        </w:rPr>
        <w:t>, 11/4 (2008), p. 202-203 (nr. 224).</w:t>
      </w:r>
    </w:p>
  </w:footnote>
  <w:footnote w:id="442">
    <w:p w:rsidR="00E82D16" w:rsidRPr="00BE6BB0" w:rsidRDefault="00E82D16" w:rsidP="00426625">
      <w:pPr>
        <w:pStyle w:val="Geenafstand"/>
        <w:jc w:val="both"/>
        <w:rPr>
          <w:rFonts w:ascii="Times New Roman" w:hAnsi="Times New Roman" w:cs="Times New Roman"/>
          <w:sz w:val="20"/>
          <w:szCs w:val="20"/>
        </w:rPr>
      </w:pPr>
      <w:r w:rsidRPr="00BE6BB0">
        <w:rPr>
          <w:rStyle w:val="Voetnootmarkering"/>
          <w:rFonts w:ascii="Times New Roman" w:hAnsi="Times New Roman" w:cs="Times New Roman"/>
          <w:sz w:val="20"/>
          <w:szCs w:val="20"/>
        </w:rPr>
        <w:footnoteRef/>
      </w:r>
      <w:r w:rsidRPr="00BE6BB0">
        <w:rPr>
          <w:rFonts w:ascii="Times New Roman" w:hAnsi="Times New Roman" w:cs="Times New Roman"/>
          <w:sz w:val="20"/>
          <w:szCs w:val="20"/>
        </w:rPr>
        <w:t xml:space="preserve"> </w:t>
      </w:r>
      <w:r w:rsidRPr="00BE6BB0">
        <w:rPr>
          <w:rFonts w:ascii="Times New Roman" w:hAnsi="Times New Roman" w:cs="Times New Roman"/>
          <w:i/>
          <w:sz w:val="20"/>
          <w:szCs w:val="20"/>
        </w:rPr>
        <w:t>Parl. St.</w:t>
      </w:r>
      <w:r w:rsidRPr="00BE6BB0">
        <w:rPr>
          <w:rFonts w:ascii="Times New Roman" w:hAnsi="Times New Roman" w:cs="Times New Roman"/>
          <w:sz w:val="20"/>
          <w:szCs w:val="20"/>
        </w:rPr>
        <w:t xml:space="preserve"> Kamer, 2007-2008, nr. 52-1257/006, art. 7; a</w:t>
      </w:r>
      <w:r w:rsidRPr="00BE6BB0">
        <w:rPr>
          <w:rStyle w:val="Hyperlink"/>
          <w:rFonts w:ascii="Times New Roman" w:hAnsi="Times New Roman" w:cs="Times New Roman"/>
          <w:color w:val="auto"/>
          <w:sz w:val="20"/>
          <w:szCs w:val="20"/>
          <w:u w:val="none"/>
        </w:rPr>
        <w:t>dvies nr. 14/2008 van 2 april 2008</w:t>
      </w:r>
      <w:r w:rsidRPr="00BE6BB0">
        <w:rPr>
          <w:rFonts w:ascii="Times New Roman" w:hAnsi="Times New Roman" w:cs="Times New Roman"/>
          <w:sz w:val="20"/>
          <w:szCs w:val="20"/>
        </w:rPr>
        <w:t>, p. 3-4.</w:t>
      </w:r>
    </w:p>
  </w:footnote>
  <w:footnote w:id="44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sz w:val="20"/>
          <w:szCs w:val="20"/>
        </w:rPr>
        <w:t>Parl. St.</w:t>
      </w:r>
      <w:r w:rsidRPr="00426625">
        <w:rPr>
          <w:rFonts w:ascii="Times New Roman" w:hAnsi="Times New Roman" w:cs="Times New Roman"/>
          <w:sz w:val="20"/>
          <w:szCs w:val="20"/>
        </w:rPr>
        <w:t xml:space="preserve"> Kamer, 2007-2008, nr. 52-1257/006, art. 8; art. 8 § 12 van de wet van 15 januari 1990 houdende op</w:t>
      </w:r>
      <w:r>
        <w:rPr>
          <w:rFonts w:ascii="Times New Roman" w:hAnsi="Times New Roman" w:cs="Times New Roman"/>
          <w:sz w:val="20"/>
          <w:szCs w:val="20"/>
        </w:rPr>
        <w:t>-</w:t>
      </w:r>
      <w:r w:rsidRPr="00426625">
        <w:rPr>
          <w:rFonts w:ascii="Times New Roman" w:hAnsi="Times New Roman" w:cs="Times New Roman"/>
          <w:sz w:val="20"/>
          <w:szCs w:val="20"/>
        </w:rPr>
        <w:t>richting van de Kruispuntbank van de Sociale Zekerheid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22 februari 1990). </w:t>
      </w:r>
    </w:p>
  </w:footnote>
  <w:footnote w:id="44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18/2010 van 9 juni 2010 van de CBPL betreffende het voorstel tot wijziging van de wet van 21/</w:t>
      </w:r>
      <w:r>
        <w:rPr>
          <w:rFonts w:ascii="Times New Roman" w:hAnsi="Times New Roman" w:cs="Times New Roman"/>
          <w:sz w:val="20"/>
          <w:szCs w:val="20"/>
        </w:rPr>
        <w:t xml:space="preserve"> </w:t>
      </w:r>
      <w:r w:rsidRPr="00426625">
        <w:rPr>
          <w:rFonts w:ascii="Times New Roman" w:hAnsi="Times New Roman" w:cs="Times New Roman"/>
          <w:sz w:val="20"/>
          <w:szCs w:val="20"/>
        </w:rPr>
        <w:t>08/2008 houdende oprichting en organisatie van het eHealth-platform – Machtiging voor de zorgverleners in de gezondheidszorg om het identificatienummer te gebruiken van het Rijksregister en het Register bis, p. 2; Be</w:t>
      </w:r>
      <w:r>
        <w:rPr>
          <w:rFonts w:ascii="Times New Roman" w:hAnsi="Times New Roman" w:cs="Times New Roman"/>
          <w:sz w:val="20"/>
          <w:szCs w:val="20"/>
        </w:rPr>
        <w:t>-</w:t>
      </w:r>
      <w:r w:rsidRPr="00426625">
        <w:rPr>
          <w:rFonts w:ascii="Times New Roman" w:hAnsi="Times New Roman" w:cs="Times New Roman"/>
          <w:sz w:val="20"/>
          <w:szCs w:val="20"/>
        </w:rPr>
        <w:t>raadslaging RR nr. 69/2011 van 14 december 2011 van de CBPL betreffende de aanvraag van het eHealth-plat</w:t>
      </w:r>
      <w:r>
        <w:rPr>
          <w:rFonts w:ascii="Times New Roman" w:hAnsi="Times New Roman" w:cs="Times New Roman"/>
          <w:sz w:val="20"/>
          <w:szCs w:val="20"/>
        </w:rPr>
        <w:t>-</w:t>
      </w:r>
      <w:r w:rsidRPr="00426625">
        <w:rPr>
          <w:rFonts w:ascii="Times New Roman" w:hAnsi="Times New Roman" w:cs="Times New Roman"/>
          <w:sz w:val="20"/>
          <w:szCs w:val="20"/>
        </w:rPr>
        <w:t>form ten behoeve van de actoren in de gezondheidszorg die gebruik maken van de basisdiensten die door het eHealth-platform worden aangeboden om toegang te hebben tot de informatiegegevens van het Rijksregister en het identificatienummer ervan te gebruiken, p. 4 (voetnoot 1).</w:t>
      </w:r>
    </w:p>
  </w:footnote>
  <w:footnote w:id="44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DUMORTIER, J.; ROBBEN, F.; ‘Gebruikers- en toegangsbeheer bij het bestuurlijke elektronische gegevens</w:t>
      </w:r>
      <w:r>
        <w:rPr>
          <w:rFonts w:ascii="Times New Roman" w:hAnsi="Times New Roman" w:cs="Times New Roman"/>
          <w:sz w:val="20"/>
          <w:szCs w:val="20"/>
        </w:rPr>
        <w:t>-</w:t>
      </w:r>
      <w:r w:rsidRPr="00426625">
        <w:rPr>
          <w:rFonts w:ascii="Times New Roman" w:hAnsi="Times New Roman" w:cs="Times New Roman"/>
          <w:sz w:val="20"/>
          <w:szCs w:val="20"/>
        </w:rPr>
        <w:t xml:space="preserve">verkeer in België’,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2009, 2, p. 42-73.</w:t>
      </w:r>
    </w:p>
  </w:footnote>
  <w:footnote w:id="44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7 juni 2009 tot regeling van het elektronisch document ter vervanging binnen ziekenhuizen, van de voorschriften van de bevoegde geneesheer en van de bevoegde beoefenaar van de tandheelkunde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 juli 2009).</w:t>
      </w:r>
    </w:p>
  </w:footnote>
  <w:footnote w:id="44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Beraadslaging nr. 11/046 van 17 mei 2011 van de afdeling Gezondheid van het Sectoraal Comité van de So</w:t>
      </w:r>
      <w:r>
        <w:rPr>
          <w:rFonts w:ascii="Times New Roman" w:hAnsi="Times New Roman" w:cs="Times New Roman"/>
          <w:sz w:val="20"/>
          <w:szCs w:val="20"/>
        </w:rPr>
        <w:t>-</w:t>
      </w:r>
      <w:r w:rsidRPr="00426625">
        <w:rPr>
          <w:rFonts w:ascii="Times New Roman" w:hAnsi="Times New Roman" w:cs="Times New Roman"/>
          <w:sz w:val="20"/>
          <w:szCs w:val="20"/>
        </w:rPr>
        <w:t>ciale Zekerheid en van de Gezondheid met betrekking tot de nota betreffende de geïnformatiseerde toestemming in het hub &amp; metahubproject.</w:t>
      </w:r>
    </w:p>
  </w:footnote>
  <w:footnote w:id="44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HENDRICKX, P., ‘Elektronische identiteitskaart eerst naar artsen. De voor- en nadelen van de eID’, </w:t>
      </w:r>
      <w:r w:rsidRPr="00426625">
        <w:rPr>
          <w:rFonts w:ascii="Times New Roman" w:hAnsi="Times New Roman" w:cs="Times New Roman"/>
          <w:i/>
          <w:sz w:val="20"/>
          <w:szCs w:val="20"/>
        </w:rPr>
        <w:t>Artsen</w:t>
      </w:r>
      <w:r>
        <w:rPr>
          <w:rFonts w:ascii="Times New Roman" w:hAnsi="Times New Roman" w:cs="Times New Roman"/>
          <w:i/>
          <w:sz w:val="20"/>
          <w:szCs w:val="20"/>
        </w:rPr>
        <w:t>-</w:t>
      </w:r>
      <w:r w:rsidRPr="00426625">
        <w:rPr>
          <w:rFonts w:ascii="Times New Roman" w:hAnsi="Times New Roman" w:cs="Times New Roman"/>
          <w:i/>
          <w:sz w:val="20"/>
          <w:szCs w:val="20"/>
        </w:rPr>
        <w:t>krant</w:t>
      </w:r>
      <w:r w:rsidRPr="00426625">
        <w:rPr>
          <w:rFonts w:ascii="Times New Roman" w:hAnsi="Times New Roman" w:cs="Times New Roman"/>
          <w:sz w:val="20"/>
          <w:szCs w:val="20"/>
        </w:rPr>
        <w:t xml:space="preserve">, 1557 (2003), p. 36; ROBBEN, F., </w:t>
      </w:r>
      <w:r w:rsidRPr="00426625">
        <w:rPr>
          <w:rFonts w:ascii="Times New Roman" w:hAnsi="Times New Roman" w:cs="Times New Roman"/>
          <w:i/>
          <w:sz w:val="20"/>
          <w:szCs w:val="20"/>
        </w:rPr>
        <w:t>eHealth-toepassingen en het gebruik van de Belgische elektronische identiteitskaart</w:t>
      </w:r>
      <w:r w:rsidRPr="00426625">
        <w:rPr>
          <w:rFonts w:ascii="Times New Roman" w:hAnsi="Times New Roman" w:cs="Times New Roman"/>
          <w:sz w:val="20"/>
          <w:szCs w:val="20"/>
        </w:rPr>
        <w:t xml:space="preserve">, Brussel, 2008; SIJNAVE, B., ‘De elektronische identiteitskaart in UZ Gent’, </w:t>
      </w:r>
      <w:r w:rsidRPr="00426625">
        <w:rPr>
          <w:rFonts w:ascii="Times New Roman" w:hAnsi="Times New Roman" w:cs="Times New Roman"/>
          <w:i/>
          <w:sz w:val="20"/>
          <w:szCs w:val="20"/>
        </w:rPr>
        <w:t>Vl.T.O.</w:t>
      </w:r>
      <w:r w:rsidRPr="00426625">
        <w:rPr>
          <w:rFonts w:ascii="Times New Roman" w:hAnsi="Times New Roman" w:cs="Times New Roman"/>
          <w:sz w:val="20"/>
          <w:szCs w:val="20"/>
        </w:rPr>
        <w:t>, 2005, 4, p. 29-34.</w:t>
      </w:r>
    </w:p>
  </w:footnote>
  <w:footnote w:id="44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BOT, D., </w:t>
      </w:r>
      <w:r w:rsidRPr="00426625">
        <w:rPr>
          <w:rFonts w:ascii="Times New Roman" w:hAnsi="Times New Roman" w:cs="Times New Roman"/>
          <w:i/>
          <w:sz w:val="20"/>
          <w:szCs w:val="20"/>
        </w:rPr>
        <w:t>Privacybescherming bij e-government in België. Een kritische analyse van het Rijksregister, de Kruispuntbank van Ondernemingen en de elektronische identiteitskaart als belangrijkste juridische bouwstenen</w:t>
      </w:r>
      <w:r w:rsidRPr="00426625">
        <w:rPr>
          <w:rFonts w:ascii="Times New Roman" w:hAnsi="Times New Roman" w:cs="Times New Roman"/>
          <w:sz w:val="20"/>
          <w:szCs w:val="20"/>
        </w:rPr>
        <w:t>, Collectie Publiekrecht, Brugge, Vanden Broele, 2005, p. 327-334 (nrs. 917-932).</w:t>
      </w:r>
    </w:p>
  </w:footnote>
  <w:footnote w:id="450">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KB van 25 maart 2003 betreffende de identiteitskaarten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28 maart 2003); KB van 25 maart 2003 houdende overgangsmaatregelen in verband met de elektronische identiteitskaart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28 maart 2003), gewijzigd door het KB van 30 november 2003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12 december 2003); KB van 1 september 2004 houdende de bes</w:t>
      </w:r>
      <w:r>
        <w:rPr>
          <w:rFonts w:ascii="Times New Roman" w:hAnsi="Times New Roman" w:cs="Times New Roman"/>
          <w:sz w:val="20"/>
          <w:szCs w:val="20"/>
        </w:rPr>
        <w:t>lissing om over te gaan tot een</w:t>
      </w:r>
      <w:r w:rsidRPr="00426625">
        <w:rPr>
          <w:rFonts w:ascii="Times New Roman" w:hAnsi="Times New Roman" w:cs="Times New Roman"/>
          <w:sz w:val="20"/>
          <w:szCs w:val="20"/>
        </w:rPr>
        <w:t xml:space="preserve"> veralgemeende invoering van de elektronische identiteitskaart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15 september 2004). </w:t>
      </w:r>
      <w:r w:rsidRPr="00E333B6">
        <w:rPr>
          <w:rFonts w:ascii="Times New Roman" w:hAnsi="Times New Roman" w:cs="Times New Roman"/>
          <w:sz w:val="20"/>
          <w:szCs w:val="20"/>
          <w:lang w:val="fr-BE"/>
        </w:rPr>
        <w:t>GOF</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FARD, O.; ROGER FRANCE, E.; ‘L’introduction de la carte d’identité électronique en droit belge par la loi du 25 mars 2003: aspects juridiques’, </w:t>
      </w:r>
      <w:r w:rsidRPr="00E333B6">
        <w:rPr>
          <w:rFonts w:ascii="Times New Roman" w:hAnsi="Times New Roman" w:cs="Times New Roman"/>
          <w:i/>
          <w:sz w:val="20"/>
          <w:szCs w:val="20"/>
          <w:lang w:val="fr-BE"/>
        </w:rPr>
        <w:t>Juridische aspecten van de elektronische betaling</w:t>
      </w:r>
      <w:r w:rsidRPr="00E333B6">
        <w:rPr>
          <w:rFonts w:ascii="Times New Roman" w:hAnsi="Times New Roman" w:cs="Times New Roman"/>
          <w:sz w:val="20"/>
          <w:szCs w:val="20"/>
          <w:lang w:val="fr-BE"/>
        </w:rPr>
        <w:t>, 2, Brussel, Kluwer, 2004, p. 121-150.</w:t>
      </w:r>
    </w:p>
  </w:footnote>
  <w:footnote w:id="45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‘Elektronische id-kaart vervangt SIS-kaart vanaf 2014’,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19 augustus 2011. Dit was al lang het plan: ‘De Belgische SIS-kaart verdwijnt tegen 2011’,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11/5 (2008), p. 260 (nr. 271); ‘SIS-kaart verdwijnt wellicht in 2011’,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9 augustus 2008; ‘SIS-kaart verdwijnt in 2013’,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29 juni 2010. Zie ook: ‘Sociale identiteitskaart – Privacyproblematiek’, </w:t>
      </w:r>
      <w:r w:rsidRPr="00426625">
        <w:rPr>
          <w:rFonts w:ascii="Times New Roman" w:hAnsi="Times New Roman" w:cs="Times New Roman"/>
          <w:i/>
          <w:sz w:val="20"/>
          <w:szCs w:val="20"/>
        </w:rPr>
        <w:t>Hosp.</w:t>
      </w:r>
      <w:r w:rsidRPr="00426625">
        <w:rPr>
          <w:rFonts w:ascii="Times New Roman" w:hAnsi="Times New Roman" w:cs="Times New Roman"/>
          <w:sz w:val="20"/>
          <w:szCs w:val="20"/>
        </w:rPr>
        <w:t xml:space="preserve">, 41/3 (1997), p. 138-139; BOTTERMAN, C., ‘De sociale zekerheidskaart’, </w:t>
      </w:r>
      <w:r w:rsidRPr="00426625">
        <w:rPr>
          <w:rFonts w:ascii="Times New Roman" w:hAnsi="Times New Roman" w:cs="Times New Roman"/>
          <w:i/>
          <w:sz w:val="20"/>
          <w:szCs w:val="20"/>
        </w:rPr>
        <w:t>Kijk Uit</w:t>
      </w:r>
      <w:r w:rsidRPr="00426625">
        <w:rPr>
          <w:rFonts w:ascii="Times New Roman" w:hAnsi="Times New Roman" w:cs="Times New Roman"/>
          <w:sz w:val="20"/>
          <w:szCs w:val="20"/>
        </w:rPr>
        <w:t xml:space="preserve">, 1986, p. 247-257; CLOQUET, E., ‘La nouvelle carte de sécurité sociale’, </w:t>
      </w:r>
      <w:r w:rsidRPr="00426625">
        <w:rPr>
          <w:rFonts w:ascii="Times New Roman" w:hAnsi="Times New Roman" w:cs="Times New Roman"/>
          <w:i/>
          <w:sz w:val="20"/>
          <w:szCs w:val="20"/>
        </w:rPr>
        <w:t>J.T.T.</w:t>
      </w:r>
      <w:r w:rsidRPr="00426625">
        <w:rPr>
          <w:rFonts w:ascii="Times New Roman" w:hAnsi="Times New Roman" w:cs="Times New Roman"/>
          <w:sz w:val="20"/>
          <w:szCs w:val="20"/>
        </w:rPr>
        <w:t xml:space="preserve">, 1985, p. 282-284; DE COSTER, T., ‘La carte d’identité sociale: enjeux vie privée’, </w:t>
      </w:r>
      <w:r w:rsidRPr="00426625">
        <w:rPr>
          <w:rFonts w:ascii="Times New Roman" w:hAnsi="Times New Roman" w:cs="Times New Roman"/>
          <w:i/>
          <w:sz w:val="20"/>
          <w:szCs w:val="20"/>
        </w:rPr>
        <w:t>T.S.R.</w:t>
      </w:r>
      <w:r w:rsidRPr="00426625">
        <w:rPr>
          <w:rFonts w:ascii="Times New Roman" w:hAnsi="Times New Roman" w:cs="Times New Roman"/>
          <w:sz w:val="20"/>
          <w:szCs w:val="20"/>
        </w:rPr>
        <w:t xml:space="preserve">, 1998, p. 495-515; ROBBEN, F., ‘De invoering van een elektronisch leesbare sociale identiteitskaart voor alle Belgen’,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xml:space="preserve">, 1998, 1, p. 14-19; VAN HOOF, K., ‘De sociale identiteitskaart’, W.A.V., 1998, 3, p. 28-33; VAN MALDEREN, G., ‘In de kaart gekeken: over de sociale identiteitskaart’, </w:t>
      </w:r>
      <w:r w:rsidRPr="00426625">
        <w:rPr>
          <w:rFonts w:ascii="Times New Roman" w:hAnsi="Times New Roman" w:cs="Times New Roman"/>
          <w:i/>
          <w:sz w:val="20"/>
          <w:szCs w:val="20"/>
        </w:rPr>
        <w:t>S&amp;P</w:t>
      </w:r>
      <w:r w:rsidRPr="00426625">
        <w:rPr>
          <w:rFonts w:ascii="Times New Roman" w:hAnsi="Times New Roman" w:cs="Times New Roman"/>
          <w:sz w:val="20"/>
          <w:szCs w:val="20"/>
        </w:rPr>
        <w:t>, 5/2 (1998), p. 29-37; VER</w:t>
      </w:r>
      <w:r>
        <w:rPr>
          <w:rFonts w:ascii="Times New Roman" w:hAnsi="Times New Roman" w:cs="Times New Roman"/>
          <w:sz w:val="20"/>
          <w:szCs w:val="20"/>
        </w:rPr>
        <w:t>-</w:t>
      </w:r>
      <w:r w:rsidRPr="00426625">
        <w:rPr>
          <w:rFonts w:ascii="Times New Roman" w:hAnsi="Times New Roman" w:cs="Times New Roman"/>
          <w:sz w:val="20"/>
          <w:szCs w:val="20"/>
        </w:rPr>
        <w:t xml:space="preserve">BRUGGE, F., ‘La carte d’identité sociale’, </w:t>
      </w:r>
      <w:r w:rsidRPr="00426625">
        <w:rPr>
          <w:rFonts w:ascii="Times New Roman" w:hAnsi="Times New Roman" w:cs="Times New Roman"/>
          <w:i/>
          <w:sz w:val="20"/>
          <w:szCs w:val="20"/>
        </w:rPr>
        <w:t>Ors.</w:t>
      </w:r>
      <w:r w:rsidRPr="00426625">
        <w:rPr>
          <w:rFonts w:ascii="Times New Roman" w:hAnsi="Times New Roman" w:cs="Times New Roman"/>
          <w:sz w:val="20"/>
          <w:szCs w:val="20"/>
        </w:rPr>
        <w:t>, 1998, p. 162-168.</w:t>
      </w:r>
    </w:p>
  </w:footnote>
  <w:footnote w:id="45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Het KB van 13 februari 1998 tot vaststelling van de specificaties en de registratieprocedure van de leesappa</w:t>
      </w:r>
      <w:r>
        <w:rPr>
          <w:rFonts w:ascii="Times New Roman" w:hAnsi="Times New Roman" w:cs="Times New Roman"/>
          <w:sz w:val="20"/>
          <w:szCs w:val="20"/>
        </w:rPr>
        <w:t>-</w:t>
      </w:r>
      <w:r w:rsidRPr="00426625">
        <w:rPr>
          <w:rFonts w:ascii="Times New Roman" w:hAnsi="Times New Roman" w:cs="Times New Roman"/>
          <w:sz w:val="20"/>
          <w:szCs w:val="20"/>
        </w:rPr>
        <w:t>ratuur voor de elektronische identiteitskaart en de sociale identiteitskaart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12 maart 1998), gewijzigd door het KB van 15 oktober 2000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 november 2000) en het KB van 7 december 2006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12 januari 2007). My Health kan geraadpleegd worden via </w:t>
      </w:r>
      <w:hyperlink r:id="rId56" w:history="1">
        <w:r w:rsidRPr="00EA26DD">
          <w:rPr>
            <w:rStyle w:val="Hyperlink"/>
            <w:rFonts w:ascii="Times New Roman" w:hAnsi="Times New Roman" w:cs="Times New Roman"/>
            <w:sz w:val="20"/>
            <w:szCs w:val="20"/>
          </w:rPr>
          <w:t>https://www.ehealth.fgov.be/nl/myehealth/login?destination=myehealth%2 Fpage</w:t>
        </w:r>
      </w:hyperlink>
      <w:r w:rsidRPr="00426625">
        <w:rPr>
          <w:rFonts w:ascii="Times New Roman" w:hAnsi="Times New Roman" w:cs="Times New Roman"/>
          <w:sz w:val="20"/>
          <w:szCs w:val="20"/>
        </w:rPr>
        <w:t xml:space="preserve">. Zie ook: ‘De elektronische identiteitskaart: onmisbaar voor e-government’, </w:t>
      </w:r>
      <w:r w:rsidRPr="00426625">
        <w:rPr>
          <w:rFonts w:ascii="Times New Roman" w:hAnsi="Times New Roman" w:cs="Times New Roman"/>
          <w:i/>
          <w:sz w:val="20"/>
          <w:szCs w:val="20"/>
        </w:rPr>
        <w:t>Fedra</w:t>
      </w:r>
      <w:r w:rsidRPr="00426625">
        <w:rPr>
          <w:rFonts w:ascii="Times New Roman" w:hAnsi="Times New Roman" w:cs="Times New Roman"/>
          <w:sz w:val="20"/>
          <w:szCs w:val="20"/>
        </w:rPr>
        <w:t xml:space="preserve">, 2002, 3, p. 24-27; ‘De invoering van een elektronische identiteitskaart: een middel tot e-government’, </w:t>
      </w:r>
      <w:r w:rsidRPr="00426625">
        <w:rPr>
          <w:rFonts w:ascii="Times New Roman" w:hAnsi="Times New Roman" w:cs="Times New Roman"/>
          <w:i/>
          <w:sz w:val="20"/>
          <w:szCs w:val="20"/>
        </w:rPr>
        <w:t>4instance</w:t>
      </w:r>
      <w:r w:rsidRPr="00426625">
        <w:rPr>
          <w:rFonts w:ascii="Times New Roman" w:hAnsi="Times New Roman" w:cs="Times New Roman"/>
          <w:sz w:val="20"/>
          <w:szCs w:val="20"/>
        </w:rPr>
        <w:t xml:space="preserve">, 2001, 8, p. 14-17; DE BOT, D., </w:t>
      </w:r>
      <w:r w:rsidRPr="00426625">
        <w:rPr>
          <w:rFonts w:ascii="Times New Roman" w:hAnsi="Times New Roman" w:cs="Times New Roman"/>
          <w:i/>
          <w:sz w:val="20"/>
          <w:szCs w:val="20"/>
        </w:rPr>
        <w:t>Privacybescherming bij e-government in België: een kritische analyse van het Rijksregister, de Kruis</w:t>
      </w:r>
      <w:r>
        <w:rPr>
          <w:rFonts w:ascii="Times New Roman" w:hAnsi="Times New Roman" w:cs="Times New Roman"/>
          <w:i/>
          <w:sz w:val="20"/>
          <w:szCs w:val="20"/>
        </w:rPr>
        <w:t>-</w:t>
      </w:r>
      <w:r w:rsidRPr="00426625">
        <w:rPr>
          <w:rFonts w:ascii="Times New Roman" w:hAnsi="Times New Roman" w:cs="Times New Roman"/>
          <w:i/>
          <w:sz w:val="20"/>
          <w:szCs w:val="20"/>
        </w:rPr>
        <w:t>puntbank van Ondernemingen en de elektronische identiteitskaart als belangrijkste juridische bouwstenen</w:t>
      </w:r>
      <w:r w:rsidRPr="00426625">
        <w:rPr>
          <w:rFonts w:ascii="Times New Roman" w:hAnsi="Times New Roman" w:cs="Times New Roman"/>
          <w:sz w:val="20"/>
          <w:szCs w:val="20"/>
        </w:rPr>
        <w:t>, Col</w:t>
      </w:r>
      <w:r>
        <w:rPr>
          <w:rFonts w:ascii="Times New Roman" w:hAnsi="Times New Roman" w:cs="Times New Roman"/>
          <w:sz w:val="20"/>
          <w:szCs w:val="20"/>
        </w:rPr>
        <w:t>-</w:t>
      </w:r>
      <w:r w:rsidRPr="00426625">
        <w:rPr>
          <w:rFonts w:ascii="Times New Roman" w:hAnsi="Times New Roman" w:cs="Times New Roman"/>
          <w:sz w:val="20"/>
          <w:szCs w:val="20"/>
        </w:rPr>
        <w:t xml:space="preserve">lectie publiekrecht, Brugge, Vanden Broele, 2005, 469p.; DECOO, S., ‘De eID wordt een onafscheidelijke vriend: al vierhonderd toepassingen voor de elektronische identiteitskaart op komst – Straks niet meer weg te denken uit ons dagelijks leven’, </w:t>
      </w:r>
      <w:r w:rsidRPr="00426625">
        <w:rPr>
          <w:rFonts w:ascii="Times New Roman" w:hAnsi="Times New Roman" w:cs="Times New Roman"/>
          <w:i/>
          <w:sz w:val="20"/>
          <w:szCs w:val="20"/>
        </w:rPr>
        <w:t>De Morgen</w:t>
      </w:r>
      <w:r w:rsidRPr="00426625">
        <w:rPr>
          <w:rFonts w:ascii="Times New Roman" w:hAnsi="Times New Roman" w:cs="Times New Roman"/>
          <w:sz w:val="20"/>
          <w:szCs w:val="20"/>
        </w:rPr>
        <w:t xml:space="preserve">, 16 augustus 2005; DE SMET, F., ‘Elektronische identiteitskaart blijft zorgenkind’,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11 september 2006; MEIJER, J., ‘Elektronische identiteitskaart blijkt niet vei</w:t>
      </w:r>
      <w:r>
        <w:rPr>
          <w:rFonts w:ascii="Times New Roman" w:hAnsi="Times New Roman" w:cs="Times New Roman"/>
          <w:sz w:val="20"/>
          <w:szCs w:val="20"/>
        </w:rPr>
        <w:t>-</w:t>
      </w:r>
      <w:r w:rsidRPr="00426625">
        <w:rPr>
          <w:rFonts w:ascii="Times New Roman" w:hAnsi="Times New Roman" w:cs="Times New Roman"/>
          <w:sz w:val="20"/>
          <w:szCs w:val="20"/>
        </w:rPr>
        <w:t xml:space="preserve">lig: elektronische identiteitskaart onveilig en makkelijk te kraken’, </w:t>
      </w:r>
      <w:r w:rsidRPr="00426625">
        <w:rPr>
          <w:rFonts w:ascii="Times New Roman" w:hAnsi="Times New Roman" w:cs="Times New Roman"/>
          <w:i/>
          <w:sz w:val="20"/>
          <w:szCs w:val="20"/>
        </w:rPr>
        <w:t>De Morgen</w:t>
      </w:r>
      <w:r w:rsidRPr="00426625">
        <w:rPr>
          <w:rFonts w:ascii="Times New Roman" w:hAnsi="Times New Roman" w:cs="Times New Roman"/>
          <w:sz w:val="20"/>
          <w:szCs w:val="20"/>
        </w:rPr>
        <w:t xml:space="preserve">, 13 juni 2008; WU, L., </w:t>
      </w:r>
      <w:r w:rsidRPr="00426625">
        <w:rPr>
          <w:rFonts w:ascii="Times New Roman" w:hAnsi="Times New Roman" w:cs="Times New Roman"/>
          <w:i/>
          <w:sz w:val="20"/>
          <w:szCs w:val="20"/>
        </w:rPr>
        <w:t>Gebruiks</w:t>
      </w:r>
      <w:r>
        <w:rPr>
          <w:rFonts w:ascii="Times New Roman" w:hAnsi="Times New Roman" w:cs="Times New Roman"/>
          <w:i/>
          <w:sz w:val="20"/>
          <w:szCs w:val="20"/>
        </w:rPr>
        <w:t>-</w:t>
      </w:r>
      <w:r w:rsidRPr="00426625">
        <w:rPr>
          <w:rFonts w:ascii="Times New Roman" w:hAnsi="Times New Roman" w:cs="Times New Roman"/>
          <w:i/>
          <w:sz w:val="20"/>
          <w:szCs w:val="20"/>
        </w:rPr>
        <w:t>vriendelijk en veilig beheer van persoonlijke gegevens met behulp van de elektronische identiteitskaart</w:t>
      </w:r>
      <w:r w:rsidRPr="00426625">
        <w:rPr>
          <w:rFonts w:ascii="Times New Roman" w:hAnsi="Times New Roman" w:cs="Times New Roman"/>
          <w:sz w:val="20"/>
          <w:szCs w:val="20"/>
        </w:rPr>
        <w:t>, onuit</w:t>
      </w:r>
      <w:r>
        <w:rPr>
          <w:rFonts w:ascii="Times New Roman" w:hAnsi="Times New Roman" w:cs="Times New Roman"/>
          <w:sz w:val="20"/>
          <w:szCs w:val="20"/>
        </w:rPr>
        <w:t>-</w:t>
      </w:r>
      <w:r w:rsidRPr="00426625">
        <w:rPr>
          <w:rFonts w:ascii="Times New Roman" w:hAnsi="Times New Roman" w:cs="Times New Roman"/>
          <w:sz w:val="20"/>
          <w:szCs w:val="20"/>
        </w:rPr>
        <w:t>geg. Licentiaatsverhandeling, KULeuven, Faculteit Ingenieurswetenschappen, Departement Computerweten</w:t>
      </w:r>
      <w:r>
        <w:rPr>
          <w:rFonts w:ascii="Times New Roman" w:hAnsi="Times New Roman" w:cs="Times New Roman"/>
          <w:sz w:val="20"/>
          <w:szCs w:val="20"/>
        </w:rPr>
        <w:t>-</w:t>
      </w:r>
      <w:r w:rsidRPr="00426625">
        <w:rPr>
          <w:rFonts w:ascii="Times New Roman" w:hAnsi="Times New Roman" w:cs="Times New Roman"/>
          <w:sz w:val="20"/>
          <w:szCs w:val="20"/>
        </w:rPr>
        <w:t>schappen, promotor prof. dr. B. De Decker, 2007, 84p.</w:t>
      </w:r>
    </w:p>
  </w:footnote>
  <w:footnote w:id="453">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9 § 2 Wet Patiëntenrechten; ROGER FRANCE, F., ‘Pourquoi se méfier de eHealth?’, </w:t>
      </w:r>
      <w:r w:rsidRPr="00E333B6">
        <w:rPr>
          <w:rFonts w:ascii="Times New Roman" w:hAnsi="Times New Roman" w:cs="Times New Roman"/>
          <w:i/>
          <w:sz w:val="20"/>
          <w:szCs w:val="20"/>
          <w:lang w:val="fr-BE"/>
        </w:rPr>
        <w:t>La Libre Belgique</w:t>
      </w:r>
      <w:r w:rsidRPr="00E333B6">
        <w:rPr>
          <w:rFonts w:ascii="Times New Roman" w:hAnsi="Times New Roman" w:cs="Times New Roman"/>
          <w:sz w:val="20"/>
          <w:szCs w:val="20"/>
          <w:lang w:val="fr-BE"/>
        </w:rPr>
        <w:t>, 7 oktober 2009.</w:t>
      </w:r>
    </w:p>
  </w:footnote>
  <w:footnote w:id="45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13 van de wet van 21 augustus 2008.</w:t>
      </w:r>
    </w:p>
  </w:footnote>
  <w:footnote w:id="45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1322, tweede lid BW.</w:t>
      </w:r>
    </w:p>
  </w:footnote>
  <w:footnote w:id="45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Wet van 20 oktober 2000 tot invoering van het gebruik van telecommunicatiemiddelen en van de elektroni</w:t>
      </w:r>
      <w:r>
        <w:rPr>
          <w:rFonts w:ascii="Times New Roman" w:hAnsi="Times New Roman" w:cs="Times New Roman"/>
          <w:sz w:val="20"/>
          <w:szCs w:val="20"/>
        </w:rPr>
        <w:t>-</w:t>
      </w:r>
      <w:r w:rsidRPr="00426625">
        <w:rPr>
          <w:rFonts w:ascii="Times New Roman" w:hAnsi="Times New Roman" w:cs="Times New Roman"/>
          <w:sz w:val="20"/>
          <w:szCs w:val="20"/>
        </w:rPr>
        <w:t>sche handtekening in de gerechtelijke en de buitengerechtelijke procedure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22 december 2000); ‘Digitale handtekening’, </w:t>
      </w:r>
      <w:r w:rsidRPr="00426625">
        <w:rPr>
          <w:rFonts w:ascii="Times New Roman" w:hAnsi="Times New Roman" w:cs="Times New Roman"/>
          <w:i/>
          <w:sz w:val="20"/>
          <w:szCs w:val="20"/>
        </w:rPr>
        <w:t>N.J.W.</w:t>
      </w:r>
      <w:r w:rsidRPr="00426625">
        <w:rPr>
          <w:rFonts w:ascii="Times New Roman" w:hAnsi="Times New Roman" w:cs="Times New Roman"/>
          <w:sz w:val="20"/>
          <w:szCs w:val="20"/>
        </w:rPr>
        <w:t xml:space="preserve">, 260 (2012), p. 244; BOUDREZ, F., ‘Digitale handtekeningen en archiefdocumenten’,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2006, 2, p. 81-88; DE CORTE, R., ‘Elektronische handtekening en authenticatie in de virtuele we</w:t>
      </w:r>
      <w:r>
        <w:rPr>
          <w:rFonts w:ascii="Times New Roman" w:hAnsi="Times New Roman" w:cs="Times New Roman"/>
          <w:sz w:val="20"/>
          <w:szCs w:val="20"/>
        </w:rPr>
        <w:t>-</w:t>
      </w:r>
      <w:r w:rsidRPr="00426625">
        <w:rPr>
          <w:rFonts w:ascii="Times New Roman" w:hAnsi="Times New Roman" w:cs="Times New Roman"/>
          <w:sz w:val="20"/>
          <w:szCs w:val="20"/>
        </w:rPr>
        <w:t xml:space="preserve">reld’, </w:t>
      </w:r>
      <w:r w:rsidRPr="00426625">
        <w:rPr>
          <w:rFonts w:ascii="Times New Roman" w:hAnsi="Times New Roman" w:cs="Times New Roman"/>
          <w:i/>
          <w:sz w:val="20"/>
          <w:szCs w:val="20"/>
        </w:rPr>
        <w:t>P&amp;B</w:t>
      </w:r>
      <w:r w:rsidRPr="00426625">
        <w:rPr>
          <w:rFonts w:ascii="Times New Roman" w:hAnsi="Times New Roman" w:cs="Times New Roman"/>
          <w:sz w:val="20"/>
          <w:szCs w:val="20"/>
        </w:rPr>
        <w:t>, 2001, p. 207-234; DUMORTIER, J.; VAN DEN EYNDE, S.; ‘De juridische erkenning van de elek</w:t>
      </w:r>
      <w:r>
        <w:rPr>
          <w:rFonts w:ascii="Times New Roman" w:hAnsi="Times New Roman" w:cs="Times New Roman"/>
          <w:sz w:val="20"/>
          <w:szCs w:val="20"/>
        </w:rPr>
        <w:t>-</w:t>
      </w:r>
      <w:r w:rsidRPr="00426625">
        <w:rPr>
          <w:rFonts w:ascii="Times New Roman" w:hAnsi="Times New Roman" w:cs="Times New Roman"/>
          <w:sz w:val="20"/>
          <w:szCs w:val="20"/>
        </w:rPr>
        <w:t xml:space="preserve">tronische handtekening in België’,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2001, p. 185-194; KINDT, E.; VAN DER HOF, S.; ‘Identiteits</w:t>
      </w:r>
      <w:r>
        <w:rPr>
          <w:rFonts w:ascii="Times New Roman" w:hAnsi="Times New Roman" w:cs="Times New Roman"/>
          <w:sz w:val="20"/>
          <w:szCs w:val="20"/>
        </w:rPr>
        <w:t>-</w:t>
      </w:r>
      <w:r w:rsidRPr="00426625">
        <w:rPr>
          <w:rFonts w:ascii="Times New Roman" w:hAnsi="Times New Roman" w:cs="Times New Roman"/>
          <w:sz w:val="20"/>
          <w:szCs w:val="20"/>
        </w:rPr>
        <w:t xml:space="preserve">gegevens en -beheer in een digitale omgeving: een juridische benadering’,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2009, 2, p. 44-52; STOR</w:t>
      </w:r>
      <w:r>
        <w:rPr>
          <w:rFonts w:ascii="Times New Roman" w:hAnsi="Times New Roman" w:cs="Times New Roman"/>
          <w:sz w:val="20"/>
          <w:szCs w:val="20"/>
        </w:rPr>
        <w:t>-</w:t>
      </w:r>
      <w:r w:rsidRPr="00426625">
        <w:rPr>
          <w:rFonts w:ascii="Times New Roman" w:hAnsi="Times New Roman" w:cs="Times New Roman"/>
          <w:sz w:val="20"/>
          <w:szCs w:val="20"/>
        </w:rPr>
        <w:t>ME, M.E., ‘De invoering van de elektronische handtekening in ons bewijsrecht – een inkadering van en com</w:t>
      </w:r>
      <w:r>
        <w:rPr>
          <w:rFonts w:ascii="Times New Roman" w:hAnsi="Times New Roman" w:cs="Times New Roman"/>
          <w:sz w:val="20"/>
          <w:szCs w:val="20"/>
        </w:rPr>
        <w:t>-</w:t>
      </w:r>
      <w:r w:rsidRPr="00426625">
        <w:rPr>
          <w:rFonts w:ascii="Times New Roman" w:hAnsi="Times New Roman" w:cs="Times New Roman"/>
          <w:sz w:val="20"/>
          <w:szCs w:val="20"/>
        </w:rPr>
        <w:t xml:space="preserve">mentaar bij de nieuwe wetsbepalingen’, </w:t>
      </w:r>
      <w:r w:rsidRPr="00426625">
        <w:rPr>
          <w:rFonts w:ascii="Times New Roman" w:hAnsi="Times New Roman" w:cs="Times New Roman"/>
          <w:i/>
          <w:sz w:val="20"/>
          <w:szCs w:val="20"/>
        </w:rPr>
        <w:t>R.W.</w:t>
      </w:r>
      <w:r w:rsidRPr="00426625">
        <w:rPr>
          <w:rFonts w:ascii="Times New Roman" w:hAnsi="Times New Roman" w:cs="Times New Roman"/>
          <w:sz w:val="20"/>
          <w:szCs w:val="20"/>
        </w:rPr>
        <w:t>, 2000-2001, k. 1505-1524; VAN DEN EYNDE, S.; DUMOR</w:t>
      </w:r>
      <w:r>
        <w:rPr>
          <w:rFonts w:ascii="Times New Roman" w:hAnsi="Times New Roman" w:cs="Times New Roman"/>
          <w:sz w:val="20"/>
          <w:szCs w:val="20"/>
        </w:rPr>
        <w:t>-</w:t>
      </w:r>
      <w:r w:rsidRPr="00426625">
        <w:rPr>
          <w:rFonts w:ascii="Times New Roman" w:hAnsi="Times New Roman" w:cs="Times New Roman"/>
          <w:sz w:val="20"/>
          <w:szCs w:val="20"/>
        </w:rPr>
        <w:t xml:space="preserve">TIER, J.; ‘De rol van de digitale handtekening bij het archiveren van elektronische documenten’, </w:t>
      </w:r>
      <w:r w:rsidRPr="00426625">
        <w:rPr>
          <w:rFonts w:ascii="Times New Roman" w:hAnsi="Times New Roman" w:cs="Times New Roman"/>
          <w:i/>
          <w:sz w:val="20"/>
          <w:szCs w:val="20"/>
        </w:rPr>
        <w:t>B.A.G.</w:t>
      </w:r>
      <w:r w:rsidRPr="00426625">
        <w:rPr>
          <w:rFonts w:ascii="Times New Roman" w:hAnsi="Times New Roman" w:cs="Times New Roman"/>
          <w:sz w:val="20"/>
          <w:szCs w:val="20"/>
        </w:rPr>
        <w:t xml:space="preserve">, 2001, 1, p. 9-13; VERHENNEMAN; ROBBEN; DUMORTIER; ‘Het Belgische eHealth-platform en haar praktische en juridische uitdagingen’, p. 309-310; VUYLSTEKE, B., ‘Op weg naar elektronische authenticiteit?’, </w:t>
      </w:r>
      <w:r w:rsidRPr="00426625">
        <w:rPr>
          <w:rFonts w:ascii="Times New Roman" w:hAnsi="Times New Roman" w:cs="Times New Roman"/>
          <w:i/>
          <w:sz w:val="20"/>
          <w:szCs w:val="20"/>
        </w:rPr>
        <w:t>Not.Fisc.</w:t>
      </w:r>
      <w:r>
        <w:rPr>
          <w:rFonts w:ascii="Times New Roman" w:hAnsi="Times New Roman" w:cs="Times New Roman"/>
          <w:i/>
          <w:sz w:val="20"/>
          <w:szCs w:val="20"/>
        </w:rPr>
        <w:t xml:space="preserve"> </w:t>
      </w:r>
      <w:r w:rsidRPr="00426625">
        <w:rPr>
          <w:rFonts w:ascii="Times New Roman" w:hAnsi="Times New Roman" w:cs="Times New Roman"/>
          <w:i/>
          <w:sz w:val="20"/>
          <w:szCs w:val="20"/>
        </w:rPr>
        <w:t>M.</w:t>
      </w:r>
      <w:r w:rsidRPr="00426625">
        <w:rPr>
          <w:rFonts w:ascii="Times New Roman" w:hAnsi="Times New Roman" w:cs="Times New Roman"/>
          <w:sz w:val="20"/>
          <w:szCs w:val="20"/>
        </w:rPr>
        <w:t>, 1999, p. 235-243.</w:t>
      </w:r>
    </w:p>
  </w:footnote>
  <w:footnote w:id="45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1° van de wet van 9 juli 2001 houdende vaststelling van bepaalde regels in verband met het juridisch kader voor elektronische handtekeningen, de elektronische aangetekende zending en certificatiediensten (</w:t>
      </w:r>
      <w:r w:rsidRPr="00426625">
        <w:rPr>
          <w:rFonts w:ascii="Times New Roman" w:hAnsi="Times New Roman"/>
          <w:i/>
        </w:rPr>
        <w:t>BS</w:t>
      </w:r>
      <w:r w:rsidRPr="00426625">
        <w:rPr>
          <w:rFonts w:ascii="Times New Roman" w:hAnsi="Times New Roman"/>
        </w:rPr>
        <w:t xml:space="preserve"> 19 september 2001). Deze wet is de omzetting van richtlijn 1999/93 betreffende een gemeenschappelijk kader voor elektronische handtekeningen.</w:t>
      </w:r>
    </w:p>
  </w:footnote>
  <w:footnote w:id="45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DUMORTIER, J., </w:t>
      </w:r>
      <w:r w:rsidRPr="00E333B6">
        <w:rPr>
          <w:rFonts w:ascii="Times New Roman" w:hAnsi="Times New Roman"/>
          <w:i/>
          <w:lang w:val="fr-BE"/>
        </w:rPr>
        <w:t>ICT-Recht</w:t>
      </w:r>
      <w:r w:rsidRPr="00E333B6">
        <w:rPr>
          <w:rFonts w:ascii="Times New Roman" w:hAnsi="Times New Roman"/>
          <w:lang w:val="fr-BE"/>
        </w:rPr>
        <w:t>, Leuven, Acco, 2012</w:t>
      </w:r>
      <w:r w:rsidRPr="00E333B6">
        <w:rPr>
          <w:rFonts w:ascii="Times New Roman" w:hAnsi="Times New Roman"/>
          <w:vertAlign w:val="superscript"/>
          <w:lang w:val="fr-BE"/>
        </w:rPr>
        <w:t>14</w:t>
      </w:r>
      <w:r w:rsidRPr="00E333B6">
        <w:rPr>
          <w:rFonts w:ascii="Times New Roman" w:hAnsi="Times New Roman"/>
          <w:lang w:val="fr-BE"/>
        </w:rPr>
        <w:t>, p. 138.</w:t>
      </w:r>
    </w:p>
  </w:footnote>
  <w:footnote w:id="459">
    <w:p w:rsidR="00E82D16" w:rsidRPr="00D147A7"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D147A7">
        <w:rPr>
          <w:rFonts w:ascii="Times New Roman" w:hAnsi="Times New Roman"/>
          <w:lang w:val="en-US"/>
        </w:rPr>
        <w:t xml:space="preserve"> Art. 1322 BW.</w:t>
      </w:r>
    </w:p>
  </w:footnote>
  <w:footnote w:id="46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VERHENNEMAN; ROBBEN; DUMORTIER; p. 309.</w:t>
      </w:r>
    </w:p>
  </w:footnote>
  <w:footnote w:id="46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2° van de wet van 9 juli 2001.</w:t>
      </w:r>
    </w:p>
  </w:footnote>
  <w:footnote w:id="46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SUETONIUS; DEN HENGST, D. (vert.); </w:t>
      </w:r>
      <w:r w:rsidRPr="00426625">
        <w:rPr>
          <w:rFonts w:ascii="Times New Roman" w:hAnsi="Times New Roman"/>
          <w:i/>
        </w:rPr>
        <w:t>Keizers van Rome</w:t>
      </w:r>
      <w:r w:rsidRPr="00426625">
        <w:rPr>
          <w:rFonts w:ascii="Times New Roman" w:hAnsi="Times New Roman"/>
        </w:rPr>
        <w:t>, Amsterdam, Atheanaeum – Polak &amp; Van Gen</w:t>
      </w:r>
      <w:r>
        <w:rPr>
          <w:rFonts w:ascii="Times New Roman" w:hAnsi="Times New Roman"/>
        </w:rPr>
        <w:t>-</w:t>
      </w:r>
      <w:r w:rsidRPr="00426625">
        <w:rPr>
          <w:rFonts w:ascii="Times New Roman" w:hAnsi="Times New Roman"/>
        </w:rPr>
        <w:t>nep, 2006, p. 47 (Iulius Caesar – hoofdstuk LVI) en p. 140-141 (Augustus – hoofdstuk LXXXVIII).</w:t>
      </w:r>
    </w:p>
  </w:footnote>
  <w:footnote w:id="46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57" w:history="1">
        <w:r w:rsidRPr="00426625">
          <w:rPr>
            <w:rStyle w:val="Hyperlink"/>
            <w:rFonts w:ascii="Times New Roman" w:hAnsi="Times New Roman"/>
          </w:rPr>
          <w:t>nl.wikipedia.org/wiki/Caesarcijfer</w:t>
        </w:r>
      </w:hyperlink>
      <w:r w:rsidRPr="00426625">
        <w:rPr>
          <w:rFonts w:ascii="Times New Roman" w:hAnsi="Times New Roman"/>
        </w:rPr>
        <w:t xml:space="preserve">.  </w:t>
      </w:r>
    </w:p>
  </w:footnote>
  <w:footnote w:id="46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KB van 7 juni 2009 tot regeling van het elektronisch document ter vervanging, binnen de ziekenhuizen, van de voorschriften van de bevoegde geneesheer en van de bevoegde beoefenaar van de tandheelkunde, in uit</w:t>
      </w:r>
      <w:r>
        <w:rPr>
          <w:rFonts w:ascii="Times New Roman" w:hAnsi="Times New Roman"/>
        </w:rPr>
        <w:t>-</w:t>
      </w:r>
      <w:r w:rsidRPr="00426625">
        <w:rPr>
          <w:rFonts w:ascii="Times New Roman" w:hAnsi="Times New Roman"/>
        </w:rPr>
        <w:t>voering van artikel 21, tweede lid, van het KB nr. 78 van 10 november 1967 betreffende de uitoefening van de gezondheidsberoepen (</w:t>
      </w:r>
      <w:r w:rsidRPr="00426625">
        <w:rPr>
          <w:rFonts w:ascii="Times New Roman" w:hAnsi="Times New Roman"/>
          <w:i/>
        </w:rPr>
        <w:t>BS</w:t>
      </w:r>
      <w:r w:rsidRPr="00426625">
        <w:rPr>
          <w:rFonts w:ascii="Times New Roman" w:hAnsi="Times New Roman"/>
        </w:rPr>
        <w:t xml:space="preserve"> 1 juli 2009).</w:t>
      </w:r>
    </w:p>
  </w:footnote>
  <w:footnote w:id="46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‘eHealth-platform. Projecten op kruissnelheid’, </w:t>
      </w:r>
      <w:r w:rsidRPr="00426625">
        <w:rPr>
          <w:rFonts w:ascii="Times New Roman" w:hAnsi="Times New Roman" w:cs="Times New Roman"/>
          <w:i/>
          <w:sz w:val="20"/>
          <w:szCs w:val="20"/>
        </w:rPr>
        <w:t>Citizen-e</w:t>
      </w:r>
      <w:r w:rsidRPr="00426625">
        <w:rPr>
          <w:rFonts w:ascii="Times New Roman" w:hAnsi="Times New Roman" w:cs="Times New Roman"/>
          <w:sz w:val="20"/>
          <w:szCs w:val="20"/>
        </w:rPr>
        <w:t xml:space="preserve">, 2010, 1, p. 14; Vlaams Patiëntenplatform, </w:t>
      </w:r>
      <w:r w:rsidRPr="00426625">
        <w:rPr>
          <w:rFonts w:ascii="Times New Roman" w:hAnsi="Times New Roman" w:cs="Times New Roman"/>
          <w:i/>
          <w:sz w:val="20"/>
          <w:szCs w:val="20"/>
        </w:rPr>
        <w:t>De elek</w:t>
      </w:r>
      <w:r>
        <w:rPr>
          <w:rFonts w:ascii="Times New Roman" w:hAnsi="Times New Roman" w:cs="Times New Roman"/>
          <w:i/>
          <w:sz w:val="20"/>
          <w:szCs w:val="20"/>
        </w:rPr>
        <w:t>-</w:t>
      </w:r>
      <w:r w:rsidRPr="00426625">
        <w:rPr>
          <w:rFonts w:ascii="Times New Roman" w:hAnsi="Times New Roman" w:cs="Times New Roman"/>
          <w:i/>
          <w:sz w:val="20"/>
          <w:szCs w:val="20"/>
        </w:rPr>
        <w:t>tronische uitwisseling van gezondheidsgegevens</w:t>
      </w:r>
      <w:r w:rsidRPr="00426625">
        <w:rPr>
          <w:rFonts w:ascii="Times New Roman" w:hAnsi="Times New Roman" w:cs="Times New Roman"/>
          <w:sz w:val="20"/>
          <w:szCs w:val="20"/>
        </w:rPr>
        <w:t xml:space="preserve">, p. 13-14. </w:t>
      </w:r>
    </w:p>
  </w:footnote>
  <w:footnote w:id="46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DUMORTIER, J.; VAN DEN EYNDE, S.; ‘De rol van de digitale handtekening bij de archivering van elek</w:t>
      </w:r>
      <w:r>
        <w:rPr>
          <w:rFonts w:ascii="Times New Roman" w:hAnsi="Times New Roman"/>
        </w:rPr>
        <w:t>-</w:t>
      </w:r>
      <w:r w:rsidRPr="00426625">
        <w:rPr>
          <w:rFonts w:ascii="Times New Roman" w:hAnsi="Times New Roman"/>
        </w:rPr>
        <w:t xml:space="preserve">tronische documenten’, </w:t>
      </w:r>
      <w:r w:rsidRPr="00426625">
        <w:rPr>
          <w:rFonts w:ascii="Times New Roman" w:hAnsi="Times New Roman"/>
          <w:i/>
        </w:rPr>
        <w:t>B.A.G.</w:t>
      </w:r>
      <w:r w:rsidRPr="00426625">
        <w:rPr>
          <w:rFonts w:ascii="Times New Roman" w:hAnsi="Times New Roman"/>
        </w:rPr>
        <w:t>, 2001, 1, p. 9-13.</w:t>
      </w:r>
    </w:p>
  </w:footnote>
  <w:footnote w:id="46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figuur 8.</w:t>
      </w:r>
    </w:p>
  </w:footnote>
  <w:footnote w:id="46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BOUDREZ, F., </w:t>
      </w:r>
      <w:r w:rsidRPr="00426625">
        <w:rPr>
          <w:rFonts w:ascii="Times New Roman" w:hAnsi="Times New Roman" w:cs="Times New Roman"/>
          <w:i/>
          <w:sz w:val="20"/>
          <w:szCs w:val="20"/>
        </w:rPr>
        <w:t>Digitale handtekeningen en archiefdocumenten</w:t>
      </w:r>
      <w:r w:rsidRPr="00426625">
        <w:rPr>
          <w:rFonts w:ascii="Times New Roman" w:hAnsi="Times New Roman" w:cs="Times New Roman"/>
          <w:sz w:val="20"/>
          <w:szCs w:val="20"/>
        </w:rPr>
        <w:t>, Antwerpen, Expertisecentrum DAVID vzw, 2005, p. 2-3.</w:t>
      </w:r>
    </w:p>
  </w:footnote>
  <w:footnote w:id="46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Wet van 29 januari 2003 houdende oprichting van de federale databank van de beoefenaars van de gezond</w:t>
      </w:r>
      <w:r>
        <w:rPr>
          <w:rFonts w:ascii="Times New Roman" w:hAnsi="Times New Roman" w:cs="Times New Roman"/>
          <w:sz w:val="20"/>
          <w:szCs w:val="20"/>
        </w:rPr>
        <w:t>-</w:t>
      </w:r>
      <w:r w:rsidRPr="00426625">
        <w:rPr>
          <w:rFonts w:ascii="Times New Roman" w:hAnsi="Times New Roman" w:cs="Times New Roman"/>
          <w:sz w:val="20"/>
          <w:szCs w:val="20"/>
        </w:rPr>
        <w:t>heidszorgberoepen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26 februari 2003). Deze databank wordt kortweg ‘het (eHealth) kadaster’ genoemd.</w:t>
      </w:r>
    </w:p>
  </w:footnote>
  <w:footnote w:id="47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AKEN, K., </w:t>
      </w:r>
      <w:r w:rsidRPr="00426625">
        <w:rPr>
          <w:rFonts w:ascii="Times New Roman" w:hAnsi="Times New Roman"/>
          <w:i/>
        </w:rPr>
        <w:t>Beheer van eHealth Certificaten. Vernieuwd proces. Van aanvraag tot installatie</w:t>
      </w:r>
      <w:r w:rsidRPr="00426625">
        <w:rPr>
          <w:rFonts w:ascii="Times New Roman" w:hAnsi="Times New Roman"/>
        </w:rPr>
        <w:t xml:space="preserve">, Brussel, 2011. </w:t>
      </w:r>
    </w:p>
  </w:footnote>
  <w:footnote w:id="47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DUMORTIER, </w:t>
      </w:r>
      <w:r w:rsidRPr="00426625">
        <w:rPr>
          <w:rFonts w:ascii="Times New Roman" w:hAnsi="Times New Roman"/>
          <w:i/>
        </w:rPr>
        <w:t>ICT-Recht</w:t>
      </w:r>
      <w:r w:rsidRPr="00426625">
        <w:rPr>
          <w:rFonts w:ascii="Times New Roman" w:hAnsi="Times New Roman"/>
        </w:rPr>
        <w:t>, p. 143.</w:t>
      </w:r>
    </w:p>
  </w:footnote>
  <w:footnote w:id="47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Bijlage III van de wet van 9 juli 2001.</w:t>
      </w:r>
    </w:p>
  </w:footnote>
  <w:footnote w:id="47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2° van de wet van 9 juli 2001.</w:t>
      </w:r>
    </w:p>
  </w:footnote>
  <w:footnote w:id="47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eisen zijn opgenomen in bijlage II van de wet van 9 juli 2001.</w:t>
      </w:r>
    </w:p>
  </w:footnote>
  <w:footnote w:id="47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2E22E4">
        <w:rPr>
          <w:rFonts w:ascii="Times New Roman" w:hAnsi="Times New Roman" w:cs="Times New Roman"/>
          <w:i/>
          <w:sz w:val="20"/>
          <w:szCs w:val="20"/>
        </w:rPr>
        <w:t>Het systeem voor end-to-end vercijfering</w:t>
      </w:r>
      <w:r w:rsidRPr="002E22E4">
        <w:rPr>
          <w:rFonts w:ascii="Times New Roman" w:hAnsi="Times New Roman" w:cs="Times New Roman"/>
          <w:sz w:val="20"/>
          <w:szCs w:val="20"/>
        </w:rPr>
        <w:t>, presentatie op infodag op 8 oktober 2009 van het eHealth-platform</w:t>
      </w:r>
      <w:r w:rsidRPr="00426625">
        <w:rPr>
          <w:rFonts w:ascii="Times New Roman" w:hAnsi="Times New Roman" w:cs="Times New Roman"/>
          <w:sz w:val="20"/>
          <w:szCs w:val="20"/>
        </w:rPr>
        <w:t xml:space="preserve">, slide 8. Zie ook: VAN EECKE, P., </w:t>
      </w:r>
      <w:r w:rsidRPr="00426625">
        <w:rPr>
          <w:rFonts w:ascii="Times New Roman" w:hAnsi="Times New Roman" w:cs="Times New Roman"/>
          <w:i/>
          <w:sz w:val="20"/>
          <w:szCs w:val="20"/>
        </w:rPr>
        <w:t>De handtekening in het recht. Van pennentrek tot elektronische handteke</w:t>
      </w:r>
      <w:r>
        <w:rPr>
          <w:rFonts w:ascii="Times New Roman" w:hAnsi="Times New Roman" w:cs="Times New Roman"/>
          <w:i/>
          <w:sz w:val="20"/>
          <w:szCs w:val="20"/>
        </w:rPr>
        <w:t>-</w:t>
      </w:r>
      <w:r w:rsidRPr="00426625">
        <w:rPr>
          <w:rFonts w:ascii="Times New Roman" w:hAnsi="Times New Roman" w:cs="Times New Roman"/>
          <w:i/>
          <w:sz w:val="20"/>
          <w:szCs w:val="20"/>
        </w:rPr>
        <w:t>ning</w:t>
      </w:r>
      <w:r w:rsidRPr="00426625">
        <w:rPr>
          <w:rFonts w:ascii="Times New Roman" w:hAnsi="Times New Roman" w:cs="Times New Roman"/>
          <w:sz w:val="20"/>
          <w:szCs w:val="20"/>
        </w:rPr>
        <w:t>, Brussel, Larcier, 2004, p. 281-286.</w:t>
      </w:r>
    </w:p>
  </w:footnote>
  <w:footnote w:id="47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2E22E4">
        <w:rPr>
          <w:rFonts w:ascii="Times New Roman" w:hAnsi="Times New Roman" w:cs="Times New Roman"/>
          <w:i/>
          <w:sz w:val="20"/>
          <w:szCs w:val="20"/>
        </w:rPr>
        <w:t>Het systeem voor end-to-end vercijfering</w:t>
      </w:r>
      <w:r w:rsidRPr="002E22E4">
        <w:rPr>
          <w:rFonts w:ascii="Times New Roman" w:hAnsi="Times New Roman" w:cs="Times New Roman"/>
          <w:sz w:val="20"/>
          <w:szCs w:val="20"/>
        </w:rPr>
        <w:t>, presentatie op infodag op 8 oktober 2009 van het eHealth-platform</w:t>
      </w:r>
      <w:r w:rsidRPr="00426625">
        <w:rPr>
          <w:rFonts w:ascii="Times New Roman" w:hAnsi="Times New Roman" w:cs="Times New Roman"/>
          <w:sz w:val="20"/>
          <w:szCs w:val="20"/>
        </w:rPr>
        <w:t xml:space="preserve">, slide 7. Zie ook: VAN EECKE, P., </w:t>
      </w:r>
      <w:r w:rsidRPr="00426625">
        <w:rPr>
          <w:rFonts w:ascii="Times New Roman" w:hAnsi="Times New Roman" w:cs="Times New Roman"/>
          <w:i/>
          <w:sz w:val="20"/>
          <w:szCs w:val="20"/>
        </w:rPr>
        <w:t>De handtekening in het recht. Van pennentrek tot elektronische handteke</w:t>
      </w:r>
      <w:r>
        <w:rPr>
          <w:rFonts w:ascii="Times New Roman" w:hAnsi="Times New Roman" w:cs="Times New Roman"/>
          <w:i/>
          <w:sz w:val="20"/>
          <w:szCs w:val="20"/>
        </w:rPr>
        <w:t>-</w:t>
      </w:r>
      <w:r w:rsidRPr="00426625">
        <w:rPr>
          <w:rFonts w:ascii="Times New Roman" w:hAnsi="Times New Roman" w:cs="Times New Roman"/>
          <w:i/>
          <w:sz w:val="20"/>
          <w:szCs w:val="20"/>
        </w:rPr>
        <w:t>ning</w:t>
      </w:r>
      <w:r w:rsidRPr="00426625">
        <w:rPr>
          <w:rFonts w:ascii="Times New Roman" w:hAnsi="Times New Roman" w:cs="Times New Roman"/>
          <w:sz w:val="20"/>
          <w:szCs w:val="20"/>
        </w:rPr>
        <w:t>, p. 286-295.</w:t>
      </w:r>
    </w:p>
  </w:footnote>
  <w:footnote w:id="47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Beraadslaging nr. 10/045 van 15 juni 2010 van de Afdeling Gezondheid van het Sectoraal Comité van de So</w:t>
      </w:r>
      <w:r>
        <w:rPr>
          <w:rFonts w:ascii="Times New Roman" w:hAnsi="Times New Roman" w:cs="Times New Roman"/>
          <w:sz w:val="20"/>
          <w:szCs w:val="20"/>
        </w:rPr>
        <w:t>-</w:t>
      </w:r>
      <w:r w:rsidRPr="00426625">
        <w:rPr>
          <w:rFonts w:ascii="Times New Roman" w:hAnsi="Times New Roman" w:cs="Times New Roman"/>
          <w:sz w:val="20"/>
          <w:szCs w:val="20"/>
        </w:rPr>
        <w:t>ciale Zekerheid en van de Gezondheid met betrekking tot de toepassing van de basisdienst elektronische datering door het eHealth-platform.</w:t>
      </w:r>
    </w:p>
  </w:footnote>
  <w:footnote w:id="478">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VERHENNEMAN; ROBBEN; DUMORTIER; p. 309-310.</w:t>
      </w:r>
    </w:p>
  </w:footnote>
  <w:footnote w:id="47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w:t>
      </w:r>
      <w:r w:rsidRPr="00426625">
        <w:rPr>
          <w:rFonts w:ascii="Times New Roman" w:hAnsi="Times New Roman" w:cs="Times New Roman"/>
          <w:i/>
          <w:sz w:val="20"/>
          <w:szCs w:val="20"/>
          <w:lang w:val="en-US"/>
        </w:rPr>
        <w:t xml:space="preserve">The electronic prescription of medication inside hospitals (ePrescription). </w:t>
      </w:r>
      <w:r w:rsidRPr="00426625">
        <w:rPr>
          <w:rFonts w:ascii="Times New Roman" w:hAnsi="Times New Roman" w:cs="Times New Roman"/>
          <w:i/>
          <w:sz w:val="20"/>
          <w:szCs w:val="20"/>
        </w:rPr>
        <w:t>General overview</w:t>
      </w:r>
      <w:r w:rsidRPr="00426625">
        <w:rPr>
          <w:rFonts w:ascii="Times New Roman" w:hAnsi="Times New Roman" w:cs="Times New Roman"/>
          <w:sz w:val="20"/>
          <w:szCs w:val="20"/>
        </w:rPr>
        <w:t>, Brussel, 2009, slide 5.</w:t>
      </w:r>
    </w:p>
  </w:footnote>
  <w:footnote w:id="48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SCHOUWER, P., ‘Het gebruik van de medische gegevens voor het gezondheidsbeleid’, </w:t>
      </w:r>
      <w:r w:rsidRPr="00426625">
        <w:rPr>
          <w:rFonts w:ascii="Times New Roman" w:hAnsi="Times New Roman"/>
          <w:i/>
        </w:rPr>
        <w:t>Vl.T.Gez.</w:t>
      </w:r>
      <w:r w:rsidRPr="00426625">
        <w:rPr>
          <w:rFonts w:ascii="Times New Roman" w:hAnsi="Times New Roman"/>
        </w:rPr>
        <w:t>, 1986, p. 235-241.</w:t>
      </w:r>
    </w:p>
  </w:footnote>
  <w:footnote w:id="48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iCs/>
          <w:sz w:val="20"/>
          <w:szCs w:val="20"/>
        </w:rPr>
        <w:t>Parl.St.</w:t>
      </w:r>
      <w:r w:rsidRPr="00426625">
        <w:rPr>
          <w:rFonts w:ascii="Times New Roman" w:hAnsi="Times New Roman" w:cs="Times New Roman"/>
          <w:sz w:val="20"/>
          <w:szCs w:val="20"/>
        </w:rPr>
        <w:t xml:space="preserve"> Kamer, 2007-2008, nr. 52-1257/003, p. 64-65; art. 1 § 5 van de Privacywet; art. 8 § 1 van het Priva</w:t>
      </w:r>
      <w:r>
        <w:rPr>
          <w:rFonts w:ascii="Times New Roman" w:hAnsi="Times New Roman" w:cs="Times New Roman"/>
          <w:sz w:val="20"/>
          <w:szCs w:val="20"/>
        </w:rPr>
        <w:t>-</w:t>
      </w:r>
      <w:r w:rsidRPr="00426625">
        <w:rPr>
          <w:rFonts w:ascii="Times New Roman" w:hAnsi="Times New Roman" w:cs="Times New Roman"/>
          <w:sz w:val="20"/>
          <w:szCs w:val="20"/>
        </w:rPr>
        <w:t>cyKB. Zie ook: advies nr. 03/2011 van 9 februari 2011 van de CBPL betreffende het ontwerp van koninklijk be</w:t>
      </w:r>
      <w:r>
        <w:rPr>
          <w:rFonts w:ascii="Times New Roman" w:hAnsi="Times New Roman" w:cs="Times New Roman"/>
          <w:sz w:val="20"/>
          <w:szCs w:val="20"/>
        </w:rPr>
        <w:t>-</w:t>
      </w:r>
      <w:r w:rsidRPr="00426625">
        <w:rPr>
          <w:rFonts w:ascii="Times New Roman" w:hAnsi="Times New Roman" w:cs="Times New Roman"/>
          <w:sz w:val="20"/>
          <w:szCs w:val="20"/>
        </w:rPr>
        <w:t>sluit tot uitbreiding van de lijst van instanties die het eHealth-platform kunnen vragen om als intermediaire orga</w:t>
      </w:r>
      <w:r>
        <w:rPr>
          <w:rFonts w:ascii="Times New Roman" w:hAnsi="Times New Roman" w:cs="Times New Roman"/>
          <w:sz w:val="20"/>
          <w:szCs w:val="20"/>
        </w:rPr>
        <w:t>-</w:t>
      </w:r>
      <w:r w:rsidRPr="00426625">
        <w:rPr>
          <w:rFonts w:ascii="Times New Roman" w:hAnsi="Times New Roman" w:cs="Times New Roman"/>
          <w:sz w:val="20"/>
          <w:szCs w:val="20"/>
        </w:rPr>
        <w:t>nisatie op te treden, p. 2-4.</w:t>
      </w:r>
    </w:p>
  </w:footnote>
  <w:footnote w:id="48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Beraadslaging nr. 10/085 van 21 december 2010 van de afdeling Gezondheid van het Sectoraal Comité van de Sociale Zekerheid en van de Gezondheid met betrekking tot de organisatie van de mededeling van elektronische ambulante voorschriften in het kader van het project Recip-e; ‘Consortium Accenture-Belgacom moet e-voor</w:t>
      </w:r>
      <w:r>
        <w:rPr>
          <w:rFonts w:ascii="Times New Roman" w:hAnsi="Times New Roman" w:cs="Times New Roman"/>
          <w:sz w:val="20"/>
          <w:szCs w:val="20"/>
        </w:rPr>
        <w:t>-</w:t>
      </w:r>
      <w:r w:rsidRPr="00426625">
        <w:rPr>
          <w:rFonts w:ascii="Times New Roman" w:hAnsi="Times New Roman" w:cs="Times New Roman"/>
          <w:sz w:val="20"/>
          <w:szCs w:val="20"/>
        </w:rPr>
        <w:t xml:space="preserve">schriften uitdokteren’,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xml:space="preserve">, 1 februari 2010; ‘Elektronische voorschriften kunnen besparing van 200 miljoen opleveren’,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25 juli 2007; </w:t>
      </w:r>
      <w:r w:rsidRPr="00426625">
        <w:rPr>
          <w:rFonts w:ascii="Times New Roman" w:hAnsi="Times New Roman" w:cs="Times New Roman"/>
          <w:i/>
          <w:sz w:val="20"/>
          <w:szCs w:val="20"/>
        </w:rPr>
        <w:t>Recip-e. Het elektronische voorschrift in de ambulante zorg</w:t>
      </w:r>
      <w:r w:rsidRPr="00426625">
        <w:rPr>
          <w:rFonts w:ascii="Times New Roman" w:hAnsi="Times New Roman" w:cs="Times New Roman"/>
          <w:sz w:val="20"/>
          <w:szCs w:val="20"/>
        </w:rPr>
        <w:t xml:space="preserve">, Brussel, 2011; COLSON, W., ‘Elektronische voorschriften worden rechtsgeldig’,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15 maart 2012. Zie ook: advies nr. 11/01 van 15 februari 2011 van de afdeling Gezondheid van het Sectoraal Comité van de Sociale Zekerheid en van de Gezondheid met betrekking tot het protocol houdende de voorwaarden en moda</w:t>
      </w:r>
      <w:r>
        <w:rPr>
          <w:rFonts w:ascii="Times New Roman" w:hAnsi="Times New Roman" w:cs="Times New Roman"/>
          <w:sz w:val="20"/>
          <w:szCs w:val="20"/>
        </w:rPr>
        <w:t>-</w:t>
      </w:r>
      <w:r w:rsidRPr="00426625">
        <w:rPr>
          <w:rFonts w:ascii="Times New Roman" w:hAnsi="Times New Roman" w:cs="Times New Roman"/>
          <w:sz w:val="20"/>
          <w:szCs w:val="20"/>
        </w:rPr>
        <w:t>liteiten volgens welke een elektronisch document met precisie kan worden geassocieerd aan een referentiedatum en een referentietijdstip en het niet meer onmerkbaar kan worden gewijzigd, in het kader van het elektronisch ziekenhuisvoorschrift.</w:t>
      </w:r>
    </w:p>
  </w:footnote>
  <w:footnote w:id="48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Dit heeft betrekking op hoofdstuk IV van de lijst van terugbetaalbare geneesmiddelen: specialiteiten die ver</w:t>
      </w:r>
      <w:r>
        <w:rPr>
          <w:rFonts w:ascii="Times New Roman" w:hAnsi="Times New Roman" w:cs="Times New Roman"/>
          <w:sz w:val="20"/>
          <w:szCs w:val="20"/>
        </w:rPr>
        <w:t>-</w:t>
      </w:r>
      <w:r w:rsidRPr="00426625">
        <w:rPr>
          <w:rFonts w:ascii="Times New Roman" w:hAnsi="Times New Roman" w:cs="Times New Roman"/>
          <w:sz w:val="20"/>
          <w:szCs w:val="20"/>
        </w:rPr>
        <w:t>goed worden onder bepaalde voorwaarden na voorafgaande machtiging van de adviserend geneesheer. Art. 1, 11° van het KB van 21 december 2001 tot vaststelling van de procedures, termijnen en voorwaarden inzake de tegemoetkoming van de verplichte verzekering voor geneeskundige verzorging en uitkeringen in de kosten van farmaceutische specialiteiten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29 december 2001), ingevoegd door art. 1 van het KB van 15 februari 2007 tot wijziging van het KB van 21 december 2001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5 maart 2007); Beraadslaging nr. 11/055 van 19 juli 2011, ge</w:t>
      </w:r>
      <w:r>
        <w:rPr>
          <w:rFonts w:ascii="Times New Roman" w:hAnsi="Times New Roman" w:cs="Times New Roman"/>
          <w:sz w:val="20"/>
          <w:szCs w:val="20"/>
        </w:rPr>
        <w:t>-</w:t>
      </w:r>
      <w:r w:rsidRPr="00426625">
        <w:rPr>
          <w:rFonts w:ascii="Times New Roman" w:hAnsi="Times New Roman" w:cs="Times New Roman"/>
          <w:sz w:val="20"/>
          <w:szCs w:val="20"/>
        </w:rPr>
        <w:t>wijzigd op 17 januari 2012, van de afdeling Gezondheid van het Sectoraal Comité van de Sociale Zekerheid en van de Gezondheid met betrekking tot de organisatie van de communicatie in het kader van de terugbetaling van farmaceutische specialiteiten waarvoor een voorafgaand akkoord van de adviserend geneesheer vereist is (hoofd</w:t>
      </w:r>
      <w:r>
        <w:rPr>
          <w:rFonts w:ascii="Times New Roman" w:hAnsi="Times New Roman" w:cs="Times New Roman"/>
          <w:sz w:val="20"/>
          <w:szCs w:val="20"/>
        </w:rPr>
        <w:t>-</w:t>
      </w:r>
      <w:r w:rsidRPr="00426625">
        <w:rPr>
          <w:rFonts w:ascii="Times New Roman" w:hAnsi="Times New Roman" w:cs="Times New Roman"/>
          <w:sz w:val="20"/>
          <w:szCs w:val="20"/>
        </w:rPr>
        <w:t xml:space="preserve">stuk IV); CALLENS, M., </w:t>
      </w:r>
      <w:r w:rsidRPr="00426625">
        <w:rPr>
          <w:rFonts w:ascii="Times New Roman" w:hAnsi="Times New Roman" w:cs="Times New Roman"/>
          <w:i/>
          <w:sz w:val="20"/>
          <w:szCs w:val="20"/>
        </w:rPr>
        <w:t>Vereenvoudiging en informatisering van de hoofdstuk IV geneesmiddelen</w:t>
      </w:r>
      <w:r w:rsidRPr="00426625">
        <w:rPr>
          <w:rFonts w:ascii="Times New Roman" w:hAnsi="Times New Roman" w:cs="Times New Roman"/>
          <w:sz w:val="20"/>
          <w:szCs w:val="20"/>
        </w:rPr>
        <w:t xml:space="preserve">, Brussel, 2009; CALLENS, S.; GOOSSENS, M.; MARTENS, L.; ‘Geneesmiddelen, medische hulpmiddelen en andere gezondheidsproducten’, CALLENS; PEERS; </w:t>
      </w:r>
      <w:r w:rsidRPr="00426625">
        <w:rPr>
          <w:rFonts w:ascii="Times New Roman" w:hAnsi="Times New Roman" w:cs="Times New Roman"/>
          <w:i/>
          <w:sz w:val="20"/>
          <w:szCs w:val="20"/>
        </w:rPr>
        <w:t>Organisatie van de gezondheidszorg</w:t>
      </w:r>
      <w:r w:rsidRPr="00426625">
        <w:rPr>
          <w:rFonts w:ascii="Times New Roman" w:hAnsi="Times New Roman" w:cs="Times New Roman"/>
          <w:sz w:val="20"/>
          <w:szCs w:val="20"/>
        </w:rPr>
        <w:t>, p. 498 (nrs. 1281-1282).</w:t>
      </w:r>
    </w:p>
  </w:footnote>
  <w:footnote w:id="48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5° van de wet van 21 augustus 2008.</w:t>
      </w:r>
    </w:p>
  </w:footnote>
  <w:footnote w:id="48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6° van de wet van 21 augustus 2008.</w:t>
      </w:r>
    </w:p>
  </w:footnote>
  <w:footnote w:id="48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7° van de wet van 21 augustus 2008.</w:t>
      </w:r>
    </w:p>
  </w:footnote>
  <w:footnote w:id="48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8° van de wet van 21 augustus 2008. Zie: advies nr. 03/2011 van 9 februari 2011 van de CBPL betref</w:t>
      </w:r>
      <w:r>
        <w:rPr>
          <w:rFonts w:ascii="Times New Roman" w:hAnsi="Times New Roman" w:cs="Times New Roman"/>
          <w:sz w:val="20"/>
          <w:szCs w:val="20"/>
        </w:rPr>
        <w:t>-</w:t>
      </w:r>
      <w:r w:rsidRPr="00426625">
        <w:rPr>
          <w:rFonts w:ascii="Times New Roman" w:hAnsi="Times New Roman" w:cs="Times New Roman"/>
          <w:sz w:val="20"/>
          <w:szCs w:val="20"/>
        </w:rPr>
        <w:t>fende het ontwerp van koninklijk besluit tot uitbreiding van de lijst van instanties die het eHealth-platform kun</w:t>
      </w:r>
      <w:r>
        <w:rPr>
          <w:rFonts w:ascii="Times New Roman" w:hAnsi="Times New Roman" w:cs="Times New Roman"/>
          <w:sz w:val="20"/>
          <w:szCs w:val="20"/>
        </w:rPr>
        <w:t>-</w:t>
      </w:r>
      <w:r w:rsidRPr="00426625">
        <w:rPr>
          <w:rFonts w:ascii="Times New Roman" w:hAnsi="Times New Roman" w:cs="Times New Roman"/>
          <w:sz w:val="20"/>
          <w:szCs w:val="20"/>
        </w:rPr>
        <w:t>nen vragen om als intermediaire organisatie op te treden.</w:t>
      </w:r>
    </w:p>
  </w:footnote>
  <w:footnote w:id="48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9° van de wet van 21 augustus 2008.</w:t>
      </w:r>
    </w:p>
  </w:footnote>
  <w:footnote w:id="48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10° van de wet van 21 augustus 2008.</w:t>
      </w:r>
    </w:p>
  </w:footnote>
  <w:footnote w:id="49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hyperlink r:id="rId58" w:history="1">
        <w:r w:rsidRPr="00426625">
          <w:rPr>
            <w:rStyle w:val="Hyperlink"/>
            <w:rFonts w:ascii="Times New Roman" w:hAnsi="Times New Roman" w:cs="Times New Roman"/>
            <w:sz w:val="20"/>
            <w:szCs w:val="20"/>
          </w:rPr>
          <w:t>http://ec.europa.eu/health-eu/care_for_me/e-health/io_nl.htm</w:t>
        </w:r>
      </w:hyperlink>
      <w:r w:rsidRPr="00426625">
        <w:rPr>
          <w:rFonts w:ascii="Times New Roman" w:hAnsi="Times New Roman" w:cs="Times New Roman"/>
          <w:sz w:val="20"/>
          <w:szCs w:val="20"/>
        </w:rPr>
        <w:t xml:space="preserve">. </w:t>
      </w:r>
    </w:p>
  </w:footnote>
  <w:footnote w:id="49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5 § 1, I, 2° van de bijzondere wet van 8 augustus 1980 tot hervorming der instellingen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15 augustus 1980); decreet van 21 november 2003 betreffende het preventieve gezondheidsbeleid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 februari 2004). Cf. het besluit van het Verenigd College van de Gemeenschappelijke Gemeenschapscommissie van 23 april 2009 betreffende de gegevensverzameling en -uitwisseling in het kader van het preventieve gezondheidsbeleid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18 juni 2009). MOSTINCKX, J.; DEVEN, F.; ‘Het welzijns- en gezondheidsbeleid in Vlaanderen: een beknopte te</w:t>
      </w:r>
      <w:r>
        <w:rPr>
          <w:rFonts w:ascii="Times New Roman" w:hAnsi="Times New Roman" w:cs="Times New Roman"/>
          <w:sz w:val="20"/>
          <w:szCs w:val="20"/>
        </w:rPr>
        <w:t>-</w:t>
      </w:r>
      <w:r w:rsidRPr="00426625">
        <w:rPr>
          <w:rFonts w:ascii="Times New Roman" w:hAnsi="Times New Roman" w:cs="Times New Roman"/>
          <w:sz w:val="20"/>
          <w:szCs w:val="20"/>
        </w:rPr>
        <w:t xml:space="preserve">rugblik’, MOSTINCKX, J.; DEVEN, F.; DAUWE, P. (reds.); </w:t>
      </w:r>
      <w:r w:rsidRPr="00426625">
        <w:rPr>
          <w:rFonts w:ascii="Times New Roman" w:hAnsi="Times New Roman" w:cs="Times New Roman"/>
          <w:i/>
          <w:sz w:val="20"/>
          <w:szCs w:val="20"/>
        </w:rPr>
        <w:t>Welzijn en Zorg in Vlaanderen 2011-2012</w:t>
      </w:r>
      <w:r w:rsidRPr="00426625">
        <w:rPr>
          <w:rFonts w:ascii="Times New Roman" w:hAnsi="Times New Roman" w:cs="Times New Roman"/>
          <w:sz w:val="20"/>
          <w:szCs w:val="20"/>
        </w:rPr>
        <w:t>, Me</w:t>
      </w:r>
      <w:r>
        <w:rPr>
          <w:rFonts w:ascii="Times New Roman" w:hAnsi="Times New Roman" w:cs="Times New Roman"/>
          <w:sz w:val="20"/>
          <w:szCs w:val="20"/>
        </w:rPr>
        <w:t>-</w:t>
      </w:r>
      <w:r w:rsidRPr="00426625">
        <w:rPr>
          <w:rFonts w:ascii="Times New Roman" w:hAnsi="Times New Roman" w:cs="Times New Roman"/>
          <w:sz w:val="20"/>
          <w:szCs w:val="20"/>
        </w:rPr>
        <w:t xml:space="preserve">chelen, Kluwer, 2011, p. 109; SEUTIN, B.; VAN HAEGENDOREN, G. (reds.); VANSTEENKISTE, S.; </w:t>
      </w:r>
      <w:r w:rsidRPr="00426625">
        <w:rPr>
          <w:rFonts w:ascii="Times New Roman" w:hAnsi="Times New Roman" w:cs="Times New Roman"/>
          <w:i/>
          <w:sz w:val="20"/>
          <w:szCs w:val="20"/>
        </w:rPr>
        <w:t>Het ge</w:t>
      </w:r>
      <w:r>
        <w:rPr>
          <w:rFonts w:ascii="Times New Roman" w:hAnsi="Times New Roman" w:cs="Times New Roman"/>
          <w:i/>
          <w:sz w:val="20"/>
          <w:szCs w:val="20"/>
        </w:rPr>
        <w:t>-</w:t>
      </w:r>
      <w:r w:rsidRPr="00426625">
        <w:rPr>
          <w:rFonts w:ascii="Times New Roman" w:hAnsi="Times New Roman" w:cs="Times New Roman"/>
          <w:i/>
          <w:sz w:val="20"/>
          <w:szCs w:val="20"/>
        </w:rPr>
        <w:t>zondheidsbeleid</w:t>
      </w:r>
      <w:r w:rsidRPr="00426625">
        <w:rPr>
          <w:rFonts w:ascii="Times New Roman" w:hAnsi="Times New Roman" w:cs="Times New Roman"/>
          <w:sz w:val="20"/>
          <w:szCs w:val="20"/>
        </w:rPr>
        <w:t xml:space="preserve">, De bevoegdheidsverdeling in het federale België, 10, Brugge, die Keure, 2001, p. 16-17, p. 38-42 en p. 110-111, VERSCHUERE, B.; VANCOPPENOLLE, D.; </w:t>
      </w:r>
      <w:r w:rsidRPr="00426625">
        <w:rPr>
          <w:rFonts w:ascii="Times New Roman" w:hAnsi="Times New Roman" w:cs="Times New Roman"/>
          <w:i/>
          <w:sz w:val="20"/>
          <w:szCs w:val="20"/>
        </w:rPr>
        <w:t>Welzijn in Vlaanderen. Beleid, bestuurlijke or</w:t>
      </w:r>
      <w:r>
        <w:rPr>
          <w:rFonts w:ascii="Times New Roman" w:hAnsi="Times New Roman" w:cs="Times New Roman"/>
          <w:i/>
          <w:sz w:val="20"/>
          <w:szCs w:val="20"/>
        </w:rPr>
        <w:t>-</w:t>
      </w:r>
      <w:r w:rsidRPr="00426625">
        <w:rPr>
          <w:rFonts w:ascii="Times New Roman" w:hAnsi="Times New Roman" w:cs="Times New Roman"/>
          <w:i/>
          <w:sz w:val="20"/>
          <w:szCs w:val="20"/>
        </w:rPr>
        <w:t>ganisatie en uitdagingen</w:t>
      </w:r>
      <w:r w:rsidRPr="00426625">
        <w:rPr>
          <w:rFonts w:ascii="Times New Roman" w:hAnsi="Times New Roman" w:cs="Times New Roman"/>
          <w:sz w:val="20"/>
          <w:szCs w:val="20"/>
        </w:rPr>
        <w:t xml:space="preserve">, Brugge, die Keure, 2010, p. 10. </w:t>
      </w:r>
    </w:p>
  </w:footnote>
  <w:footnote w:id="49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68 van het decreet van 21 november 2003.</w:t>
      </w:r>
    </w:p>
  </w:footnote>
  <w:footnote w:id="49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Protocolakkoord van 25 oktober 2000 tot samenwerking tussen de federale overheid en de gemeenschappen inzake de mammografische borstkankerscreening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22 december 2000).</w:t>
      </w:r>
    </w:p>
  </w:footnote>
  <w:footnote w:id="49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04/97 van 19 februari 1997 betreffende de toepasbaarheid van de wet van 8 december 1992 tot be</w:t>
      </w:r>
      <w:r>
        <w:rPr>
          <w:rFonts w:ascii="Times New Roman" w:hAnsi="Times New Roman" w:cs="Times New Roman"/>
          <w:sz w:val="20"/>
          <w:szCs w:val="20"/>
        </w:rPr>
        <w:t>-</w:t>
      </w:r>
      <w:r w:rsidRPr="00426625">
        <w:rPr>
          <w:rFonts w:ascii="Times New Roman" w:hAnsi="Times New Roman" w:cs="Times New Roman"/>
          <w:sz w:val="20"/>
          <w:szCs w:val="20"/>
        </w:rPr>
        <w:t>scherming van de persoonlijke levenssfeer ten opzichte van de verwerking van persoonsgegevens, op het net</w:t>
      </w:r>
      <w:r>
        <w:rPr>
          <w:rFonts w:ascii="Times New Roman" w:hAnsi="Times New Roman" w:cs="Times New Roman"/>
          <w:sz w:val="20"/>
          <w:szCs w:val="20"/>
        </w:rPr>
        <w:t>-</w:t>
      </w:r>
      <w:r w:rsidRPr="00426625">
        <w:rPr>
          <w:rFonts w:ascii="Times New Roman" w:hAnsi="Times New Roman" w:cs="Times New Roman"/>
          <w:sz w:val="20"/>
          <w:szCs w:val="20"/>
        </w:rPr>
        <w:t xml:space="preserve">werk van het Nationaal Kankerregister; ‘Nationaal Kankerregister – Netwerk voor uitwisseling van gegevens’, </w:t>
      </w:r>
      <w:r w:rsidRPr="00426625">
        <w:rPr>
          <w:rFonts w:ascii="Times New Roman" w:hAnsi="Times New Roman" w:cs="Times New Roman"/>
          <w:i/>
          <w:sz w:val="20"/>
          <w:szCs w:val="20"/>
        </w:rPr>
        <w:t>T.N.R.</w:t>
      </w:r>
      <w:r w:rsidRPr="00426625">
        <w:rPr>
          <w:rFonts w:ascii="Times New Roman" w:hAnsi="Times New Roman" w:cs="Times New Roman"/>
          <w:sz w:val="20"/>
          <w:szCs w:val="20"/>
        </w:rPr>
        <w:t xml:space="preserve">, 80 (1998), p. 22; ‘Kruispuntbank- en kankerregisters’, </w:t>
      </w:r>
      <w:r w:rsidRPr="00426625">
        <w:rPr>
          <w:rFonts w:ascii="Times New Roman" w:hAnsi="Times New Roman" w:cs="Times New Roman"/>
          <w:i/>
          <w:sz w:val="20"/>
          <w:szCs w:val="20"/>
        </w:rPr>
        <w:t>P&amp;I</w:t>
      </w:r>
      <w:r w:rsidRPr="00426625">
        <w:rPr>
          <w:rFonts w:ascii="Times New Roman" w:hAnsi="Times New Roman" w:cs="Times New Roman"/>
          <w:sz w:val="20"/>
          <w:szCs w:val="20"/>
        </w:rPr>
        <w:t>, 11/1 (2008), p. 60-61 (nr. 69); DUMOR</w:t>
      </w:r>
      <w:r>
        <w:rPr>
          <w:rFonts w:ascii="Times New Roman" w:hAnsi="Times New Roman" w:cs="Times New Roman"/>
          <w:sz w:val="20"/>
          <w:szCs w:val="20"/>
        </w:rPr>
        <w:t>-</w:t>
      </w:r>
      <w:r w:rsidRPr="00426625">
        <w:rPr>
          <w:rFonts w:ascii="Times New Roman" w:hAnsi="Times New Roman" w:cs="Times New Roman"/>
          <w:sz w:val="20"/>
          <w:szCs w:val="20"/>
        </w:rPr>
        <w:t>TIER, J., [Het advies van de Commissie voor de bescherming van de persoonlijke levenssfeer inzake het Natio</w:t>
      </w:r>
      <w:r>
        <w:rPr>
          <w:rFonts w:ascii="Times New Roman" w:hAnsi="Times New Roman" w:cs="Times New Roman"/>
          <w:sz w:val="20"/>
          <w:szCs w:val="20"/>
        </w:rPr>
        <w:t>-</w:t>
      </w:r>
      <w:r w:rsidRPr="00426625">
        <w:rPr>
          <w:rFonts w:ascii="Times New Roman" w:hAnsi="Times New Roman" w:cs="Times New Roman"/>
          <w:sz w:val="20"/>
          <w:szCs w:val="20"/>
        </w:rPr>
        <w:t xml:space="preserve">naal Kankerregister],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1997, 3, p. 105-107; VAN GOSSUM, K.; VERHENNEMAN, G.; ‘De infor</w:t>
      </w:r>
      <w:r>
        <w:rPr>
          <w:rFonts w:ascii="Times New Roman" w:hAnsi="Times New Roman" w:cs="Times New Roman"/>
          <w:sz w:val="20"/>
          <w:szCs w:val="20"/>
        </w:rPr>
        <w:t>-</w:t>
      </w:r>
      <w:r w:rsidRPr="00426625">
        <w:rPr>
          <w:rFonts w:ascii="Times New Roman" w:hAnsi="Times New Roman" w:cs="Times New Roman"/>
          <w:sz w:val="20"/>
          <w:szCs w:val="20"/>
        </w:rPr>
        <w:t xml:space="preserve">matisering van de kankerregistratie in België’,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2008, 6, p. 275-284; VAN MALDEREN, G., ‘Het ‘Advies inzake de toepasbaarheid van de Wet van 8 december 1992 tot bescherming van de persoonlijke levens</w:t>
      </w:r>
      <w:r>
        <w:rPr>
          <w:rFonts w:ascii="Times New Roman" w:hAnsi="Times New Roman" w:cs="Times New Roman"/>
          <w:sz w:val="20"/>
          <w:szCs w:val="20"/>
        </w:rPr>
        <w:t>-</w:t>
      </w:r>
      <w:r w:rsidRPr="00426625">
        <w:rPr>
          <w:rFonts w:ascii="Times New Roman" w:hAnsi="Times New Roman" w:cs="Times New Roman"/>
          <w:sz w:val="20"/>
          <w:szCs w:val="20"/>
        </w:rPr>
        <w:t xml:space="preserve">sfeer ten opzichte van de verwerking van persoonsgegevens op het netwerk van een Nationaal Kankerregister’ </w:t>
      </w:r>
      <w:r>
        <w:rPr>
          <w:rFonts w:ascii="Times New Roman" w:hAnsi="Times New Roman" w:cs="Times New Roman"/>
          <w:sz w:val="20"/>
          <w:szCs w:val="20"/>
        </w:rPr>
        <w:t>–</w:t>
      </w:r>
      <w:r w:rsidRPr="00426625">
        <w:rPr>
          <w:rFonts w:ascii="Times New Roman" w:hAnsi="Times New Roman" w:cs="Times New Roman"/>
          <w:sz w:val="20"/>
          <w:szCs w:val="20"/>
        </w:rPr>
        <w:t xml:space="preserve"> Introductie van een bijkomend criterium’, </w:t>
      </w:r>
      <w:r w:rsidRPr="00426625">
        <w:rPr>
          <w:rFonts w:ascii="Times New Roman" w:hAnsi="Times New Roman" w:cs="Times New Roman"/>
          <w:i/>
          <w:sz w:val="20"/>
          <w:szCs w:val="20"/>
        </w:rPr>
        <w:t>Computerr.</w:t>
      </w:r>
      <w:r w:rsidRPr="00426625">
        <w:rPr>
          <w:rFonts w:ascii="Times New Roman" w:hAnsi="Times New Roman" w:cs="Times New Roman"/>
          <w:sz w:val="20"/>
          <w:szCs w:val="20"/>
        </w:rPr>
        <w:t>, 1997, 6, p. 299-303.</w:t>
      </w:r>
    </w:p>
  </w:footnote>
  <w:footnote w:id="49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‘Samenwerking is geen wondermiddel’,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22 oktober 2007.</w:t>
      </w:r>
    </w:p>
  </w:footnote>
  <w:footnote w:id="49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VERHENNEMAN; ROBBEN; DUMORTIER; p. 301-302.</w:t>
      </w:r>
    </w:p>
  </w:footnote>
  <w:footnote w:id="49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Decreet van 16 juni 2006 betreffende het gezondheidsinformatiesysteem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7 september 2006), dat het de</w:t>
      </w:r>
      <w:r>
        <w:rPr>
          <w:rFonts w:ascii="Times New Roman" w:hAnsi="Times New Roman" w:cs="Times New Roman"/>
          <w:sz w:val="20"/>
          <w:szCs w:val="20"/>
        </w:rPr>
        <w:t>-</w:t>
      </w:r>
      <w:r w:rsidRPr="00426625">
        <w:rPr>
          <w:rFonts w:ascii="Times New Roman" w:hAnsi="Times New Roman" w:cs="Times New Roman"/>
          <w:sz w:val="20"/>
          <w:szCs w:val="20"/>
        </w:rPr>
        <w:t>creet van 21 november 2003 betreffende het preventieve gezondheidsbeleid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3 februari 2004) en het decreet van 3 maart 2004 betreffende de eerstelijnsgezondheidszorg en de samenwerking tussen de zorgaanbieders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20 april 2004) wijzigt. Voor de toelichting bij het GIS-decreet, zie: </w:t>
      </w:r>
      <w:hyperlink r:id="rId59" w:history="1">
        <w:r w:rsidRPr="00EA26DD">
          <w:rPr>
            <w:rStyle w:val="Hyperlink"/>
            <w:rFonts w:ascii="Times New Roman" w:hAnsi="Times New Roman" w:cs="Times New Roman"/>
            <w:sz w:val="20"/>
            <w:szCs w:val="20"/>
          </w:rPr>
          <w:t>www.wvc.vlaanderen.be/juriwel/gezo algemeen/info/gis.htm</w:t>
        </w:r>
      </w:hyperlink>
      <w:r w:rsidRPr="00426625">
        <w:rPr>
          <w:rFonts w:ascii="Times New Roman" w:hAnsi="Times New Roman" w:cs="Times New Roman"/>
          <w:sz w:val="20"/>
          <w:szCs w:val="20"/>
        </w:rPr>
        <w:t>. Zie ook: ‘Advies van de Nationale Raad in verband met het decreet van de Vlaamse Ge</w:t>
      </w:r>
      <w:r>
        <w:rPr>
          <w:rFonts w:ascii="Times New Roman" w:hAnsi="Times New Roman" w:cs="Times New Roman"/>
          <w:sz w:val="20"/>
          <w:szCs w:val="20"/>
        </w:rPr>
        <w:t>-</w:t>
      </w:r>
      <w:r w:rsidRPr="00426625">
        <w:rPr>
          <w:rFonts w:ascii="Times New Roman" w:hAnsi="Times New Roman" w:cs="Times New Roman"/>
          <w:sz w:val="20"/>
          <w:szCs w:val="20"/>
        </w:rPr>
        <w:t xml:space="preserve">meenschap van 16 juni 2006 betreffende het Gezondheidsinformatiesysteem’, </w:t>
      </w:r>
      <w:r w:rsidRPr="00426625">
        <w:rPr>
          <w:rFonts w:ascii="Times New Roman" w:hAnsi="Times New Roman" w:cs="Times New Roman"/>
          <w:i/>
          <w:sz w:val="20"/>
          <w:szCs w:val="20"/>
        </w:rPr>
        <w:t>T.N.R.</w:t>
      </w:r>
      <w:r w:rsidRPr="00426625">
        <w:rPr>
          <w:rFonts w:ascii="Times New Roman" w:hAnsi="Times New Roman" w:cs="Times New Roman"/>
          <w:sz w:val="20"/>
          <w:szCs w:val="20"/>
        </w:rPr>
        <w:t>, 116 (2007), p. 4; ‘Infor</w:t>
      </w:r>
      <w:r>
        <w:rPr>
          <w:rFonts w:ascii="Times New Roman" w:hAnsi="Times New Roman" w:cs="Times New Roman"/>
          <w:sz w:val="20"/>
          <w:szCs w:val="20"/>
        </w:rPr>
        <w:t>-</w:t>
      </w:r>
      <w:r w:rsidRPr="00426625">
        <w:rPr>
          <w:rFonts w:ascii="Times New Roman" w:hAnsi="Times New Roman" w:cs="Times New Roman"/>
          <w:sz w:val="20"/>
          <w:szCs w:val="20"/>
        </w:rPr>
        <w:t xml:space="preserve">matieplatformen bij het delen van gezondheidsgegevens: nieuwe regelgeving in België’, </w:t>
      </w:r>
      <w:r w:rsidRPr="00426625">
        <w:rPr>
          <w:rFonts w:ascii="Times New Roman" w:hAnsi="Times New Roman" w:cs="Times New Roman"/>
          <w:i/>
          <w:sz w:val="20"/>
          <w:szCs w:val="20"/>
        </w:rPr>
        <w:t>P&amp;I</w:t>
      </w:r>
      <w:r w:rsidRPr="00426625">
        <w:rPr>
          <w:rFonts w:ascii="Times New Roman" w:hAnsi="Times New Roman" w:cs="Times New Roman"/>
          <w:sz w:val="20"/>
          <w:szCs w:val="20"/>
        </w:rPr>
        <w:t>, 11/1 (2008), p. 61-62 (nr. 70); CALLENS; GOOSSENS; CIERKENS; p. 349-350 (nr. 902); VAN GOSSUM, ‘Het elektronisch ge</w:t>
      </w:r>
      <w:r>
        <w:rPr>
          <w:rFonts w:ascii="Times New Roman" w:hAnsi="Times New Roman" w:cs="Times New Roman"/>
          <w:sz w:val="20"/>
          <w:szCs w:val="20"/>
        </w:rPr>
        <w:t>-</w:t>
      </w:r>
      <w:r w:rsidRPr="00426625">
        <w:rPr>
          <w:rFonts w:ascii="Times New Roman" w:hAnsi="Times New Roman" w:cs="Times New Roman"/>
          <w:sz w:val="20"/>
          <w:szCs w:val="20"/>
        </w:rPr>
        <w:t xml:space="preserve">deeld patiëntendossier in België’, p. 15-16 (nr. 4); HAUSMAN, J.M., ‘Le droit d’accès au système d’information santé organisé par le décret du 16 juin 2006 de la communauté flamande’, SCHAMPS, G. (red.), </w:t>
      </w:r>
      <w:r w:rsidRPr="00426625">
        <w:rPr>
          <w:rFonts w:ascii="Times New Roman" w:hAnsi="Times New Roman" w:cs="Times New Roman"/>
          <w:i/>
          <w:sz w:val="20"/>
          <w:szCs w:val="20"/>
        </w:rPr>
        <w:t>Evolution des droits du patient, indemnisation sans faute des dommages liés aux soins de santé: le droit médical en mouve</w:t>
      </w:r>
      <w:r>
        <w:rPr>
          <w:rFonts w:ascii="Times New Roman" w:hAnsi="Times New Roman" w:cs="Times New Roman"/>
          <w:i/>
          <w:sz w:val="20"/>
          <w:szCs w:val="20"/>
        </w:rPr>
        <w:t>-</w:t>
      </w:r>
      <w:r w:rsidRPr="00426625">
        <w:rPr>
          <w:rFonts w:ascii="Times New Roman" w:hAnsi="Times New Roman" w:cs="Times New Roman"/>
          <w:i/>
          <w:sz w:val="20"/>
          <w:szCs w:val="20"/>
        </w:rPr>
        <w:t>ment</w:t>
      </w:r>
      <w:r w:rsidRPr="00426625">
        <w:rPr>
          <w:rFonts w:ascii="Times New Roman" w:hAnsi="Times New Roman" w:cs="Times New Roman"/>
          <w:sz w:val="20"/>
          <w:szCs w:val="20"/>
        </w:rPr>
        <w:t>, Brussel, Bruylant, 2008, p. 187-242.</w:t>
      </w:r>
    </w:p>
  </w:footnote>
  <w:footnote w:id="49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Belgische Senaat, 2006-2007, </w:t>
      </w:r>
      <w:r w:rsidRPr="00426625">
        <w:rPr>
          <w:rFonts w:ascii="Times New Roman" w:hAnsi="Times New Roman" w:cs="Times New Roman"/>
          <w:i/>
          <w:sz w:val="20"/>
          <w:szCs w:val="20"/>
        </w:rPr>
        <w:t>De problematiek van de administratieve vereenvoudiging voor artsen</w:t>
      </w:r>
      <w:r w:rsidRPr="00426625">
        <w:rPr>
          <w:rFonts w:ascii="Times New Roman" w:hAnsi="Times New Roman" w:cs="Times New Roman"/>
          <w:sz w:val="20"/>
          <w:szCs w:val="20"/>
        </w:rPr>
        <w:t>, Verslag namens de Commissie voor de Sociale Aangelegenheden uitgebracht door mevrouw de Schamphelaere, 3-1991/1, p. 5.</w:t>
      </w:r>
    </w:p>
  </w:footnote>
  <w:footnote w:id="49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‘Frank Robben nu ook betrokken bij ‘Vlaamse eHealth’’,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26 november 2008.</w:t>
      </w:r>
    </w:p>
  </w:footnote>
  <w:footnote w:id="50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05/2004 van 10 mei 2004 van de CBPL inzake het voorontwerp Decreet Vlaamse Regering betref</w:t>
      </w:r>
      <w:r>
        <w:rPr>
          <w:rFonts w:ascii="Times New Roman" w:hAnsi="Times New Roman" w:cs="Times New Roman"/>
          <w:sz w:val="20"/>
          <w:szCs w:val="20"/>
        </w:rPr>
        <w:t>-</w:t>
      </w:r>
      <w:r w:rsidRPr="00426625">
        <w:rPr>
          <w:rFonts w:ascii="Times New Roman" w:hAnsi="Times New Roman" w:cs="Times New Roman"/>
          <w:sz w:val="20"/>
          <w:szCs w:val="20"/>
        </w:rPr>
        <w:t>fende het gezondheidsinformatiesysteem.</w:t>
      </w:r>
    </w:p>
  </w:footnote>
  <w:footnote w:id="50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van de Nationale Raad in verband met het decreet van de Vlaamse Gemeenschap van 16 juni 2006 betreffende het Gezondheidsinformatiesysteem’, </w:t>
      </w:r>
      <w:r w:rsidRPr="00426625">
        <w:rPr>
          <w:rFonts w:ascii="Times New Roman" w:hAnsi="Times New Roman" w:cs="Times New Roman"/>
          <w:i/>
          <w:sz w:val="20"/>
          <w:szCs w:val="20"/>
        </w:rPr>
        <w:t>T.N.R.</w:t>
      </w:r>
      <w:r w:rsidRPr="00426625">
        <w:rPr>
          <w:rFonts w:ascii="Times New Roman" w:hAnsi="Times New Roman" w:cs="Times New Roman"/>
          <w:sz w:val="20"/>
          <w:szCs w:val="20"/>
        </w:rPr>
        <w:t>, 116 (2007), p. 4.</w:t>
      </w:r>
    </w:p>
  </w:footnote>
  <w:footnote w:id="50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Het beroep tot vernietiging van het gezondheidsinformatiesysteem werd op 7 maart 2007 ingesteld door het Verbond der Belgische Beroepsverenigingen van Geneesheren-specialisten. Grondwettelijk Hof 14 februari 2008, Arrest 15/2008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12 maart 2008), integraal raadpleegbaar op: </w:t>
      </w:r>
      <w:hyperlink r:id="rId60" w:history="1">
        <w:r w:rsidRPr="00EA26DD">
          <w:rPr>
            <w:rStyle w:val="Hyperlink"/>
            <w:rFonts w:ascii="Times New Roman" w:hAnsi="Times New Roman" w:cs="Times New Roman"/>
            <w:sz w:val="20"/>
            <w:szCs w:val="20"/>
          </w:rPr>
          <w:t>http://www.const-court.be/public/n/2008/ 2008-015n.pdf</w:t>
        </w:r>
      </w:hyperlink>
      <w:r w:rsidRPr="00426625">
        <w:rPr>
          <w:rFonts w:ascii="Times New Roman" w:hAnsi="Times New Roman" w:cs="Times New Roman"/>
          <w:sz w:val="20"/>
          <w:szCs w:val="20"/>
        </w:rPr>
        <w:t>; ‘De toestemmingsregeling in het Gezondheidsinformatiesysteem vernietigd door het Grondwet</w:t>
      </w:r>
      <w:r>
        <w:rPr>
          <w:rFonts w:ascii="Times New Roman" w:hAnsi="Times New Roman" w:cs="Times New Roman"/>
          <w:sz w:val="20"/>
          <w:szCs w:val="20"/>
        </w:rPr>
        <w:t>-</w:t>
      </w:r>
      <w:r w:rsidRPr="00426625">
        <w:rPr>
          <w:rFonts w:ascii="Times New Roman" w:hAnsi="Times New Roman" w:cs="Times New Roman"/>
          <w:sz w:val="20"/>
          <w:szCs w:val="20"/>
        </w:rPr>
        <w:t xml:space="preserve">telijk Hof’,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11/3 (2008), p. 152-153 (nr. 184); ‘Vla-Health deels vernietigd’,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16 februari 2008; GROMMEN, S., ‘Artsen stomverbaasd over Vlaamse e-Health-plannen’,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xml:space="preserve">, 16 april 2009; HAUSMAN, J., ‘Le décret relatif au système d’information Santé: l’arrêt n° 15/2008 de la Cour constitutionnelle du 14 février 2008 – Considérations autour des règles de répartition de compétences en matière de santé et de protection de la vie privée’, </w:t>
      </w:r>
      <w:r w:rsidRPr="00426625">
        <w:rPr>
          <w:rFonts w:ascii="Times New Roman" w:hAnsi="Times New Roman" w:cs="Times New Roman"/>
          <w:i/>
          <w:sz w:val="20"/>
          <w:szCs w:val="20"/>
        </w:rPr>
        <w:t>T.Gez.</w:t>
      </w:r>
      <w:r w:rsidRPr="00426625">
        <w:rPr>
          <w:rFonts w:ascii="Times New Roman" w:hAnsi="Times New Roman" w:cs="Times New Roman"/>
          <w:sz w:val="20"/>
          <w:szCs w:val="20"/>
        </w:rPr>
        <w:t xml:space="preserve">, 2008-2009, 4, p. 297-303; MOERENHOUT, R., ‘Rechtspraakoverzicht Grondwettelijk Hof 2008. Bevoegdheid en rechtspleging’, </w:t>
      </w:r>
      <w:r w:rsidRPr="00426625">
        <w:rPr>
          <w:rFonts w:ascii="Times New Roman" w:hAnsi="Times New Roman" w:cs="Times New Roman"/>
          <w:i/>
          <w:sz w:val="20"/>
          <w:szCs w:val="20"/>
        </w:rPr>
        <w:t>T.B.P.</w:t>
      </w:r>
      <w:r w:rsidRPr="00426625">
        <w:rPr>
          <w:rFonts w:ascii="Times New Roman" w:hAnsi="Times New Roman" w:cs="Times New Roman"/>
          <w:sz w:val="20"/>
          <w:szCs w:val="20"/>
        </w:rPr>
        <w:t xml:space="preserve">, 2009, 9, p. 518 (nr. 22); THEUNIS, J., ‘De toetsing aan grondrechten door het Grondwettelijk Hof. Overzicht van rechtspraak 2008’, </w:t>
      </w:r>
      <w:r w:rsidRPr="00426625">
        <w:rPr>
          <w:rFonts w:ascii="Times New Roman" w:hAnsi="Times New Roman" w:cs="Times New Roman"/>
          <w:i/>
          <w:sz w:val="20"/>
          <w:szCs w:val="20"/>
        </w:rPr>
        <w:t>T.B.P.</w:t>
      </w:r>
      <w:r w:rsidRPr="00426625">
        <w:rPr>
          <w:rFonts w:ascii="Times New Roman" w:hAnsi="Times New Roman" w:cs="Times New Roman"/>
          <w:sz w:val="20"/>
          <w:szCs w:val="20"/>
        </w:rPr>
        <w:t>, 2009, 6, p. 329 (nr. 20).</w:t>
      </w:r>
    </w:p>
  </w:footnote>
  <w:footnote w:id="50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Antwoord van Jo Vandeurzen op vraag nr. 74 van Vera van der Borght op 25 oktober 2010.</w:t>
      </w:r>
    </w:p>
  </w:footnote>
  <w:footnote w:id="504">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WEYNS, D., </w:t>
      </w:r>
      <w:r w:rsidRPr="00426625">
        <w:rPr>
          <w:rFonts w:ascii="Times New Roman" w:hAnsi="Times New Roman" w:cs="Times New Roman"/>
          <w:i/>
          <w:sz w:val="20"/>
          <w:szCs w:val="20"/>
          <w:lang w:val="en-US"/>
        </w:rPr>
        <w:t>Flanders eHealth Platform</w:t>
      </w:r>
      <w:r w:rsidRPr="00426625">
        <w:rPr>
          <w:rFonts w:ascii="Times New Roman" w:hAnsi="Times New Roman" w:cs="Times New Roman"/>
          <w:sz w:val="20"/>
          <w:szCs w:val="20"/>
          <w:lang w:val="en-US"/>
        </w:rPr>
        <w:t>, Leuven, 2010.</w:t>
      </w:r>
    </w:p>
  </w:footnote>
  <w:footnote w:id="50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Flanders’ Care, </w:t>
      </w:r>
      <w:r w:rsidRPr="00426625">
        <w:rPr>
          <w:rFonts w:ascii="Times New Roman" w:hAnsi="Times New Roman" w:cs="Times New Roman"/>
          <w:i/>
          <w:sz w:val="20"/>
          <w:szCs w:val="20"/>
        </w:rPr>
        <w:t>Visietekst (e)Zorgzaam Vlaanderen. Gegevensdeling in zorg- en welzijnssector</w:t>
      </w:r>
      <w:r w:rsidRPr="00426625">
        <w:rPr>
          <w:rFonts w:ascii="Times New Roman" w:hAnsi="Times New Roman" w:cs="Times New Roman"/>
          <w:sz w:val="20"/>
          <w:szCs w:val="20"/>
        </w:rPr>
        <w:t>, Vlaanderen in Actie Pact 2020, 2012, p. 22 (nr. 9)..</w:t>
      </w:r>
    </w:p>
  </w:footnote>
  <w:footnote w:id="50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08/2009 van 18 maart 2009 van de CBPL inzake het voorontwerp decreet Vlaamse Regering be</w:t>
      </w:r>
      <w:r>
        <w:rPr>
          <w:rFonts w:ascii="Times New Roman" w:hAnsi="Times New Roman" w:cs="Times New Roman"/>
          <w:sz w:val="20"/>
          <w:szCs w:val="20"/>
        </w:rPr>
        <w:t>-</w:t>
      </w:r>
      <w:r w:rsidRPr="00426625">
        <w:rPr>
          <w:rFonts w:ascii="Times New Roman" w:hAnsi="Times New Roman" w:cs="Times New Roman"/>
          <w:sz w:val="20"/>
          <w:szCs w:val="20"/>
        </w:rPr>
        <w:t>treffende het Platform voor gezondheids- en welzijnsinformatie; ‘Negatief advies voor medische kruispunt</w:t>
      </w:r>
      <w:r>
        <w:rPr>
          <w:rFonts w:ascii="Times New Roman" w:hAnsi="Times New Roman" w:cs="Times New Roman"/>
          <w:sz w:val="20"/>
          <w:szCs w:val="20"/>
        </w:rPr>
        <w:t>-</w:t>
      </w:r>
      <w:r w:rsidRPr="00426625">
        <w:rPr>
          <w:rFonts w:ascii="Times New Roman" w:hAnsi="Times New Roman" w:cs="Times New Roman"/>
          <w:sz w:val="20"/>
          <w:szCs w:val="20"/>
        </w:rPr>
        <w:t xml:space="preserve">bank’, </w:t>
      </w:r>
      <w:r w:rsidRPr="00426625">
        <w:rPr>
          <w:rFonts w:ascii="Times New Roman" w:hAnsi="Times New Roman" w:cs="Times New Roman"/>
          <w:i/>
          <w:sz w:val="20"/>
          <w:szCs w:val="20"/>
        </w:rPr>
        <w:t>De Standaard</w:t>
      </w:r>
      <w:r w:rsidRPr="00426625">
        <w:rPr>
          <w:rFonts w:ascii="Times New Roman" w:hAnsi="Times New Roman" w:cs="Times New Roman"/>
          <w:sz w:val="20"/>
          <w:szCs w:val="20"/>
        </w:rPr>
        <w:t xml:space="preserve">, 16 april 2009; VAN DER STADT, K., ‘Roekeloze plannen rond eHeath’,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16 april 2009; VERHENNEMAN, G., ‘Privacycommissie beoordeelt het Voorontwerp van decreet be</w:t>
      </w:r>
      <w:r>
        <w:rPr>
          <w:rFonts w:ascii="Times New Roman" w:hAnsi="Times New Roman" w:cs="Times New Roman"/>
          <w:sz w:val="20"/>
          <w:szCs w:val="20"/>
        </w:rPr>
        <w:t>-</w:t>
      </w:r>
      <w:r w:rsidRPr="00426625">
        <w:rPr>
          <w:rFonts w:ascii="Times New Roman" w:hAnsi="Times New Roman" w:cs="Times New Roman"/>
          <w:sz w:val="20"/>
          <w:szCs w:val="20"/>
        </w:rPr>
        <w:t xml:space="preserve">treffende het Platform voor gezondheids- en welzijnsinformatie’, </w:t>
      </w:r>
      <w:r w:rsidRPr="00426625">
        <w:rPr>
          <w:rFonts w:ascii="Times New Roman" w:hAnsi="Times New Roman" w:cs="Times New Roman"/>
          <w:i/>
          <w:sz w:val="20"/>
          <w:szCs w:val="20"/>
        </w:rPr>
        <w:t>P&amp;I</w:t>
      </w:r>
      <w:r w:rsidRPr="00426625">
        <w:rPr>
          <w:rFonts w:ascii="Times New Roman" w:hAnsi="Times New Roman" w:cs="Times New Roman"/>
          <w:sz w:val="20"/>
          <w:szCs w:val="20"/>
        </w:rPr>
        <w:t>, 12/4 (2009), p. 204-206 (nr. 178).</w:t>
      </w:r>
    </w:p>
  </w:footnote>
  <w:footnote w:id="50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‘Krijtlijnen voor Vlaamse eHealth uitgezet’, </w:t>
      </w:r>
      <w:r w:rsidRPr="00426625">
        <w:rPr>
          <w:rFonts w:ascii="Times New Roman" w:hAnsi="Times New Roman" w:cs="Times New Roman"/>
          <w:i/>
          <w:sz w:val="20"/>
          <w:szCs w:val="20"/>
        </w:rPr>
        <w:t>Datanews Knack</w:t>
      </w:r>
      <w:r w:rsidRPr="00426625">
        <w:rPr>
          <w:rFonts w:ascii="Times New Roman" w:hAnsi="Times New Roman" w:cs="Times New Roman"/>
          <w:sz w:val="20"/>
          <w:szCs w:val="20"/>
        </w:rPr>
        <w:t>, 22 februari 2012.</w:t>
      </w:r>
    </w:p>
  </w:footnote>
  <w:footnote w:id="50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Vlaams Patiëntenplatform, </w:t>
      </w:r>
      <w:r w:rsidRPr="00426625">
        <w:rPr>
          <w:rFonts w:ascii="Times New Roman" w:hAnsi="Times New Roman" w:cs="Times New Roman"/>
          <w:i/>
          <w:sz w:val="20"/>
          <w:szCs w:val="20"/>
        </w:rPr>
        <w:t>De elektronische uitwisseling van gezondheidsgegevens</w:t>
      </w:r>
      <w:r w:rsidRPr="00426625">
        <w:rPr>
          <w:rFonts w:ascii="Times New Roman" w:hAnsi="Times New Roman" w:cs="Times New Roman"/>
          <w:sz w:val="20"/>
          <w:szCs w:val="20"/>
        </w:rPr>
        <w:t>, p. 15-16.</w:t>
      </w:r>
    </w:p>
  </w:footnote>
  <w:footnote w:id="50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Flanders’ Care, </w:t>
      </w:r>
      <w:r w:rsidRPr="00426625">
        <w:rPr>
          <w:rFonts w:ascii="Times New Roman" w:hAnsi="Times New Roman" w:cs="Times New Roman"/>
          <w:i/>
          <w:sz w:val="20"/>
          <w:szCs w:val="20"/>
        </w:rPr>
        <w:t>Visietekst (e)Zorgzaam Vlaanderen. Gegevensdeling in zorg- en welzijnssector</w:t>
      </w:r>
      <w:r w:rsidRPr="00426625">
        <w:rPr>
          <w:rFonts w:ascii="Times New Roman" w:hAnsi="Times New Roman" w:cs="Times New Roman"/>
          <w:sz w:val="20"/>
          <w:szCs w:val="20"/>
        </w:rPr>
        <w:t>, Vlaanderen in Actie Pact 2020, 2012, p. 22 (nr. 9).</w:t>
      </w:r>
    </w:p>
  </w:footnote>
  <w:footnote w:id="51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Eerstelijns Gezondheidsconferentie is een initiatief van het Vlaams Agentschap voor Zorg en gezondheid (</w:t>
      </w:r>
      <w:hyperlink r:id="rId61" w:history="1">
        <w:r w:rsidRPr="00EA26DD">
          <w:rPr>
            <w:rStyle w:val="Hyperlink"/>
            <w:rFonts w:ascii="Times New Roman" w:hAnsi="Times New Roman" w:cs="Times New Roman"/>
            <w:sz w:val="20"/>
            <w:szCs w:val="20"/>
          </w:rPr>
          <w:t>www.zorg-en-gezondheid.be</w:t>
        </w:r>
      </w:hyperlink>
      <w:r w:rsidRPr="00426625">
        <w:rPr>
          <w:rFonts w:ascii="Times New Roman" w:hAnsi="Times New Roman" w:cs="Times New Roman"/>
          <w:sz w:val="20"/>
          <w:szCs w:val="20"/>
        </w:rPr>
        <w:t>); Inter-med is een initiatief onder de Reseau Santé Wallon (</w:t>
      </w:r>
      <w:hyperlink r:id="rId62" w:history="1">
        <w:r w:rsidRPr="00426625">
          <w:rPr>
            <w:rStyle w:val="Hyperlink"/>
            <w:rFonts w:ascii="Times New Roman" w:hAnsi="Times New Roman" w:cs="Times New Roman"/>
            <w:sz w:val="20"/>
            <w:szCs w:val="20"/>
          </w:rPr>
          <w:t>www.</w:t>
        </w:r>
        <w:r>
          <w:rPr>
            <w:rStyle w:val="Hyperlink"/>
            <w:rFonts w:ascii="Times New Roman" w:hAnsi="Times New Roman" w:cs="Times New Roman"/>
            <w:sz w:val="20"/>
            <w:szCs w:val="20"/>
          </w:rPr>
          <w:t xml:space="preserve"> </w:t>
        </w:r>
        <w:r w:rsidRPr="00426625">
          <w:rPr>
            <w:rStyle w:val="Hyperlink"/>
            <w:rFonts w:ascii="Times New Roman" w:hAnsi="Times New Roman" w:cs="Times New Roman"/>
            <w:sz w:val="20"/>
            <w:szCs w:val="20"/>
          </w:rPr>
          <w:t>reseausantewallon.be</w:t>
        </w:r>
      </w:hyperlink>
      <w:r w:rsidRPr="00426625">
        <w:rPr>
          <w:rFonts w:ascii="Times New Roman" w:hAnsi="Times New Roman" w:cs="Times New Roman"/>
          <w:sz w:val="20"/>
          <w:szCs w:val="20"/>
        </w:rPr>
        <w:t xml:space="preserve">).  </w:t>
      </w:r>
    </w:p>
  </w:footnote>
  <w:footnote w:id="51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ROBBEN, F., </w:t>
      </w:r>
      <w:r w:rsidRPr="00426625">
        <w:rPr>
          <w:rFonts w:ascii="Times New Roman" w:hAnsi="Times New Roman" w:cs="Times New Roman"/>
          <w:i/>
          <w:sz w:val="20"/>
          <w:szCs w:val="20"/>
        </w:rPr>
        <w:t>De extramurale zorgkluis</w:t>
      </w:r>
      <w:r w:rsidRPr="00426625">
        <w:rPr>
          <w:rFonts w:ascii="Times New Roman" w:hAnsi="Times New Roman" w:cs="Times New Roman"/>
          <w:sz w:val="20"/>
          <w:szCs w:val="20"/>
        </w:rPr>
        <w:t xml:space="preserve">, 2011; TEGENBOS, G., ‘E-health is na drie jaar startklaar’, </w:t>
      </w:r>
      <w:r w:rsidRPr="00426625">
        <w:rPr>
          <w:rFonts w:ascii="Times New Roman" w:hAnsi="Times New Roman" w:cs="Times New Roman"/>
          <w:i/>
          <w:sz w:val="20"/>
          <w:szCs w:val="20"/>
        </w:rPr>
        <w:t>De Stan</w:t>
      </w:r>
      <w:r>
        <w:rPr>
          <w:rFonts w:ascii="Times New Roman" w:hAnsi="Times New Roman" w:cs="Times New Roman"/>
          <w:i/>
          <w:sz w:val="20"/>
          <w:szCs w:val="20"/>
        </w:rPr>
        <w:t>-</w:t>
      </w:r>
      <w:r w:rsidRPr="00426625">
        <w:rPr>
          <w:rFonts w:ascii="Times New Roman" w:hAnsi="Times New Roman" w:cs="Times New Roman"/>
          <w:i/>
          <w:sz w:val="20"/>
          <w:szCs w:val="20"/>
        </w:rPr>
        <w:t>daard</w:t>
      </w:r>
      <w:r w:rsidRPr="00426625">
        <w:rPr>
          <w:rFonts w:ascii="Times New Roman" w:hAnsi="Times New Roman" w:cs="Times New Roman"/>
          <w:sz w:val="20"/>
          <w:szCs w:val="20"/>
        </w:rPr>
        <w:t xml:space="preserve">, 11 april 2012. Met dank aan mijn stagebegeleider Luc Vandeweyer, die mij dit krantenartikel bezorgde. </w:t>
      </w:r>
    </w:p>
  </w:footnote>
  <w:footnote w:id="51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Vlaams Patiëntenplatform, </w:t>
      </w:r>
      <w:r w:rsidRPr="00426625">
        <w:rPr>
          <w:rFonts w:ascii="Times New Roman" w:hAnsi="Times New Roman" w:cs="Times New Roman"/>
          <w:i/>
          <w:sz w:val="20"/>
          <w:szCs w:val="20"/>
        </w:rPr>
        <w:t>De elektronische uitwisseling van gezondheidsgegevens</w:t>
      </w:r>
      <w:r w:rsidRPr="00426625">
        <w:rPr>
          <w:rFonts w:ascii="Times New Roman" w:hAnsi="Times New Roman" w:cs="Times New Roman"/>
          <w:sz w:val="20"/>
          <w:szCs w:val="20"/>
        </w:rPr>
        <w:t>, p. 14-15.</w:t>
      </w:r>
    </w:p>
  </w:footnote>
  <w:footnote w:id="51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Zie tabel 6.</w:t>
      </w:r>
    </w:p>
  </w:footnote>
  <w:footnote w:id="51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Advies nr. 4 van de Telematicacommissie, ‘Telematicastandaarden in de zorgsector’, 2001.</w:t>
      </w:r>
    </w:p>
  </w:footnote>
  <w:footnote w:id="51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STAP, R.; VERHOOSEL, J.; </w:t>
      </w:r>
      <w:r w:rsidRPr="00426625">
        <w:rPr>
          <w:rFonts w:ascii="Times New Roman" w:hAnsi="Times New Roman" w:cs="Times New Roman"/>
          <w:i/>
          <w:sz w:val="20"/>
          <w:szCs w:val="20"/>
        </w:rPr>
        <w:t>De Europese Norm EN 13606. Overzicht en relaties EN 13606</w:t>
      </w:r>
      <w:r w:rsidRPr="00426625">
        <w:rPr>
          <w:rFonts w:ascii="Times New Roman" w:hAnsi="Times New Roman" w:cs="Times New Roman"/>
          <w:sz w:val="20"/>
          <w:szCs w:val="20"/>
        </w:rPr>
        <w:t>, Enschede, Ne</w:t>
      </w:r>
      <w:r>
        <w:rPr>
          <w:rFonts w:ascii="Times New Roman" w:hAnsi="Times New Roman" w:cs="Times New Roman"/>
          <w:sz w:val="20"/>
          <w:szCs w:val="20"/>
        </w:rPr>
        <w:t>-</w:t>
      </w:r>
      <w:r w:rsidRPr="00426625">
        <w:rPr>
          <w:rFonts w:ascii="Times New Roman" w:hAnsi="Times New Roman" w:cs="Times New Roman"/>
          <w:sz w:val="20"/>
          <w:szCs w:val="20"/>
        </w:rPr>
        <w:t>derlandse Organisatie voor toegepast-natuurwetenschappelijk onderzoek – Informatie en communicatietechno</w:t>
      </w:r>
      <w:r>
        <w:rPr>
          <w:rFonts w:ascii="Times New Roman" w:hAnsi="Times New Roman" w:cs="Times New Roman"/>
          <w:sz w:val="20"/>
          <w:szCs w:val="20"/>
        </w:rPr>
        <w:t>-</w:t>
      </w:r>
      <w:r w:rsidRPr="00426625">
        <w:rPr>
          <w:rFonts w:ascii="Times New Roman" w:hAnsi="Times New Roman" w:cs="Times New Roman"/>
          <w:sz w:val="20"/>
          <w:szCs w:val="20"/>
        </w:rPr>
        <w:t>logie, 2007, 30p.</w:t>
      </w:r>
    </w:p>
  </w:footnote>
  <w:footnote w:id="51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Conferentie Eerstelijnszorg Vlaanderen, Antwerpen, 11 december 2010. </w:t>
      </w:r>
      <w:r w:rsidRPr="00426625">
        <w:rPr>
          <w:rFonts w:ascii="Times New Roman" w:hAnsi="Times New Roman" w:cs="Times New Roman"/>
          <w:i/>
          <w:sz w:val="20"/>
          <w:szCs w:val="20"/>
        </w:rPr>
        <w:t>Het eHealth-platform: voorstel van strategie 2011-2013</w:t>
      </w:r>
      <w:r w:rsidRPr="00426625">
        <w:rPr>
          <w:rFonts w:ascii="Times New Roman" w:hAnsi="Times New Roman" w:cs="Times New Roman"/>
          <w:sz w:val="20"/>
          <w:szCs w:val="20"/>
        </w:rPr>
        <w:t xml:space="preserve">, slide 14. </w:t>
      </w:r>
    </w:p>
  </w:footnote>
  <w:footnote w:id="51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Verslag bijeenkomst Werkgroep ICT Eerstelijns Gezondheidsconferentie Brussel, 15 april 2011. </w:t>
      </w:r>
    </w:p>
  </w:footnote>
  <w:footnote w:id="51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VERHENNEMAN; DUMORTIER; ROBBEN; p. 305.</w:t>
      </w:r>
    </w:p>
  </w:footnote>
  <w:footnote w:id="51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ROBBEN, F., ‘Het belang van elektronisch informatiebeheer en elektronische informatie-uitwisseling in de Belgische gezondheidszorg’, 2011. </w:t>
      </w:r>
    </w:p>
  </w:footnote>
  <w:footnote w:id="52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Vlaams Agentschap Zorg &amp; Gezondheid, </w:t>
      </w:r>
      <w:r w:rsidRPr="00426625">
        <w:rPr>
          <w:rFonts w:ascii="Times New Roman" w:hAnsi="Times New Roman" w:cs="Times New Roman"/>
          <w:i/>
          <w:sz w:val="20"/>
          <w:szCs w:val="20"/>
        </w:rPr>
        <w:t>Bijeenkomst Werkgroep ICT Eerstelijns Gezondheidsconferentie</w:t>
      </w:r>
      <w:r w:rsidRPr="00426625">
        <w:rPr>
          <w:rFonts w:ascii="Times New Roman" w:hAnsi="Times New Roman" w:cs="Times New Roman"/>
          <w:sz w:val="20"/>
          <w:szCs w:val="20"/>
        </w:rPr>
        <w:t>, Brussel, 2011, slide 17.</w:t>
      </w:r>
    </w:p>
  </w:footnote>
  <w:footnote w:id="52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Verslag van de bijeenkomst Werkgroep ICT Eerstelijns Gezondheidsconferentie Brussel, 15 april 2011.</w:t>
      </w:r>
    </w:p>
  </w:footnote>
  <w:footnote w:id="52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hyperlink r:id="rId63" w:history="1">
        <w:r w:rsidRPr="0046008B">
          <w:rPr>
            <w:rStyle w:val="Hyperlink"/>
            <w:rFonts w:ascii="Times New Roman" w:hAnsi="Times New Roman" w:cs="Times New Roman"/>
            <w:sz w:val="20"/>
            <w:szCs w:val="20"/>
          </w:rPr>
          <w:t>www.vitalink.be</w:t>
        </w:r>
      </w:hyperlink>
      <w:r w:rsidRPr="00A51146">
        <w:rPr>
          <w:rStyle w:val="Hyperlink"/>
          <w:rFonts w:ascii="Times New Roman" w:hAnsi="Times New Roman" w:cs="Times New Roman"/>
          <w:color w:val="000000"/>
          <w:sz w:val="20"/>
          <w:szCs w:val="20"/>
          <w:u w:val="none"/>
        </w:rPr>
        <w:t xml:space="preserve">; ‘Elektronisch delen van medische gegevens in najaar van start’, </w:t>
      </w:r>
      <w:r w:rsidRPr="00A51146">
        <w:rPr>
          <w:rStyle w:val="Hyperlink"/>
          <w:rFonts w:ascii="Times New Roman" w:hAnsi="Times New Roman" w:cs="Times New Roman"/>
          <w:i/>
          <w:color w:val="000000"/>
          <w:sz w:val="20"/>
          <w:szCs w:val="20"/>
          <w:u w:val="none"/>
        </w:rPr>
        <w:t>De Standaard</w:t>
      </w:r>
      <w:r w:rsidRPr="00A51146">
        <w:rPr>
          <w:rStyle w:val="Hyperlink"/>
          <w:rFonts w:ascii="Times New Roman" w:hAnsi="Times New Roman" w:cs="Times New Roman"/>
          <w:color w:val="000000"/>
          <w:sz w:val="20"/>
          <w:szCs w:val="20"/>
          <w:u w:val="none"/>
        </w:rPr>
        <w:t>, 30 april 2012.</w:t>
      </w:r>
      <w:r w:rsidRPr="00426625">
        <w:rPr>
          <w:rStyle w:val="Hyperlink"/>
          <w:rFonts w:ascii="Times New Roman" w:hAnsi="Times New Roman" w:cs="Times New Roman"/>
          <w:color w:val="000000"/>
          <w:sz w:val="20"/>
          <w:szCs w:val="20"/>
        </w:rPr>
        <w:t xml:space="preserve"> </w:t>
      </w:r>
    </w:p>
  </w:footnote>
  <w:footnote w:id="52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hyperlink r:id="rId64" w:history="1">
        <w:r w:rsidRPr="002E0847">
          <w:rPr>
            <w:rStyle w:val="Hyperlink"/>
            <w:rFonts w:ascii="Times New Roman" w:hAnsi="Times New Roman" w:cs="Times New Roman"/>
            <w:sz w:val="20"/>
            <w:szCs w:val="20"/>
          </w:rPr>
          <w:t>https://www.ehealth.fgov.be/nl/application/applications/VESTA.html</w:t>
        </w:r>
      </w:hyperlink>
      <w:r>
        <w:rPr>
          <w:rFonts w:ascii="Times New Roman" w:hAnsi="Times New Roman" w:cs="Times New Roman"/>
          <w:sz w:val="20"/>
          <w:szCs w:val="20"/>
        </w:rPr>
        <w:t xml:space="preserve">. </w:t>
      </w:r>
    </w:p>
  </w:footnote>
  <w:footnote w:id="524">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TIBAU, F., ‘Réseau Santé Wallon uit de startblokken’, </w:t>
      </w:r>
      <w:r w:rsidRPr="00E333B6">
        <w:rPr>
          <w:rFonts w:ascii="Times New Roman" w:hAnsi="Times New Roman" w:cs="Times New Roman"/>
          <w:i/>
          <w:sz w:val="20"/>
          <w:szCs w:val="20"/>
          <w:lang w:val="fr-BE"/>
        </w:rPr>
        <w:t>Datanews Knack</w:t>
      </w:r>
      <w:r w:rsidRPr="00E333B6">
        <w:rPr>
          <w:rFonts w:ascii="Times New Roman" w:hAnsi="Times New Roman" w:cs="Times New Roman"/>
          <w:sz w:val="20"/>
          <w:szCs w:val="20"/>
          <w:lang w:val="fr-BE"/>
        </w:rPr>
        <w:t>, 23 september 2010.</w:t>
      </w:r>
    </w:p>
  </w:footnote>
  <w:footnote w:id="525">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Beraadslaging RR nr. 50/2009 van 15 juli 2009 van de CBPL betreffende het verzoek van de ‘Fédération Ré</w:t>
      </w:r>
      <w:r>
        <w:rPr>
          <w:rFonts w:ascii="Times New Roman" w:hAnsi="Times New Roman" w:cs="Times New Roman"/>
          <w:sz w:val="20"/>
          <w:szCs w:val="20"/>
        </w:rPr>
        <w:t>-</w:t>
      </w:r>
      <w:r w:rsidRPr="00426625">
        <w:rPr>
          <w:rFonts w:ascii="Times New Roman" w:hAnsi="Times New Roman" w:cs="Times New Roman"/>
          <w:sz w:val="20"/>
          <w:szCs w:val="20"/>
        </w:rPr>
        <w:t>gionale des Associations de Télématique Médicale’ (FRATEM) om het identificatienummer van het Rijksregis</w:t>
      </w:r>
      <w:r>
        <w:rPr>
          <w:rFonts w:ascii="Times New Roman" w:hAnsi="Times New Roman" w:cs="Times New Roman"/>
          <w:sz w:val="20"/>
          <w:szCs w:val="20"/>
        </w:rPr>
        <w:t>-</w:t>
      </w:r>
      <w:r w:rsidRPr="00426625">
        <w:rPr>
          <w:rFonts w:ascii="Times New Roman" w:hAnsi="Times New Roman" w:cs="Times New Roman"/>
          <w:sz w:val="20"/>
          <w:szCs w:val="20"/>
        </w:rPr>
        <w:t xml:space="preserve">ter van de patiënten en van de beroepsbeoefenaars in de gezondheidszorg te gebruiken voor het beheer van het Waals Gezondheidsnetwerk dat in het unieke kader van de continuïteit van de patiëntenzorg moet dienen om de uitwisseling van medische documenten tussen beroepsbeoefenaars in de gezondheidszorg te bevorderen; ‘Le plan d’action Réseau Santé Wallon’; DUMONT, V., ‘Controverses autour de l’échange électronique de données de santé. </w:t>
      </w:r>
      <w:r w:rsidRPr="00E333B6">
        <w:rPr>
          <w:rFonts w:ascii="Times New Roman" w:hAnsi="Times New Roman" w:cs="Times New Roman"/>
          <w:sz w:val="20"/>
          <w:szCs w:val="20"/>
          <w:lang w:val="fr-BE"/>
        </w:rPr>
        <w:t xml:space="preserve">La question de l’identifiant du patient’, VETOIS, J. (red.), </w:t>
      </w:r>
      <w:r w:rsidRPr="00E333B6">
        <w:rPr>
          <w:rFonts w:ascii="Times New Roman" w:hAnsi="Times New Roman" w:cs="Times New Roman"/>
          <w:i/>
          <w:sz w:val="20"/>
          <w:szCs w:val="20"/>
          <w:lang w:val="fr-BE"/>
        </w:rPr>
        <w:t>Technologie de l’information, culture et so</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ciété. Colloque: les libertés à l’épreuve de l’informatique</w:t>
      </w:r>
      <w:r w:rsidRPr="00E333B6">
        <w:rPr>
          <w:rFonts w:ascii="Times New Roman" w:hAnsi="Times New Roman" w:cs="Times New Roman"/>
          <w:sz w:val="20"/>
          <w:szCs w:val="20"/>
          <w:lang w:val="fr-BE"/>
        </w:rPr>
        <w:t xml:space="preserve">, Terminal, nr. 108-109, Parijs, L’Harmattan, 2011, p. 125-138. </w:t>
      </w:r>
    </w:p>
  </w:footnote>
  <w:footnote w:id="526">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‘Regionale EPD’s’,</w:t>
      </w:r>
      <w:r w:rsidRPr="00426625">
        <w:rPr>
          <w:rFonts w:ascii="Times New Roman" w:hAnsi="Times New Roman"/>
          <w:i/>
          <w:lang w:val="en-US"/>
        </w:rPr>
        <w:t xml:space="preserve"> P&amp;I</w:t>
      </w:r>
      <w:r w:rsidRPr="00426625">
        <w:rPr>
          <w:rFonts w:ascii="Times New Roman" w:hAnsi="Times New Roman"/>
          <w:lang w:val="en-US"/>
        </w:rPr>
        <w:t>, 12/4 (2009), p. 209 (nr. 180).</w:t>
      </w:r>
    </w:p>
  </w:footnote>
  <w:footnote w:id="52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EKKER, A., ‘Wie ziet wat? Juridische aspecten van autorisatie’, NOUWT, S.; PLOEM, M.C.; </w:t>
      </w:r>
      <w:r w:rsidRPr="00426625">
        <w:rPr>
          <w:rFonts w:ascii="Times New Roman" w:hAnsi="Times New Roman"/>
          <w:i/>
        </w:rPr>
        <w:t>Gezondheids</w:t>
      </w:r>
      <w:r>
        <w:rPr>
          <w:rFonts w:ascii="Times New Roman" w:hAnsi="Times New Roman"/>
          <w:i/>
        </w:rPr>
        <w:t>-</w:t>
      </w:r>
      <w:r w:rsidRPr="00426625">
        <w:rPr>
          <w:rFonts w:ascii="Times New Roman" w:hAnsi="Times New Roman"/>
          <w:i/>
        </w:rPr>
        <w:t>recht en ICT</w:t>
      </w:r>
      <w:r w:rsidRPr="00426625">
        <w:rPr>
          <w:rFonts w:ascii="Times New Roman" w:hAnsi="Times New Roman"/>
        </w:rPr>
        <w:t xml:space="preserve">, ICT en Recht, 7, Den Haag, Sdu Uitgevers, 2012, p. 55; NOUWT, S., ‘Regionale uitwisseling van patiëntgegevens’, NOUWT, S.; PLOEM, M.C.; </w:t>
      </w:r>
      <w:r w:rsidRPr="00426625">
        <w:rPr>
          <w:rFonts w:ascii="Times New Roman" w:hAnsi="Times New Roman"/>
          <w:i/>
        </w:rPr>
        <w:t>Gezondheidsrecht en ICT</w:t>
      </w:r>
      <w:r w:rsidRPr="00426625">
        <w:rPr>
          <w:rFonts w:ascii="Times New Roman" w:hAnsi="Times New Roman"/>
        </w:rPr>
        <w:t>, ICT en Recht, 7, Den Haag, Sdu Uit</w:t>
      </w:r>
      <w:r>
        <w:rPr>
          <w:rFonts w:ascii="Times New Roman" w:hAnsi="Times New Roman"/>
        </w:rPr>
        <w:t>-</w:t>
      </w:r>
      <w:r w:rsidRPr="00426625">
        <w:rPr>
          <w:rFonts w:ascii="Times New Roman" w:hAnsi="Times New Roman"/>
        </w:rPr>
        <w:t>gevers, 2012, p. 34.</w:t>
      </w:r>
    </w:p>
  </w:footnote>
  <w:footnote w:id="52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Dit overzicht is ontleend aan: PLOEM, M.C.; ZWAANSWIJK, M.; WIESMAN, F.J.; VERHEIJ, F.J.; FRIE</w:t>
      </w:r>
      <w:r>
        <w:rPr>
          <w:rFonts w:ascii="Times New Roman" w:hAnsi="Times New Roman"/>
        </w:rPr>
        <w:t>-</w:t>
      </w:r>
      <w:r w:rsidRPr="00426625">
        <w:rPr>
          <w:rFonts w:ascii="Times New Roman" w:hAnsi="Times New Roman"/>
        </w:rPr>
        <w:t xml:space="preserve">LE, R.D.; GEVERS, J.K.M.; </w:t>
      </w:r>
      <w:r w:rsidRPr="00426625">
        <w:rPr>
          <w:rFonts w:ascii="Times New Roman" w:hAnsi="Times New Roman"/>
          <w:i/>
        </w:rPr>
        <w:t>Vertrouwen van zorgverleners in elektronische informatie-uitwisseling en het lan</w:t>
      </w:r>
      <w:r>
        <w:rPr>
          <w:rFonts w:ascii="Times New Roman" w:hAnsi="Times New Roman"/>
          <w:i/>
        </w:rPr>
        <w:t>-</w:t>
      </w:r>
      <w:r w:rsidRPr="00426625">
        <w:rPr>
          <w:rFonts w:ascii="Times New Roman" w:hAnsi="Times New Roman"/>
          <w:i/>
        </w:rPr>
        <w:t>delijk EPD. Een juridische en sociaal-wetenschappelijke studie naar de positie van zorgverleners</w:t>
      </w:r>
      <w:r w:rsidRPr="00426625">
        <w:rPr>
          <w:rFonts w:ascii="Times New Roman" w:hAnsi="Times New Roman"/>
        </w:rPr>
        <w:t xml:space="preserve">, Amsterdam-Utrecht, AMC/NIVEL, 2011, p. 16; SPRENGER, M.; VAN ES, E.; </w:t>
      </w:r>
      <w:r w:rsidRPr="00426625">
        <w:rPr>
          <w:rFonts w:ascii="Times New Roman" w:hAnsi="Times New Roman"/>
          <w:i/>
        </w:rPr>
        <w:t>E-Health Monitor 2010 Volumes. Elektro</w:t>
      </w:r>
      <w:r>
        <w:rPr>
          <w:rFonts w:ascii="Times New Roman" w:hAnsi="Times New Roman"/>
          <w:i/>
        </w:rPr>
        <w:t>-</w:t>
      </w:r>
      <w:r w:rsidRPr="00426625">
        <w:rPr>
          <w:rFonts w:ascii="Times New Roman" w:hAnsi="Times New Roman"/>
          <w:i/>
        </w:rPr>
        <w:t>nische communicatie van patiëntengegevens in Nederland, overzicht en volume</w:t>
      </w:r>
      <w:r w:rsidRPr="00426625">
        <w:rPr>
          <w:rFonts w:ascii="Times New Roman" w:hAnsi="Times New Roman"/>
        </w:rPr>
        <w:t>, Den Haag, Nictiz, 2010, p. 12-16.</w:t>
      </w:r>
    </w:p>
  </w:footnote>
  <w:footnote w:id="5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65" w:history="1">
        <w:r w:rsidRPr="002E0847">
          <w:rPr>
            <w:rStyle w:val="Hyperlink"/>
            <w:rFonts w:ascii="Times New Roman" w:hAnsi="Times New Roman"/>
          </w:rPr>
          <w:t>http://www.zorgmail.nl/</w:t>
        </w:r>
      </w:hyperlink>
      <w:r>
        <w:rPr>
          <w:rFonts w:ascii="Times New Roman" w:hAnsi="Times New Roman"/>
        </w:rPr>
        <w:t xml:space="preserve">; </w:t>
      </w:r>
      <w:r w:rsidRPr="00426625">
        <w:rPr>
          <w:rFonts w:ascii="Times New Roman" w:hAnsi="Times New Roman"/>
        </w:rPr>
        <w:t xml:space="preserve">Nictiz, </w:t>
      </w:r>
      <w:r w:rsidRPr="00426625">
        <w:rPr>
          <w:rFonts w:ascii="Times New Roman" w:hAnsi="Times New Roman"/>
          <w:i/>
        </w:rPr>
        <w:t>Zorgmail Aansluitspecificaties</w:t>
      </w:r>
      <w:r w:rsidRPr="00426625">
        <w:rPr>
          <w:rFonts w:ascii="Times New Roman" w:hAnsi="Times New Roman"/>
        </w:rPr>
        <w:t xml:space="preserve">, s.l.n.d. </w:t>
      </w:r>
    </w:p>
  </w:footnote>
  <w:footnote w:id="53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DUIVENBODEN, J., ‘Van plannen maken naar aanpakken’, </w:t>
      </w:r>
      <w:r w:rsidRPr="00426625">
        <w:rPr>
          <w:rFonts w:ascii="Times New Roman" w:hAnsi="Times New Roman"/>
          <w:i/>
        </w:rPr>
        <w:t>NTMA</w:t>
      </w:r>
      <w:r w:rsidRPr="00426625">
        <w:rPr>
          <w:rFonts w:ascii="Times New Roman" w:hAnsi="Times New Roman"/>
        </w:rPr>
        <w:t>, 119 (2005), p. 36-40.</w:t>
      </w:r>
    </w:p>
  </w:footnote>
  <w:footnote w:id="53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66" w:history="1">
        <w:r w:rsidRPr="002E0847">
          <w:rPr>
            <w:rStyle w:val="Hyperlink"/>
            <w:rFonts w:ascii="Times New Roman" w:hAnsi="Times New Roman"/>
          </w:rPr>
          <w:t>http://www.ozis.nl/</w:t>
        </w:r>
      </w:hyperlink>
      <w:r>
        <w:rPr>
          <w:rFonts w:ascii="Times New Roman" w:hAnsi="Times New Roman"/>
        </w:rPr>
        <w:t xml:space="preserve">; </w:t>
      </w:r>
      <w:r w:rsidRPr="00426625">
        <w:rPr>
          <w:rFonts w:ascii="Times New Roman" w:hAnsi="Times New Roman"/>
        </w:rPr>
        <w:t xml:space="preserve">Nictiz; OZIS; </w:t>
      </w:r>
      <w:r w:rsidRPr="00426625">
        <w:rPr>
          <w:rFonts w:ascii="Times New Roman" w:hAnsi="Times New Roman"/>
          <w:i/>
        </w:rPr>
        <w:t>Medisch Recept Aanvraagbericht. EDIFACT-implementatiehandleiding</w:t>
      </w:r>
      <w:r w:rsidRPr="00426625">
        <w:rPr>
          <w:rFonts w:ascii="Times New Roman" w:hAnsi="Times New Roman"/>
        </w:rPr>
        <w:t>, Den Haag, 2008³, 111p..</w:t>
      </w:r>
    </w:p>
  </w:footnote>
  <w:footnote w:id="5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NOUWT, S., ‘Regionale uitwisselingen van patiëntgegevens’, NOUWT, S.; PLOEM, M.C.; </w:t>
      </w:r>
      <w:r w:rsidRPr="00426625">
        <w:rPr>
          <w:rFonts w:ascii="Times New Roman" w:hAnsi="Times New Roman"/>
          <w:i/>
        </w:rPr>
        <w:t>Gezondheids</w:t>
      </w:r>
      <w:r>
        <w:rPr>
          <w:rFonts w:ascii="Times New Roman" w:hAnsi="Times New Roman"/>
          <w:i/>
        </w:rPr>
        <w:t>-</w:t>
      </w:r>
      <w:r w:rsidRPr="00426625">
        <w:rPr>
          <w:rFonts w:ascii="Times New Roman" w:hAnsi="Times New Roman"/>
          <w:i/>
        </w:rPr>
        <w:t>recht en ICT</w:t>
      </w:r>
      <w:r w:rsidRPr="00426625">
        <w:rPr>
          <w:rFonts w:ascii="Times New Roman" w:hAnsi="Times New Roman"/>
        </w:rPr>
        <w:t>, ICT en Recht, 7, Den Haag, Sdu Uitgevers, 2012, p. 24.</w:t>
      </w:r>
    </w:p>
  </w:footnote>
  <w:footnote w:id="53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VAN ’T NOORDENDE, </w:t>
      </w:r>
      <w:r w:rsidRPr="00426625">
        <w:rPr>
          <w:rFonts w:ascii="Times New Roman" w:hAnsi="Times New Roman"/>
          <w:i/>
          <w:lang w:val="en-US"/>
        </w:rPr>
        <w:t xml:space="preserve">Frequently Asked Questions. </w:t>
      </w:r>
      <w:r w:rsidRPr="00426625">
        <w:rPr>
          <w:rFonts w:ascii="Times New Roman" w:hAnsi="Times New Roman"/>
          <w:i/>
        </w:rPr>
        <w:t>Feit en fictie over de EPD doorstart</w:t>
      </w:r>
      <w:r w:rsidRPr="00426625">
        <w:rPr>
          <w:rFonts w:ascii="Times New Roman" w:hAnsi="Times New Roman"/>
        </w:rPr>
        <w:t>, 2011.</w:t>
      </w:r>
    </w:p>
  </w:footnote>
  <w:footnote w:id="53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STEGWEE, R., ‘Keuzes bij standaardisering in de zorg met HL7’, </w:t>
      </w:r>
      <w:r w:rsidRPr="00426625">
        <w:rPr>
          <w:rFonts w:ascii="Times New Roman" w:hAnsi="Times New Roman"/>
          <w:i/>
        </w:rPr>
        <w:t>&lt;!Element</w:t>
      </w:r>
      <w:r w:rsidRPr="00426625">
        <w:rPr>
          <w:rFonts w:ascii="Times New Roman" w:hAnsi="Times New Roman"/>
        </w:rPr>
        <w:t>, 17/1 (2011), p. 4-7.</w:t>
      </w:r>
    </w:p>
  </w:footnote>
  <w:footnote w:id="5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een gedetailleerde studie, zie: VAN ROSSUM, R., </w:t>
      </w:r>
      <w:r w:rsidRPr="00426625">
        <w:rPr>
          <w:rFonts w:ascii="Times New Roman" w:hAnsi="Times New Roman"/>
          <w:i/>
        </w:rPr>
        <w:t>Risico-analyse van het Landelijk Schakelpunt, hart van de informatievoorziening in de zorg</w:t>
      </w:r>
      <w:r w:rsidRPr="00426625">
        <w:rPr>
          <w:rFonts w:ascii="Times New Roman" w:hAnsi="Times New Roman"/>
        </w:rPr>
        <w:t>, onuitgegeven masterpaper, Informatiekunde – specialisatie Information Security, Radboud Universiteit Nijmegen, promotores dr. Martijn Oostdijk en dr. Perry Groot, 2007, 146p.</w:t>
      </w:r>
    </w:p>
  </w:footnote>
  <w:footnote w:id="5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1997-1998, 25 669, nr. 2; Kamerstukken II, vergaderjaar 2006-2007, 27 529, nr. 29; GROOTHUIS, M., ‘Het elektronisch patiëntendossier in een veellagige rechtsorde’, HENDRIKS, A.C.; TEN NAPEL, H.M.T.D. (reds.); </w:t>
      </w:r>
      <w:r w:rsidRPr="00426625">
        <w:rPr>
          <w:rFonts w:ascii="Times New Roman" w:hAnsi="Times New Roman"/>
          <w:i/>
        </w:rPr>
        <w:t>Volksgezondheid in een veellagige rechtsorde. Eenheid en verscheidenheid van norm en praktijk</w:t>
      </w:r>
      <w:r w:rsidRPr="00426625">
        <w:rPr>
          <w:rFonts w:ascii="Times New Roman" w:hAnsi="Times New Roman"/>
        </w:rPr>
        <w:t>, Alphen aan den Rijn, Kluwer, 2007, p. 264; Programmacommissie Informatie- en Communica</w:t>
      </w:r>
      <w:r>
        <w:rPr>
          <w:rFonts w:ascii="Times New Roman" w:hAnsi="Times New Roman"/>
        </w:rPr>
        <w:t>-</w:t>
      </w:r>
      <w:r w:rsidRPr="00426625">
        <w:rPr>
          <w:rFonts w:ascii="Times New Roman" w:hAnsi="Times New Roman"/>
        </w:rPr>
        <w:t xml:space="preserve">tietechnologie in de Zorg, </w:t>
      </w:r>
      <w:r w:rsidRPr="00426625">
        <w:rPr>
          <w:rFonts w:ascii="Times New Roman" w:hAnsi="Times New Roman"/>
          <w:i/>
        </w:rPr>
        <w:t>Eindevaluatie ZonMw programma. ‘Informatie- en Communicatietechnologie in de Zorg 1996-2006’ (ICZ)</w:t>
      </w:r>
      <w:r w:rsidRPr="00426625">
        <w:rPr>
          <w:rFonts w:ascii="Times New Roman" w:hAnsi="Times New Roman"/>
        </w:rPr>
        <w:t>, Den Haag, ZonMw, 2006; Website ‘Invoering EPD’ van het ministerie van VWS en het Nationaal ICT Instituut in de Zorg (Nictiz) (</w:t>
      </w:r>
      <w:hyperlink r:id="rId67" w:history="1">
        <w:r w:rsidRPr="00426625">
          <w:rPr>
            <w:rStyle w:val="Hyperlink"/>
            <w:rFonts w:ascii="Times New Roman" w:hAnsi="Times New Roman"/>
          </w:rPr>
          <w:t>http://www.minvws.nl/dossiers/elektronisch-patientendossier/</w:t>
        </w:r>
      </w:hyperlink>
      <w:r w:rsidRPr="00426625">
        <w:rPr>
          <w:rFonts w:ascii="Times New Roman" w:hAnsi="Times New Roman"/>
        </w:rPr>
        <w:t xml:space="preserve">); MARKENSTEIN, L.F., ‘Juridische hordes op de route naar een elektronisch patiëntendossier (EPD) in de zorg; een inventarisatie van de stand van zaken’, </w:t>
      </w:r>
      <w:r w:rsidRPr="00426625">
        <w:rPr>
          <w:rFonts w:ascii="Times New Roman" w:hAnsi="Times New Roman"/>
          <w:i/>
        </w:rPr>
        <w:t>T.G.</w:t>
      </w:r>
      <w:r w:rsidRPr="00426625">
        <w:rPr>
          <w:rFonts w:ascii="Times New Roman" w:hAnsi="Times New Roman"/>
        </w:rPr>
        <w:t>, 2005, p. 368-382.</w:t>
      </w:r>
    </w:p>
  </w:footnote>
  <w:footnote w:id="53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onderzoeken naar de risico’s, zie: SPAINK, K., </w:t>
      </w:r>
      <w:r w:rsidRPr="00426625">
        <w:rPr>
          <w:rFonts w:ascii="Times New Roman" w:hAnsi="Times New Roman"/>
          <w:i/>
        </w:rPr>
        <w:t>Medische geheimen. Risico’s van het elektronisch Pa</w:t>
      </w:r>
      <w:r>
        <w:rPr>
          <w:rFonts w:ascii="Times New Roman" w:hAnsi="Times New Roman"/>
          <w:i/>
        </w:rPr>
        <w:t>-</w:t>
      </w:r>
      <w:r w:rsidRPr="00426625">
        <w:rPr>
          <w:rFonts w:ascii="Times New Roman" w:hAnsi="Times New Roman"/>
          <w:i/>
        </w:rPr>
        <w:t>tiëntendossier</w:t>
      </w:r>
      <w:r w:rsidRPr="00426625">
        <w:rPr>
          <w:rFonts w:ascii="Times New Roman" w:hAnsi="Times New Roman"/>
        </w:rPr>
        <w:t>, Amsterdam, Nijgh &amp; Van Ditmar, 2005; NOUWT, S.,</w:t>
      </w:r>
      <w:r w:rsidRPr="00426625">
        <w:rPr>
          <w:rFonts w:ascii="Times New Roman" w:hAnsi="Times New Roman"/>
          <w:i/>
        </w:rPr>
        <w:t xml:space="preserve"> Beveiliging van het EPD</w:t>
      </w:r>
      <w:r w:rsidRPr="00426625">
        <w:rPr>
          <w:rFonts w:ascii="Times New Roman" w:hAnsi="Times New Roman"/>
        </w:rPr>
        <w:t>, reeks Rappor</w:t>
      </w:r>
      <w:r>
        <w:rPr>
          <w:rFonts w:ascii="Times New Roman" w:hAnsi="Times New Roman"/>
        </w:rPr>
        <w:t>-</w:t>
      </w:r>
      <w:r w:rsidRPr="00426625">
        <w:rPr>
          <w:rFonts w:ascii="Times New Roman" w:hAnsi="Times New Roman"/>
        </w:rPr>
        <w:t>tage van het Juridisch Laboratorium, Den Haag, ZonMw, 2002, 65p.</w:t>
      </w:r>
    </w:p>
  </w:footnote>
  <w:footnote w:id="53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2000-2001, 27 529, nr. 1, p. 6-8.</w:t>
      </w:r>
    </w:p>
  </w:footnote>
  <w:footnote w:id="53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Programmacommissie Informatie- en Communicatietechnologie in de Zorg, </w:t>
      </w:r>
      <w:r w:rsidRPr="00426625">
        <w:rPr>
          <w:rFonts w:ascii="Times New Roman" w:hAnsi="Times New Roman"/>
          <w:i/>
        </w:rPr>
        <w:t>Eindevaluatie ZonMw-program</w:t>
      </w:r>
      <w:r>
        <w:rPr>
          <w:rFonts w:ascii="Times New Roman" w:hAnsi="Times New Roman"/>
          <w:i/>
        </w:rPr>
        <w:t>-</w:t>
      </w:r>
      <w:r w:rsidRPr="00426625">
        <w:rPr>
          <w:rFonts w:ascii="Times New Roman" w:hAnsi="Times New Roman"/>
          <w:i/>
        </w:rPr>
        <w:t>ma. ‘Informatie- en Communicatietechnologie in de Zorg’ (ICZ) 1996-2006</w:t>
      </w:r>
      <w:r w:rsidRPr="00426625">
        <w:rPr>
          <w:rFonts w:ascii="Times New Roman" w:hAnsi="Times New Roman"/>
        </w:rPr>
        <w:t>, Den Haag, ZonMw, 2006.</w:t>
      </w:r>
    </w:p>
  </w:footnote>
  <w:footnote w:id="54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2000-2001, 27 529, nr. 1; VAN TWIST, M.J.W.; SCHULZ, J.M.; CHIN-A-FAT, N.M.H.; SCHERPENISSE, K.J.; VAN DER STEEN, M.; EIFF, V.; ‘T HART, P.; </w:t>
      </w:r>
      <w:r w:rsidRPr="00426625">
        <w:rPr>
          <w:rFonts w:ascii="Times New Roman" w:hAnsi="Times New Roman" w:cs="Times New Roman"/>
          <w:i/>
          <w:sz w:val="20"/>
          <w:szCs w:val="20"/>
        </w:rPr>
        <w:t>Het EPD voorbij? Eva</w:t>
      </w:r>
      <w:r>
        <w:rPr>
          <w:rFonts w:ascii="Times New Roman" w:hAnsi="Times New Roman" w:cs="Times New Roman"/>
          <w:i/>
          <w:sz w:val="20"/>
          <w:szCs w:val="20"/>
        </w:rPr>
        <w:t>-</w:t>
      </w:r>
      <w:r w:rsidRPr="00426625">
        <w:rPr>
          <w:rFonts w:ascii="Times New Roman" w:hAnsi="Times New Roman" w:cs="Times New Roman"/>
          <w:i/>
          <w:sz w:val="20"/>
          <w:szCs w:val="20"/>
        </w:rPr>
        <w:t>luatie Besluitvormingsproces Kaderwet Elektronische Zorginformatie-uitwisseling</w:t>
      </w:r>
      <w:r w:rsidRPr="00426625">
        <w:rPr>
          <w:rFonts w:ascii="Times New Roman" w:hAnsi="Times New Roman" w:cs="Times New Roman"/>
          <w:sz w:val="20"/>
          <w:szCs w:val="20"/>
        </w:rPr>
        <w:t xml:space="preserve">, Nederlandse School voor Openbaar Bestuur, 2012, p. 33-34. Meer informatie over het landelijk expertisecentrum kan teruggevonden op de website van Nictiz: </w:t>
      </w:r>
      <w:hyperlink r:id="rId68" w:history="1">
        <w:r w:rsidRPr="00426625">
          <w:rPr>
            <w:rStyle w:val="Hyperlink"/>
            <w:rFonts w:ascii="Times New Roman" w:hAnsi="Times New Roman" w:cs="Times New Roman"/>
            <w:sz w:val="20"/>
            <w:szCs w:val="20"/>
          </w:rPr>
          <w:t>www.nictiz.nl</w:t>
        </w:r>
      </w:hyperlink>
      <w:r w:rsidRPr="00426625">
        <w:rPr>
          <w:rFonts w:ascii="Times New Roman" w:hAnsi="Times New Roman" w:cs="Times New Roman"/>
          <w:sz w:val="20"/>
          <w:szCs w:val="20"/>
        </w:rPr>
        <w:t>.</w:t>
      </w:r>
    </w:p>
  </w:footnote>
  <w:footnote w:id="54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RIJEN, A.J.G.; OTTES, L.; ‘De meerwaarde van e-health’, </w:t>
      </w:r>
      <w:r w:rsidRPr="00426625">
        <w:rPr>
          <w:rFonts w:ascii="Times New Roman" w:hAnsi="Times New Roman"/>
          <w:i/>
        </w:rPr>
        <w:t>M.C.</w:t>
      </w:r>
      <w:r w:rsidRPr="00426625">
        <w:rPr>
          <w:rFonts w:ascii="Times New Roman" w:hAnsi="Times New Roman"/>
        </w:rPr>
        <w:t>, 57/17 (2002), p. 679-681; VAN RIJ</w:t>
      </w:r>
      <w:r>
        <w:rPr>
          <w:rFonts w:ascii="Times New Roman" w:hAnsi="Times New Roman"/>
        </w:rPr>
        <w:t>-</w:t>
      </w:r>
      <w:r w:rsidRPr="00426625">
        <w:rPr>
          <w:rFonts w:ascii="Times New Roman" w:hAnsi="Times New Roman"/>
        </w:rPr>
        <w:t xml:space="preserve">EN, A.J.G.; DE LINT, M.W.; OTTES, L.; </w:t>
      </w:r>
      <w:r w:rsidRPr="00426625">
        <w:rPr>
          <w:rFonts w:ascii="Times New Roman" w:hAnsi="Times New Roman"/>
          <w:i/>
        </w:rPr>
        <w:t>Inzicht in e-health</w:t>
      </w:r>
      <w:r w:rsidRPr="00426625">
        <w:rPr>
          <w:rFonts w:ascii="Times New Roman" w:hAnsi="Times New Roman"/>
        </w:rPr>
        <w:t>, Zoetermeer, Raad voor de Volksgezondheid en Zorg, 2002, p. 86.</w:t>
      </w:r>
    </w:p>
  </w:footnote>
  <w:footnote w:id="54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2005-2006, 27 529/30 300 XVI, nr. 19, p. 1-3.</w:t>
      </w:r>
    </w:p>
  </w:footnote>
  <w:footnote w:id="54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TWIST; SCHULZ; CHIN-A-FAT et al.; </w:t>
      </w:r>
      <w:r w:rsidRPr="00426625">
        <w:rPr>
          <w:rFonts w:ascii="Times New Roman" w:hAnsi="Times New Roman"/>
          <w:i/>
        </w:rPr>
        <w:t>Het EPD voorbij?</w:t>
      </w:r>
      <w:r w:rsidRPr="00426625">
        <w:rPr>
          <w:rFonts w:ascii="Times New Roman" w:hAnsi="Times New Roman"/>
        </w:rPr>
        <w:t>, p. 26-27.</w:t>
      </w:r>
    </w:p>
  </w:footnote>
  <w:footnote w:id="54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LUNSING, C.A.E., ‘Elektronisch Patiëntendossier: wezenlijk voor de toegankelijkheid van dossiergegevens’, </w:t>
      </w:r>
      <w:r w:rsidRPr="00426625">
        <w:rPr>
          <w:rFonts w:ascii="Times New Roman" w:hAnsi="Times New Roman"/>
          <w:i/>
        </w:rPr>
        <w:t>NTMA</w:t>
      </w:r>
      <w:r w:rsidRPr="00426625">
        <w:rPr>
          <w:rFonts w:ascii="Times New Roman" w:hAnsi="Times New Roman"/>
        </w:rPr>
        <w:t>, 116 (2004), p. 6-7.</w:t>
      </w:r>
    </w:p>
  </w:footnote>
  <w:footnote w:id="54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SimSun" w:hAnsi="Times New Roman"/>
          <w:kern w:val="1"/>
          <w:lang w:eastAsia="hi-IN" w:bidi="hi-IN"/>
        </w:rPr>
        <w:t xml:space="preserve">FRANKEN, H., ‘Is het elektronisch patiëntendossier een bedreiging voor de rechtsstaat?’, MOMMERS, L.; FRANKEN, H.; VAN DEN HERIK, J.; VAN DER KLAAUW, F. (reds.); </w:t>
      </w:r>
      <w:r w:rsidRPr="00426625">
        <w:rPr>
          <w:rFonts w:ascii="Times New Roman" w:eastAsia="SimSun" w:hAnsi="Times New Roman"/>
          <w:i/>
          <w:kern w:val="1"/>
          <w:lang w:eastAsia="hi-IN" w:bidi="hi-IN"/>
        </w:rPr>
        <w:t>Het binnenste buiten. Liber amicorum ter gelegenheid van het emeritaat van prof. dr. Aernout H.J. Schmidt, hoogleraar Recht en Informatica te Leiden</w:t>
      </w:r>
      <w:r w:rsidRPr="00426625">
        <w:rPr>
          <w:rFonts w:ascii="Times New Roman" w:eastAsia="SimSun" w:hAnsi="Times New Roman"/>
          <w:kern w:val="1"/>
          <w:lang w:eastAsia="hi-IN" w:bidi="hi-IN"/>
        </w:rPr>
        <w:t>, Leiden, 2010, p. 369.</w:t>
      </w:r>
    </w:p>
  </w:footnote>
  <w:footnote w:id="54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‘Waarneemdossier huisartsen’, </w:t>
      </w:r>
      <w:r w:rsidRPr="00426625">
        <w:rPr>
          <w:rFonts w:ascii="Times New Roman" w:hAnsi="Times New Roman"/>
          <w:i/>
        </w:rPr>
        <w:t>P&amp;I</w:t>
      </w:r>
      <w:r w:rsidRPr="00426625">
        <w:rPr>
          <w:rFonts w:ascii="Times New Roman" w:hAnsi="Times New Roman"/>
        </w:rPr>
        <w:t>, 10/6 (2007), p. 277-278 (nr. 337); GROOTHUIS, M., ‘Het elektronisch patiëntendossier in een veellagige rechtsorde’, p. 263; LIEM, S.L., ‘De lange weg naar een elektronisch patiënt</w:t>
      </w:r>
      <w:r>
        <w:rPr>
          <w:rFonts w:ascii="Times New Roman" w:hAnsi="Times New Roman"/>
        </w:rPr>
        <w:t>-</w:t>
      </w:r>
      <w:r w:rsidRPr="00426625">
        <w:rPr>
          <w:rFonts w:ascii="Times New Roman" w:hAnsi="Times New Roman"/>
        </w:rPr>
        <w:t xml:space="preserve">endossier’, </w:t>
      </w:r>
      <w:r w:rsidRPr="00426625">
        <w:rPr>
          <w:rFonts w:ascii="Times New Roman" w:hAnsi="Times New Roman"/>
          <w:i/>
        </w:rPr>
        <w:t>N.T.T.</w:t>
      </w:r>
      <w:r w:rsidRPr="00426625">
        <w:rPr>
          <w:rFonts w:ascii="Times New Roman" w:hAnsi="Times New Roman"/>
        </w:rPr>
        <w:t xml:space="preserve">, 113 (2006), p. 36-38; Nictiz; KNMG et al.; </w:t>
      </w:r>
      <w:r w:rsidRPr="00426625">
        <w:rPr>
          <w:rFonts w:ascii="Times New Roman" w:hAnsi="Times New Roman"/>
          <w:i/>
        </w:rPr>
        <w:t>Modelrichtlijn en modelvoorlichtingsmateriaal autorisatie voor koplopers. Waarneem Dossier Huisartsen</w:t>
      </w:r>
      <w:r w:rsidRPr="00426625">
        <w:rPr>
          <w:rFonts w:ascii="Times New Roman" w:hAnsi="Times New Roman"/>
        </w:rPr>
        <w:t xml:space="preserve">, Leidschendam, 2005, 43p.; IDEM, </w:t>
      </w:r>
      <w:r w:rsidRPr="00426625">
        <w:rPr>
          <w:rFonts w:ascii="Times New Roman" w:hAnsi="Times New Roman"/>
          <w:i/>
        </w:rPr>
        <w:t>Modelrichtlijn en modelvoorlichtingsmateriaal autorisatie voor koplopers. Elektronisch Medicatie Dossier</w:t>
      </w:r>
      <w:r w:rsidRPr="00426625">
        <w:rPr>
          <w:rFonts w:ascii="Times New Roman" w:hAnsi="Times New Roman"/>
        </w:rPr>
        <w:t>, Leidschendam, 2005, 35p.</w:t>
      </w:r>
    </w:p>
  </w:footnote>
  <w:footnote w:id="54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2004-2005, 27 529, nr. 15; DE BRUIJN, A.J.M., </w:t>
      </w:r>
      <w:r w:rsidRPr="00426625">
        <w:rPr>
          <w:rFonts w:ascii="Times New Roman" w:hAnsi="Times New Roman"/>
          <w:i/>
        </w:rPr>
        <w:t>Onderzoek Landelijke Invoe</w:t>
      </w:r>
      <w:r>
        <w:rPr>
          <w:rFonts w:ascii="Times New Roman" w:hAnsi="Times New Roman"/>
          <w:i/>
        </w:rPr>
        <w:t>-</w:t>
      </w:r>
      <w:r w:rsidRPr="00426625">
        <w:rPr>
          <w:rFonts w:ascii="Times New Roman" w:hAnsi="Times New Roman"/>
          <w:i/>
        </w:rPr>
        <w:t>ring Electronisch Medicatie Dossier (EMD) en het Waarneem Dossier Huisartsen (WDH)</w:t>
      </w:r>
      <w:r w:rsidRPr="00426625">
        <w:rPr>
          <w:rFonts w:ascii="Times New Roman" w:hAnsi="Times New Roman"/>
        </w:rPr>
        <w:t>, PriceWaterhouse</w:t>
      </w:r>
      <w:r>
        <w:rPr>
          <w:rFonts w:ascii="Times New Roman" w:hAnsi="Times New Roman"/>
        </w:rPr>
        <w:t>-</w:t>
      </w:r>
      <w:r w:rsidRPr="00426625">
        <w:rPr>
          <w:rFonts w:ascii="Times New Roman" w:hAnsi="Times New Roman"/>
        </w:rPr>
        <w:t xml:space="preserve">Coopers, 2007; VAN TWIST; SCHULZ; CHIN-A-FAT et al.; </w:t>
      </w:r>
      <w:r w:rsidRPr="00426625">
        <w:rPr>
          <w:rFonts w:ascii="Times New Roman" w:hAnsi="Times New Roman"/>
          <w:i/>
        </w:rPr>
        <w:t>Het EPD voorbij?</w:t>
      </w:r>
      <w:r w:rsidRPr="00426625">
        <w:rPr>
          <w:rFonts w:ascii="Times New Roman" w:hAnsi="Times New Roman"/>
        </w:rPr>
        <w:t xml:space="preserve">, p. 33-34. </w:t>
      </w:r>
    </w:p>
  </w:footnote>
  <w:footnote w:id="54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2006-2007, 27 529, nr. 29; Kamerstukken II, vergaderjaar 2006-2007, 30 800 XVI, nr. 27, p. 27-28, 55 en 79.</w:t>
      </w:r>
    </w:p>
  </w:footnote>
  <w:footnote w:id="54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rPr>
        <w:t>Contra</w:t>
      </w:r>
      <w:r w:rsidRPr="00426625">
        <w:rPr>
          <w:rFonts w:ascii="Times New Roman" w:hAnsi="Times New Roman"/>
        </w:rPr>
        <w:t xml:space="preserve">: ‘BIOZ: liever regionaal dan landelijk EPD’, </w:t>
      </w:r>
      <w:r w:rsidRPr="00426625">
        <w:rPr>
          <w:rFonts w:ascii="Times New Roman" w:hAnsi="Times New Roman"/>
          <w:i/>
        </w:rPr>
        <w:t>P&amp;I</w:t>
      </w:r>
      <w:r w:rsidRPr="00426625">
        <w:rPr>
          <w:rFonts w:ascii="Times New Roman" w:hAnsi="Times New Roman"/>
        </w:rPr>
        <w:t xml:space="preserve">, 11/1 (2008), p. 47-48 (nr. 42); ‘KNMG wil eerst regionaal EPD’, </w:t>
      </w:r>
      <w:r w:rsidRPr="00426625">
        <w:rPr>
          <w:rFonts w:ascii="Times New Roman" w:hAnsi="Times New Roman"/>
          <w:i/>
        </w:rPr>
        <w:t>P&amp;I</w:t>
      </w:r>
      <w:r w:rsidRPr="00426625">
        <w:rPr>
          <w:rFonts w:ascii="Times New Roman" w:hAnsi="Times New Roman"/>
        </w:rPr>
        <w:t>, 12/5 (2009), p. 247-248 (nr. 207).</w:t>
      </w:r>
    </w:p>
  </w:footnote>
  <w:footnote w:id="55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‘Gebruikerstests EMD en WDH succesvol verlopen’, </w:t>
      </w:r>
      <w:r w:rsidRPr="00426625">
        <w:rPr>
          <w:rFonts w:ascii="Times New Roman" w:hAnsi="Times New Roman"/>
          <w:i/>
        </w:rPr>
        <w:t>P&amp;I</w:t>
      </w:r>
      <w:r w:rsidRPr="00426625">
        <w:rPr>
          <w:rFonts w:ascii="Times New Roman" w:hAnsi="Times New Roman"/>
        </w:rPr>
        <w:t>, 9/5 (2006), p. 249-250 (nr. 286)</w:t>
      </w:r>
    </w:p>
  </w:footnote>
  <w:footnote w:id="5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Expertise Centrum, </w:t>
      </w:r>
      <w:r w:rsidRPr="00426625">
        <w:rPr>
          <w:rFonts w:ascii="Times New Roman" w:hAnsi="Times New Roman"/>
          <w:i/>
        </w:rPr>
        <w:t>Audit Implementatieplan EMD/WDH</w:t>
      </w:r>
      <w:r w:rsidRPr="00426625">
        <w:rPr>
          <w:rFonts w:ascii="Times New Roman" w:hAnsi="Times New Roman"/>
        </w:rPr>
        <w:t>, Den Haag, 2005.</w:t>
      </w:r>
    </w:p>
  </w:footnote>
  <w:footnote w:id="55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2007-2008, 30 380, G; ‘Gebruik burgerservicenummer in de zorg’, </w:t>
      </w:r>
      <w:r w:rsidRPr="00426625">
        <w:rPr>
          <w:rFonts w:ascii="Times New Roman" w:hAnsi="Times New Roman"/>
          <w:i/>
        </w:rPr>
        <w:t>P&amp;I</w:t>
      </w:r>
      <w:r w:rsidRPr="00426625">
        <w:rPr>
          <w:rFonts w:ascii="Times New Roman" w:hAnsi="Times New Roman"/>
        </w:rPr>
        <w:t xml:space="preserve">, 11/5 (2008), p. 264 (nr. 272); ‘Burgerservicenummer in de zorg’, </w:t>
      </w:r>
      <w:r w:rsidRPr="00426625">
        <w:rPr>
          <w:rFonts w:ascii="Times New Roman" w:hAnsi="Times New Roman"/>
          <w:i/>
        </w:rPr>
        <w:t>P&amp;I</w:t>
      </w:r>
      <w:r w:rsidRPr="00426625">
        <w:rPr>
          <w:rFonts w:ascii="Times New Roman" w:hAnsi="Times New Roman"/>
        </w:rPr>
        <w:t>, 10/2 (2007), p. 90 (nr. 116); ‘Wetsvoorstel ge</w:t>
      </w:r>
      <w:r>
        <w:rPr>
          <w:rFonts w:ascii="Times New Roman" w:hAnsi="Times New Roman"/>
        </w:rPr>
        <w:t>-</w:t>
      </w:r>
      <w:r w:rsidRPr="00426625">
        <w:rPr>
          <w:rFonts w:ascii="Times New Roman" w:hAnsi="Times New Roman"/>
        </w:rPr>
        <w:t xml:space="preserve">bruik burgerservicenummer in de zorg’, </w:t>
      </w:r>
      <w:r w:rsidRPr="00426625">
        <w:rPr>
          <w:rFonts w:ascii="Times New Roman" w:hAnsi="Times New Roman"/>
          <w:i/>
        </w:rPr>
        <w:t>P&amp;I</w:t>
      </w:r>
      <w:r w:rsidRPr="00426625">
        <w:rPr>
          <w:rFonts w:ascii="Times New Roman" w:hAnsi="Times New Roman"/>
        </w:rPr>
        <w:t xml:space="preserve">, 9/2 (2006), p. 101-104 (nr. 130); BONTHUIS, M.J., ‘Addendum bij: Privacy en het landelijk elektronisch patiëntendossier’, </w:t>
      </w:r>
      <w:r w:rsidRPr="00426625">
        <w:rPr>
          <w:rFonts w:ascii="Times New Roman" w:hAnsi="Times New Roman"/>
          <w:i/>
        </w:rPr>
        <w:t>P&amp;I</w:t>
      </w:r>
      <w:r w:rsidRPr="00426625">
        <w:rPr>
          <w:rFonts w:ascii="Times New Roman" w:hAnsi="Times New Roman"/>
        </w:rPr>
        <w:t xml:space="preserve">, 11/4 (2008), p. 190-191 (nr. 197); VAN TWIST; SCHULZ; CHIN-A-FAT et al.; </w:t>
      </w:r>
      <w:r w:rsidRPr="00426625">
        <w:rPr>
          <w:rFonts w:ascii="Times New Roman" w:hAnsi="Times New Roman"/>
          <w:i/>
        </w:rPr>
        <w:t>Het EPD voorbij?</w:t>
      </w:r>
      <w:r w:rsidRPr="00426625">
        <w:rPr>
          <w:rFonts w:ascii="Times New Roman" w:hAnsi="Times New Roman"/>
        </w:rPr>
        <w:t>,</w:t>
      </w:r>
      <w:r w:rsidRPr="00426625">
        <w:rPr>
          <w:rFonts w:ascii="Times New Roman" w:hAnsi="Times New Roman"/>
          <w:i/>
        </w:rPr>
        <w:t xml:space="preserve"> </w:t>
      </w:r>
      <w:r w:rsidRPr="00426625">
        <w:rPr>
          <w:rFonts w:ascii="Times New Roman" w:hAnsi="Times New Roman"/>
        </w:rPr>
        <w:t xml:space="preserve">p. 28-29. </w:t>
      </w:r>
    </w:p>
  </w:footnote>
  <w:footnote w:id="55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Overzicht van de stemming in de Tweede Kamer op 10 oktober 2006 betreffende wetsvoorstel 30380 houden</w:t>
      </w:r>
      <w:r>
        <w:rPr>
          <w:rFonts w:ascii="Times New Roman" w:hAnsi="Times New Roman"/>
        </w:rPr>
        <w:t>-</w:t>
      </w:r>
      <w:r w:rsidRPr="00426625">
        <w:rPr>
          <w:rFonts w:ascii="Times New Roman" w:hAnsi="Times New Roman"/>
        </w:rPr>
        <w:t xml:space="preserve">de regels inzake het gebruik van het burgerservicenummer in de zorg (Wet gebruik burgerservicenummer in de zorg); ‘Tweede Kamer akkoord met wet BSN in de zorg’, </w:t>
      </w:r>
      <w:r w:rsidRPr="00426625">
        <w:rPr>
          <w:rFonts w:ascii="Times New Roman" w:hAnsi="Times New Roman"/>
          <w:i/>
        </w:rPr>
        <w:t>P&amp;I</w:t>
      </w:r>
      <w:r w:rsidRPr="00426625">
        <w:rPr>
          <w:rFonts w:ascii="Times New Roman" w:hAnsi="Times New Roman"/>
        </w:rPr>
        <w:t xml:space="preserve">, 9/6 (2006), p. 307 (nr. 347). </w:t>
      </w:r>
    </w:p>
  </w:footnote>
  <w:footnote w:id="55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 vergaderjaar 2007-2008, nr. 26, p. 1056-1082; ‘BSN in de zorg opnieuw uitgesteld’,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11/1 (2008), p. 43 (nr. 32); ‘Eerste Kamer stemt in met BSN in de zorg’, </w:t>
      </w:r>
      <w:r w:rsidRPr="00426625">
        <w:rPr>
          <w:rFonts w:ascii="Times New Roman" w:hAnsi="Times New Roman" w:cs="Times New Roman"/>
          <w:i/>
          <w:sz w:val="20"/>
          <w:szCs w:val="20"/>
        </w:rPr>
        <w:t>Z&amp;F</w:t>
      </w:r>
      <w:r w:rsidRPr="00426625">
        <w:rPr>
          <w:rFonts w:ascii="Times New Roman" w:hAnsi="Times New Roman" w:cs="Times New Roman"/>
          <w:sz w:val="20"/>
          <w:szCs w:val="20"/>
        </w:rPr>
        <w:t>, 7/5 (2008), p. 127 (nr. 642); GE</w:t>
      </w:r>
      <w:r>
        <w:rPr>
          <w:rFonts w:ascii="Times New Roman" w:hAnsi="Times New Roman" w:cs="Times New Roman"/>
          <w:sz w:val="20"/>
          <w:szCs w:val="20"/>
        </w:rPr>
        <w:t>-</w:t>
      </w:r>
      <w:r w:rsidRPr="00426625">
        <w:rPr>
          <w:rFonts w:ascii="Times New Roman" w:hAnsi="Times New Roman" w:cs="Times New Roman"/>
          <w:sz w:val="20"/>
          <w:szCs w:val="20"/>
        </w:rPr>
        <w:t xml:space="preserve">RARDTS, G., ‘Eerste kamer stemt in met wet gebruik burgerservicenummer in de zorg’, </w:t>
      </w:r>
      <w:r w:rsidRPr="00426625">
        <w:rPr>
          <w:rFonts w:ascii="Times New Roman" w:hAnsi="Times New Roman" w:cs="Times New Roman"/>
          <w:i/>
          <w:sz w:val="20"/>
          <w:szCs w:val="20"/>
        </w:rPr>
        <w:t>T.V.</w:t>
      </w:r>
      <w:r w:rsidRPr="00426625">
        <w:rPr>
          <w:rFonts w:ascii="Times New Roman" w:hAnsi="Times New Roman" w:cs="Times New Roman"/>
          <w:sz w:val="20"/>
          <w:szCs w:val="20"/>
        </w:rPr>
        <w:t>, 33/5 (2008), p. 12.</w:t>
      </w:r>
    </w:p>
  </w:footnote>
  <w:footnote w:id="55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van 10 april 2008 houdende regels inzake het gebruik van het burgerservicenummer in de zorg (</w:t>
      </w:r>
      <w:r w:rsidRPr="00426625">
        <w:rPr>
          <w:rFonts w:ascii="Times New Roman" w:hAnsi="Times New Roman"/>
          <w:i/>
        </w:rPr>
        <w:t xml:space="preserve">Stb. </w:t>
      </w:r>
      <w:r w:rsidRPr="00426625">
        <w:rPr>
          <w:rFonts w:ascii="Times New Roman" w:hAnsi="Times New Roman"/>
        </w:rPr>
        <w:t xml:space="preserve">164, 20 mei 2008), hierna: WGB-Z. </w:t>
      </w:r>
    </w:p>
  </w:footnote>
  <w:footnote w:id="55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2005-2006, 30 380, nr. 3, p. 1; art. 4 WGB-Z. Zie ook: Ministerie van Binnen</w:t>
      </w:r>
      <w:r>
        <w:rPr>
          <w:rFonts w:ascii="Times New Roman" w:hAnsi="Times New Roman"/>
        </w:rPr>
        <w:t>-</w:t>
      </w:r>
      <w:r w:rsidRPr="00426625">
        <w:rPr>
          <w:rFonts w:ascii="Times New Roman" w:hAnsi="Times New Roman"/>
        </w:rPr>
        <w:t xml:space="preserve">landse Zaken en Koninkrijksrelaties, </w:t>
      </w:r>
      <w:r w:rsidRPr="00426625">
        <w:rPr>
          <w:rFonts w:ascii="Times New Roman" w:hAnsi="Times New Roman"/>
          <w:i/>
        </w:rPr>
        <w:t>Handleiding voor de gebruiker van het burgerservicenummer</w:t>
      </w:r>
      <w:r w:rsidRPr="00426625">
        <w:rPr>
          <w:rFonts w:ascii="Times New Roman" w:hAnsi="Times New Roman"/>
        </w:rPr>
        <w:t>, 2007. Het College bescherming persoonsgegevens verbiedt overigens archiefinstellingen om gebruik te maken van dit bur</w:t>
      </w:r>
      <w:r>
        <w:rPr>
          <w:rFonts w:ascii="Times New Roman" w:hAnsi="Times New Roman"/>
        </w:rPr>
        <w:t>-</w:t>
      </w:r>
      <w:r w:rsidRPr="00426625">
        <w:rPr>
          <w:rFonts w:ascii="Times New Roman" w:hAnsi="Times New Roman"/>
        </w:rPr>
        <w:t xml:space="preserve">gerservicenummer: SALVERDA, J., ‘CBP verbiedt gebruik burgerservicenummer door archiefinstellingen’ in BIEMANS, J.; YAP, R.; ‘De Wet bescherming persoonsgegevens: een vloek of een zegen?’, </w:t>
      </w:r>
      <w:r w:rsidRPr="00426625">
        <w:rPr>
          <w:rFonts w:ascii="Times New Roman" w:hAnsi="Times New Roman"/>
          <w:i/>
        </w:rPr>
        <w:t>Archievenblad</w:t>
      </w:r>
      <w:r w:rsidRPr="00426625">
        <w:rPr>
          <w:rFonts w:ascii="Times New Roman" w:hAnsi="Times New Roman"/>
        </w:rPr>
        <w:t xml:space="preserve">, 113/5 (2009), p. 20-23. </w:t>
      </w:r>
    </w:p>
  </w:footnote>
  <w:footnote w:id="55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VEEN, E.B., ‘BSN en EPD, grote operaties’, </w:t>
      </w:r>
      <w:r w:rsidRPr="00426625">
        <w:rPr>
          <w:rFonts w:ascii="Times New Roman" w:hAnsi="Times New Roman"/>
          <w:i/>
        </w:rPr>
        <w:t>T.G.</w:t>
      </w:r>
      <w:r w:rsidRPr="00426625">
        <w:rPr>
          <w:rFonts w:ascii="Times New Roman" w:hAnsi="Times New Roman"/>
        </w:rPr>
        <w:t>, 32/5 (2009), p. 331.</w:t>
      </w:r>
    </w:p>
  </w:footnote>
  <w:footnote w:id="55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26 van het besluit van 23 mei 2008 houdende regels voor het gebruik van het burgerservicenummer in de zorg (</w:t>
      </w:r>
      <w:r w:rsidRPr="00426625">
        <w:rPr>
          <w:rFonts w:ascii="Times New Roman" w:hAnsi="Times New Roman" w:cs="Times New Roman"/>
          <w:i/>
          <w:sz w:val="20"/>
          <w:szCs w:val="20"/>
        </w:rPr>
        <w:t xml:space="preserve">Stb. </w:t>
      </w:r>
      <w:r w:rsidRPr="00426625">
        <w:rPr>
          <w:rFonts w:ascii="Times New Roman" w:hAnsi="Times New Roman" w:cs="Times New Roman"/>
          <w:sz w:val="20"/>
          <w:szCs w:val="20"/>
        </w:rPr>
        <w:t>185, 29 mei 2008), hierna: BGB-Z.</w:t>
      </w:r>
    </w:p>
  </w:footnote>
  <w:footnote w:id="55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 a WGB-Z; PRINS, J.E.J., ‘Het burgerservicenummer en de strijd tegen identiteitsfraude’, </w:t>
      </w:r>
      <w:r w:rsidRPr="00426625">
        <w:rPr>
          <w:rFonts w:ascii="Times New Roman" w:hAnsi="Times New Roman"/>
          <w:i/>
        </w:rPr>
        <w:t>Computerr.</w:t>
      </w:r>
      <w:r w:rsidRPr="00426625">
        <w:rPr>
          <w:rFonts w:ascii="Times New Roman" w:hAnsi="Times New Roman"/>
        </w:rPr>
        <w:t>, 2003, 1, p. 2-3.</w:t>
      </w:r>
    </w:p>
  </w:footnote>
  <w:footnote w:id="560">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12 WGB-Z.</w:t>
      </w:r>
    </w:p>
  </w:footnote>
  <w:footnote w:id="561">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7 § 1 WGB-Z; art. 11 § 1, b BGB-Z. </w:t>
      </w:r>
    </w:p>
  </w:footnote>
  <w:footnote w:id="562">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7 § 2 en § 3 WGB-Z.</w:t>
      </w:r>
    </w:p>
  </w:footnote>
  <w:footnote w:id="563">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11 WGB-Z; art. 28 BGB-Z.</w:t>
      </w:r>
    </w:p>
  </w:footnote>
  <w:footnote w:id="56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‘Minister Klink start publiekscampagne rondom EPD’, </w:t>
      </w:r>
      <w:r w:rsidRPr="00426625">
        <w:rPr>
          <w:rFonts w:ascii="Times New Roman" w:hAnsi="Times New Roman"/>
          <w:i/>
        </w:rPr>
        <w:t>Z&amp;F</w:t>
      </w:r>
      <w:r w:rsidRPr="00426625">
        <w:rPr>
          <w:rFonts w:ascii="Times New Roman" w:hAnsi="Times New Roman"/>
        </w:rPr>
        <w:t xml:space="preserve">, 8/1 (2009), p. 98 (nr. 145); ‘EPD vertraagt door 438.000 bezwaren’, </w:t>
      </w:r>
      <w:r w:rsidRPr="00426625">
        <w:rPr>
          <w:rFonts w:ascii="Times New Roman" w:hAnsi="Times New Roman"/>
          <w:i/>
        </w:rPr>
        <w:t>Z&amp;F</w:t>
      </w:r>
      <w:r w:rsidRPr="00426625">
        <w:rPr>
          <w:rFonts w:ascii="Times New Roman" w:hAnsi="Times New Roman"/>
        </w:rPr>
        <w:t>, 8/5 (2009), p. 78 (nr. 684).</w:t>
      </w:r>
    </w:p>
  </w:footnote>
  <w:footnote w:id="56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TWIST; SCHULZ; CHIN-A-FAT et al.; </w:t>
      </w:r>
      <w:r w:rsidRPr="00426625">
        <w:rPr>
          <w:rFonts w:ascii="Times New Roman" w:hAnsi="Times New Roman"/>
          <w:i/>
        </w:rPr>
        <w:t>Het EPD voorbij?</w:t>
      </w:r>
      <w:r w:rsidRPr="00426625">
        <w:rPr>
          <w:rFonts w:ascii="Times New Roman" w:hAnsi="Times New Roman"/>
        </w:rPr>
        <w:t>, p. 56-61.</w:t>
      </w:r>
      <w:r w:rsidRPr="00426625">
        <w:rPr>
          <w:rFonts w:ascii="Times New Roman" w:hAnsi="Times New Roman"/>
          <w:i/>
        </w:rPr>
        <w:t xml:space="preserve"> </w:t>
      </w:r>
    </w:p>
  </w:footnote>
  <w:footnote w:id="56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DER MAAT, M.; REITSMA-VAN ROOIJEN, M.; DE JONG, J.; </w:t>
      </w:r>
      <w:r w:rsidRPr="00426625">
        <w:rPr>
          <w:rFonts w:ascii="Times New Roman" w:hAnsi="Times New Roman"/>
          <w:i/>
        </w:rPr>
        <w:t>Vooral mensen met een slechte ge</w:t>
      </w:r>
      <w:r>
        <w:rPr>
          <w:rFonts w:ascii="Times New Roman" w:hAnsi="Times New Roman"/>
          <w:i/>
        </w:rPr>
        <w:t>-</w:t>
      </w:r>
      <w:r w:rsidRPr="00426625">
        <w:rPr>
          <w:rFonts w:ascii="Times New Roman" w:hAnsi="Times New Roman"/>
          <w:i/>
        </w:rPr>
        <w:t>zondheid maken bezwaar ten het landelijk EPD</w:t>
      </w:r>
      <w:r w:rsidRPr="00426625">
        <w:rPr>
          <w:rFonts w:ascii="Times New Roman" w:hAnsi="Times New Roman"/>
        </w:rPr>
        <w:t>, 2010, p. 2</w:t>
      </w:r>
      <w:r w:rsidRPr="00426625">
        <w:rPr>
          <w:rStyle w:val="Hyperlink"/>
          <w:rFonts w:ascii="Times New Roman" w:hAnsi="Times New Roman"/>
        </w:rPr>
        <w:t xml:space="preserve">; </w:t>
      </w:r>
      <w:r w:rsidRPr="00426625">
        <w:rPr>
          <w:rFonts w:ascii="Times New Roman" w:hAnsi="Times New Roman"/>
        </w:rPr>
        <w:t>‘De EPD-brief van minister Klink: een onnodig ant</w:t>
      </w:r>
      <w:r>
        <w:rPr>
          <w:rFonts w:ascii="Times New Roman" w:hAnsi="Times New Roman"/>
        </w:rPr>
        <w:t>-</w:t>
      </w:r>
      <w:r w:rsidRPr="00426625">
        <w:rPr>
          <w:rFonts w:ascii="Times New Roman" w:hAnsi="Times New Roman"/>
        </w:rPr>
        <w:t xml:space="preserve">woord’, </w:t>
      </w:r>
      <w:r w:rsidRPr="00426625">
        <w:rPr>
          <w:rFonts w:ascii="Times New Roman" w:hAnsi="Times New Roman"/>
          <w:i/>
        </w:rPr>
        <w:t>T.G.</w:t>
      </w:r>
      <w:r w:rsidRPr="00426625">
        <w:rPr>
          <w:rFonts w:ascii="Times New Roman" w:hAnsi="Times New Roman"/>
        </w:rPr>
        <w:t>,  33/2 (2009), p. 79-85.</w:t>
      </w:r>
    </w:p>
  </w:footnote>
  <w:footnote w:id="56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69" w:history="1">
        <w:r w:rsidRPr="00426625">
          <w:rPr>
            <w:rStyle w:val="Hyperlink"/>
            <w:rFonts w:ascii="Times New Roman" w:hAnsi="Times New Roman"/>
          </w:rPr>
          <w:t>www.infoEPD.nl</w:t>
        </w:r>
      </w:hyperlink>
      <w:r w:rsidRPr="00426625">
        <w:rPr>
          <w:rFonts w:ascii="Times New Roman" w:hAnsi="Times New Roman"/>
        </w:rPr>
        <w:t>. Deze website is inmiddels inactief.</w:t>
      </w:r>
    </w:p>
  </w:footnote>
  <w:footnote w:id="56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‘Klink krijgt 15.000 bezwaren tegen patiëntendossier’, </w:t>
      </w:r>
      <w:r w:rsidRPr="00426625">
        <w:rPr>
          <w:rFonts w:ascii="Times New Roman" w:hAnsi="Times New Roman"/>
          <w:i/>
        </w:rPr>
        <w:t>Volkskrant</w:t>
      </w:r>
      <w:r w:rsidRPr="00426625">
        <w:rPr>
          <w:rFonts w:ascii="Times New Roman" w:hAnsi="Times New Roman"/>
        </w:rPr>
        <w:t>, 6 november 2008.</w:t>
      </w:r>
    </w:p>
  </w:footnote>
  <w:footnote w:id="56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‘EPD vertraagt door 438.000 bezwaren’, </w:t>
      </w:r>
      <w:r w:rsidRPr="00426625">
        <w:rPr>
          <w:rFonts w:ascii="Times New Roman" w:hAnsi="Times New Roman"/>
          <w:i/>
        </w:rPr>
        <w:t>Z&amp;F</w:t>
      </w:r>
      <w:r w:rsidRPr="00426625">
        <w:rPr>
          <w:rFonts w:ascii="Times New Roman" w:hAnsi="Times New Roman"/>
        </w:rPr>
        <w:t>, 8/5 (2009), p. 78 (nr. 684).</w:t>
      </w:r>
    </w:p>
  </w:footnote>
  <w:footnote w:id="57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‘Behandeling EPD-Wet in Eerste Kamer uitgesteld tot april’, </w:t>
      </w:r>
      <w:r w:rsidRPr="00426625">
        <w:rPr>
          <w:rFonts w:ascii="Times New Roman" w:hAnsi="Times New Roman"/>
          <w:i/>
        </w:rPr>
        <w:t>Z&amp;F</w:t>
      </w:r>
      <w:r w:rsidRPr="00426625">
        <w:rPr>
          <w:rFonts w:ascii="Times New Roman" w:hAnsi="Times New Roman"/>
        </w:rPr>
        <w:t>, 9/3 (2010), p. 107 (nr. 502).</w:t>
      </w:r>
    </w:p>
  </w:footnote>
  <w:footnote w:id="57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CROONEN, H., ‘Onlinedossier geeft patiënt de regie. Geïnformeerde patiënten, gestroomlijnde zorg’, </w:t>
      </w:r>
      <w:r w:rsidRPr="00426625">
        <w:rPr>
          <w:rFonts w:ascii="Times New Roman" w:hAnsi="Times New Roman"/>
          <w:i/>
        </w:rPr>
        <w:t>M.C.</w:t>
      </w:r>
      <w:r w:rsidRPr="00426625">
        <w:rPr>
          <w:rFonts w:ascii="Times New Roman" w:hAnsi="Times New Roman"/>
        </w:rPr>
        <w:t>, 65/8 (2010), p. 342-345.</w:t>
      </w:r>
    </w:p>
  </w:footnote>
  <w:footnote w:id="57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op het EPD’, </w:t>
      </w:r>
      <w:r w:rsidRPr="00426625">
        <w:rPr>
          <w:rFonts w:ascii="Times New Roman" w:hAnsi="Times New Roman"/>
          <w:i/>
        </w:rPr>
        <w:t>P&amp;I</w:t>
      </w:r>
      <w:r w:rsidRPr="00426625">
        <w:rPr>
          <w:rFonts w:ascii="Times New Roman" w:hAnsi="Times New Roman"/>
        </w:rPr>
        <w:t xml:space="preserve">, 11/2 (2008), p. 94-95 (nr. 98); RENDERING, J.A., </w:t>
      </w:r>
      <w:r w:rsidRPr="00426625">
        <w:rPr>
          <w:rFonts w:ascii="Times New Roman" w:hAnsi="Times New Roman"/>
          <w:i/>
        </w:rPr>
        <w:t>Patiënt en recht in de apotheek</w:t>
      </w:r>
      <w:r w:rsidRPr="00426625">
        <w:rPr>
          <w:rFonts w:ascii="Times New Roman" w:hAnsi="Times New Roman"/>
        </w:rPr>
        <w:t xml:space="preserve">, Houten, Bohn Stafleu van Loghum, 2009, p. 91-95. </w:t>
      </w:r>
    </w:p>
  </w:footnote>
  <w:footnote w:id="57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Overzicht van de stemming in de Tweede Kamer op 12 maart 2009 betreffende wetsvoorstel 31 466 tot wijzi</w:t>
      </w:r>
      <w:r>
        <w:rPr>
          <w:rFonts w:ascii="Times New Roman" w:hAnsi="Times New Roman"/>
        </w:rPr>
        <w:t>-</w:t>
      </w:r>
      <w:r w:rsidRPr="00426625">
        <w:rPr>
          <w:rFonts w:ascii="Times New Roman" w:hAnsi="Times New Roman"/>
        </w:rPr>
        <w:t>ging van de Wet gebruik burgerservicenummer in de zorg in verband met de elektronische informatie-uitwisse</w:t>
      </w:r>
      <w:r>
        <w:rPr>
          <w:rFonts w:ascii="Times New Roman" w:hAnsi="Times New Roman"/>
        </w:rPr>
        <w:t>-</w:t>
      </w:r>
      <w:r w:rsidRPr="00426625">
        <w:rPr>
          <w:rFonts w:ascii="Times New Roman" w:hAnsi="Times New Roman"/>
        </w:rPr>
        <w:t>ling in de zorg (</w:t>
      </w:r>
      <w:hyperlink r:id="rId70" w:history="1">
        <w:r w:rsidRPr="00426625">
          <w:rPr>
            <w:rStyle w:val="Hyperlink"/>
            <w:rFonts w:ascii="Times New Roman" w:hAnsi="Times New Roman"/>
          </w:rPr>
          <w:t>http://www.eerstekamer.nl/behandeling/20090219/stemmingsoverzicht_2/info</w:t>
        </w:r>
      </w:hyperlink>
      <w:r w:rsidRPr="00426625">
        <w:rPr>
          <w:rFonts w:ascii="Times New Roman" w:hAnsi="Times New Roman"/>
        </w:rPr>
        <w:t xml:space="preserve">); ‘Tweede Kamer akkoord met Wet EPD’, </w:t>
      </w:r>
      <w:r w:rsidRPr="00426625">
        <w:rPr>
          <w:rFonts w:ascii="Times New Roman" w:hAnsi="Times New Roman"/>
          <w:i/>
        </w:rPr>
        <w:t>P&amp;I</w:t>
      </w:r>
      <w:r w:rsidRPr="00426625">
        <w:rPr>
          <w:rFonts w:ascii="Times New Roman" w:hAnsi="Times New Roman"/>
        </w:rPr>
        <w:t xml:space="preserve">, 12/2 (2009), p. 99 (nr. 72); ‘Tweede Kamer stemt in met Landelijk Elektronisch Patiëntendossier’, </w:t>
      </w:r>
      <w:r w:rsidRPr="00426625">
        <w:rPr>
          <w:rFonts w:ascii="Times New Roman" w:hAnsi="Times New Roman"/>
          <w:i/>
        </w:rPr>
        <w:t>Z&amp;F</w:t>
      </w:r>
      <w:r w:rsidRPr="00426625">
        <w:rPr>
          <w:rFonts w:ascii="Times New Roman" w:hAnsi="Times New Roman"/>
        </w:rPr>
        <w:t xml:space="preserve">, 8/4 (2009), p. 91-92 (nr. 549); VAN TWIST; SCHULZ; CHIN-A-FAT et al.; </w:t>
      </w:r>
      <w:r w:rsidRPr="00426625">
        <w:rPr>
          <w:rFonts w:ascii="Times New Roman" w:hAnsi="Times New Roman"/>
          <w:i/>
        </w:rPr>
        <w:t>Het EPD voorbij?</w:t>
      </w:r>
      <w:r w:rsidRPr="00426625">
        <w:rPr>
          <w:rFonts w:ascii="Times New Roman" w:hAnsi="Times New Roman"/>
        </w:rPr>
        <w:t xml:space="preserve">, p. 63-66. </w:t>
      </w:r>
    </w:p>
  </w:footnote>
  <w:footnote w:id="57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een gedetailleerde bespreking van dit wetsvoorstel, zie: LEIJNSE, B.P.H., ‘Wetsvoorstel 31 466 in de Eerste Kamer: kanttekeningen bij argumenten voor een landelijk EPD’, </w:t>
      </w:r>
      <w:r w:rsidRPr="00426625">
        <w:rPr>
          <w:rFonts w:ascii="Times New Roman" w:hAnsi="Times New Roman"/>
          <w:i/>
        </w:rPr>
        <w:t>P&amp;I</w:t>
      </w:r>
      <w:r w:rsidRPr="00426625">
        <w:rPr>
          <w:rFonts w:ascii="Times New Roman" w:hAnsi="Times New Roman"/>
        </w:rPr>
        <w:t xml:space="preserve">, 12/6 (2009), p. 264-272 (nr. 229); PLOEM, M.C., ‘Naar een landelijk EPD: kanttekeningen bij wetsvoorstel 31 466’, </w:t>
      </w:r>
      <w:r w:rsidRPr="00426625">
        <w:rPr>
          <w:rFonts w:ascii="Times New Roman" w:hAnsi="Times New Roman"/>
          <w:i/>
        </w:rPr>
        <w:t>T.G.</w:t>
      </w:r>
      <w:r w:rsidRPr="00426625">
        <w:rPr>
          <w:rFonts w:ascii="Times New Roman" w:hAnsi="Times New Roman"/>
        </w:rPr>
        <w:t xml:space="preserve">, 2010, 4, p. 264-284; RENDERING, J.A., </w:t>
      </w:r>
      <w:r w:rsidRPr="00426625">
        <w:rPr>
          <w:rFonts w:ascii="Times New Roman" w:hAnsi="Times New Roman"/>
          <w:i/>
        </w:rPr>
        <w:t>Patiënt en recht in de apotheek</w:t>
      </w:r>
      <w:r w:rsidRPr="00426625">
        <w:rPr>
          <w:rFonts w:ascii="Times New Roman" w:hAnsi="Times New Roman"/>
        </w:rPr>
        <w:t xml:space="preserve">, Houten, Bohn Stafleu van Loghum, 2009, p. 91-95. </w:t>
      </w:r>
    </w:p>
  </w:footnote>
  <w:footnote w:id="57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Om hen bij te staan, werd volgend boek gepubliceerd: </w:t>
      </w:r>
      <w:r w:rsidRPr="00426625">
        <w:rPr>
          <w:rFonts w:ascii="Times New Roman" w:hAnsi="Times New Roman"/>
          <w:i/>
        </w:rPr>
        <w:t>eHealth in beeld. 21 praktijkverhalen over digitaal dokteren</w:t>
      </w:r>
      <w:r w:rsidRPr="00426625">
        <w:rPr>
          <w:rFonts w:ascii="Times New Roman" w:hAnsi="Times New Roman"/>
        </w:rPr>
        <w:t xml:space="preserve">, KNMG, NVEH, eHealthNu, 2011. Zie ook: CROONEN, H., ‘Succesvol werken met e-health. Acht tips om uitvoeringsproblemen te tackelen’, </w:t>
      </w:r>
      <w:r w:rsidRPr="00426625">
        <w:rPr>
          <w:rFonts w:ascii="Times New Roman" w:hAnsi="Times New Roman"/>
          <w:i/>
        </w:rPr>
        <w:t>M.C.</w:t>
      </w:r>
      <w:r w:rsidRPr="00426625">
        <w:rPr>
          <w:rFonts w:ascii="Times New Roman" w:hAnsi="Times New Roman"/>
        </w:rPr>
        <w:t>, 66/2 (2011), p. 77-80.</w:t>
      </w:r>
    </w:p>
  </w:footnote>
  <w:footnote w:id="57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Regeerakkoord ‘Samen Werken, Samen Leven’ van 7 februari 2007, p. 41; GROOTHUIS, M., ‘Het elektro</w:t>
      </w:r>
      <w:r>
        <w:rPr>
          <w:rFonts w:ascii="Times New Roman" w:hAnsi="Times New Roman"/>
        </w:rPr>
        <w:t>-</w:t>
      </w:r>
      <w:r w:rsidRPr="00426625">
        <w:rPr>
          <w:rFonts w:ascii="Times New Roman" w:hAnsi="Times New Roman"/>
        </w:rPr>
        <w:t>nisch patiëntendossier in een veellagige rechtsorde’, p. 263.</w:t>
      </w:r>
    </w:p>
  </w:footnote>
  <w:footnote w:id="57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‘EPD niet haalbaar in 2009’, </w:t>
      </w:r>
      <w:r w:rsidRPr="00426625">
        <w:rPr>
          <w:rFonts w:ascii="Times New Roman" w:hAnsi="Times New Roman"/>
          <w:i/>
        </w:rPr>
        <w:t>P&amp;I</w:t>
      </w:r>
      <w:r w:rsidRPr="00426625">
        <w:rPr>
          <w:rFonts w:ascii="Times New Roman" w:hAnsi="Times New Roman"/>
        </w:rPr>
        <w:t>, 10/5 (2007), p. 231 (nr. 295); ‘Minister Klink stelt invoering EPD voor</w:t>
      </w:r>
      <w:r>
        <w:rPr>
          <w:rFonts w:ascii="Times New Roman" w:hAnsi="Times New Roman"/>
        </w:rPr>
        <w:t>-</w:t>
      </w:r>
      <w:r w:rsidRPr="00426625">
        <w:rPr>
          <w:rFonts w:ascii="Times New Roman" w:hAnsi="Times New Roman"/>
        </w:rPr>
        <w:t xml:space="preserve">lopig uit’, </w:t>
      </w:r>
      <w:r w:rsidRPr="00426625">
        <w:rPr>
          <w:rFonts w:ascii="Times New Roman" w:hAnsi="Times New Roman"/>
          <w:i/>
        </w:rPr>
        <w:t>Z&amp;F</w:t>
      </w:r>
      <w:r w:rsidRPr="00426625">
        <w:rPr>
          <w:rFonts w:ascii="Times New Roman" w:hAnsi="Times New Roman"/>
        </w:rPr>
        <w:t xml:space="preserve">, 8/3 (2009), p. 82-83 (nr. 405). Cf. ‘KNMG acht invoering EPD in 2010 niet haalbaar’, </w:t>
      </w:r>
      <w:r w:rsidRPr="00426625">
        <w:rPr>
          <w:rFonts w:ascii="Times New Roman" w:hAnsi="Times New Roman"/>
          <w:i/>
        </w:rPr>
        <w:t>P&amp;I</w:t>
      </w:r>
      <w:r w:rsidRPr="00426625">
        <w:rPr>
          <w:rFonts w:ascii="Times New Roman" w:hAnsi="Times New Roman"/>
        </w:rPr>
        <w:t>, 12/6 (2009), p. 295 (nr. 261).</w:t>
      </w:r>
    </w:p>
  </w:footnote>
  <w:footnote w:id="57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2009-2010, 31 466, D; VAN TWIST; SCHULZ; CHIN-A-FAT et al.; </w:t>
      </w:r>
      <w:r w:rsidRPr="00426625">
        <w:rPr>
          <w:rFonts w:ascii="Times New Roman" w:hAnsi="Times New Roman"/>
          <w:i/>
        </w:rPr>
        <w:t>Het EPD voorbij?</w:t>
      </w:r>
      <w:r w:rsidRPr="00426625">
        <w:rPr>
          <w:rFonts w:ascii="Times New Roman" w:hAnsi="Times New Roman"/>
        </w:rPr>
        <w:t>, p. 72-76.</w:t>
      </w:r>
    </w:p>
  </w:footnote>
  <w:footnote w:id="57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2009-2010, 31 466, F; VAN TWIST; SCHULZ; CHIN-A-FAT et al.; </w:t>
      </w:r>
      <w:r w:rsidRPr="00426625">
        <w:rPr>
          <w:rFonts w:ascii="Times New Roman" w:hAnsi="Times New Roman"/>
          <w:i/>
        </w:rPr>
        <w:t>Het EPD voorbij?</w:t>
      </w:r>
      <w:r w:rsidRPr="00426625">
        <w:rPr>
          <w:rFonts w:ascii="Times New Roman" w:hAnsi="Times New Roman"/>
        </w:rPr>
        <w:t>, p. 78-79.</w:t>
      </w:r>
    </w:p>
  </w:footnote>
  <w:footnote w:id="58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‘Invoering EPD kost tot nu toe 217,5 miljoen’, </w:t>
      </w:r>
      <w:r w:rsidRPr="00426625">
        <w:rPr>
          <w:rFonts w:ascii="Times New Roman" w:hAnsi="Times New Roman"/>
          <w:i/>
        </w:rPr>
        <w:t>Z&amp;F</w:t>
      </w:r>
      <w:r w:rsidRPr="00426625">
        <w:rPr>
          <w:rFonts w:ascii="Times New Roman" w:hAnsi="Times New Roman"/>
        </w:rPr>
        <w:t xml:space="preserve">, 9/9 (2010), p. 91 (nr. 1398); ‘Doorstart landelijk EPD mislukt wegens geldgebrek’, </w:t>
      </w:r>
      <w:r w:rsidRPr="00426625">
        <w:rPr>
          <w:rFonts w:ascii="Times New Roman" w:hAnsi="Times New Roman"/>
          <w:i/>
        </w:rPr>
        <w:t>Z&amp;F</w:t>
      </w:r>
      <w:r w:rsidRPr="00426625">
        <w:rPr>
          <w:rFonts w:ascii="Times New Roman" w:hAnsi="Times New Roman"/>
        </w:rPr>
        <w:t>, 11/1 (2012), p. 114 (nr. 149).</w:t>
      </w:r>
    </w:p>
  </w:footnote>
  <w:footnote w:id="58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bijvoorbeeld: </w:t>
      </w:r>
      <w:hyperlink r:id="rId71" w:history="1">
        <w:r w:rsidRPr="00426625">
          <w:rPr>
            <w:rStyle w:val="Hyperlink"/>
            <w:rFonts w:ascii="Times New Roman" w:hAnsi="Times New Roman"/>
          </w:rPr>
          <w:t>epd-nee.nl/</w:t>
        </w:r>
      </w:hyperlink>
      <w:r w:rsidRPr="00426625">
        <w:rPr>
          <w:rFonts w:ascii="Times New Roman" w:hAnsi="Times New Roman"/>
        </w:rPr>
        <w:t>; Stemming in de Eerste Kamer op 5 april 2011 over wetsvoorstel 31 466 (ver</w:t>
      </w:r>
      <w:r>
        <w:rPr>
          <w:rFonts w:ascii="Times New Roman" w:hAnsi="Times New Roman"/>
        </w:rPr>
        <w:t>-</w:t>
      </w:r>
      <w:r w:rsidRPr="00426625">
        <w:rPr>
          <w:rFonts w:ascii="Times New Roman" w:hAnsi="Times New Roman"/>
        </w:rPr>
        <w:t>worpen) en een tweetal moties (</w:t>
      </w:r>
      <w:hyperlink r:id="rId72" w:history="1">
        <w:r w:rsidRPr="00EA26DD">
          <w:rPr>
            <w:rStyle w:val="Hyperlink"/>
            <w:rFonts w:ascii="Times New Roman" w:hAnsi="Times New Roman"/>
          </w:rPr>
          <w:t>http://www.eerstekamer.nl/behandeling/20110405/stemming_wetsvoorstel_ verworpen_en/document3/f=/viozdip1gx6j.pdf</w:t>
        </w:r>
      </w:hyperlink>
      <w:r w:rsidRPr="00426625">
        <w:rPr>
          <w:rFonts w:ascii="Times New Roman" w:hAnsi="Times New Roman"/>
        </w:rPr>
        <w:t xml:space="preserve">); ‘Eerste Kamer moet landelijk EPD afwijzen’, </w:t>
      </w:r>
      <w:r w:rsidRPr="00426625">
        <w:rPr>
          <w:rFonts w:ascii="Times New Roman" w:hAnsi="Times New Roman"/>
          <w:i/>
        </w:rPr>
        <w:t>Z&amp;F</w:t>
      </w:r>
      <w:r w:rsidRPr="00426625">
        <w:rPr>
          <w:rFonts w:ascii="Times New Roman" w:hAnsi="Times New Roman"/>
        </w:rPr>
        <w:t xml:space="preserve">, 10/4 (2011), p. 99 (nr. 586); ‘Eerste Kamer stemt tegen Landelijk Elektronisch Patiëntendossier’, </w:t>
      </w:r>
      <w:r w:rsidRPr="00426625">
        <w:rPr>
          <w:rFonts w:ascii="Times New Roman" w:hAnsi="Times New Roman"/>
          <w:i/>
        </w:rPr>
        <w:t>Z&amp;F</w:t>
      </w:r>
      <w:r w:rsidRPr="00426625">
        <w:rPr>
          <w:rFonts w:ascii="Times New Roman" w:hAnsi="Times New Roman"/>
        </w:rPr>
        <w:t xml:space="preserve">, 10/5 (2011), p. 93 (nr. 722); SCHEER, P., ‘Terug naar pen en papier’, </w:t>
      </w:r>
      <w:r w:rsidRPr="00426625">
        <w:rPr>
          <w:rFonts w:ascii="Times New Roman" w:hAnsi="Times New Roman"/>
          <w:i/>
        </w:rPr>
        <w:t>Forum</w:t>
      </w:r>
      <w:r w:rsidRPr="00426625">
        <w:rPr>
          <w:rFonts w:ascii="Times New Roman" w:hAnsi="Times New Roman"/>
        </w:rPr>
        <w:t>, 2011, 8, p. 19-21; THOLE, E.P.M.; WAR</w:t>
      </w:r>
      <w:r>
        <w:rPr>
          <w:rFonts w:ascii="Times New Roman" w:hAnsi="Times New Roman"/>
        </w:rPr>
        <w:t>-</w:t>
      </w:r>
      <w:r w:rsidRPr="00426625">
        <w:rPr>
          <w:rFonts w:ascii="Times New Roman" w:hAnsi="Times New Roman"/>
        </w:rPr>
        <w:t xml:space="preserve">LAM, I.M.; SIGTERMAN, T.D.; ‘Operatie landelijk EPD mislukt. Wat nu?’, </w:t>
      </w:r>
      <w:r w:rsidRPr="00426625">
        <w:rPr>
          <w:rFonts w:ascii="Times New Roman" w:hAnsi="Times New Roman"/>
          <w:i/>
        </w:rPr>
        <w:t>Computerr.</w:t>
      </w:r>
      <w:r w:rsidRPr="00426625">
        <w:rPr>
          <w:rFonts w:ascii="Times New Roman" w:hAnsi="Times New Roman"/>
        </w:rPr>
        <w:t xml:space="preserve">, 2011, 2, p. 43-49; VAN TWIST; SCHULZ; CHIN-A-FAT et al.; </w:t>
      </w:r>
      <w:r w:rsidRPr="00426625">
        <w:rPr>
          <w:rFonts w:ascii="Times New Roman" w:hAnsi="Times New Roman"/>
          <w:i/>
        </w:rPr>
        <w:t>Het EPD voorbij?</w:t>
      </w:r>
      <w:r w:rsidRPr="00426625">
        <w:rPr>
          <w:rFonts w:ascii="Times New Roman" w:hAnsi="Times New Roman"/>
        </w:rPr>
        <w:t>, p. 87-89.</w:t>
      </w:r>
    </w:p>
  </w:footnote>
  <w:footnote w:id="582">
    <w:p w:rsidR="00E82D16" w:rsidRPr="00426625" w:rsidRDefault="00E82D16" w:rsidP="00426625">
      <w:pPr>
        <w:pStyle w:val="Voetnoottekst"/>
        <w:jc w:val="both"/>
        <w:rPr>
          <w:rFonts w:ascii="Times New Roman" w:hAnsi="Times New Roman"/>
          <w:color w:val="0000FF"/>
          <w:u w:val="single"/>
        </w:rPr>
      </w:pPr>
      <w:r w:rsidRPr="00426625">
        <w:rPr>
          <w:rStyle w:val="Voetnootmarkering"/>
          <w:rFonts w:ascii="Times New Roman" w:hAnsi="Times New Roman"/>
        </w:rPr>
        <w:footnoteRef/>
      </w:r>
      <w:r w:rsidRPr="00426625">
        <w:rPr>
          <w:rFonts w:ascii="Times New Roman" w:hAnsi="Times New Roman"/>
        </w:rPr>
        <w:t xml:space="preserve"> Bron: </w:t>
      </w:r>
      <w:hyperlink r:id="rId73" w:history="1">
        <w:r w:rsidRPr="00426625">
          <w:rPr>
            <w:rStyle w:val="Hyperlink"/>
            <w:rFonts w:ascii="Times New Roman" w:hAnsi="Times New Roman"/>
          </w:rPr>
          <w:t>http://www.europa-nu.nl/id/vi76mb107tzz/31466_elektronische_informatieuitwisseling_in_de_zorg</w:t>
        </w:r>
      </w:hyperlink>
      <w:r w:rsidRPr="00426625">
        <w:rPr>
          <w:rFonts w:ascii="Times New Roman" w:hAnsi="Times New Roman"/>
        </w:rPr>
        <w:t>, laatst geraadpleegd op 23 juli 2012.</w:t>
      </w:r>
    </w:p>
  </w:footnote>
  <w:footnote w:id="58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74" w:history="1">
        <w:r w:rsidRPr="00426625">
          <w:rPr>
            <w:rStyle w:val="Hyperlink"/>
            <w:rFonts w:ascii="Times New Roman" w:hAnsi="Times New Roman"/>
          </w:rPr>
          <w:t>http://www.vcd.nl/</w:t>
        </w:r>
      </w:hyperlink>
      <w:r w:rsidRPr="00426625">
        <w:rPr>
          <w:rFonts w:ascii="Times New Roman" w:hAnsi="Times New Roman"/>
        </w:rPr>
        <w:t>.</w:t>
      </w:r>
    </w:p>
  </w:footnote>
  <w:footnote w:id="58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‘Verzuimapplicatie lekt 300.000 medische dossiers’, 20 april 2012 (</w:t>
      </w:r>
      <w:hyperlink r:id="rId75" w:history="1">
        <w:r w:rsidRPr="002E0847">
          <w:rPr>
            <w:rStyle w:val="Hyperlink"/>
            <w:rFonts w:ascii="Times New Roman" w:hAnsi="Times New Roman"/>
          </w:rPr>
          <w:t>http://www.security.nl/artikel/41192/1/ Verzuimapplicatie_lekt_300.000_medische_dossiers.html</w:t>
        </w:r>
      </w:hyperlink>
      <w:r w:rsidRPr="00426625">
        <w:rPr>
          <w:rFonts w:ascii="Times New Roman" w:hAnsi="Times New Roman"/>
        </w:rPr>
        <w:t>, laatst geraadpleegd op 23 juli 2012); BOERSMA, M., ‘300.000 medische dossiers op straat’, 20 april 2012 (</w:t>
      </w:r>
      <w:hyperlink r:id="rId76" w:history="1">
        <w:r w:rsidRPr="00426625">
          <w:rPr>
            <w:rStyle w:val="Hyperlink"/>
            <w:rFonts w:ascii="Times New Roman" w:hAnsi="Times New Roman"/>
          </w:rPr>
          <w:t>http://www.pcmweb.nl/nieuws/300000-medische-dossiers-publiekelijk-toegankelijk.html</w:t>
        </w:r>
      </w:hyperlink>
      <w:r w:rsidRPr="00426625">
        <w:rPr>
          <w:rFonts w:ascii="Times New Roman" w:hAnsi="Times New Roman"/>
        </w:rPr>
        <w:t>, laatst geraadpleegd op 23 juli 2012); DE VRIES, J., ‘Medische gegevens duizen</w:t>
      </w:r>
      <w:r>
        <w:rPr>
          <w:rFonts w:ascii="Times New Roman" w:hAnsi="Times New Roman"/>
        </w:rPr>
        <w:t>-</w:t>
      </w:r>
      <w:r w:rsidRPr="00426625">
        <w:rPr>
          <w:rFonts w:ascii="Times New Roman" w:hAnsi="Times New Roman"/>
        </w:rPr>
        <w:t xml:space="preserve">den Brabanders op straat’, </w:t>
      </w:r>
      <w:r w:rsidRPr="00426625">
        <w:rPr>
          <w:rFonts w:ascii="Times New Roman" w:hAnsi="Times New Roman"/>
          <w:i/>
        </w:rPr>
        <w:t>Omroep Brabant</w:t>
      </w:r>
      <w:r w:rsidRPr="00426625">
        <w:rPr>
          <w:rFonts w:ascii="Times New Roman" w:hAnsi="Times New Roman"/>
        </w:rPr>
        <w:t>, 19 april 2012 (</w:t>
      </w:r>
      <w:hyperlink r:id="rId77" w:history="1">
        <w:r w:rsidRPr="00EA26DD">
          <w:rPr>
            <w:rStyle w:val="Hyperlink"/>
            <w:rFonts w:ascii="Times New Roman" w:hAnsi="Times New Roman"/>
          </w:rPr>
          <w:t>http://www.omroepbrabant.nl/?news/1729921143/ Medische+gegevens+duizenden+Brabanders+op+straat.aspx</w:t>
        </w:r>
      </w:hyperlink>
      <w:r w:rsidRPr="00426625">
        <w:rPr>
          <w:rFonts w:ascii="Times New Roman" w:hAnsi="Times New Roman"/>
        </w:rPr>
        <w:t>, laats</w:t>
      </w:r>
      <w:r>
        <w:rPr>
          <w:rFonts w:ascii="Times New Roman" w:hAnsi="Times New Roman"/>
        </w:rPr>
        <w:t xml:space="preserve">t geraadpleegd op 23 juli 2012); MEEUW-SEN, F., ‘Brenno de Winter: ‘Medische gegevens op straat mogelijk overtreding op wet’’, </w:t>
      </w:r>
      <w:r>
        <w:rPr>
          <w:rFonts w:ascii="Times New Roman" w:hAnsi="Times New Roman"/>
          <w:i/>
        </w:rPr>
        <w:t>Omroep Brabant</w:t>
      </w:r>
      <w:r>
        <w:rPr>
          <w:rFonts w:ascii="Times New Roman" w:hAnsi="Times New Roman"/>
        </w:rPr>
        <w:t>, 19 april 2012.</w:t>
      </w:r>
    </w:p>
  </w:footnote>
  <w:footnote w:id="58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2010-2011, 31 466, Y.</w:t>
      </w:r>
    </w:p>
  </w:footnote>
  <w:footnote w:id="58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rPr>
        <w:t>Handelingen I</w:t>
      </w:r>
      <w:r w:rsidRPr="00426625">
        <w:rPr>
          <w:rFonts w:ascii="Times New Roman" w:hAnsi="Times New Roman"/>
        </w:rPr>
        <w:t>, vergaderjaar 2008-2009, nr. 56, p. 4488; ‘Elektronisch Patiëntendossier: toegang te ruim vol</w:t>
      </w:r>
      <w:r>
        <w:rPr>
          <w:rFonts w:ascii="Times New Roman" w:hAnsi="Times New Roman"/>
        </w:rPr>
        <w:t>-</w:t>
      </w:r>
      <w:r w:rsidRPr="00426625">
        <w:rPr>
          <w:rFonts w:ascii="Times New Roman" w:hAnsi="Times New Roman"/>
        </w:rPr>
        <w:t xml:space="preserve">gens CBP’, </w:t>
      </w:r>
      <w:r w:rsidRPr="00426625">
        <w:rPr>
          <w:rFonts w:ascii="Times New Roman" w:hAnsi="Times New Roman"/>
          <w:i/>
        </w:rPr>
        <w:t>P&amp;I</w:t>
      </w:r>
      <w:r w:rsidRPr="00426625">
        <w:rPr>
          <w:rFonts w:ascii="Times New Roman" w:hAnsi="Times New Roman"/>
        </w:rPr>
        <w:t>, 10/4 (2007), p. 189 (nr. 251). Zie ook:</w:t>
      </w:r>
      <w:r w:rsidRPr="00426625">
        <w:rPr>
          <w:rFonts w:ascii="Times New Roman" w:eastAsia="SimSun" w:hAnsi="Times New Roman"/>
          <w:kern w:val="1"/>
          <w:lang w:eastAsia="hi-IN" w:bidi="hi-IN"/>
        </w:rPr>
        <w:t xml:space="preserve"> MOMMERS, L., ‘Het elektronisch patiëntendossier: de overheid als koppelbaas’, </w:t>
      </w:r>
      <w:r w:rsidRPr="00426625">
        <w:rPr>
          <w:rFonts w:ascii="Times New Roman" w:eastAsia="SimSun" w:hAnsi="Times New Roman"/>
          <w:i/>
          <w:kern w:val="1"/>
          <w:lang w:eastAsia="hi-IN" w:bidi="hi-IN"/>
        </w:rPr>
        <w:t>T.I.</w:t>
      </w:r>
      <w:r w:rsidRPr="00426625">
        <w:rPr>
          <w:rFonts w:ascii="Times New Roman" w:eastAsia="SimSun" w:hAnsi="Times New Roman"/>
          <w:kern w:val="1"/>
          <w:lang w:eastAsia="hi-IN" w:bidi="hi-IN"/>
        </w:rPr>
        <w:t>, 2008, 3, p. 119-123.</w:t>
      </w:r>
    </w:p>
  </w:footnote>
  <w:footnote w:id="58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afkortingen.</w:t>
      </w:r>
    </w:p>
  </w:footnote>
  <w:footnote w:id="58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rPr>
        <w:t>Uitgangspuntennotitie invoering landelijk EPD</w:t>
      </w:r>
      <w:r w:rsidRPr="00426625">
        <w:rPr>
          <w:rFonts w:ascii="Times New Roman" w:hAnsi="Times New Roman"/>
        </w:rPr>
        <w:t xml:space="preserve">, 2009, p. 4-5 (nr. 4). Deze notitie werd als bijlage toegevoegd aan Kamerstukken I, vergaderjaar 2009-2010, 31 466, D en kan geraadpleegd worden op </w:t>
      </w:r>
      <w:hyperlink r:id="rId78" w:history="1">
        <w:r w:rsidRPr="00426625">
          <w:rPr>
            <w:rStyle w:val="Hyperlink"/>
            <w:rFonts w:ascii="Times New Roman" w:hAnsi="Times New Roman"/>
          </w:rPr>
          <w:t>knmg.artsennet.nl</w:t>
        </w:r>
      </w:hyperlink>
      <w:r w:rsidRPr="00426625">
        <w:rPr>
          <w:rFonts w:ascii="Times New Roman" w:hAnsi="Times New Roman"/>
        </w:rPr>
        <w:t xml:space="preserve">. </w:t>
      </w:r>
    </w:p>
  </w:footnote>
  <w:footnote w:id="58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13ha van het wetsvoorstel. Kamerstukken II, vergaderjaar 2008-2009, 31 466, nr. 29.</w:t>
      </w:r>
    </w:p>
  </w:footnote>
  <w:footnote w:id="59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‘Regionaal EPD niet langer in strijd met de wet’, </w:t>
      </w:r>
      <w:r w:rsidRPr="00426625">
        <w:rPr>
          <w:rFonts w:ascii="Times New Roman" w:hAnsi="Times New Roman"/>
          <w:i/>
        </w:rPr>
        <w:t>P&amp;I</w:t>
      </w:r>
      <w:r w:rsidRPr="00426625">
        <w:rPr>
          <w:rFonts w:ascii="Times New Roman" w:hAnsi="Times New Roman"/>
        </w:rPr>
        <w:t>, 12/6 (2009), p. 293 (nr. 255)</w:t>
      </w:r>
    </w:p>
  </w:footnote>
  <w:footnote w:id="59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kaart 2.</w:t>
      </w:r>
    </w:p>
  </w:footnote>
  <w:footnote w:id="59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WOLTERINK, G.K.; POPKEN, J.; SPRENGER, M. (reds.); </w:t>
      </w:r>
      <w:r w:rsidRPr="00426625">
        <w:rPr>
          <w:rFonts w:ascii="Times New Roman" w:hAnsi="Times New Roman"/>
          <w:i/>
        </w:rPr>
        <w:t>White Paper Regionale informatievoorziening voor de zorg: regionale en landelijke ontwikkelingen in samenhang</w:t>
      </w:r>
      <w:r w:rsidRPr="00426625">
        <w:rPr>
          <w:rFonts w:ascii="Times New Roman" w:hAnsi="Times New Roman"/>
        </w:rPr>
        <w:t>, Leidschendam, Nictiz, 2008, p. 15</w:t>
      </w:r>
      <w:r w:rsidRPr="00426625">
        <w:rPr>
          <w:rStyle w:val="Hyperlink"/>
          <w:rFonts w:ascii="Times New Roman" w:hAnsi="Times New Roman"/>
        </w:rPr>
        <w:t>.</w:t>
      </w:r>
      <w:r w:rsidRPr="00426625">
        <w:rPr>
          <w:rFonts w:ascii="Times New Roman" w:hAnsi="Times New Roman"/>
        </w:rPr>
        <w:t xml:space="preserve"> </w:t>
      </w:r>
    </w:p>
  </w:footnote>
  <w:footnote w:id="59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NOUWT, S., ‘Regionale uitwisseling van gezondheidsgegevens’, p. 21-22.</w:t>
      </w:r>
    </w:p>
  </w:footnote>
  <w:footnote w:id="59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79" w:history="1">
        <w:r w:rsidRPr="00426625">
          <w:rPr>
            <w:rStyle w:val="Hyperlink"/>
            <w:rFonts w:ascii="Times New Roman" w:hAnsi="Times New Roman"/>
          </w:rPr>
          <w:t>www.zorgatlas.nl</w:t>
        </w:r>
      </w:hyperlink>
      <w:r w:rsidRPr="00426625">
        <w:rPr>
          <w:rFonts w:ascii="Times New Roman" w:hAnsi="Times New Roman"/>
        </w:rPr>
        <w:t xml:space="preserve">. </w:t>
      </w:r>
    </w:p>
  </w:footnote>
  <w:footnote w:id="59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TWIST; SCHULZ; CHIN-A-FAT et al.; </w:t>
      </w:r>
      <w:r w:rsidRPr="00426625">
        <w:rPr>
          <w:rFonts w:ascii="Times New Roman" w:hAnsi="Times New Roman"/>
          <w:i/>
        </w:rPr>
        <w:t>Het EPD voorbij?</w:t>
      </w:r>
      <w:r w:rsidRPr="00426625">
        <w:rPr>
          <w:rFonts w:ascii="Times New Roman" w:hAnsi="Times New Roman"/>
        </w:rPr>
        <w:t>, p. 132-134.</w:t>
      </w:r>
    </w:p>
  </w:footnote>
  <w:footnote w:id="59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Brief van M.J. Boereboom aan G. van ’t Noordende, Den Haag, 30 maart 2010, p. 4; ‘Geen toegang medisch dossier zonder toestemming’, </w:t>
      </w:r>
      <w:r w:rsidRPr="00426625">
        <w:rPr>
          <w:rFonts w:ascii="Times New Roman" w:hAnsi="Times New Roman"/>
          <w:i/>
        </w:rPr>
        <w:t>P&amp;I</w:t>
      </w:r>
      <w:r w:rsidRPr="00426625">
        <w:rPr>
          <w:rFonts w:ascii="Times New Roman" w:hAnsi="Times New Roman"/>
        </w:rPr>
        <w:t xml:space="preserve">, 11/2 (2008), p. 95-96 (100); SCHELLEVIS, J., ‘Landelijk EPD blijft actief zonder wet’, 13 april 2011. Ook na de verwerping van de Wet op het EPD worden gezondheidsgegevens enkel uitgewisseld mits de expliciete toestemming van de patiënt bekomen werd: DE POOT, D., ‘Toch elektronische uitwisseling in Nederland’, </w:t>
      </w:r>
      <w:r w:rsidRPr="00426625">
        <w:rPr>
          <w:rFonts w:ascii="Times New Roman" w:hAnsi="Times New Roman"/>
          <w:i/>
        </w:rPr>
        <w:t>Datanews Knack</w:t>
      </w:r>
      <w:r w:rsidRPr="00426625">
        <w:rPr>
          <w:rFonts w:ascii="Times New Roman" w:hAnsi="Times New Roman"/>
        </w:rPr>
        <w:t xml:space="preserve">, 12 december 2011; FRIELE, R.H., ‘Een thematische evaluatie van het begrip informed consent’, </w:t>
      </w:r>
      <w:r w:rsidRPr="00426625">
        <w:rPr>
          <w:rFonts w:ascii="Times New Roman" w:hAnsi="Times New Roman"/>
          <w:i/>
        </w:rPr>
        <w:t>T.G.</w:t>
      </w:r>
      <w:r w:rsidRPr="00426625">
        <w:rPr>
          <w:rFonts w:ascii="Times New Roman" w:hAnsi="Times New Roman"/>
        </w:rPr>
        <w:t xml:space="preserve">, 31/8 (2007), p. 614-619; KINGMA, S.M., ‘Informed consent bij medische behandelingen’, </w:t>
      </w:r>
      <w:r w:rsidRPr="00426625">
        <w:rPr>
          <w:rFonts w:ascii="Times New Roman" w:hAnsi="Times New Roman"/>
          <w:i/>
        </w:rPr>
        <w:t>B.B.</w:t>
      </w:r>
      <w:r w:rsidRPr="00426625">
        <w:rPr>
          <w:rFonts w:ascii="Times New Roman" w:hAnsi="Times New Roman"/>
        </w:rPr>
        <w:t>, 2006, 26, p. 257-260.</w:t>
      </w:r>
    </w:p>
  </w:footnote>
  <w:footnote w:id="59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JONG, J.; VAN DER SCHEE, E.; </w:t>
      </w:r>
      <w:r w:rsidRPr="00426625">
        <w:rPr>
          <w:rFonts w:ascii="Times New Roman" w:hAnsi="Times New Roman"/>
          <w:i/>
        </w:rPr>
        <w:t>Ruim een kwart van de bevolking wil gebruik maken van het recht om bepaalde zorgverleners de toegang tot hun elektronisch patiëntendossier te ontzeggen</w:t>
      </w:r>
      <w:r w:rsidRPr="00426625">
        <w:rPr>
          <w:rFonts w:ascii="Times New Roman" w:hAnsi="Times New Roman"/>
        </w:rPr>
        <w:t>, 2006.</w:t>
      </w:r>
    </w:p>
  </w:footnote>
  <w:footnote w:id="59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2010-2011, 31 466, nr. 52.</w:t>
      </w:r>
    </w:p>
  </w:footnote>
  <w:footnote w:id="59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2010-2011, 31 466, X.</w:t>
      </w:r>
    </w:p>
  </w:footnote>
  <w:footnote w:id="60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TWIST; SCHULZ; CHIN-A-FAT et al.; </w:t>
      </w:r>
      <w:r w:rsidRPr="00426625">
        <w:rPr>
          <w:rFonts w:ascii="Times New Roman" w:hAnsi="Times New Roman"/>
          <w:i/>
        </w:rPr>
        <w:t>Het EPD voorbij?</w:t>
      </w:r>
      <w:r w:rsidRPr="00426625">
        <w:rPr>
          <w:rFonts w:ascii="Times New Roman" w:hAnsi="Times New Roman"/>
        </w:rPr>
        <w:t>, p. 89-92.</w:t>
      </w:r>
    </w:p>
  </w:footnote>
  <w:footnote w:id="60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Brief van het Ministerie van Volksgezondheid, Welzijn en Sport van 4 maart 2011 waarin de juridische as</w:t>
      </w:r>
      <w:r>
        <w:rPr>
          <w:rFonts w:ascii="Times New Roman" w:hAnsi="Times New Roman"/>
        </w:rPr>
        <w:t>-</w:t>
      </w:r>
      <w:r w:rsidRPr="00426625">
        <w:rPr>
          <w:rFonts w:ascii="Times New Roman" w:hAnsi="Times New Roman"/>
        </w:rPr>
        <w:t>pecten worden belicht van de verwerking van patiëntgegevens door het Landelijk Schakelpunt na verwerping van het wetsvoorstel voor een landelijk elektronisch patiëntendossier door de Eerste Kamer.</w:t>
      </w:r>
    </w:p>
  </w:footnote>
  <w:footnote w:id="60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‘Parlementair onderzoek naar falen EPD in 2012’, </w:t>
      </w:r>
      <w:r w:rsidRPr="00426625">
        <w:rPr>
          <w:rFonts w:ascii="Times New Roman" w:hAnsi="Times New Roman"/>
          <w:i/>
        </w:rPr>
        <w:t>Z&amp;F</w:t>
      </w:r>
      <w:r w:rsidRPr="00426625">
        <w:rPr>
          <w:rFonts w:ascii="Times New Roman" w:hAnsi="Times New Roman"/>
        </w:rPr>
        <w:t>, 11/1 (2012), p. 115 (nr. 150)</w:t>
      </w:r>
    </w:p>
  </w:footnote>
  <w:footnote w:id="60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2011-2012, 27 529, nr. 89, p. 1; Brief van H. Bosma, voorzitter van Nictiz, aan Minister Schippers betreffende de sluiting van het Landelijk Schakelpunt, Den Haag, 8 november 2011; Nictiz, ‘Onvoldoende financiële garanties voortzetting infrastructuur’, 2011; NIEUWENHUIJZEN KRUSEMAN, A.C., ‘Definitief geen EPD?’, KNMG, 2011.</w:t>
      </w:r>
    </w:p>
  </w:footnote>
  <w:footnote w:id="60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‘Doorstart LSP weer een stap verder’, (</w:t>
      </w:r>
      <w:hyperlink r:id="rId80" w:history="1">
        <w:r w:rsidRPr="002E0847">
          <w:rPr>
            <w:rStyle w:val="Hyperlink"/>
            <w:rFonts w:ascii="Times New Roman" w:hAnsi="Times New Roman"/>
          </w:rPr>
          <w:t>http://vhn.artsennet.nl/Artikel/Doorstart-LSP-weer-een-stap-verder. htm</w:t>
        </w:r>
      </w:hyperlink>
      <w:r w:rsidRPr="00426625">
        <w:rPr>
          <w:rFonts w:ascii="Times New Roman" w:hAnsi="Times New Roman"/>
        </w:rPr>
        <w:t xml:space="preserve">, laatst geraadpleegd op 23 juli 2012); ‘KNMP wil voortbouwen op EPD-structuur’, </w:t>
      </w:r>
      <w:r w:rsidRPr="00426625">
        <w:rPr>
          <w:rFonts w:ascii="Times New Roman" w:hAnsi="Times New Roman"/>
          <w:i/>
        </w:rPr>
        <w:t>Z&amp;F</w:t>
      </w:r>
      <w:r w:rsidRPr="00426625">
        <w:rPr>
          <w:rFonts w:ascii="Times New Roman" w:hAnsi="Times New Roman"/>
        </w:rPr>
        <w:t xml:space="preserve">, 10/6 (2011), p. 104-107 (nr. 878); ‘Nictiz: zorgsector wil wel verder met EPD’, </w:t>
      </w:r>
      <w:r w:rsidRPr="00426625">
        <w:rPr>
          <w:rFonts w:ascii="Times New Roman" w:hAnsi="Times New Roman"/>
          <w:i/>
        </w:rPr>
        <w:t>Z&amp;F</w:t>
      </w:r>
      <w:r w:rsidRPr="00426625">
        <w:rPr>
          <w:rFonts w:ascii="Times New Roman" w:hAnsi="Times New Roman"/>
        </w:rPr>
        <w:t xml:space="preserve">, 10/7 (2011), p. 105 (nr. 1023); ‘NVZ maakt zich ernstige zorgen over einde Landelijk Schakelpunt’, </w:t>
      </w:r>
      <w:r w:rsidRPr="00426625">
        <w:rPr>
          <w:rFonts w:ascii="Times New Roman" w:hAnsi="Times New Roman"/>
          <w:i/>
        </w:rPr>
        <w:t>Z&amp;F</w:t>
      </w:r>
      <w:r w:rsidRPr="00426625">
        <w:rPr>
          <w:rFonts w:ascii="Times New Roman" w:hAnsi="Times New Roman"/>
        </w:rPr>
        <w:t xml:space="preserve">, 11/1 (2012), p. 114 (nr. 148); MAASSEN, H., ‘‘We moeten slimmer gaan werken.’ Neuroloog Bas Bloem over de kracht van e-health en netwerken’, </w:t>
      </w:r>
      <w:r w:rsidRPr="00426625">
        <w:rPr>
          <w:rFonts w:ascii="Times New Roman" w:hAnsi="Times New Roman"/>
          <w:i/>
        </w:rPr>
        <w:t>M.C.</w:t>
      </w:r>
      <w:r w:rsidRPr="00426625">
        <w:rPr>
          <w:rFonts w:ascii="Times New Roman" w:hAnsi="Times New Roman"/>
        </w:rPr>
        <w:t xml:space="preserve">, 66/37 (2011), p. 2185-2188. </w:t>
      </w:r>
    </w:p>
  </w:footnote>
  <w:footnote w:id="60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81" w:history="1">
        <w:r w:rsidRPr="00426625">
          <w:rPr>
            <w:rStyle w:val="Hyperlink"/>
            <w:rFonts w:ascii="Times New Roman" w:hAnsi="Times New Roman"/>
          </w:rPr>
          <w:t>http://www.tweedekamer.nl/kamerstukken/dossiers/elektronisch_patienten_dossier_oktober_2011.jsp</w:t>
        </w:r>
      </w:hyperlink>
      <w:r w:rsidRPr="00426625">
        <w:rPr>
          <w:rFonts w:ascii="Times New Roman" w:hAnsi="Times New Roman"/>
        </w:rPr>
        <w:t>, laatst geraadpleegd op 23 juli 2012</w:t>
      </w:r>
      <w:r>
        <w:rPr>
          <w:rFonts w:ascii="Times New Roman" w:hAnsi="Times New Roman"/>
        </w:rPr>
        <w:t xml:space="preserve">. </w:t>
      </w:r>
      <w:r w:rsidRPr="00426625">
        <w:rPr>
          <w:rFonts w:ascii="Times New Roman" w:hAnsi="Times New Roman"/>
        </w:rPr>
        <w:t xml:space="preserve">‘NPCF: bezwaar tegen EPD moet mogelijk zijn’, </w:t>
      </w:r>
      <w:r w:rsidRPr="00426625">
        <w:rPr>
          <w:rFonts w:ascii="Times New Roman" w:hAnsi="Times New Roman"/>
          <w:i/>
        </w:rPr>
        <w:t>Z&amp;F</w:t>
      </w:r>
      <w:r w:rsidRPr="00426625">
        <w:rPr>
          <w:rFonts w:ascii="Times New Roman" w:hAnsi="Times New Roman"/>
        </w:rPr>
        <w:t>, 7/4 (2008), p. 102 (nr. 466)</w:t>
      </w:r>
    </w:p>
  </w:footnote>
  <w:footnote w:id="60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Informatiepunt BSN in de zorg en landelijk EPD, </w:t>
      </w:r>
      <w:r w:rsidRPr="00426625">
        <w:rPr>
          <w:rFonts w:ascii="Times New Roman" w:hAnsi="Times New Roman"/>
          <w:i/>
        </w:rPr>
        <w:t>Handboek Landelijk elektronisch patiëntendossier (EPD)</w:t>
      </w:r>
      <w:r w:rsidRPr="00426625">
        <w:rPr>
          <w:rFonts w:ascii="Times New Roman" w:hAnsi="Times New Roman"/>
        </w:rPr>
        <w:t>, 2009.</w:t>
      </w:r>
    </w:p>
  </w:footnote>
  <w:footnote w:id="60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meer informatie over </w:t>
      </w:r>
      <w:r w:rsidRPr="00426625">
        <w:rPr>
          <w:rFonts w:ascii="Times New Roman" w:hAnsi="Times New Roman"/>
          <w:i/>
        </w:rPr>
        <w:t>smart cards</w:t>
      </w:r>
      <w:r w:rsidRPr="00426625">
        <w:rPr>
          <w:rFonts w:ascii="Times New Roman" w:hAnsi="Times New Roman"/>
        </w:rPr>
        <w:t xml:space="preserve"> en privacy, zie: GARDENIERS, H.J.M., </w:t>
      </w:r>
      <w:r w:rsidRPr="00426625">
        <w:rPr>
          <w:rFonts w:ascii="Times New Roman" w:hAnsi="Times New Roman"/>
          <w:i/>
        </w:rPr>
        <w:t>Chipcards en privacy. Re</w:t>
      </w:r>
      <w:r>
        <w:rPr>
          <w:rFonts w:ascii="Times New Roman" w:hAnsi="Times New Roman"/>
          <w:i/>
        </w:rPr>
        <w:t>-</w:t>
      </w:r>
      <w:r w:rsidRPr="00426625">
        <w:rPr>
          <w:rFonts w:ascii="Times New Roman" w:hAnsi="Times New Roman"/>
          <w:i/>
        </w:rPr>
        <w:t>gels voor een nieuw kaartspel</w:t>
      </w:r>
      <w:r w:rsidRPr="00426625">
        <w:rPr>
          <w:rFonts w:ascii="Times New Roman" w:hAnsi="Times New Roman"/>
        </w:rPr>
        <w:t xml:space="preserve">, Achtergrondstudies en Verkenningen, 6, Rijswijk, Registratiekamer, 1995, 39p. </w:t>
      </w:r>
    </w:p>
  </w:footnote>
  <w:footnote w:id="60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‘Geen toegang tot EPD voor onbevoegden’, </w:t>
      </w:r>
      <w:r w:rsidRPr="00426625">
        <w:rPr>
          <w:rFonts w:ascii="Times New Roman" w:hAnsi="Times New Roman"/>
          <w:i/>
        </w:rPr>
        <w:t>P&amp;I</w:t>
      </w:r>
      <w:r w:rsidRPr="00426625">
        <w:rPr>
          <w:rFonts w:ascii="Times New Roman" w:hAnsi="Times New Roman"/>
        </w:rPr>
        <w:t>, 10/6 (2007), p. 278 (nr. 338); ‘Juridische aspecten van toe</w:t>
      </w:r>
      <w:r>
        <w:rPr>
          <w:rFonts w:ascii="Times New Roman" w:hAnsi="Times New Roman"/>
        </w:rPr>
        <w:t>-</w:t>
      </w:r>
      <w:r w:rsidRPr="00426625">
        <w:rPr>
          <w:rFonts w:ascii="Times New Roman" w:hAnsi="Times New Roman"/>
        </w:rPr>
        <w:t xml:space="preserve">gang tot het EPD’, </w:t>
      </w:r>
      <w:r w:rsidRPr="00426625">
        <w:rPr>
          <w:rFonts w:ascii="Times New Roman" w:hAnsi="Times New Roman"/>
          <w:i/>
        </w:rPr>
        <w:t>P&amp;I</w:t>
      </w:r>
      <w:r w:rsidRPr="00426625">
        <w:rPr>
          <w:rFonts w:ascii="Times New Roman" w:hAnsi="Times New Roman"/>
        </w:rPr>
        <w:t>, 11/3 (2008), p. 146-147 (nr. 172).</w:t>
      </w:r>
    </w:p>
  </w:footnote>
  <w:footnote w:id="60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Informatiepunt BSN in de zorg en landelijk EPD, </w:t>
      </w:r>
      <w:r w:rsidRPr="00426625">
        <w:rPr>
          <w:rFonts w:ascii="Times New Roman" w:hAnsi="Times New Roman"/>
          <w:i/>
        </w:rPr>
        <w:t>Handboek Landelijk elektronisch patiëntendossier (EPD)</w:t>
      </w:r>
      <w:r w:rsidRPr="00426625">
        <w:rPr>
          <w:rFonts w:ascii="Times New Roman" w:hAnsi="Times New Roman"/>
        </w:rPr>
        <w:t>, 2009.</w:t>
      </w:r>
    </w:p>
  </w:footnote>
  <w:footnote w:id="61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website van het Centraal Informatiepunt Beroepen Gezondheidszorg is: </w:t>
      </w:r>
      <w:hyperlink r:id="rId82" w:history="1">
        <w:r w:rsidRPr="00426625">
          <w:rPr>
            <w:rStyle w:val="Hyperlink"/>
            <w:rFonts w:ascii="Times New Roman" w:hAnsi="Times New Roman"/>
          </w:rPr>
          <w:t>http://www.cibg.nl/</w:t>
        </w:r>
      </w:hyperlink>
      <w:r w:rsidRPr="00426625">
        <w:rPr>
          <w:rFonts w:ascii="Times New Roman" w:hAnsi="Times New Roman"/>
        </w:rPr>
        <w:t xml:space="preserve">. </w:t>
      </w:r>
    </w:p>
  </w:footnote>
  <w:footnote w:id="61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 de zin van de wet van 18 januari 1996 betreffende de kwaliteit van zorginstellingen (</w:t>
      </w:r>
      <w:r w:rsidRPr="00426625">
        <w:rPr>
          <w:rFonts w:ascii="Times New Roman" w:hAnsi="Times New Roman"/>
          <w:i/>
        </w:rPr>
        <w:t>Stb.</w:t>
      </w:r>
      <w:r w:rsidRPr="00426625">
        <w:rPr>
          <w:rFonts w:ascii="Times New Roman" w:hAnsi="Times New Roman"/>
        </w:rPr>
        <w:t xml:space="preserve"> 80, 13 februari 1996).</w:t>
      </w:r>
    </w:p>
  </w:footnote>
  <w:footnote w:id="61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 de zin van art. 3 en art. 34 van de wet van 11 november 1993 houdende regelen inzake beroepen op het ge</w:t>
      </w:r>
      <w:r>
        <w:rPr>
          <w:rFonts w:ascii="Times New Roman" w:hAnsi="Times New Roman"/>
        </w:rPr>
        <w:t>-</w:t>
      </w:r>
      <w:r w:rsidRPr="00426625">
        <w:rPr>
          <w:rFonts w:ascii="Times New Roman" w:hAnsi="Times New Roman"/>
        </w:rPr>
        <w:t>bied van de individuele gezondheidszorg (</w:t>
      </w:r>
      <w:r w:rsidRPr="00426625">
        <w:rPr>
          <w:rFonts w:ascii="Times New Roman" w:hAnsi="Times New Roman"/>
          <w:i/>
        </w:rPr>
        <w:t>Stb.</w:t>
      </w:r>
      <w:r w:rsidRPr="00426625">
        <w:rPr>
          <w:rFonts w:ascii="Times New Roman" w:hAnsi="Times New Roman"/>
        </w:rPr>
        <w:t xml:space="preserve"> 655, 23 december 1993).</w:t>
      </w:r>
    </w:p>
  </w:footnote>
  <w:footnote w:id="61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‘Eerste ervaringen met UZI-pas positief’, </w:t>
      </w:r>
      <w:r w:rsidRPr="00426625">
        <w:rPr>
          <w:rFonts w:ascii="Times New Roman" w:hAnsi="Times New Roman"/>
          <w:i/>
        </w:rPr>
        <w:t>P&amp;I</w:t>
      </w:r>
      <w:r w:rsidRPr="00426625">
        <w:rPr>
          <w:rFonts w:ascii="Times New Roman" w:hAnsi="Times New Roman"/>
        </w:rPr>
        <w:t>, 9/5 (2006), p. 249 (nr. 285).</w:t>
      </w:r>
    </w:p>
  </w:footnote>
  <w:footnote w:id="61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i/>
        </w:rPr>
        <w:t>Toegang elektronische patiëntendossiers beter geregeld? Behandelrelatie voorwaarde voor toegang dossier</w:t>
      </w:r>
      <w:r w:rsidRPr="00426625">
        <w:rPr>
          <w:rFonts w:ascii="Times New Roman" w:hAnsi="Times New Roman"/>
        </w:rPr>
        <w:t>, 2008 (</w:t>
      </w:r>
      <w:hyperlink r:id="rId83" w:history="1">
        <w:r w:rsidRPr="00426625">
          <w:rPr>
            <w:rStyle w:val="Hyperlink"/>
            <w:rFonts w:ascii="Times New Roman" w:hAnsi="Times New Roman"/>
          </w:rPr>
          <w:t>http://www.cbpweb.nl/Pages/pb_20080428_toegang_epd.aspx</w:t>
        </w:r>
      </w:hyperlink>
      <w:r w:rsidRPr="00426625">
        <w:rPr>
          <w:rFonts w:ascii="Times New Roman" w:hAnsi="Times New Roman"/>
        </w:rPr>
        <w:t>, laatst geraadpleegd op 23 juli 201</w:t>
      </w:r>
      <w:r>
        <w:rPr>
          <w:rFonts w:ascii="Times New Roman" w:hAnsi="Times New Roman"/>
        </w:rPr>
        <w:t>2);</w:t>
      </w:r>
      <w:r w:rsidRPr="00426625">
        <w:rPr>
          <w:rFonts w:ascii="Times New Roman" w:hAnsi="Times New Roman"/>
        </w:rPr>
        <w:t xml:space="preserve"> BONTHUIS, M.J., ‘Het EPD en privacy’, </w:t>
      </w:r>
      <w:r w:rsidRPr="00426625">
        <w:rPr>
          <w:rFonts w:ascii="Times New Roman" w:hAnsi="Times New Roman"/>
          <w:i/>
        </w:rPr>
        <w:t>Journaal Privacy gezondheidszorg</w:t>
      </w:r>
      <w:r w:rsidRPr="00426625">
        <w:rPr>
          <w:rFonts w:ascii="Times New Roman" w:hAnsi="Times New Roman"/>
        </w:rPr>
        <w:t>, 9/7 (2008), p. 167-171; ID., ‘Pri</w:t>
      </w:r>
      <w:r>
        <w:rPr>
          <w:rFonts w:ascii="Times New Roman" w:hAnsi="Times New Roman"/>
        </w:rPr>
        <w:t>-</w:t>
      </w:r>
      <w:r w:rsidRPr="00426625">
        <w:rPr>
          <w:rFonts w:ascii="Times New Roman" w:hAnsi="Times New Roman"/>
        </w:rPr>
        <w:t xml:space="preserve">vacy en het landelijk elektronisch patiëntendossier’, </w:t>
      </w:r>
      <w:r w:rsidRPr="00426625">
        <w:rPr>
          <w:rFonts w:ascii="Times New Roman" w:hAnsi="Times New Roman"/>
          <w:i/>
        </w:rPr>
        <w:t>P&amp;I</w:t>
      </w:r>
      <w:r w:rsidRPr="00426625">
        <w:rPr>
          <w:rFonts w:ascii="Times New Roman" w:hAnsi="Times New Roman"/>
        </w:rPr>
        <w:t>, 11/3 (2008), p. 119-123 (nr. 126).</w:t>
      </w:r>
    </w:p>
  </w:footnote>
  <w:footnote w:id="61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Brief van M.J. Boereboom aan G. van ’t Noordende, Den Haag, 30 maart 2010, p. 3; ‘Ontwerp norm logging patiëntendossiers’, </w:t>
      </w:r>
      <w:r w:rsidRPr="00426625">
        <w:rPr>
          <w:rFonts w:ascii="Times New Roman" w:hAnsi="Times New Roman"/>
          <w:i/>
        </w:rPr>
        <w:t>P&amp;I</w:t>
      </w:r>
      <w:r w:rsidRPr="00426625">
        <w:rPr>
          <w:rFonts w:ascii="Times New Roman" w:hAnsi="Times New Roman"/>
        </w:rPr>
        <w:t>, 12/4 (2009), p. 194 (nr. 160).</w:t>
      </w:r>
    </w:p>
  </w:footnote>
  <w:footnote w:id="61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2008-2009, 31 466, nr. 15.</w:t>
      </w:r>
    </w:p>
  </w:footnote>
  <w:footnote w:id="61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TIEMS, S.F., ‘Het elektronisch patiëntendossier: aansprakelijkheid als het misgaat’, </w:t>
      </w:r>
      <w:r w:rsidRPr="00426625">
        <w:rPr>
          <w:rFonts w:ascii="Times New Roman" w:hAnsi="Times New Roman"/>
          <w:i/>
        </w:rPr>
        <w:t>Computerr.</w:t>
      </w:r>
      <w:r w:rsidRPr="00426625">
        <w:rPr>
          <w:rFonts w:ascii="Times New Roman" w:hAnsi="Times New Roman"/>
        </w:rPr>
        <w:t>, 2011, 6, p. 312.</w:t>
      </w:r>
    </w:p>
  </w:footnote>
  <w:footnote w:id="61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website voor overheidszaken is: </w:t>
      </w:r>
      <w:hyperlink r:id="rId84" w:history="1">
        <w:r w:rsidRPr="002E0847">
          <w:rPr>
            <w:rStyle w:val="Hyperlink"/>
            <w:rFonts w:ascii="Times New Roman" w:hAnsi="Times New Roman"/>
          </w:rPr>
          <w:t>www.mijnoverheid.nl</w:t>
        </w:r>
      </w:hyperlink>
      <w:r>
        <w:rPr>
          <w:rFonts w:ascii="Times New Roman" w:hAnsi="Times New Roman"/>
        </w:rPr>
        <w:t xml:space="preserve">. </w:t>
      </w:r>
    </w:p>
  </w:footnote>
  <w:footnote w:id="61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‘Beveiliging toegang patiënten tot EPD’,</w:t>
      </w:r>
      <w:r w:rsidRPr="00426625">
        <w:rPr>
          <w:rFonts w:ascii="Times New Roman" w:hAnsi="Times New Roman" w:cs="Times New Roman"/>
          <w:i/>
          <w:sz w:val="20"/>
          <w:szCs w:val="20"/>
        </w:rPr>
        <w:t xml:space="preserve"> P&amp;I</w:t>
      </w:r>
      <w:r w:rsidRPr="00426625">
        <w:rPr>
          <w:rFonts w:ascii="Times New Roman" w:hAnsi="Times New Roman" w:cs="Times New Roman"/>
          <w:sz w:val="20"/>
          <w:szCs w:val="20"/>
        </w:rPr>
        <w:t xml:space="preserve">, 12/1 (2009), p. 42-43 (nr. 41); ‘Toegang cliënten tot eigen EPD’,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12/2 (2009), p. 100 (nr. 74). ‘Met DigiD inzage in lokale patiëntendossiers?’, </w:t>
      </w:r>
      <w:r w:rsidRPr="00426625">
        <w:rPr>
          <w:rFonts w:ascii="Times New Roman" w:hAnsi="Times New Roman" w:cs="Times New Roman"/>
          <w:i/>
          <w:sz w:val="20"/>
          <w:szCs w:val="20"/>
        </w:rPr>
        <w:t>P&amp;I</w:t>
      </w:r>
      <w:r w:rsidRPr="00426625">
        <w:rPr>
          <w:rFonts w:ascii="Times New Roman" w:hAnsi="Times New Roman" w:cs="Times New Roman"/>
          <w:sz w:val="20"/>
          <w:szCs w:val="20"/>
        </w:rPr>
        <w:t xml:space="preserve">, 12/6 (2009), p. 295 (nr. 262); WEGDAM, M., </w:t>
      </w:r>
      <w:r w:rsidRPr="00426625">
        <w:rPr>
          <w:rFonts w:ascii="Times New Roman" w:hAnsi="Times New Roman" w:cs="Times New Roman"/>
          <w:i/>
          <w:sz w:val="20"/>
          <w:szCs w:val="20"/>
        </w:rPr>
        <w:t>e-identity: zorgeloze identificatie van zorgconsumenten</w:t>
      </w:r>
      <w:r w:rsidRPr="00426625">
        <w:rPr>
          <w:rFonts w:ascii="Times New Roman" w:hAnsi="Times New Roman" w:cs="Times New Roman"/>
          <w:sz w:val="20"/>
          <w:szCs w:val="20"/>
        </w:rPr>
        <w:t>, Den Haag, Nictiz, 2010 (</w:t>
      </w:r>
      <w:hyperlink r:id="rId85" w:history="1">
        <w:r w:rsidRPr="00426625">
          <w:rPr>
            <w:rStyle w:val="Hyperlink"/>
            <w:rFonts w:ascii="Times New Roman" w:hAnsi="Times New Roman" w:cs="Times New Roman"/>
            <w:sz w:val="20"/>
            <w:szCs w:val="20"/>
          </w:rPr>
          <w:t>http://www.nictiz.nl/module/360/73/10002KA_Kennisartikel_e-Identity.pdf</w:t>
        </w:r>
      </w:hyperlink>
      <w:r w:rsidRPr="00426625">
        <w:rPr>
          <w:rFonts w:ascii="Times New Roman" w:hAnsi="Times New Roman" w:cs="Times New Roman"/>
          <w:sz w:val="20"/>
          <w:szCs w:val="20"/>
        </w:rPr>
        <w:t>, laatst geraadpleegd op 23 juli 2012).</w:t>
      </w:r>
    </w:p>
  </w:footnote>
  <w:footnote w:id="62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86" w:history="1">
        <w:r w:rsidRPr="00426625">
          <w:rPr>
            <w:rStyle w:val="Hyperlink"/>
            <w:rFonts w:ascii="Times New Roman" w:hAnsi="Times New Roman"/>
          </w:rPr>
          <w:t>www.digid.nl</w:t>
        </w:r>
      </w:hyperlink>
      <w:r w:rsidRPr="00426625">
        <w:rPr>
          <w:rStyle w:val="Hyperlink"/>
          <w:rFonts w:ascii="Times New Roman" w:hAnsi="Times New Roman"/>
        </w:rPr>
        <w:t>.</w:t>
      </w:r>
      <w:r w:rsidRPr="00426625">
        <w:rPr>
          <w:rFonts w:ascii="Times New Roman" w:hAnsi="Times New Roman"/>
        </w:rPr>
        <w:t xml:space="preserve"> Dit is bijvoorbeeld ook het geval bij: </w:t>
      </w:r>
      <w:hyperlink r:id="rId87" w:history="1">
        <w:r w:rsidRPr="00426625">
          <w:rPr>
            <w:rStyle w:val="Hyperlink"/>
            <w:rFonts w:ascii="Times New Roman" w:hAnsi="Times New Roman"/>
          </w:rPr>
          <w:t>https://www.digitaalmedischdagboek.nl/</w:t>
        </w:r>
      </w:hyperlink>
      <w:r w:rsidRPr="00426625">
        <w:rPr>
          <w:rFonts w:ascii="Times New Roman" w:hAnsi="Times New Roman"/>
        </w:rPr>
        <w:t>.</w:t>
      </w:r>
    </w:p>
  </w:footnote>
  <w:footnote w:id="62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88" w:history="1">
        <w:r w:rsidRPr="00426625">
          <w:rPr>
            <w:rStyle w:val="Hyperlink"/>
            <w:rFonts w:ascii="Times New Roman" w:hAnsi="Times New Roman"/>
          </w:rPr>
          <w:t>www.pkioverheid.nl</w:t>
        </w:r>
      </w:hyperlink>
      <w:r w:rsidRPr="00426625">
        <w:rPr>
          <w:rFonts w:ascii="Times New Roman" w:hAnsi="Times New Roman"/>
        </w:rPr>
        <w:t xml:space="preserve">. </w:t>
      </w:r>
    </w:p>
  </w:footnote>
  <w:footnote w:id="62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van 8 mei 2003 tot aanpassing van Boek 3 en Boek 6 van het Burgerlijk Wetboek, de Telecommunicatie</w:t>
      </w:r>
      <w:r>
        <w:rPr>
          <w:rFonts w:ascii="Times New Roman" w:hAnsi="Times New Roman"/>
        </w:rPr>
        <w:t>-</w:t>
      </w:r>
      <w:r w:rsidRPr="00426625">
        <w:rPr>
          <w:rFonts w:ascii="Times New Roman" w:hAnsi="Times New Roman"/>
        </w:rPr>
        <w:t>wet en de Wet op de economische delicten inzake elektronische handtekeningen ter uitvoering van richtlijn nr. 1999/93/EG van het Europees Parlement en de Raad van de Europese Unie van 13 december 1999 betreffende een gemeenschappelijk kader voor elektronische handtekeningen (PbEG L 13) (</w:t>
      </w:r>
      <w:r w:rsidRPr="00426625">
        <w:rPr>
          <w:rFonts w:ascii="Times New Roman" w:hAnsi="Times New Roman"/>
          <w:i/>
        </w:rPr>
        <w:t>Stb.</w:t>
      </w:r>
      <w:r w:rsidRPr="00426625">
        <w:rPr>
          <w:rFonts w:ascii="Times New Roman" w:hAnsi="Times New Roman"/>
        </w:rPr>
        <w:t xml:space="preserve"> 199, 20 mei 2003); besluit van 8 mei 2003 houdende de vaststelling van eisen voor het verlenen van diensten voor elektronische handteke</w:t>
      </w:r>
      <w:r>
        <w:rPr>
          <w:rFonts w:ascii="Times New Roman" w:hAnsi="Times New Roman"/>
        </w:rPr>
        <w:t>-</w:t>
      </w:r>
      <w:r w:rsidRPr="00426625">
        <w:rPr>
          <w:rFonts w:ascii="Times New Roman" w:hAnsi="Times New Roman"/>
        </w:rPr>
        <w:t>ningen (</w:t>
      </w:r>
      <w:r w:rsidRPr="00426625">
        <w:rPr>
          <w:rFonts w:ascii="Times New Roman" w:hAnsi="Times New Roman"/>
          <w:i/>
        </w:rPr>
        <w:t>Stb.</w:t>
      </w:r>
      <w:r w:rsidRPr="00426625">
        <w:rPr>
          <w:rFonts w:ascii="Times New Roman" w:hAnsi="Times New Roman"/>
        </w:rPr>
        <w:t xml:space="preserve"> 200, 20 mei 2003); GROOTHUIS, M.; VAN DER HOF, S.; ‘De elektronische handtekening in het bestuursrecht: ontwikkelingen in Nederland en Europa’, </w:t>
      </w:r>
      <w:r w:rsidRPr="00426625">
        <w:rPr>
          <w:rFonts w:ascii="Times New Roman" w:hAnsi="Times New Roman"/>
          <w:i/>
        </w:rPr>
        <w:t>Computerr.</w:t>
      </w:r>
      <w:r w:rsidRPr="00426625">
        <w:rPr>
          <w:rFonts w:ascii="Times New Roman" w:hAnsi="Times New Roman"/>
        </w:rPr>
        <w:t>, 2009, 5, p. 193-198.</w:t>
      </w:r>
    </w:p>
  </w:footnote>
  <w:footnote w:id="62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2004-2005, 29 362, nr. 39</w:t>
      </w:r>
    </w:p>
  </w:footnote>
  <w:footnote w:id="62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Brief van Ab Klink aan de Voorzitter van de Tweede Kamer der Staten-Generaal, Den Haag, 12 december 2008; JACOBS, B.; NOUWT, S.; DE BRUIJN, A.; VERMEULEN, O.; VAN DER KNAAP, R.; DE BIE, C.; </w:t>
      </w:r>
      <w:r w:rsidRPr="00426625">
        <w:rPr>
          <w:rFonts w:ascii="Times New Roman" w:hAnsi="Times New Roman"/>
          <w:i/>
        </w:rPr>
        <w:t>Beveiligingseisen ten aanzien van identificatie en authenticatie voor toegang zorgconsument tot het Elektronisch Patiëntendossier (EPD)</w:t>
      </w:r>
      <w:r w:rsidRPr="00426625">
        <w:rPr>
          <w:rFonts w:ascii="Times New Roman" w:hAnsi="Times New Roman"/>
        </w:rPr>
        <w:t>, PriceWaterhouseCoopers – Radboud Universiteit Nijmegen – Universiteit Tilburg, 2008, p. 27-35.</w:t>
      </w:r>
    </w:p>
  </w:footnote>
  <w:footnote w:id="62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TWIST; SCHULZ; CHIN-A-FAT et al.; </w:t>
      </w:r>
      <w:r w:rsidRPr="00426625">
        <w:rPr>
          <w:rFonts w:ascii="Times New Roman" w:hAnsi="Times New Roman"/>
          <w:i/>
        </w:rPr>
        <w:t>Het EPD voorbij?</w:t>
      </w:r>
      <w:r w:rsidRPr="00426625">
        <w:rPr>
          <w:rFonts w:ascii="Times New Roman" w:hAnsi="Times New Roman"/>
        </w:rPr>
        <w:t xml:space="preserve">, p. 60. </w:t>
      </w:r>
    </w:p>
  </w:footnote>
  <w:footnote w:id="62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2008-2009, 27 529, nr. 53, p. 2.</w:t>
      </w:r>
    </w:p>
  </w:footnote>
  <w:footnote w:id="62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Brief van Ab Klink aan de Voorzitter van de Tweede Kamer der Staten-Generaal, Den Haag, 12 december 2008; Brief van M.J. Boereboom aan G. van ’t Noordende, Den Haag, 30 maart 2010, p. 2-3 en p. 3-4.</w:t>
      </w:r>
    </w:p>
  </w:footnote>
  <w:footnote w:id="62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VERHEUL, E.R.; PRINS, J.P.; VERMEULEN, O.A.; DE BRUIJN, A.J.M.; POLL, E.; VAN DEN BROEK, F.; </w:t>
      </w:r>
      <w:r w:rsidRPr="00426625">
        <w:rPr>
          <w:rFonts w:ascii="Times New Roman" w:hAnsi="Times New Roman"/>
          <w:i/>
        </w:rPr>
        <w:t>Risicoanalyse EPD-DigiD. Naar aanleiding van de A5/1 kwetsbaarheid in GSM</w:t>
      </w:r>
      <w:r w:rsidRPr="00426625">
        <w:rPr>
          <w:rFonts w:ascii="Times New Roman" w:hAnsi="Times New Roman"/>
        </w:rPr>
        <w:t>, PriceWaterhouseCoopers – Radboud Universiteit Nijmegen, 2010, p. 25-30. Deze risicoanalyse werd als bijlage opgenomen bij Kamerstuk</w:t>
      </w:r>
      <w:r>
        <w:rPr>
          <w:rFonts w:ascii="Times New Roman" w:hAnsi="Times New Roman"/>
        </w:rPr>
        <w:t>-</w:t>
      </w:r>
      <w:r w:rsidRPr="00426625">
        <w:rPr>
          <w:rFonts w:ascii="Times New Roman" w:hAnsi="Times New Roman"/>
        </w:rPr>
        <w:t>ken II, vergaderjaar 2009-2010, 27 529, nr. 61.</w:t>
      </w:r>
    </w:p>
  </w:footnote>
  <w:footnote w:id="6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 p. 27-28.</w:t>
      </w:r>
    </w:p>
  </w:footnote>
  <w:footnote w:id="63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 p. 31.</w:t>
      </w:r>
    </w:p>
  </w:footnote>
  <w:footnote w:id="63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VERMEULEN, O.; DE BRUIJN, A.; DE BIE, C.; VAN MOURIK, A.; WITTEMAN, B.; MENNEN, Y.; </w:t>
      </w:r>
      <w:r w:rsidRPr="00426625">
        <w:rPr>
          <w:rFonts w:ascii="Times New Roman" w:hAnsi="Times New Roman"/>
          <w:i/>
        </w:rPr>
        <w:t>Digitale toegang tot het eigen medisch dossier: mogelijkheden voor een elektronische sleutel</w:t>
      </w:r>
      <w:r w:rsidRPr="00426625">
        <w:rPr>
          <w:rFonts w:ascii="Times New Roman" w:hAnsi="Times New Roman"/>
        </w:rPr>
        <w:t>, PriceWaterhouse</w:t>
      </w:r>
      <w:r>
        <w:rPr>
          <w:rFonts w:ascii="Times New Roman" w:hAnsi="Times New Roman"/>
        </w:rPr>
        <w:t>-</w:t>
      </w:r>
      <w:r w:rsidRPr="00426625">
        <w:rPr>
          <w:rFonts w:ascii="Times New Roman" w:hAnsi="Times New Roman"/>
        </w:rPr>
        <w:t>Coopers, 2011. Dit onderzoek is als bijlage opgenomen bij Kamerstukken I, vergaderjaar 2011-2012, 31 466, nr. A.</w:t>
      </w:r>
    </w:p>
  </w:footnote>
  <w:footnote w:id="6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Voorbeeld zijn de dagboeken over Mika Groot (</w:t>
      </w:r>
      <w:hyperlink r:id="rId89" w:history="1">
        <w:r w:rsidRPr="002E0847">
          <w:rPr>
            <w:rStyle w:val="Hyperlink"/>
            <w:rFonts w:ascii="Times New Roman" w:hAnsi="Times New Roman"/>
          </w:rPr>
          <w:t>http://www.mikagroot.nl</w:t>
        </w:r>
      </w:hyperlink>
      <w:r>
        <w:rPr>
          <w:rFonts w:ascii="Times New Roman" w:hAnsi="Times New Roman"/>
        </w:rPr>
        <w:t>, laatst geraadpleegd op 23 juli 2012)</w:t>
      </w:r>
      <w:r w:rsidRPr="00426625">
        <w:rPr>
          <w:rFonts w:ascii="Times New Roman" w:hAnsi="Times New Roman"/>
        </w:rPr>
        <w:t xml:space="preserve">  en over Jaro Arjuna Kuiken (</w:t>
      </w:r>
      <w:hyperlink r:id="rId90" w:history="1">
        <w:r w:rsidRPr="00426625">
          <w:rPr>
            <w:rStyle w:val="Hyperlink"/>
            <w:rFonts w:ascii="Times New Roman" w:hAnsi="Times New Roman"/>
          </w:rPr>
          <w:t>http://ecbj.home.xs4all.nl/jdagboek.html</w:t>
        </w:r>
      </w:hyperlink>
      <w:r w:rsidRPr="00426625">
        <w:rPr>
          <w:rFonts w:ascii="Times New Roman" w:hAnsi="Times New Roman"/>
        </w:rPr>
        <w:t>, laatst geraadpleegd op 23 juli 2012).</w:t>
      </w:r>
      <w:r>
        <w:rPr>
          <w:rFonts w:ascii="Times New Roman" w:hAnsi="Times New Roman"/>
        </w:rPr>
        <w:t xml:space="preserve"> Een medisch dagboek mag overigens niet verward worden met een medisch logboek (</w:t>
      </w:r>
      <w:hyperlink r:id="rId91" w:history="1">
        <w:r w:rsidRPr="00EA26DD">
          <w:rPr>
            <w:rStyle w:val="Hyperlink"/>
            <w:rFonts w:ascii="Times New Roman" w:hAnsi="Times New Roman"/>
          </w:rPr>
          <w:t>http://www.medilog.nl</w:t>
        </w:r>
      </w:hyperlink>
      <w:r>
        <w:rPr>
          <w:rFonts w:ascii="Times New Roman" w:hAnsi="Times New Roman"/>
        </w:rPr>
        <w:t xml:space="preserve"> en </w:t>
      </w:r>
      <w:hyperlink r:id="rId92" w:history="1">
        <w:r w:rsidRPr="00EA26DD">
          <w:rPr>
            <w:rStyle w:val="Hyperlink"/>
            <w:rFonts w:ascii="Times New Roman" w:hAnsi="Times New Roman"/>
          </w:rPr>
          <w:t>www.mimedication.com</w:t>
        </w:r>
      </w:hyperlink>
      <w:r w:rsidRPr="00426625">
        <w:rPr>
          <w:rFonts w:ascii="Times New Roman" w:hAnsi="Times New Roman"/>
        </w:rPr>
        <w:t>, laatst geraadpleegd op 23 juli 201</w:t>
      </w:r>
      <w:r>
        <w:rPr>
          <w:rFonts w:ascii="Times New Roman" w:hAnsi="Times New Roman"/>
        </w:rPr>
        <w:t>2).</w:t>
      </w:r>
    </w:p>
  </w:footnote>
  <w:footnote w:id="63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VALGAEREN, E.; LEITNER, L.; ‘Smartphones en privacy: vrienden, vijanden of ergens tussenin?’, </w:t>
      </w:r>
      <w:r w:rsidRPr="00426625">
        <w:rPr>
          <w:rFonts w:ascii="Times New Roman" w:hAnsi="Times New Roman"/>
          <w:i/>
        </w:rPr>
        <w:t>Computerr.</w:t>
      </w:r>
      <w:r w:rsidRPr="00426625">
        <w:rPr>
          <w:rFonts w:ascii="Times New Roman" w:hAnsi="Times New Roman"/>
        </w:rPr>
        <w:t>, 2012, 1, p. 2-9.</w:t>
      </w:r>
    </w:p>
  </w:footnote>
  <w:footnote w:id="63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 vergaderjaar 2011-2012, 31 466, nr. AI, p. 1. Voorbeelden van apps zijn legio; twee voor</w:t>
      </w:r>
      <w:r>
        <w:rPr>
          <w:rFonts w:ascii="Times New Roman" w:hAnsi="Times New Roman"/>
        </w:rPr>
        <w:t>-</w:t>
      </w:r>
      <w:r w:rsidRPr="00426625">
        <w:rPr>
          <w:rFonts w:ascii="Times New Roman" w:hAnsi="Times New Roman"/>
        </w:rPr>
        <w:t>beelden zijn MedDossier en MedAlert (</w:t>
      </w:r>
      <w:hyperlink r:id="rId93" w:history="1">
        <w:r w:rsidRPr="002E0847">
          <w:rPr>
            <w:rStyle w:val="Hyperlink"/>
            <w:rFonts w:ascii="Times New Roman" w:hAnsi="Times New Roman"/>
          </w:rPr>
          <w:t>http://www.iphoneclub.nl/134848/la-carte-meddossier-en-nsstoringen-apps-van-nederlandse-bodem/</w:t>
        </w:r>
      </w:hyperlink>
      <w:r w:rsidRPr="00426625">
        <w:rPr>
          <w:rFonts w:ascii="Times New Roman" w:hAnsi="Times New Roman"/>
        </w:rPr>
        <w:t>, laatst geraadpleegd op 23 juli 2012). Dit geld took voor de USB-stick ‘Care Plus Medikeeper’ (</w:t>
      </w:r>
      <w:hyperlink r:id="rId94" w:history="1">
        <w:r w:rsidRPr="00426625">
          <w:rPr>
            <w:rStyle w:val="Hyperlink"/>
            <w:rFonts w:ascii="Times New Roman" w:hAnsi="Times New Roman"/>
          </w:rPr>
          <w:t>www.medikeeper.nl</w:t>
        </w:r>
      </w:hyperlink>
      <w:r w:rsidRPr="00426625">
        <w:rPr>
          <w:rFonts w:ascii="Times New Roman" w:hAnsi="Times New Roman"/>
        </w:rPr>
        <w:t>).</w:t>
      </w:r>
    </w:p>
  </w:footnote>
  <w:footnote w:id="6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HELDOORN, M.; VAN HERK, E.; VEERESCHILD, S.; </w:t>
      </w:r>
      <w:r w:rsidRPr="00426625">
        <w:rPr>
          <w:rFonts w:ascii="Times New Roman" w:hAnsi="Times New Roman"/>
          <w:i/>
        </w:rPr>
        <w:t>Patiëntportalen in Nederland. Online inzage in mijn medische gegevens</w:t>
      </w:r>
      <w:r w:rsidRPr="00426625">
        <w:rPr>
          <w:rFonts w:ascii="Times New Roman" w:hAnsi="Times New Roman"/>
        </w:rPr>
        <w:t>, Den Haag, NPCF, Nictiz, 2011, p. 21-26. Enkele portaalsites zijn: CS-Zorgportaal (</w:t>
      </w:r>
      <w:hyperlink r:id="rId95" w:history="1">
        <w:r w:rsidRPr="00EA26DD">
          <w:rPr>
            <w:rStyle w:val="Hyperlink"/>
            <w:rFonts w:ascii="Times New Roman" w:hAnsi="Times New Roman"/>
          </w:rPr>
          <w:t>www.chipsoft.nl</w:t>
        </w:r>
      </w:hyperlink>
      <w:r w:rsidRPr="00426625">
        <w:rPr>
          <w:rFonts w:ascii="Times New Roman" w:hAnsi="Times New Roman"/>
        </w:rPr>
        <w:t>); Digitaal Medicatiedossier (</w:t>
      </w:r>
      <w:hyperlink r:id="rId96" w:history="1">
        <w:r w:rsidRPr="00426625">
          <w:rPr>
            <w:rStyle w:val="Hyperlink"/>
            <w:rFonts w:ascii="Times New Roman" w:hAnsi="Times New Roman"/>
          </w:rPr>
          <w:t>www.kring-apotheek.nl</w:t>
        </w:r>
      </w:hyperlink>
      <w:r w:rsidRPr="00426625">
        <w:rPr>
          <w:rFonts w:ascii="Times New Roman" w:hAnsi="Times New Roman"/>
        </w:rPr>
        <w:t>); Digitale IVF poli (</w:t>
      </w:r>
      <w:hyperlink r:id="rId97" w:history="1">
        <w:r w:rsidRPr="00426625">
          <w:rPr>
            <w:rStyle w:val="Hyperlink"/>
            <w:rFonts w:ascii="Times New Roman" w:hAnsi="Times New Roman"/>
          </w:rPr>
          <w:t>www.umcn.nl</w:t>
        </w:r>
      </w:hyperlink>
      <w:r w:rsidRPr="00426625">
        <w:rPr>
          <w:rFonts w:ascii="Times New Roman" w:hAnsi="Times New Roman"/>
        </w:rPr>
        <w:t>); Far</w:t>
      </w:r>
      <w:r>
        <w:rPr>
          <w:rFonts w:ascii="Times New Roman" w:hAnsi="Times New Roman"/>
        </w:rPr>
        <w:t>-</w:t>
      </w:r>
      <w:r w:rsidRPr="00426625">
        <w:rPr>
          <w:rFonts w:ascii="Times New Roman" w:hAnsi="Times New Roman"/>
        </w:rPr>
        <w:t>MedDossier (</w:t>
      </w:r>
      <w:hyperlink r:id="rId98" w:history="1">
        <w:r w:rsidRPr="00426625">
          <w:rPr>
            <w:rStyle w:val="Hyperlink"/>
            <w:rFonts w:ascii="Times New Roman" w:hAnsi="Times New Roman"/>
          </w:rPr>
          <w:t>www.farmedvisie.nl</w:t>
        </w:r>
      </w:hyperlink>
      <w:r w:rsidRPr="00426625">
        <w:rPr>
          <w:rFonts w:ascii="Times New Roman" w:hAnsi="Times New Roman"/>
        </w:rPr>
        <w:t>); Gezondheidsportaal PAZIO (</w:t>
      </w:r>
      <w:hyperlink r:id="rId99" w:history="1">
        <w:r w:rsidRPr="00426625">
          <w:rPr>
            <w:rStyle w:val="Hyperlink"/>
            <w:rFonts w:ascii="Times New Roman" w:hAnsi="Times New Roman"/>
          </w:rPr>
          <w:t>www.pazio.nl</w:t>
        </w:r>
      </w:hyperlink>
      <w:r w:rsidRPr="00426625">
        <w:rPr>
          <w:rFonts w:ascii="Times New Roman" w:hAnsi="Times New Roman"/>
        </w:rPr>
        <w:t>); HIV-portaal (</w:t>
      </w:r>
      <w:hyperlink w:history="1">
        <w:r w:rsidRPr="00EA26DD">
          <w:rPr>
            <w:rStyle w:val="Hyperlink"/>
            <w:rFonts w:ascii="Times New Roman" w:hAnsi="Times New Roman"/>
          </w:rPr>
          <w:t>www. umcutrecht.nl</w:t>
        </w:r>
      </w:hyperlink>
      <w:r w:rsidRPr="00426625">
        <w:rPr>
          <w:rFonts w:ascii="Times New Roman" w:hAnsi="Times New Roman"/>
        </w:rPr>
        <w:t>); Horizon Patiëntenportaal (</w:t>
      </w:r>
      <w:hyperlink r:id="rId100" w:history="1">
        <w:r w:rsidRPr="00426625">
          <w:rPr>
            <w:rStyle w:val="Hyperlink"/>
            <w:rFonts w:ascii="Times New Roman" w:hAnsi="Times New Roman"/>
          </w:rPr>
          <w:t>www.mckesson.nl</w:t>
        </w:r>
      </w:hyperlink>
      <w:r w:rsidRPr="00426625">
        <w:rPr>
          <w:rFonts w:ascii="Times New Roman" w:hAnsi="Times New Roman"/>
        </w:rPr>
        <w:t>); HuisartsCentraal Portaal (</w:t>
      </w:r>
      <w:hyperlink w:history="1">
        <w:r w:rsidRPr="002E0847">
          <w:rPr>
            <w:rStyle w:val="Hyperlink"/>
            <w:rFonts w:ascii="Times New Roman" w:hAnsi="Times New Roman"/>
          </w:rPr>
          <w:t>www.huisartscentraal. nl</w:t>
        </w:r>
      </w:hyperlink>
      <w:r w:rsidRPr="00426625">
        <w:rPr>
          <w:rFonts w:ascii="Times New Roman" w:hAnsi="Times New Roman"/>
        </w:rPr>
        <w:t xml:space="preserve">); </w:t>
      </w:r>
      <w:hyperlink r:id="rId101" w:history="1">
        <w:r w:rsidRPr="00426625">
          <w:rPr>
            <w:rStyle w:val="Hyperlink"/>
            <w:rFonts w:ascii="Times New Roman" w:hAnsi="Times New Roman"/>
          </w:rPr>
          <w:t>www.medischegegevens.nl</w:t>
        </w:r>
      </w:hyperlink>
      <w:r w:rsidRPr="00426625">
        <w:rPr>
          <w:rFonts w:ascii="Times New Roman" w:hAnsi="Times New Roman"/>
        </w:rPr>
        <w:t xml:space="preserve">; </w:t>
      </w:r>
      <w:hyperlink r:id="rId102" w:history="1">
        <w:r w:rsidRPr="00426625">
          <w:rPr>
            <w:rStyle w:val="Hyperlink"/>
            <w:rFonts w:ascii="Times New Roman" w:hAnsi="Times New Roman"/>
          </w:rPr>
          <w:t>www.medlook.nl</w:t>
        </w:r>
      </w:hyperlink>
      <w:r w:rsidRPr="00426625">
        <w:rPr>
          <w:rFonts w:ascii="Times New Roman" w:hAnsi="Times New Roman"/>
        </w:rPr>
        <w:t>; mijn diabetes (</w:t>
      </w:r>
      <w:hyperlink r:id="rId103" w:history="1">
        <w:r w:rsidRPr="00426625">
          <w:rPr>
            <w:rStyle w:val="Hyperlink"/>
            <w:rFonts w:ascii="Times New Roman" w:hAnsi="Times New Roman"/>
          </w:rPr>
          <w:t>www.mijndvn.nl</w:t>
        </w:r>
      </w:hyperlink>
      <w:r w:rsidRPr="00426625">
        <w:rPr>
          <w:rFonts w:ascii="Times New Roman" w:hAnsi="Times New Roman"/>
        </w:rPr>
        <w:t xml:space="preserve">); </w:t>
      </w:r>
      <w:hyperlink r:id="rId104" w:history="1">
        <w:r w:rsidRPr="00426625">
          <w:rPr>
            <w:rStyle w:val="Hyperlink"/>
            <w:rFonts w:ascii="Times New Roman" w:hAnsi="Times New Roman"/>
          </w:rPr>
          <w:t>www.mijn-epd.nl</w:t>
        </w:r>
      </w:hyperlink>
      <w:r w:rsidRPr="00426625">
        <w:rPr>
          <w:rFonts w:ascii="Times New Roman" w:hAnsi="Times New Roman"/>
        </w:rPr>
        <w:t xml:space="preserve">; </w:t>
      </w:r>
      <w:hyperlink w:history="1">
        <w:r w:rsidRPr="002E0847">
          <w:rPr>
            <w:rStyle w:val="Hyperlink"/>
            <w:rFonts w:ascii="Times New Roman" w:hAnsi="Times New Roman"/>
          </w:rPr>
          <w:t>www. mijngezondheid.net</w:t>
        </w:r>
      </w:hyperlink>
      <w:r w:rsidRPr="00426625">
        <w:rPr>
          <w:rFonts w:ascii="Times New Roman" w:hAnsi="Times New Roman"/>
        </w:rPr>
        <w:t xml:space="preserve"> (of </w:t>
      </w:r>
      <w:hyperlink r:id="rId105" w:history="1">
        <w:r w:rsidRPr="00426625">
          <w:rPr>
            <w:rStyle w:val="Hyperlink"/>
            <w:rFonts w:ascii="Times New Roman" w:hAnsi="Times New Roman"/>
          </w:rPr>
          <w:t>www.pharmapartners.nl</w:t>
        </w:r>
      </w:hyperlink>
      <w:r w:rsidRPr="00426625">
        <w:rPr>
          <w:rFonts w:ascii="Times New Roman" w:hAnsi="Times New Roman"/>
        </w:rPr>
        <w:t xml:space="preserve">); </w:t>
      </w:r>
      <w:hyperlink r:id="rId106" w:history="1">
        <w:r w:rsidRPr="00426625">
          <w:rPr>
            <w:rStyle w:val="Hyperlink"/>
            <w:rFonts w:ascii="Times New Roman" w:hAnsi="Times New Roman"/>
          </w:rPr>
          <w:t>mijn.kempenhaeghe.nl</w:t>
        </w:r>
      </w:hyperlink>
      <w:r w:rsidRPr="00426625">
        <w:rPr>
          <w:rFonts w:ascii="Times New Roman" w:hAnsi="Times New Roman"/>
        </w:rPr>
        <w:t xml:space="preserve">; </w:t>
      </w:r>
      <w:hyperlink r:id="rId107" w:history="1">
        <w:r w:rsidRPr="00426625">
          <w:rPr>
            <w:rStyle w:val="Hyperlink"/>
            <w:rFonts w:ascii="Times New Roman" w:hAnsi="Times New Roman"/>
          </w:rPr>
          <w:t>www.mijnmediq.nl</w:t>
        </w:r>
      </w:hyperlink>
      <w:r w:rsidRPr="00426625">
        <w:rPr>
          <w:rFonts w:ascii="Times New Roman" w:hAnsi="Times New Roman"/>
        </w:rPr>
        <w:t xml:space="preserve">; </w:t>
      </w:r>
      <w:hyperlink r:id="rId108" w:history="1">
        <w:r w:rsidRPr="00426625">
          <w:rPr>
            <w:rStyle w:val="Hyperlink"/>
            <w:rFonts w:ascii="Times New Roman" w:hAnsi="Times New Roman"/>
          </w:rPr>
          <w:t>www.umcg.nl</w:t>
        </w:r>
      </w:hyperlink>
      <w:r w:rsidRPr="00426625">
        <w:rPr>
          <w:rFonts w:ascii="Times New Roman" w:hAnsi="Times New Roman"/>
        </w:rPr>
        <w:t>: MyHealth Online (</w:t>
      </w:r>
      <w:hyperlink r:id="rId109" w:history="1">
        <w:r w:rsidRPr="00426625">
          <w:rPr>
            <w:rStyle w:val="Hyperlink"/>
            <w:rFonts w:ascii="Times New Roman" w:hAnsi="Times New Roman"/>
          </w:rPr>
          <w:t>www.mijnflevoziekenhuis.nl</w:t>
        </w:r>
      </w:hyperlink>
      <w:r w:rsidRPr="00426625">
        <w:rPr>
          <w:rFonts w:ascii="Times New Roman" w:hAnsi="Times New Roman"/>
        </w:rPr>
        <w:t xml:space="preserve">; </w:t>
      </w:r>
      <w:hyperlink r:id="rId110" w:history="1">
        <w:r w:rsidRPr="00426625">
          <w:rPr>
            <w:rStyle w:val="Hyperlink"/>
            <w:rFonts w:ascii="Times New Roman" w:hAnsi="Times New Roman"/>
          </w:rPr>
          <w:t>www.puntp.nl</w:t>
        </w:r>
      </w:hyperlink>
      <w:r w:rsidRPr="00426625">
        <w:rPr>
          <w:rFonts w:ascii="Times New Roman" w:hAnsi="Times New Roman"/>
        </w:rPr>
        <w:t xml:space="preserve">; </w:t>
      </w:r>
      <w:hyperlink r:id="rId111" w:history="1">
        <w:r w:rsidRPr="00426625">
          <w:rPr>
            <w:rStyle w:val="Hyperlink"/>
            <w:rFonts w:ascii="Times New Roman" w:hAnsi="Times New Roman"/>
          </w:rPr>
          <w:t>www.mijnreinier.nl</w:t>
        </w:r>
      </w:hyperlink>
      <w:r w:rsidRPr="00426625">
        <w:rPr>
          <w:rFonts w:ascii="Times New Roman" w:hAnsi="Times New Roman"/>
        </w:rPr>
        <w:t xml:space="preserve">); </w:t>
      </w:r>
      <w:hyperlink r:id="rId112" w:history="1">
        <w:r w:rsidRPr="00426625">
          <w:rPr>
            <w:rStyle w:val="Hyperlink"/>
            <w:rFonts w:ascii="Times New Roman" w:hAnsi="Times New Roman"/>
          </w:rPr>
          <w:t>www.hemobase.net</w:t>
        </w:r>
      </w:hyperlink>
      <w:r w:rsidRPr="00426625">
        <w:rPr>
          <w:rFonts w:ascii="Times New Roman" w:hAnsi="Times New Roman"/>
        </w:rPr>
        <w:t xml:space="preserve">; </w:t>
      </w:r>
      <w:hyperlink r:id="rId113" w:history="1">
        <w:r w:rsidRPr="002E0847">
          <w:rPr>
            <w:rStyle w:val="Hyperlink"/>
            <w:rFonts w:ascii="Times New Roman" w:hAnsi="Times New Roman"/>
          </w:rPr>
          <w:t>www.UMCUtrecht.nl</w:t>
        </w:r>
      </w:hyperlink>
      <w:r w:rsidRPr="00426625">
        <w:rPr>
          <w:rFonts w:ascii="Times New Roman" w:hAnsi="Times New Roman"/>
        </w:rPr>
        <w:t xml:space="preserve">); </w:t>
      </w:r>
      <w:hyperlink r:id="rId114" w:history="1">
        <w:r w:rsidRPr="00426625">
          <w:rPr>
            <w:rStyle w:val="Hyperlink"/>
            <w:rFonts w:ascii="Times New Roman" w:hAnsi="Times New Roman"/>
          </w:rPr>
          <w:t>www.parkinsonnet.nl</w:t>
        </w:r>
      </w:hyperlink>
      <w:r w:rsidRPr="00426625">
        <w:rPr>
          <w:rFonts w:ascii="Times New Roman" w:hAnsi="Times New Roman"/>
        </w:rPr>
        <w:t xml:space="preserve">; </w:t>
      </w:r>
      <w:hyperlink r:id="rId115" w:history="1">
        <w:r w:rsidRPr="00426625">
          <w:rPr>
            <w:rStyle w:val="Hyperlink"/>
            <w:rFonts w:ascii="Times New Roman" w:hAnsi="Times New Roman"/>
          </w:rPr>
          <w:t>www.patient1.nl</w:t>
        </w:r>
      </w:hyperlink>
      <w:r w:rsidRPr="00426625">
        <w:rPr>
          <w:rFonts w:ascii="Times New Roman" w:hAnsi="Times New Roman"/>
        </w:rPr>
        <w:t xml:space="preserve">; </w:t>
      </w:r>
      <w:hyperlink r:id="rId116" w:history="1">
        <w:r w:rsidRPr="00426625">
          <w:rPr>
            <w:rStyle w:val="Hyperlink"/>
            <w:rFonts w:ascii="Times New Roman" w:hAnsi="Times New Roman"/>
          </w:rPr>
          <w:t>gclindenholt.patientportaal.nl</w:t>
        </w:r>
      </w:hyperlink>
      <w:r w:rsidRPr="00426625">
        <w:rPr>
          <w:rFonts w:ascii="Times New Roman" w:hAnsi="Times New Roman"/>
        </w:rPr>
        <w:t xml:space="preserve">; </w:t>
      </w:r>
      <w:hyperlink w:history="1">
        <w:r w:rsidRPr="002E0847">
          <w:rPr>
            <w:rStyle w:val="Hyperlink"/>
            <w:rFonts w:ascii="Times New Roman" w:hAnsi="Times New Roman"/>
          </w:rPr>
          <w:t>www.promedico. nl</w:t>
        </w:r>
      </w:hyperlink>
      <w:r w:rsidRPr="00426625">
        <w:rPr>
          <w:rFonts w:ascii="Times New Roman" w:hAnsi="Times New Roman"/>
        </w:rPr>
        <w:t>; Patiëntenportaal HemolifieBehandelCentrum (</w:t>
      </w:r>
      <w:hyperlink r:id="rId117" w:history="1">
        <w:r w:rsidRPr="00426625">
          <w:rPr>
            <w:rStyle w:val="Hyperlink"/>
            <w:rFonts w:ascii="Times New Roman" w:hAnsi="Times New Roman"/>
          </w:rPr>
          <w:t>htc.azm.nl</w:t>
        </w:r>
      </w:hyperlink>
      <w:r w:rsidRPr="00426625">
        <w:rPr>
          <w:rFonts w:ascii="Times New Roman" w:hAnsi="Times New Roman"/>
        </w:rPr>
        <w:t>); Portavita (</w:t>
      </w:r>
      <w:hyperlink r:id="rId118" w:history="1">
        <w:r w:rsidRPr="00426625">
          <w:rPr>
            <w:rStyle w:val="Hyperlink"/>
            <w:rFonts w:ascii="Times New Roman" w:hAnsi="Times New Roman"/>
          </w:rPr>
          <w:t>www.diamuraal.nl</w:t>
        </w:r>
      </w:hyperlink>
      <w:r w:rsidRPr="00426625">
        <w:rPr>
          <w:rFonts w:ascii="Times New Roman" w:hAnsi="Times New Roman"/>
        </w:rPr>
        <w:t xml:space="preserve"> of </w:t>
      </w:r>
      <w:hyperlink w:history="1">
        <w:r w:rsidRPr="002E0847">
          <w:rPr>
            <w:rStyle w:val="Hyperlink"/>
            <w:rFonts w:ascii="Times New Roman" w:hAnsi="Times New Roman"/>
          </w:rPr>
          <w:t>www.portavita. nl</w:t>
        </w:r>
      </w:hyperlink>
      <w:r w:rsidRPr="00426625">
        <w:rPr>
          <w:rFonts w:ascii="Times New Roman" w:hAnsi="Times New Roman"/>
        </w:rPr>
        <w:t>); Vital Health Platform (</w:t>
      </w:r>
      <w:hyperlink r:id="rId119" w:history="1">
        <w:r w:rsidRPr="00426625">
          <w:rPr>
            <w:rStyle w:val="Hyperlink"/>
            <w:rFonts w:ascii="Times New Roman" w:hAnsi="Times New Roman"/>
          </w:rPr>
          <w:t>www.umcutrecht.nl/subsité/eczeemportaal</w:t>
        </w:r>
      </w:hyperlink>
      <w:r w:rsidRPr="00426625">
        <w:rPr>
          <w:rFonts w:ascii="Times New Roman" w:hAnsi="Times New Roman"/>
        </w:rPr>
        <w:t xml:space="preserve"> en </w:t>
      </w:r>
      <w:hyperlink r:id="rId120" w:history="1">
        <w:r w:rsidRPr="00426625">
          <w:rPr>
            <w:rStyle w:val="Hyperlink"/>
            <w:rFonts w:ascii="Times New Roman" w:hAnsi="Times New Roman"/>
          </w:rPr>
          <w:t>www.vitalhealthsoftware.nl</w:t>
        </w:r>
      </w:hyperlink>
      <w:r w:rsidRPr="00426625">
        <w:rPr>
          <w:rFonts w:ascii="Times New Roman" w:hAnsi="Times New Roman"/>
        </w:rPr>
        <w:t>); Zelfzorg</w:t>
      </w:r>
      <w:r>
        <w:rPr>
          <w:rFonts w:ascii="Times New Roman" w:hAnsi="Times New Roman"/>
        </w:rPr>
        <w:t>-</w:t>
      </w:r>
      <w:r w:rsidRPr="00426625">
        <w:rPr>
          <w:rFonts w:ascii="Times New Roman" w:hAnsi="Times New Roman"/>
        </w:rPr>
        <w:t>portaal (</w:t>
      </w:r>
      <w:hyperlink r:id="rId121" w:history="1">
        <w:r w:rsidRPr="00426625">
          <w:rPr>
            <w:rStyle w:val="Hyperlink"/>
            <w:rFonts w:ascii="Times New Roman" w:hAnsi="Times New Roman"/>
          </w:rPr>
          <w:t>www.isala.nl</w:t>
        </w:r>
      </w:hyperlink>
      <w:r w:rsidRPr="00426625">
        <w:rPr>
          <w:rFonts w:ascii="Times New Roman" w:hAnsi="Times New Roman"/>
        </w:rPr>
        <w:t xml:space="preserve">); </w:t>
      </w:r>
      <w:hyperlink r:id="rId122" w:history="1">
        <w:r w:rsidRPr="00426625">
          <w:rPr>
            <w:rStyle w:val="Hyperlink"/>
            <w:rFonts w:ascii="Times New Roman" w:hAnsi="Times New Roman"/>
          </w:rPr>
          <w:t>www.zorgportaalrijnmond.nl</w:t>
        </w:r>
      </w:hyperlink>
      <w:r w:rsidRPr="00426625">
        <w:rPr>
          <w:rFonts w:ascii="Times New Roman" w:hAnsi="Times New Roman"/>
        </w:rPr>
        <w:t>.</w:t>
      </w:r>
    </w:p>
  </w:footnote>
  <w:footnote w:id="6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HOOGHIEMSTRA, T.F.M.; NOUWT, J.; ‘eHealth en recht. Inleiding op een thema’, </w:t>
      </w:r>
      <w:r w:rsidRPr="00426625">
        <w:rPr>
          <w:rFonts w:ascii="Times New Roman" w:hAnsi="Times New Roman"/>
          <w:i/>
        </w:rPr>
        <w:t>Computerr.</w:t>
      </w:r>
      <w:r w:rsidRPr="00426625">
        <w:rPr>
          <w:rFonts w:ascii="Times New Roman" w:hAnsi="Times New Roman"/>
        </w:rPr>
        <w:t xml:space="preserve">, 2011, 6, p. 288; NIEUWENHUIJZEN KRUSEMAN, A.C.; NOUWT, J.; WIGERSMA, L.; ‘De KNMG over eHealth’, </w:t>
      </w:r>
      <w:r w:rsidRPr="00426625">
        <w:rPr>
          <w:rFonts w:ascii="Times New Roman" w:hAnsi="Times New Roman"/>
          <w:i/>
        </w:rPr>
        <w:t>Bij</w:t>
      </w:r>
      <w:r>
        <w:rPr>
          <w:rFonts w:ascii="Times New Roman" w:hAnsi="Times New Roman"/>
          <w:i/>
        </w:rPr>
        <w:t>-</w:t>
      </w:r>
      <w:r w:rsidRPr="00426625">
        <w:rPr>
          <w:rFonts w:ascii="Times New Roman" w:hAnsi="Times New Roman"/>
          <w:i/>
        </w:rPr>
        <w:t>blijven</w:t>
      </w:r>
      <w:r w:rsidRPr="00426625">
        <w:rPr>
          <w:rFonts w:ascii="Times New Roman" w:hAnsi="Times New Roman"/>
        </w:rPr>
        <w:t xml:space="preserve">, 27/8 (2011), p. 49-50. Zie ook: VAN DEN BRINK-MUINEN, A., </w:t>
      </w:r>
      <w:r w:rsidRPr="00426625">
        <w:rPr>
          <w:rFonts w:ascii="Times New Roman" w:hAnsi="Times New Roman"/>
          <w:i/>
        </w:rPr>
        <w:t>Behoeften en wensen van chronisch zieken ten aanzien van een patiëntenportal</w:t>
      </w:r>
      <w:r w:rsidRPr="00426625">
        <w:rPr>
          <w:rFonts w:ascii="Times New Roman" w:hAnsi="Times New Roman"/>
        </w:rPr>
        <w:t>, NIVEL, 2007.</w:t>
      </w:r>
    </w:p>
  </w:footnote>
  <w:footnote w:id="63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ARTMANN, J.; GIEST, S.; DUMORTIER, J.; </w:t>
      </w:r>
      <w:r w:rsidRPr="00426625">
        <w:rPr>
          <w:rFonts w:ascii="Times New Roman" w:hAnsi="Times New Roman"/>
          <w:i/>
        </w:rPr>
        <w:t>Country Brief: France</w:t>
      </w:r>
      <w:r w:rsidRPr="00426625">
        <w:rPr>
          <w:rFonts w:ascii="Times New Roman" w:hAnsi="Times New Roman"/>
        </w:rPr>
        <w:t>, Directoraat-generaal Informatiemaat</w:t>
      </w:r>
      <w:r>
        <w:rPr>
          <w:rFonts w:ascii="Times New Roman" w:hAnsi="Times New Roman"/>
        </w:rPr>
        <w:t>-</w:t>
      </w:r>
      <w:r w:rsidRPr="00426625">
        <w:rPr>
          <w:rFonts w:ascii="Times New Roman" w:hAnsi="Times New Roman"/>
        </w:rPr>
        <w:t>schappij en Media van de Europese Commissie, 2010, p. 17. Een voorbeeld betreft art. R. 161-58 CSS, inge</w:t>
      </w:r>
      <w:r>
        <w:rPr>
          <w:rFonts w:ascii="Times New Roman" w:hAnsi="Times New Roman"/>
        </w:rPr>
        <w:t>-</w:t>
      </w:r>
      <w:r w:rsidRPr="00426625">
        <w:rPr>
          <w:rFonts w:ascii="Times New Roman" w:hAnsi="Times New Roman"/>
        </w:rPr>
        <w:t>voerd door art. 1 van besluit nr. 98-271 van 9 april 1998 betreffende de kaart van de beroepsbeoefenaar in de ge</w:t>
      </w:r>
      <w:r>
        <w:rPr>
          <w:rFonts w:ascii="Times New Roman" w:hAnsi="Times New Roman"/>
        </w:rPr>
        <w:t>-</w:t>
      </w:r>
      <w:r w:rsidRPr="00426625">
        <w:rPr>
          <w:rFonts w:ascii="Times New Roman" w:hAnsi="Times New Roman"/>
        </w:rPr>
        <w:t xml:space="preserve">zondheidszorg en ter wijziging van de </w:t>
      </w:r>
      <w:r w:rsidRPr="00426625">
        <w:rPr>
          <w:rFonts w:ascii="Times New Roman" w:hAnsi="Times New Roman"/>
          <w:i/>
        </w:rPr>
        <w:t>code de la sécurité social</w:t>
      </w:r>
      <w:r w:rsidRPr="00426625">
        <w:rPr>
          <w:rFonts w:ascii="Times New Roman" w:hAnsi="Times New Roman"/>
        </w:rPr>
        <w:t xml:space="preserve"> en de </w:t>
      </w:r>
      <w:r w:rsidRPr="00426625">
        <w:rPr>
          <w:rFonts w:ascii="Times New Roman" w:hAnsi="Times New Roman"/>
          <w:i/>
        </w:rPr>
        <w:t>code de la santé publique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87, 12 april 1998).</w:t>
      </w:r>
    </w:p>
  </w:footnote>
  <w:footnote w:id="63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L. 1110-4 § 4 CSP, ingevoerd door art. 3 van wet nr. 2002-303 van 4 maart 2002; CERETTI, A.M.; AL</w:t>
      </w:r>
      <w:r>
        <w:rPr>
          <w:rFonts w:ascii="Times New Roman" w:hAnsi="Times New Roman"/>
          <w:lang w:val="fr-BE"/>
        </w:rPr>
        <w:t>-</w:t>
      </w:r>
      <w:r w:rsidRPr="00E333B6">
        <w:rPr>
          <w:rFonts w:ascii="Times New Roman" w:hAnsi="Times New Roman"/>
          <w:lang w:val="fr-BE"/>
        </w:rPr>
        <w:t xml:space="preserve">BERTINI, L.; </w:t>
      </w:r>
      <w:r w:rsidRPr="00E333B6">
        <w:rPr>
          <w:rFonts w:ascii="Times New Roman" w:hAnsi="Times New Roman"/>
          <w:i/>
          <w:lang w:val="fr-BE"/>
        </w:rPr>
        <w:t>Bilan et propositions de réformes de la loi du 4 mars 2002 relative aux droits des maladies et à la qualité du système de santé</w:t>
      </w:r>
      <w:r w:rsidRPr="00E333B6">
        <w:rPr>
          <w:rFonts w:ascii="Times New Roman" w:hAnsi="Times New Roman"/>
          <w:lang w:val="fr-BE"/>
        </w:rPr>
        <w:t xml:space="preserve">, Parijs, Ministère du travail, de l’emploi et de la santé, 2011, p. 51-52; VULLIET-TAVERNIER, S., ‘La CNIL et la E-santé’, </w:t>
      </w:r>
      <w:r w:rsidRPr="00E333B6">
        <w:rPr>
          <w:rFonts w:ascii="Times New Roman" w:hAnsi="Times New Roman"/>
          <w:i/>
          <w:lang w:val="fr-BE"/>
        </w:rPr>
        <w:t>Médecin et droit: information éthique et juridique du praticien</w:t>
      </w:r>
      <w:r w:rsidRPr="00E333B6">
        <w:rPr>
          <w:rFonts w:ascii="Times New Roman" w:hAnsi="Times New Roman"/>
          <w:lang w:val="fr-BE"/>
        </w:rPr>
        <w:t>, 52 (2002), p. 3-4.</w:t>
      </w:r>
    </w:p>
  </w:footnote>
  <w:footnote w:id="63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 van wet nr. 2004-810 van 13 augustus 2004.</w:t>
      </w:r>
    </w:p>
  </w:footnote>
  <w:footnote w:id="64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Art. L. 161-36-1 tot art. L. 161-36-4 CSS, ingevoerd door art. 3 tot art. 5 van wet nr. 2004-810 van 13 augus</w:t>
      </w:r>
      <w:r>
        <w:rPr>
          <w:rFonts w:ascii="Times New Roman" w:hAnsi="Times New Roman"/>
        </w:rPr>
        <w:t>-</w:t>
      </w:r>
      <w:r w:rsidRPr="00426625">
        <w:rPr>
          <w:rFonts w:ascii="Times New Roman" w:hAnsi="Times New Roman"/>
        </w:rPr>
        <w:t xml:space="preserve">tus 2004. </w:t>
      </w:r>
      <w:r w:rsidRPr="00E333B6">
        <w:rPr>
          <w:rFonts w:ascii="Times New Roman" w:hAnsi="Times New Roman"/>
          <w:lang w:val="fr-BE"/>
        </w:rPr>
        <w:t xml:space="preserve">‘Le dossier médical personnel... partagé’, </w:t>
      </w:r>
      <w:r w:rsidRPr="00E333B6">
        <w:rPr>
          <w:rFonts w:ascii="Times New Roman" w:hAnsi="Times New Roman"/>
          <w:i/>
          <w:lang w:val="fr-BE"/>
        </w:rPr>
        <w:t>Cahiers hospitaliers</w:t>
      </w:r>
      <w:r w:rsidRPr="00E333B6">
        <w:rPr>
          <w:rFonts w:ascii="Times New Roman" w:hAnsi="Times New Roman"/>
          <w:lang w:val="fr-BE"/>
        </w:rPr>
        <w:t xml:space="preserve">, 206 (2004), p. 16-17; BLED, A.S., ‘Dossier médical: le DMP relance l'informatique médicale’, </w:t>
      </w:r>
      <w:r w:rsidRPr="00E333B6">
        <w:rPr>
          <w:rFonts w:ascii="Times New Roman" w:hAnsi="Times New Roman"/>
          <w:i/>
          <w:lang w:val="fr-BE"/>
        </w:rPr>
        <w:t>Imact médicine</w:t>
      </w:r>
      <w:r w:rsidRPr="00E333B6">
        <w:rPr>
          <w:rFonts w:ascii="Times New Roman" w:hAnsi="Times New Roman"/>
          <w:lang w:val="fr-BE"/>
        </w:rPr>
        <w:t>, 90 (2004), p. 56-57; FONTENEL</w:t>
      </w:r>
      <w:r>
        <w:rPr>
          <w:rFonts w:ascii="Times New Roman" w:hAnsi="Times New Roman"/>
          <w:lang w:val="fr-BE"/>
        </w:rPr>
        <w:t>-</w:t>
      </w:r>
      <w:r w:rsidRPr="00E333B6">
        <w:rPr>
          <w:rFonts w:ascii="Times New Roman" w:hAnsi="Times New Roman"/>
          <w:lang w:val="fr-BE"/>
        </w:rPr>
        <w:t>LE,</w:t>
      </w:r>
      <w:r>
        <w:rPr>
          <w:rFonts w:ascii="Times New Roman" w:hAnsi="Times New Roman"/>
          <w:lang w:val="fr-BE"/>
        </w:rPr>
        <w:t xml:space="preserve"> N., ‘Dossier médical personnel</w:t>
      </w:r>
      <w:r w:rsidRPr="00E333B6">
        <w:rPr>
          <w:rFonts w:ascii="Times New Roman" w:hAnsi="Times New Roman"/>
          <w:lang w:val="fr-BE"/>
        </w:rPr>
        <w:t xml:space="preserve">: Tout savoir, mieux soigner’, </w:t>
      </w:r>
      <w:r w:rsidRPr="00E333B6">
        <w:rPr>
          <w:rFonts w:ascii="Times New Roman" w:hAnsi="Times New Roman"/>
          <w:i/>
          <w:lang w:val="fr-BE"/>
        </w:rPr>
        <w:t>Le moniteur des pharmacies et des labora</w:t>
      </w:r>
      <w:r>
        <w:rPr>
          <w:rFonts w:ascii="Times New Roman" w:hAnsi="Times New Roman"/>
          <w:i/>
          <w:lang w:val="fr-BE"/>
        </w:rPr>
        <w:t>-</w:t>
      </w:r>
      <w:r w:rsidRPr="00E333B6">
        <w:rPr>
          <w:rFonts w:ascii="Times New Roman" w:hAnsi="Times New Roman"/>
          <w:i/>
          <w:lang w:val="fr-BE"/>
        </w:rPr>
        <w:t>toires</w:t>
      </w:r>
      <w:r w:rsidRPr="00E333B6">
        <w:rPr>
          <w:rFonts w:ascii="Times New Roman" w:hAnsi="Times New Roman"/>
          <w:lang w:val="fr-BE"/>
        </w:rPr>
        <w:t xml:space="preserve">, 2551 (2004), p. 22-28; MOATTI, A., ‘Le dossier médical personnel’, </w:t>
      </w:r>
      <w:r w:rsidRPr="00E333B6">
        <w:rPr>
          <w:rFonts w:ascii="Times New Roman" w:hAnsi="Times New Roman"/>
          <w:i/>
          <w:lang w:val="fr-BE"/>
        </w:rPr>
        <w:t>Regards sur l’actualité</w:t>
      </w:r>
      <w:r w:rsidRPr="00E333B6">
        <w:rPr>
          <w:rFonts w:ascii="Times New Roman" w:hAnsi="Times New Roman"/>
          <w:lang w:val="fr-BE"/>
        </w:rPr>
        <w:t>, 304 (2004), p. 45-51.</w:t>
      </w:r>
    </w:p>
  </w:footnote>
  <w:footnote w:id="64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ASIP Santé, </w:t>
      </w:r>
      <w:r w:rsidRPr="00E333B6">
        <w:rPr>
          <w:rFonts w:ascii="Times New Roman" w:hAnsi="Times New Roman"/>
          <w:i/>
          <w:lang w:val="fr-BE"/>
        </w:rPr>
        <w:t>Dossier de presse. Le DMP, au service de la coördination des soins</w:t>
      </w:r>
      <w:r w:rsidRPr="00E333B6">
        <w:rPr>
          <w:rFonts w:ascii="Times New Roman" w:hAnsi="Times New Roman"/>
          <w:lang w:val="fr-BE"/>
        </w:rPr>
        <w:t>, 2011; DURRIEU-DIE</w:t>
      </w:r>
      <w:r>
        <w:rPr>
          <w:rFonts w:ascii="Times New Roman" w:hAnsi="Times New Roman"/>
          <w:lang w:val="fr-BE"/>
        </w:rPr>
        <w:t>-</w:t>
      </w:r>
      <w:r w:rsidRPr="00E333B6">
        <w:rPr>
          <w:rFonts w:ascii="Times New Roman" w:hAnsi="Times New Roman"/>
          <w:lang w:val="fr-BE"/>
        </w:rPr>
        <w:t xml:space="preserve">BOLT, C., ‘Le dossier médical personnel: un nouvel outil de coordination’, </w:t>
      </w:r>
      <w:r w:rsidRPr="00E333B6">
        <w:rPr>
          <w:rFonts w:ascii="Times New Roman" w:hAnsi="Times New Roman"/>
          <w:i/>
          <w:lang w:val="fr-BE"/>
        </w:rPr>
        <w:t>B.J.S.P.</w:t>
      </w:r>
      <w:r w:rsidRPr="00E333B6">
        <w:rPr>
          <w:rFonts w:ascii="Times New Roman" w:hAnsi="Times New Roman"/>
          <w:lang w:val="fr-BE"/>
        </w:rPr>
        <w:t>, 79 (2005), p. 7-11; HE</w:t>
      </w:r>
      <w:r>
        <w:rPr>
          <w:rFonts w:ascii="Times New Roman" w:hAnsi="Times New Roman"/>
          <w:lang w:val="fr-BE"/>
        </w:rPr>
        <w:t>-</w:t>
      </w:r>
      <w:r w:rsidRPr="00E333B6">
        <w:rPr>
          <w:rFonts w:ascii="Times New Roman" w:hAnsi="Times New Roman"/>
          <w:lang w:val="fr-BE"/>
        </w:rPr>
        <w:t xml:space="preserve">RAIL, T., ‘Passage et continuité des soins grâce au dossier patient informatisé’, </w:t>
      </w:r>
      <w:r w:rsidRPr="00E333B6">
        <w:rPr>
          <w:rFonts w:ascii="Times New Roman" w:hAnsi="Times New Roman"/>
          <w:i/>
          <w:lang w:val="fr-BE"/>
        </w:rPr>
        <w:t>Soins psychiatrie</w:t>
      </w:r>
      <w:r w:rsidRPr="00E333B6">
        <w:rPr>
          <w:rFonts w:ascii="Times New Roman" w:hAnsi="Times New Roman"/>
          <w:lang w:val="fr-BE"/>
        </w:rPr>
        <w:t xml:space="preserve">, 241 (2005), p. 34-36. </w:t>
      </w:r>
    </w:p>
  </w:footnote>
  <w:footnote w:id="642">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SILBER, D., ‘L’e-Santé est-elle source d’économies?’, </w:t>
      </w:r>
      <w:r w:rsidRPr="00E333B6">
        <w:rPr>
          <w:rFonts w:ascii="Times New Roman" w:hAnsi="Times New Roman"/>
          <w:i/>
          <w:lang w:val="fr-BE"/>
        </w:rPr>
        <w:t>T.S.</w:t>
      </w:r>
      <w:r w:rsidRPr="00E333B6">
        <w:rPr>
          <w:rFonts w:ascii="Times New Roman" w:hAnsi="Times New Roman"/>
          <w:lang w:val="fr-BE"/>
        </w:rPr>
        <w:t>, 9/4 (2005), p. 75-82; SIWEK, P</w:t>
      </w:r>
      <w:r>
        <w:rPr>
          <w:rFonts w:ascii="Times New Roman" w:hAnsi="Times New Roman"/>
          <w:lang w:val="fr-BE"/>
        </w:rPr>
        <w:t>., ‘Maîtrise les coûts de santé</w:t>
      </w:r>
      <w:r w:rsidRPr="00E333B6">
        <w:rPr>
          <w:rFonts w:ascii="Times New Roman" w:hAnsi="Times New Roman"/>
          <w:lang w:val="fr-BE"/>
        </w:rPr>
        <w:t xml:space="preserve">: le DMP. Le projet de dossier médical personnel (DMP) en France’, </w:t>
      </w:r>
      <w:r w:rsidRPr="00E333B6">
        <w:rPr>
          <w:rFonts w:ascii="Times New Roman" w:hAnsi="Times New Roman"/>
          <w:i/>
          <w:lang w:val="fr-BE"/>
        </w:rPr>
        <w:t>Futuribles</w:t>
      </w:r>
      <w:r w:rsidRPr="00E333B6">
        <w:rPr>
          <w:rFonts w:ascii="Times New Roman" w:hAnsi="Times New Roman"/>
          <w:lang w:val="fr-BE"/>
        </w:rPr>
        <w:t>, 330 (2007), p. 63-70.</w:t>
      </w:r>
    </w:p>
  </w:footnote>
  <w:footnote w:id="64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FARDO, C., ‘Coopération entre professionnels de santé: quels geains pour la qualité des soins?’, </w:t>
      </w:r>
      <w:r w:rsidRPr="00E333B6">
        <w:rPr>
          <w:rFonts w:ascii="Times New Roman" w:hAnsi="Times New Roman"/>
          <w:i/>
          <w:lang w:val="fr-BE"/>
        </w:rPr>
        <w:t>A.J.S.</w:t>
      </w:r>
      <w:r w:rsidRPr="00E333B6">
        <w:rPr>
          <w:rFonts w:ascii="Times New Roman" w:hAnsi="Times New Roman"/>
          <w:lang w:val="fr-BE"/>
        </w:rPr>
        <w:t xml:space="preserve">, 71 (2010), p. 23-26; THONNET, M., ‘L’e-santé, une mise en oeuvre prometteuse et délicate’, </w:t>
      </w:r>
      <w:r w:rsidRPr="00E333B6">
        <w:rPr>
          <w:rFonts w:ascii="Times New Roman" w:hAnsi="Times New Roman"/>
          <w:i/>
          <w:lang w:val="fr-BE"/>
        </w:rPr>
        <w:t>T.S.</w:t>
      </w:r>
      <w:r w:rsidRPr="00E333B6">
        <w:rPr>
          <w:rFonts w:ascii="Times New Roman" w:hAnsi="Times New Roman"/>
          <w:lang w:val="fr-BE"/>
        </w:rPr>
        <w:t>, 9/4 (2005), p. 61-75.</w:t>
      </w:r>
    </w:p>
  </w:footnote>
  <w:footnote w:id="64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Verordening van 11 april 2005 houdende de goedkeuring van de overeenkomst tot samentelling van een orga</w:t>
      </w:r>
      <w:r>
        <w:rPr>
          <w:rFonts w:ascii="Times New Roman" w:hAnsi="Times New Roman"/>
        </w:rPr>
        <w:t>-</w:t>
      </w:r>
      <w:r w:rsidRPr="00426625">
        <w:rPr>
          <w:rFonts w:ascii="Times New Roman" w:hAnsi="Times New Roman"/>
        </w:rPr>
        <w:t>nisatie van openbaar belang (</w:t>
      </w:r>
      <w:r w:rsidRPr="00426625">
        <w:rPr>
          <w:rFonts w:ascii="Times New Roman" w:hAnsi="Times New Roman"/>
          <w:i/>
        </w:rPr>
        <w:t xml:space="preserve">JORF </w:t>
      </w:r>
      <w:r w:rsidRPr="00426625">
        <w:rPr>
          <w:rFonts w:ascii="Times New Roman" w:hAnsi="Times New Roman"/>
        </w:rPr>
        <w:t>85, 12 april 2005); verordening van 15 december 2008 houdende de benoe</w:t>
      </w:r>
      <w:r>
        <w:rPr>
          <w:rFonts w:ascii="Times New Roman" w:hAnsi="Times New Roman"/>
        </w:rPr>
        <w:t>-</w:t>
      </w:r>
      <w:r w:rsidRPr="00426625">
        <w:rPr>
          <w:rFonts w:ascii="Times New Roman" w:hAnsi="Times New Roman"/>
        </w:rPr>
        <w:t>ming van de administratieve raad en de oriënteringscommissie van de organisatie van openbaar belang, «</w:t>
      </w:r>
      <w:r w:rsidRPr="00426625">
        <w:rPr>
          <w:rFonts w:ascii="Times New Roman" w:hAnsi="Times New Roman"/>
          <w:i/>
        </w:rPr>
        <w:t>Grou</w:t>
      </w:r>
      <w:r>
        <w:rPr>
          <w:rFonts w:ascii="Times New Roman" w:hAnsi="Times New Roman"/>
          <w:i/>
        </w:rPr>
        <w:t>-</w:t>
      </w:r>
      <w:r w:rsidRPr="00426625">
        <w:rPr>
          <w:rFonts w:ascii="Times New Roman" w:hAnsi="Times New Roman"/>
          <w:i/>
        </w:rPr>
        <w:t>pement de préfiguration du dossier médical personnel</w:t>
      </w:r>
      <w:r w:rsidRPr="00426625">
        <w:rPr>
          <w:rFonts w:ascii="Times New Roman" w:hAnsi="Times New Roman"/>
        </w:rPr>
        <w:t>» genaamd (</w:t>
      </w:r>
      <w:r w:rsidRPr="00426625">
        <w:rPr>
          <w:rFonts w:ascii="Times New Roman" w:hAnsi="Times New Roman"/>
          <w:i/>
        </w:rPr>
        <w:t>JORF</w:t>
      </w:r>
      <w:r w:rsidRPr="00426625">
        <w:rPr>
          <w:rFonts w:ascii="Times New Roman" w:hAnsi="Times New Roman"/>
        </w:rPr>
        <w:t xml:space="preserve"> 19, 23 januari 2009).</w:t>
      </w:r>
    </w:p>
  </w:footnote>
  <w:footnote w:id="64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R. 1111-8 tot art. R. 1111-16 CSP, ingevoerd door art. 1 van besluit nr. 2006-6 van 4 januari 2006; BAL</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LET, P., ‘Où en est la procédure d’agrément des hébergeurs de données de santé à caractère personnel?’, </w:t>
      </w:r>
      <w:r w:rsidRPr="00E333B6">
        <w:rPr>
          <w:rFonts w:ascii="Times New Roman" w:hAnsi="Times New Roman" w:cs="Times New Roman"/>
          <w:i/>
          <w:iCs/>
          <w:sz w:val="20"/>
          <w:szCs w:val="20"/>
          <w:lang w:val="fr-BE"/>
        </w:rPr>
        <w:t>G.P.</w:t>
      </w:r>
      <w:r w:rsidRPr="00E333B6">
        <w:rPr>
          <w:rFonts w:ascii="Times New Roman" w:hAnsi="Times New Roman" w:cs="Times New Roman"/>
          <w:sz w:val="20"/>
          <w:szCs w:val="20"/>
          <w:lang w:val="fr-BE"/>
        </w:rPr>
        <w:t xml:space="preserve">, 109 (2007), p. 20; BICLET, P. (red.), </w:t>
      </w:r>
      <w:r w:rsidRPr="00E333B6">
        <w:rPr>
          <w:rFonts w:ascii="Times New Roman" w:hAnsi="Times New Roman" w:cs="Times New Roman"/>
          <w:i/>
          <w:sz w:val="20"/>
          <w:szCs w:val="20"/>
          <w:lang w:val="fr-BE"/>
        </w:rPr>
        <w:t>Premier rapport d’activité du comité d’Agrément des hébergeurs: 2006-2011</w:t>
      </w:r>
      <w:r w:rsidRPr="00E333B6">
        <w:rPr>
          <w:rFonts w:ascii="Times New Roman" w:hAnsi="Times New Roman" w:cs="Times New Roman"/>
          <w:sz w:val="20"/>
          <w:szCs w:val="20"/>
          <w:lang w:val="fr-BE"/>
        </w:rPr>
        <w:t>, Comité d’agrément des hébergeurs de données de santé, 2011, 58p.; BRAC DE LA PERRIÈRE, M.; FER</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RÉ, E.; ‘L’hébergement de données de santé: des textes à la pratique...’, </w:t>
      </w:r>
      <w:r w:rsidRPr="00E333B6">
        <w:rPr>
          <w:rFonts w:ascii="Times New Roman" w:hAnsi="Times New Roman" w:cs="Times New Roman"/>
          <w:i/>
          <w:iCs/>
          <w:sz w:val="20"/>
          <w:szCs w:val="20"/>
          <w:lang w:val="fr-BE"/>
        </w:rPr>
        <w:t>G.P.</w:t>
      </w:r>
      <w:r w:rsidRPr="00E333B6">
        <w:rPr>
          <w:rFonts w:ascii="Times New Roman" w:hAnsi="Times New Roman" w:cs="Times New Roman"/>
          <w:sz w:val="20"/>
          <w:szCs w:val="20"/>
          <w:lang w:val="fr-BE"/>
        </w:rPr>
        <w:t xml:space="preserve">, 204 (2011), p. 21; COUDREAU, D., ‘Hébergeur de données médicales, un nouvel acteur de la régulation des soins?’, </w:t>
      </w:r>
      <w:r w:rsidRPr="00E333B6">
        <w:rPr>
          <w:rFonts w:ascii="Times New Roman" w:hAnsi="Times New Roman" w:cs="Times New Roman"/>
          <w:i/>
          <w:sz w:val="20"/>
          <w:szCs w:val="20"/>
          <w:lang w:val="fr-BE"/>
        </w:rPr>
        <w:t>T.S.</w:t>
      </w:r>
      <w:r w:rsidRPr="00E333B6">
        <w:rPr>
          <w:rFonts w:ascii="Times New Roman" w:hAnsi="Times New Roman" w:cs="Times New Roman"/>
          <w:sz w:val="20"/>
          <w:szCs w:val="20"/>
          <w:lang w:val="fr-BE"/>
        </w:rPr>
        <w:t xml:space="preserve">, 10/1 (2006), p. 51-57; FORGERON, J.F.; SEGUINOT, V.; ‘Le dossier médical personnel: l’activité d’hébergeur de données de santé’, </w:t>
      </w:r>
      <w:r w:rsidRPr="00E333B6">
        <w:rPr>
          <w:rFonts w:ascii="Times New Roman" w:hAnsi="Times New Roman" w:cs="Times New Roman"/>
          <w:i/>
          <w:sz w:val="20"/>
          <w:szCs w:val="20"/>
          <w:lang w:val="fr-BE"/>
        </w:rPr>
        <w:t>G.P.</w:t>
      </w:r>
      <w:r w:rsidRPr="00E333B6">
        <w:rPr>
          <w:rFonts w:ascii="Times New Roman" w:hAnsi="Times New Roman" w:cs="Times New Roman"/>
          <w:sz w:val="20"/>
          <w:szCs w:val="20"/>
          <w:lang w:val="fr-BE"/>
        </w:rPr>
        <w:t xml:space="preserve">, 26 (2006), p. 10; VACARIE, I., ‘L’hébergement des données de santé: entre contrat et statut’, </w:t>
      </w:r>
      <w:r w:rsidRPr="00E333B6">
        <w:rPr>
          <w:rFonts w:ascii="Times New Roman" w:hAnsi="Times New Roman" w:cs="Times New Roman"/>
          <w:i/>
          <w:sz w:val="20"/>
          <w:szCs w:val="20"/>
          <w:lang w:val="fr-BE"/>
        </w:rPr>
        <w:t>R.D.S.S.</w:t>
      </w:r>
      <w:r w:rsidRPr="00E333B6">
        <w:rPr>
          <w:rFonts w:ascii="Times New Roman" w:hAnsi="Times New Roman" w:cs="Times New Roman"/>
          <w:sz w:val="20"/>
          <w:szCs w:val="20"/>
          <w:lang w:val="fr-BE"/>
        </w:rPr>
        <w:t xml:space="preserve">, 2002, 4, p. 695-704. </w:t>
      </w:r>
      <w:r w:rsidRPr="00426625">
        <w:rPr>
          <w:rFonts w:ascii="Times New Roman" w:hAnsi="Times New Roman" w:cs="Times New Roman"/>
          <w:sz w:val="20"/>
          <w:szCs w:val="20"/>
        </w:rPr>
        <w:t xml:space="preserve">Zie ook deel 3, hoofdstuk 2. </w:t>
      </w:r>
    </w:p>
  </w:footnote>
  <w:footnote w:id="64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hun respectieve websites, zie: </w:t>
      </w:r>
      <w:hyperlink r:id="rId123" w:history="1">
        <w:r w:rsidRPr="00426625">
          <w:rPr>
            <w:rStyle w:val="Hyperlink"/>
            <w:rFonts w:ascii="Times New Roman" w:hAnsi="Times New Roman"/>
          </w:rPr>
          <w:t>http://www.dmp-aquitaine.fr/</w:t>
        </w:r>
      </w:hyperlink>
      <w:r w:rsidRPr="00426625">
        <w:rPr>
          <w:rFonts w:ascii="Times New Roman" w:hAnsi="Times New Roman"/>
        </w:rPr>
        <w:t xml:space="preserve">; </w:t>
      </w:r>
      <w:hyperlink r:id="rId124" w:history="1">
        <w:r w:rsidRPr="00426625">
          <w:rPr>
            <w:rStyle w:val="Hyperlink"/>
            <w:rFonts w:ascii="Times New Roman" w:hAnsi="Times New Roman"/>
          </w:rPr>
          <w:t>http://www.sante-alsace.org/cms</w:t>
        </w:r>
      </w:hyperlink>
      <w:r w:rsidRPr="00426625">
        <w:rPr>
          <w:rFonts w:ascii="Times New Roman" w:hAnsi="Times New Roman"/>
        </w:rPr>
        <w:t xml:space="preserve">; </w:t>
      </w:r>
      <w:hyperlink w:history="1">
        <w:r w:rsidRPr="00EA26DD">
          <w:rPr>
            <w:rStyle w:val="Hyperlink"/>
            <w:rFonts w:ascii="Times New Roman" w:hAnsi="Times New Roman"/>
          </w:rPr>
          <w:t>http:// www.dmp-fc.fr/</w:t>
        </w:r>
      </w:hyperlink>
      <w:r w:rsidRPr="00426625">
        <w:rPr>
          <w:rFonts w:ascii="Times New Roman" w:hAnsi="Times New Roman"/>
        </w:rPr>
        <w:t xml:space="preserve">; </w:t>
      </w:r>
      <w:hyperlink r:id="rId125" w:history="1">
        <w:r w:rsidRPr="00426625">
          <w:rPr>
            <w:rStyle w:val="Hyperlink"/>
            <w:rFonts w:ascii="Times New Roman" w:hAnsi="Times New Roman"/>
          </w:rPr>
          <w:t>http://www.esante-picardie.com/</w:t>
        </w:r>
      </w:hyperlink>
      <w:r w:rsidRPr="00426625">
        <w:rPr>
          <w:rFonts w:ascii="Times New Roman" w:hAnsi="Times New Roman"/>
        </w:rPr>
        <w:t>, laatst geraadpleegd op 23 juli 2012.</w:t>
      </w:r>
    </w:p>
  </w:footnote>
  <w:footnote w:id="64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‘Les grandes étapes du déploiement du DMP’ (</w:t>
      </w:r>
      <w:hyperlink r:id="rId126" w:history="1">
        <w:r w:rsidRPr="00EA26DD">
          <w:rPr>
            <w:rStyle w:val="Hyperlink"/>
            <w:rFonts w:ascii="Times New Roman" w:hAnsi="Times New Roman"/>
            <w:lang w:val="fr-BE"/>
          </w:rPr>
          <w:t>http://www.dmp.gouv.fr/web/dmp/actualite-dmp/le-deploiement-du-dmp/les-grandes-etapes</w:t>
        </w:r>
      </w:hyperlink>
      <w:r w:rsidRPr="00E333B6">
        <w:rPr>
          <w:rFonts w:ascii="Times New Roman" w:hAnsi="Times New Roman"/>
          <w:lang w:val="fr-BE"/>
        </w:rPr>
        <w:t>, laatst geraadpleegd op 23 juli 2012).</w:t>
      </w:r>
    </w:p>
  </w:footnote>
  <w:footnote w:id="648">
    <w:p w:rsidR="00E82D16" w:rsidRPr="003A699C"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BACHELOT-NARQUIN, R.; WOERTH, E.; </w:t>
      </w:r>
      <w:r w:rsidRPr="00E333B6">
        <w:rPr>
          <w:rFonts w:ascii="Times New Roman" w:hAnsi="Times New Roman"/>
          <w:i/>
          <w:lang w:val="fr-BE"/>
        </w:rPr>
        <w:t>Remise au Gouvernement du rapport sur le dossier médical personnel</w:t>
      </w:r>
      <w:r w:rsidRPr="00E333B6">
        <w:rPr>
          <w:rFonts w:ascii="Times New Roman" w:hAnsi="Times New Roman"/>
          <w:lang w:val="fr-BE"/>
        </w:rPr>
        <w:t>, Communiq</w:t>
      </w:r>
      <w:r>
        <w:rPr>
          <w:rFonts w:ascii="Times New Roman" w:hAnsi="Times New Roman"/>
          <w:lang w:val="fr-BE"/>
        </w:rPr>
        <w:t xml:space="preserve">ué de Presse, 158, Parijs, 2007 </w:t>
      </w:r>
      <w:r w:rsidRPr="003A699C">
        <w:rPr>
          <w:rFonts w:ascii="Times New Roman" w:hAnsi="Times New Roman"/>
          <w:lang w:val="fr-BE"/>
        </w:rPr>
        <w:t>(</w:t>
      </w:r>
      <w:hyperlink r:id="rId127" w:history="1">
        <w:r w:rsidRPr="00EA26DD">
          <w:rPr>
            <w:rStyle w:val="Hyperlink"/>
            <w:rFonts w:ascii="Times New Roman" w:hAnsi="Times New Roman"/>
            <w:lang w:val="fr-BE"/>
          </w:rPr>
          <w:t>http://pubminefi.diffusion.finances.gouv.fr/pub/document/ 18/2573.doc</w:t>
        </w:r>
      </w:hyperlink>
      <w:r w:rsidRPr="003A699C">
        <w:rPr>
          <w:rFonts w:ascii="Times New Roman" w:hAnsi="Times New Roman"/>
          <w:lang w:val="fr-BE"/>
        </w:rPr>
        <w:t xml:space="preserve">, laatst geraadpleegd op 23 juli 2012). </w:t>
      </w:r>
    </w:p>
  </w:footnote>
  <w:footnote w:id="64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TEXIER, B., ‘Dossier médical personnel: un traitement par étapes’, </w:t>
      </w:r>
      <w:r w:rsidRPr="00E333B6">
        <w:rPr>
          <w:rFonts w:ascii="Times New Roman" w:hAnsi="Times New Roman"/>
          <w:i/>
          <w:lang w:val="fr-BE"/>
        </w:rPr>
        <w:t>Archimag</w:t>
      </w:r>
      <w:r w:rsidRPr="00E333B6">
        <w:rPr>
          <w:rFonts w:ascii="Times New Roman" w:hAnsi="Times New Roman"/>
          <w:lang w:val="fr-BE"/>
        </w:rPr>
        <w:t xml:space="preserve">, 203 (2007), p. 19-26. Voor een uitgebreide bespreking van het stappenplan, zie: LASBORDES, P., </w:t>
      </w:r>
      <w:r w:rsidRPr="00E333B6">
        <w:rPr>
          <w:rFonts w:ascii="Times New Roman" w:hAnsi="Times New Roman"/>
          <w:i/>
          <w:lang w:val="fr-BE"/>
        </w:rPr>
        <w:t>Le dossier médical personnel (DMP): quel bilan d’étape pour quelles perspectives?</w:t>
      </w:r>
      <w:r w:rsidRPr="00E333B6">
        <w:rPr>
          <w:rFonts w:ascii="Times New Roman" w:hAnsi="Times New Roman"/>
          <w:lang w:val="fr-BE"/>
        </w:rPr>
        <w:t>, Rapport de l’Assemblée nationale, 1847, Parijs, Assemblée Natio</w:t>
      </w:r>
      <w:r>
        <w:rPr>
          <w:rFonts w:ascii="Times New Roman" w:hAnsi="Times New Roman"/>
          <w:lang w:val="fr-BE"/>
        </w:rPr>
        <w:t>-</w:t>
      </w:r>
      <w:r w:rsidRPr="00E333B6">
        <w:rPr>
          <w:rFonts w:ascii="Times New Roman" w:hAnsi="Times New Roman"/>
          <w:lang w:val="fr-BE"/>
        </w:rPr>
        <w:t xml:space="preserve">nale, 2009, 110p. </w:t>
      </w:r>
    </w:p>
  </w:footnote>
  <w:footnote w:id="65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‘Quelques problématiques juridiques au sujet du dossier médical personnel’, </w:t>
      </w:r>
      <w:r w:rsidRPr="00E333B6">
        <w:rPr>
          <w:rFonts w:ascii="Times New Roman" w:hAnsi="Times New Roman"/>
          <w:i/>
          <w:lang w:val="fr-BE"/>
        </w:rPr>
        <w:t>Le bulletin juridique du prati</w:t>
      </w:r>
      <w:r>
        <w:rPr>
          <w:rFonts w:ascii="Times New Roman" w:hAnsi="Times New Roman"/>
          <w:i/>
          <w:lang w:val="fr-BE"/>
        </w:rPr>
        <w:t>-</w:t>
      </w:r>
      <w:r w:rsidRPr="00E333B6">
        <w:rPr>
          <w:rFonts w:ascii="Times New Roman" w:hAnsi="Times New Roman"/>
          <w:i/>
          <w:lang w:val="fr-BE"/>
        </w:rPr>
        <w:t>cien hospitalier</w:t>
      </w:r>
      <w:r w:rsidRPr="00E333B6">
        <w:rPr>
          <w:rFonts w:ascii="Times New Roman" w:hAnsi="Times New Roman"/>
          <w:lang w:val="fr-BE"/>
        </w:rPr>
        <w:t>, 87 (2006), p. 20-22.</w:t>
      </w:r>
    </w:p>
  </w:footnote>
  <w:footnote w:id="6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128" w:history="1">
        <w:r w:rsidRPr="00426625">
          <w:rPr>
            <w:rStyle w:val="Hyperlink"/>
            <w:rFonts w:ascii="Times New Roman" w:hAnsi="Times New Roman"/>
          </w:rPr>
          <w:t>http://www.nictiz.nl/page/Samenwerking/Internationaal/Frankrijk</w:t>
        </w:r>
      </w:hyperlink>
      <w:r w:rsidRPr="00426625">
        <w:rPr>
          <w:rFonts w:ascii="Times New Roman" w:hAnsi="Times New Roman"/>
        </w:rPr>
        <w:t xml:space="preserve">, laatst geraadpleegd op 23 juli 2012. </w:t>
      </w:r>
    </w:p>
  </w:footnote>
  <w:footnote w:id="65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‘Le projet DMP’ (</w:t>
      </w:r>
      <w:hyperlink r:id="rId129" w:history="1">
        <w:r w:rsidRPr="00426625">
          <w:rPr>
            <w:rStyle w:val="Hyperlink"/>
            <w:rFonts w:ascii="Times New Roman" w:hAnsi="Times New Roman"/>
          </w:rPr>
          <w:t>http://www.dmp.gouv.fr/web/dmp/actualite-dmp/le-projet-dmp</w:t>
        </w:r>
      </w:hyperlink>
      <w:r w:rsidRPr="00426625">
        <w:rPr>
          <w:rFonts w:ascii="Times New Roman" w:hAnsi="Times New Roman"/>
        </w:rPr>
        <w:t>, laatst geraadpleegd op 23 juli 2012); ‘DMP: un projet structurant pour la e-santé en France’, 2010 (</w:t>
      </w:r>
      <w:hyperlink r:id="rId130" w:history="1">
        <w:r w:rsidRPr="00426625">
          <w:rPr>
            <w:rStyle w:val="Hyperlink"/>
            <w:rFonts w:ascii="Times New Roman" w:hAnsi="Times New Roman"/>
          </w:rPr>
          <w:t>http://esante.gouv.fr/actus/dmp/dmp-un-projet-structurant-pour-la-e-sante-en-france</w:t>
        </w:r>
      </w:hyperlink>
      <w:r w:rsidRPr="00426625">
        <w:rPr>
          <w:rFonts w:ascii="Times New Roman" w:hAnsi="Times New Roman"/>
        </w:rPr>
        <w:t xml:space="preserve">, laatst geraadpleegd op 23 juli 2012). </w:t>
      </w:r>
    </w:p>
  </w:footnote>
  <w:footnote w:id="65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1111-8-1 CSP, ingevoerd door art. 25 van wet nr. 2007-127 van 30 januari 2007 tot bekrachtiging van beschikking nr. 2005-1040 van 26 augustus 2005 met betrekking tot de organisatie van bepaalde beroepen in de gezondheidszorg en ter bestraffing van het onrechtmatig voeren van titels en het illegaal uitoefenen van deze be</w:t>
      </w:r>
      <w:r>
        <w:rPr>
          <w:rFonts w:ascii="Times New Roman" w:hAnsi="Times New Roman"/>
        </w:rPr>
        <w:t>-</w:t>
      </w:r>
      <w:r w:rsidRPr="00426625">
        <w:rPr>
          <w:rFonts w:ascii="Times New Roman" w:hAnsi="Times New Roman"/>
        </w:rPr>
        <w:t xml:space="preserve">roepen en ter wijziging van de </w:t>
      </w:r>
      <w:r w:rsidRPr="00426625">
        <w:rPr>
          <w:rFonts w:ascii="Times New Roman" w:hAnsi="Times New Roman"/>
          <w:i/>
        </w:rPr>
        <w:t xml:space="preserve">code de la santé publique </w:t>
      </w:r>
      <w:r w:rsidRPr="00426625">
        <w:rPr>
          <w:rFonts w:ascii="Times New Roman" w:hAnsi="Times New Roman"/>
        </w:rPr>
        <w:t>I (</w:t>
      </w:r>
      <w:r w:rsidRPr="00426625">
        <w:rPr>
          <w:rFonts w:ascii="Times New Roman" w:hAnsi="Times New Roman"/>
          <w:i/>
        </w:rPr>
        <w:t>JORF</w:t>
      </w:r>
      <w:r w:rsidRPr="00426625">
        <w:rPr>
          <w:rFonts w:ascii="Times New Roman" w:hAnsi="Times New Roman"/>
        </w:rPr>
        <w:t xml:space="preserve"> 27, 1 februari 2007).</w:t>
      </w:r>
    </w:p>
  </w:footnote>
  <w:footnote w:id="654">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QUANTIN, C., ‘L'identifiant et le chaînage de l'information’, </w:t>
      </w:r>
      <w:r w:rsidRPr="00E333B6">
        <w:rPr>
          <w:rFonts w:ascii="Times New Roman" w:hAnsi="Times New Roman"/>
          <w:i/>
          <w:lang w:val="fr-BE"/>
        </w:rPr>
        <w:t>A.D.S.P.</w:t>
      </w:r>
      <w:r w:rsidRPr="00E333B6">
        <w:rPr>
          <w:rFonts w:ascii="Times New Roman" w:hAnsi="Times New Roman"/>
          <w:lang w:val="fr-BE"/>
        </w:rPr>
        <w:t>, 58 (2007), p. 50-52; TROMBERT PAVIOT, B.; COURIS, C.M.; COURAY TARGE, S.; RODRIGUES, J.M.; COLIN, C.; SCHOTT, A.M.; ‘Qua</w:t>
      </w:r>
      <w:r>
        <w:rPr>
          <w:rFonts w:ascii="Times New Roman" w:hAnsi="Times New Roman"/>
          <w:lang w:val="fr-BE"/>
        </w:rPr>
        <w:t>-</w:t>
      </w:r>
      <w:r w:rsidRPr="00E333B6">
        <w:rPr>
          <w:rFonts w:ascii="Times New Roman" w:hAnsi="Times New Roman"/>
          <w:lang w:val="fr-BE"/>
        </w:rPr>
        <w:t xml:space="preserve">lité et utilité d’un identifiant patient anonyme et unique pour le chainage des séjours hospitaliers dans les bases de données médicoéconomiques françaises’, </w:t>
      </w:r>
      <w:r w:rsidRPr="00E333B6">
        <w:rPr>
          <w:rFonts w:ascii="Times New Roman" w:hAnsi="Times New Roman"/>
          <w:i/>
          <w:lang w:val="fr-BE"/>
        </w:rPr>
        <w:t>R.E.S.P.</w:t>
      </w:r>
      <w:r w:rsidRPr="00E333B6">
        <w:rPr>
          <w:rFonts w:ascii="Times New Roman" w:hAnsi="Times New Roman"/>
          <w:lang w:val="fr-BE"/>
        </w:rPr>
        <w:t>, 55/3 (2007), p. 203-211.</w:t>
      </w:r>
    </w:p>
  </w:footnote>
  <w:footnote w:id="65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van wet nr. 78-17 van 6 januari 1978.</w:t>
      </w:r>
    </w:p>
  </w:footnote>
  <w:footnote w:id="656">
    <w:p w:rsidR="00E82D16" w:rsidRPr="003A699C"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3A699C">
        <w:rPr>
          <w:rFonts w:ascii="Times New Roman" w:hAnsi="Times New Roman"/>
          <w:lang w:val="fr-BE"/>
        </w:rPr>
        <w:t xml:space="preserve"> CNIL, </w:t>
      </w:r>
      <w:r w:rsidRPr="003A699C">
        <w:rPr>
          <w:rFonts w:ascii="Times New Roman" w:hAnsi="Times New Roman"/>
          <w:i/>
          <w:lang w:val="fr-BE"/>
        </w:rPr>
        <w:t>Guide professionnels de santé</w:t>
      </w:r>
      <w:r w:rsidRPr="003A699C">
        <w:rPr>
          <w:rFonts w:ascii="Times New Roman" w:hAnsi="Times New Roman"/>
          <w:lang w:val="fr-BE"/>
        </w:rPr>
        <w:t xml:space="preserve">, Les Guides de la CNIL, Parijs, 2011, p. 15; </w:t>
      </w:r>
      <w:hyperlink r:id="rId131" w:history="1">
        <w:r w:rsidRPr="00EA26DD">
          <w:rPr>
            <w:rStyle w:val="Hyperlink"/>
            <w:rFonts w:ascii="Times New Roman" w:hAnsi="Times New Roman"/>
            <w:lang w:val="fr-BE"/>
          </w:rPr>
          <w:t>http://esante.gouv.fr/ services/referentiels/identification/les-raisons-d-etre-et-le-cadre-reglementaire-de-l-ins</w:t>
        </w:r>
      </w:hyperlink>
      <w:r w:rsidRPr="003A699C">
        <w:rPr>
          <w:rFonts w:ascii="Times New Roman" w:hAnsi="Times New Roman"/>
          <w:lang w:val="fr-BE"/>
        </w:rPr>
        <w:t xml:space="preserve"> </w:t>
      </w:r>
      <w:r>
        <w:rPr>
          <w:rFonts w:ascii="Times New Roman" w:hAnsi="Times New Roman"/>
          <w:lang w:val="fr-BE"/>
        </w:rPr>
        <w:t xml:space="preserve">en </w:t>
      </w:r>
      <w:hyperlink r:id="rId132" w:history="1">
        <w:r w:rsidRPr="00EA26DD">
          <w:rPr>
            <w:rStyle w:val="Hyperlink"/>
            <w:rFonts w:ascii="Times New Roman" w:hAnsi="Times New Roman"/>
            <w:lang w:val="fr-BE"/>
          </w:rPr>
          <w:t>http://www.i-med.fr/ IMG/pdf/Dossier_de_conception_INS-C_-_v0.0.1.pdf</w:t>
        </w:r>
      </w:hyperlink>
      <w:r w:rsidRPr="003A699C">
        <w:rPr>
          <w:rFonts w:ascii="Times New Roman" w:hAnsi="Times New Roman"/>
          <w:lang w:val="fr-BE"/>
        </w:rPr>
        <w:t>, laatst geraadpleegd op 23 juli 201</w:t>
      </w:r>
      <w:r>
        <w:rPr>
          <w:rFonts w:ascii="Times New Roman" w:hAnsi="Times New Roman"/>
          <w:lang w:val="fr-BE"/>
        </w:rPr>
        <w:t>2.</w:t>
      </w:r>
    </w:p>
  </w:footnote>
  <w:footnote w:id="65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CNIL, </w:t>
      </w:r>
      <w:r w:rsidRPr="00E333B6">
        <w:rPr>
          <w:rFonts w:ascii="Times New Roman" w:hAnsi="Times New Roman"/>
          <w:i/>
          <w:lang w:val="fr-BE"/>
        </w:rPr>
        <w:t>Guide professionnels de santé</w:t>
      </w:r>
      <w:r w:rsidRPr="00E333B6">
        <w:rPr>
          <w:rFonts w:ascii="Times New Roman" w:hAnsi="Times New Roman"/>
          <w:lang w:val="fr-BE"/>
        </w:rPr>
        <w:t>, p. 37.</w:t>
      </w:r>
    </w:p>
  </w:footnote>
  <w:footnote w:id="65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lang w:val="fr-BE"/>
        </w:rPr>
        <w:t xml:space="preserve"> ‘Dossier de conception de l’Identifiant National de Santé calculé (INS-C)’, 2012 (</w:t>
      </w:r>
      <w:hyperlink r:id="rId133" w:history="1">
        <w:r w:rsidRPr="00EA26DD">
          <w:rPr>
            <w:rStyle w:val="Hyperlink"/>
            <w:rFonts w:ascii="Times New Roman" w:hAnsi="Times New Roman"/>
            <w:lang w:val="fr-BE"/>
          </w:rPr>
          <w:t>http://esante.gouv.fr/ services/referentiels/identification/dossier-de-conception-de-l-identifiant-national-de-sante-calcul</w:t>
        </w:r>
      </w:hyperlink>
      <w:r w:rsidRPr="00E333B6">
        <w:rPr>
          <w:rFonts w:ascii="Times New Roman" w:hAnsi="Times New Roman"/>
          <w:lang w:val="fr-BE"/>
        </w:rPr>
        <w:t>, laatst geraad</w:t>
      </w:r>
      <w:r>
        <w:rPr>
          <w:rFonts w:ascii="Times New Roman" w:hAnsi="Times New Roman"/>
          <w:lang w:val="fr-BE"/>
        </w:rPr>
        <w:t>-</w:t>
      </w:r>
      <w:r w:rsidRPr="00E333B6">
        <w:rPr>
          <w:rFonts w:ascii="Times New Roman" w:hAnsi="Times New Roman"/>
          <w:lang w:val="fr-BE"/>
        </w:rPr>
        <w:t>pleegd op 23 juli 2012); ‘L’identifiant national de santé: une mise en œuvre progressive’, 2010 (</w:t>
      </w:r>
      <w:hyperlink w:history="1">
        <w:r w:rsidRPr="002E0847">
          <w:rPr>
            <w:rStyle w:val="Hyperlink"/>
            <w:rFonts w:ascii="Times New Roman" w:hAnsi="Times New Roman"/>
            <w:lang w:val="fr-BE"/>
          </w:rPr>
          <w:t>http://esante. gouv.fr/actus/interoperabilite/l-identifiant-national-de-sante-une-mise-en-oeuvre-progressive</w:t>
        </w:r>
      </w:hyperlink>
      <w:r w:rsidRPr="00E333B6">
        <w:rPr>
          <w:rFonts w:ascii="Times New Roman" w:hAnsi="Times New Roman"/>
          <w:lang w:val="fr-BE"/>
        </w:rPr>
        <w:t xml:space="preserve">, laatst geraadpleegd op 23 juli 2012); GIP DMP, </w:t>
      </w:r>
      <w:r w:rsidRPr="00E333B6">
        <w:rPr>
          <w:rFonts w:ascii="Times New Roman" w:hAnsi="Times New Roman"/>
          <w:i/>
          <w:lang w:val="fr-BE"/>
        </w:rPr>
        <w:t>Programme Identifiant National de Santé. Algorithme de calcul de l’INS-C</w:t>
      </w:r>
      <w:r w:rsidRPr="00E333B6">
        <w:rPr>
          <w:rFonts w:ascii="Times New Roman" w:hAnsi="Times New Roman"/>
          <w:lang w:val="fr-BE"/>
        </w:rPr>
        <w:t>, Parijs, 2009, 8p. (</w:t>
      </w:r>
      <w:hyperlink r:id="rId134" w:history="1">
        <w:r w:rsidRPr="00E333B6">
          <w:rPr>
            <w:rStyle w:val="Hyperlink"/>
            <w:rFonts w:ascii="Times New Roman" w:hAnsi="Times New Roman"/>
            <w:lang w:val="fr-BE"/>
          </w:rPr>
          <w:t>http://www.i-med.fr/IMG/pdf/Dossier_de_conception_INS-C_-_Algorithme_de_calcul_v0.0.1.pdf</w:t>
        </w:r>
      </w:hyperlink>
      <w:r w:rsidRPr="00E333B6">
        <w:rPr>
          <w:rFonts w:ascii="Times New Roman" w:hAnsi="Times New Roman"/>
          <w:lang w:val="fr-BE"/>
        </w:rPr>
        <w:t xml:space="preserve">, laatst geraadpleegd op 23 juli 2012); GIP DMP, </w:t>
      </w:r>
      <w:r w:rsidRPr="00E333B6">
        <w:rPr>
          <w:rFonts w:ascii="Times New Roman" w:hAnsi="Times New Roman"/>
          <w:i/>
          <w:lang w:val="fr-BE"/>
        </w:rPr>
        <w:t xml:space="preserve">Programme Identifiant National de Santé. </w:t>
      </w:r>
      <w:r w:rsidRPr="00426625">
        <w:rPr>
          <w:rFonts w:ascii="Times New Roman" w:hAnsi="Times New Roman"/>
          <w:i/>
        </w:rPr>
        <w:t>Dossier de Concep</w:t>
      </w:r>
      <w:r>
        <w:rPr>
          <w:rFonts w:ascii="Times New Roman" w:hAnsi="Times New Roman"/>
          <w:i/>
        </w:rPr>
        <w:t>-</w:t>
      </w:r>
      <w:r w:rsidRPr="00426625">
        <w:rPr>
          <w:rFonts w:ascii="Times New Roman" w:hAnsi="Times New Roman"/>
          <w:i/>
        </w:rPr>
        <w:t>tion de l’INS-C</w:t>
      </w:r>
      <w:r w:rsidRPr="00426625">
        <w:rPr>
          <w:rFonts w:ascii="Times New Roman" w:hAnsi="Times New Roman"/>
        </w:rPr>
        <w:t>, Parijs, 2009, 12p. (</w:t>
      </w:r>
      <w:hyperlink r:id="rId135" w:history="1">
        <w:r w:rsidRPr="00426625">
          <w:rPr>
            <w:rStyle w:val="Hyperlink"/>
            <w:rFonts w:ascii="Times New Roman" w:hAnsi="Times New Roman"/>
          </w:rPr>
          <w:t>http://www.i-med.fr/IMG/pdf/Dossier_de_conception_INS-C_-_v0.0.1.pdf</w:t>
        </w:r>
      </w:hyperlink>
      <w:r w:rsidRPr="00426625">
        <w:rPr>
          <w:rFonts w:ascii="Times New Roman" w:hAnsi="Times New Roman"/>
        </w:rPr>
        <w:t>, laatst geraadpleegd op 23 juli 2012).</w:t>
      </w:r>
    </w:p>
  </w:footnote>
  <w:footnote w:id="65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hyperlink r:id="rId136" w:history="1">
        <w:r w:rsidRPr="00E333B6">
          <w:rPr>
            <w:rStyle w:val="Hyperlink"/>
            <w:rFonts w:ascii="Times New Roman" w:hAnsi="Times New Roman"/>
            <w:lang w:val="fr-BE"/>
          </w:rPr>
          <w:t>http://www.cnda-vitale.fr/</w:t>
        </w:r>
      </w:hyperlink>
      <w:r w:rsidRPr="00E333B6">
        <w:rPr>
          <w:rFonts w:ascii="Times New Roman" w:hAnsi="Times New Roman"/>
          <w:lang w:val="fr-BE"/>
        </w:rPr>
        <w:t xml:space="preserve">; ASIP Santé, </w:t>
      </w:r>
      <w:r w:rsidRPr="00E333B6">
        <w:rPr>
          <w:rFonts w:ascii="Times New Roman" w:hAnsi="Times New Roman"/>
          <w:i/>
          <w:lang w:val="fr-BE"/>
        </w:rPr>
        <w:t>Une première étape pour un identifiant national adapté à l’échange et au partage de données de santé</w:t>
      </w:r>
      <w:r w:rsidRPr="00E333B6">
        <w:rPr>
          <w:rFonts w:ascii="Times New Roman" w:hAnsi="Times New Roman"/>
          <w:lang w:val="fr-BE"/>
        </w:rPr>
        <w:t>, Parijs, 2010 (</w:t>
      </w:r>
      <w:hyperlink r:id="rId137" w:history="1">
        <w:r w:rsidRPr="00EA26DD">
          <w:rPr>
            <w:rStyle w:val="Hyperlink"/>
            <w:rFonts w:ascii="Times New Roman" w:hAnsi="Times New Roman"/>
            <w:lang w:val="fr-BE"/>
          </w:rPr>
          <w:t>http://esante.gouv.fr/sites/default/files/CP_INS_Convention ASIP_CNDA_090610.pdf</w:t>
        </w:r>
      </w:hyperlink>
      <w:r w:rsidRPr="00E333B6">
        <w:rPr>
          <w:rFonts w:ascii="Times New Roman" w:hAnsi="Times New Roman"/>
          <w:lang w:val="fr-BE"/>
        </w:rPr>
        <w:t>, laatst geraadpleegd op 23 juli 2012).</w:t>
      </w:r>
    </w:p>
  </w:footnote>
  <w:footnote w:id="66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Bron: ASIP Santé, </w:t>
      </w:r>
      <w:r w:rsidRPr="00E333B6">
        <w:rPr>
          <w:rFonts w:ascii="Times New Roman" w:hAnsi="Times New Roman"/>
          <w:i/>
          <w:lang w:val="fr-BE"/>
        </w:rPr>
        <w:t>Le programme Identifiant National de Santé. Journée internationale de l’dentito-vigilance</w:t>
      </w:r>
      <w:r w:rsidRPr="00E333B6">
        <w:rPr>
          <w:rFonts w:ascii="Times New Roman" w:hAnsi="Times New Roman"/>
          <w:lang w:val="fr-BE"/>
        </w:rPr>
        <w:t>, 2010, p. 15.</w:t>
      </w:r>
    </w:p>
  </w:footnote>
  <w:footnote w:id="66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r w:rsidRPr="00E333B6">
        <w:rPr>
          <w:rFonts w:ascii="Times New Roman" w:hAnsi="Times New Roman"/>
          <w:i/>
          <w:lang w:val="fr-BE"/>
        </w:rPr>
        <w:t>Le DMP au point mort. Pour la relance d'un projet d'intérêt national. Recommandations à l'usage des déci</w:t>
      </w:r>
      <w:r>
        <w:rPr>
          <w:rFonts w:ascii="Times New Roman" w:hAnsi="Times New Roman"/>
          <w:i/>
          <w:lang w:val="fr-BE"/>
        </w:rPr>
        <w:t>-</w:t>
      </w:r>
      <w:r w:rsidRPr="00E333B6">
        <w:rPr>
          <w:rFonts w:ascii="Times New Roman" w:hAnsi="Times New Roman"/>
          <w:i/>
          <w:lang w:val="fr-BE"/>
        </w:rPr>
        <w:t>deurs de l'exécutif, des professionnels de santé et des associations de santé</w:t>
      </w:r>
      <w:r w:rsidRPr="00E333B6">
        <w:rPr>
          <w:rFonts w:ascii="Times New Roman" w:hAnsi="Times New Roman"/>
          <w:lang w:val="fr-BE"/>
        </w:rPr>
        <w:t xml:space="preserve">, Neuilly sur Seine, LESSIS, 2007, 11p.; </w:t>
      </w:r>
      <w:r w:rsidRPr="00E333B6">
        <w:rPr>
          <w:rFonts w:ascii="Times New Roman" w:hAnsi="Times New Roman"/>
          <w:i/>
          <w:lang w:val="fr-BE"/>
        </w:rPr>
        <w:t>Programme de relance du DMP et des systèmes d'information partagés de santé - Orientations stratégi</w:t>
      </w:r>
      <w:r>
        <w:rPr>
          <w:rFonts w:ascii="Times New Roman" w:hAnsi="Times New Roman"/>
          <w:i/>
          <w:lang w:val="fr-BE"/>
        </w:rPr>
        <w:t>-</w:t>
      </w:r>
      <w:r w:rsidRPr="00E333B6">
        <w:rPr>
          <w:rFonts w:ascii="Times New Roman" w:hAnsi="Times New Roman"/>
          <w:i/>
          <w:lang w:val="fr-BE"/>
        </w:rPr>
        <w:t>ques et principes de mise en oeuvre</w:t>
      </w:r>
      <w:r w:rsidRPr="00E333B6">
        <w:rPr>
          <w:rFonts w:ascii="Times New Roman" w:hAnsi="Times New Roman"/>
          <w:lang w:val="fr-BE"/>
        </w:rPr>
        <w:t xml:space="preserve">, Parijs, Ministère de la Solidarité de la Santé et de la Protection Sociale (M.S.S.P.S.). Agences des Systèmes d’Information Partagés de Santé, 2009, 112p.; FRANCO, L., </w:t>
      </w:r>
      <w:r w:rsidRPr="00E333B6">
        <w:rPr>
          <w:rFonts w:ascii="Times New Roman" w:hAnsi="Times New Roman"/>
          <w:i/>
          <w:lang w:val="fr-BE"/>
        </w:rPr>
        <w:t>Le retour sur investissement du deploiement du Dossier Patient Informatisé</w:t>
      </w:r>
      <w:r w:rsidRPr="00E333B6">
        <w:rPr>
          <w:rFonts w:ascii="Times New Roman" w:hAnsi="Times New Roman"/>
          <w:lang w:val="fr-BE"/>
        </w:rPr>
        <w:t xml:space="preserve">, Mémoire EHESP de Directeir d’Hôpital, Rennes, EHESP, 2009, 64p.; GAGNEUX, M. (red.), </w:t>
      </w:r>
      <w:r w:rsidRPr="00E333B6">
        <w:rPr>
          <w:rFonts w:ascii="Times New Roman" w:hAnsi="Times New Roman"/>
          <w:i/>
          <w:lang w:val="fr-BE"/>
        </w:rPr>
        <w:t>Mission de relance du projet de Dossier médical personnel. Recom</w:t>
      </w:r>
      <w:r>
        <w:rPr>
          <w:rFonts w:ascii="Times New Roman" w:hAnsi="Times New Roman"/>
          <w:i/>
          <w:lang w:val="fr-BE"/>
        </w:rPr>
        <w:t>-</w:t>
      </w:r>
      <w:r w:rsidRPr="00E333B6">
        <w:rPr>
          <w:rFonts w:ascii="Times New Roman" w:hAnsi="Times New Roman"/>
          <w:i/>
          <w:lang w:val="fr-BE"/>
        </w:rPr>
        <w:t>mandations à la ministre de la Santé, de la Jeunesse, des Sports et de la Via associative pour un dossier patient virtuel et partagé et une stratégie nationale des systèmes d’information de santé</w:t>
      </w:r>
      <w:r w:rsidRPr="00E333B6">
        <w:rPr>
          <w:rFonts w:ascii="Times New Roman" w:hAnsi="Times New Roman"/>
          <w:lang w:val="fr-BE"/>
        </w:rPr>
        <w:t xml:space="preserve">, Parijs, 2008, p. 117-118; GAGNEUX, M., </w:t>
      </w:r>
      <w:r w:rsidRPr="00E333B6">
        <w:rPr>
          <w:rFonts w:ascii="Times New Roman" w:hAnsi="Times New Roman"/>
          <w:i/>
          <w:lang w:val="fr-BE"/>
        </w:rPr>
        <w:t>Refonder la gouvernance de la politique d’informatisation du système de santé</w:t>
      </w:r>
      <w:r w:rsidRPr="00E333B6">
        <w:rPr>
          <w:rFonts w:ascii="Times New Roman" w:hAnsi="Times New Roman"/>
          <w:lang w:val="fr-BE"/>
        </w:rPr>
        <w:t>, Parijs, La Do</w:t>
      </w:r>
      <w:r>
        <w:rPr>
          <w:rFonts w:ascii="Times New Roman" w:hAnsi="Times New Roman"/>
          <w:lang w:val="fr-BE"/>
        </w:rPr>
        <w:t>-</w:t>
      </w:r>
      <w:r w:rsidRPr="00E333B6">
        <w:rPr>
          <w:rFonts w:ascii="Times New Roman" w:hAnsi="Times New Roman"/>
          <w:lang w:val="fr-BE"/>
        </w:rPr>
        <w:t>cumentation française, 2009, 38p.; PIERRU, F., ‘L'e-Santé sauvera-t-elle le système de santé? Retour sur les er</w:t>
      </w:r>
      <w:r>
        <w:rPr>
          <w:rFonts w:ascii="Times New Roman" w:hAnsi="Times New Roman"/>
          <w:lang w:val="fr-BE"/>
        </w:rPr>
        <w:t>-</w:t>
      </w:r>
      <w:r w:rsidRPr="00E333B6">
        <w:rPr>
          <w:rFonts w:ascii="Times New Roman" w:hAnsi="Times New Roman"/>
          <w:lang w:val="fr-BE"/>
        </w:rPr>
        <w:t xml:space="preserve">rements du dossier médical personnel’, </w:t>
      </w:r>
      <w:r w:rsidRPr="00E333B6">
        <w:rPr>
          <w:rFonts w:ascii="Times New Roman" w:hAnsi="Times New Roman"/>
          <w:i/>
          <w:lang w:val="fr-BE"/>
        </w:rPr>
        <w:t>Regards sur l’actualité</w:t>
      </w:r>
      <w:r w:rsidRPr="00E333B6">
        <w:rPr>
          <w:rFonts w:ascii="Times New Roman" w:hAnsi="Times New Roman"/>
          <w:lang w:val="fr-BE"/>
        </w:rPr>
        <w:t>, 370 (2011), p. 54-66; SEUNEVEL, M., ‘Le pro</w:t>
      </w:r>
      <w:r>
        <w:rPr>
          <w:rFonts w:ascii="Times New Roman" w:hAnsi="Times New Roman"/>
          <w:lang w:val="fr-BE"/>
        </w:rPr>
        <w:t>-</w:t>
      </w:r>
      <w:r w:rsidRPr="00E333B6">
        <w:rPr>
          <w:rFonts w:ascii="Times New Roman" w:hAnsi="Times New Roman"/>
          <w:lang w:val="fr-BE"/>
        </w:rPr>
        <w:t xml:space="preserve">jet de DMP doit être redéfini en 2008’, </w:t>
      </w:r>
      <w:r w:rsidRPr="00E333B6">
        <w:rPr>
          <w:rFonts w:ascii="Times New Roman" w:hAnsi="Times New Roman"/>
          <w:i/>
          <w:lang w:val="fr-BE"/>
        </w:rPr>
        <w:t>G.S.S.</w:t>
      </w:r>
      <w:r w:rsidRPr="00E333B6">
        <w:rPr>
          <w:rFonts w:ascii="Times New Roman" w:hAnsi="Times New Roman"/>
          <w:lang w:val="fr-BE"/>
        </w:rPr>
        <w:t xml:space="preserve">, 38 (2008), p. 32-33. </w:t>
      </w:r>
    </w:p>
  </w:footnote>
  <w:footnote w:id="662">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Idem; BOARETTO, Y.; GAGNEUX, M.; CHOLLEY, F.; DUMAS, P.; ROMENTEAU, P.; </w:t>
      </w:r>
      <w:r w:rsidRPr="00E333B6">
        <w:rPr>
          <w:rFonts w:ascii="Times New Roman" w:hAnsi="Times New Roman"/>
          <w:i/>
          <w:lang w:val="fr-BE"/>
        </w:rPr>
        <w:t>Le dossier médi</w:t>
      </w:r>
      <w:r>
        <w:rPr>
          <w:rFonts w:ascii="Times New Roman" w:hAnsi="Times New Roman"/>
          <w:i/>
          <w:lang w:val="fr-BE"/>
        </w:rPr>
        <w:t>-</w:t>
      </w:r>
      <w:r w:rsidRPr="00E333B6">
        <w:rPr>
          <w:rFonts w:ascii="Times New Roman" w:hAnsi="Times New Roman"/>
          <w:i/>
          <w:lang w:val="fr-BE"/>
        </w:rPr>
        <w:t>cal personnalisé (DMP)</w:t>
      </w:r>
      <w:r w:rsidRPr="00E333B6">
        <w:rPr>
          <w:rFonts w:ascii="Times New Roman" w:hAnsi="Times New Roman"/>
          <w:lang w:val="fr-BE"/>
        </w:rPr>
        <w:t xml:space="preserve">, Parijs, La Documentation française, 2007, 85p.; DOOR, J.P., </w:t>
      </w:r>
      <w:r w:rsidRPr="00E333B6">
        <w:rPr>
          <w:rFonts w:ascii="Times New Roman" w:hAnsi="Times New Roman"/>
          <w:i/>
          <w:lang w:val="fr-BE"/>
        </w:rPr>
        <w:t>Rapport d’information sur le dossier médical personnel</w:t>
      </w:r>
      <w:r w:rsidRPr="00E333B6">
        <w:rPr>
          <w:rFonts w:ascii="Times New Roman" w:hAnsi="Times New Roman"/>
          <w:lang w:val="fr-BE"/>
        </w:rPr>
        <w:t xml:space="preserve">, Rapport d’information, 659, Parijs, Assemblée Nationale, 2008, 179p.; </w:t>
      </w:r>
      <w:r w:rsidRPr="00E333B6">
        <w:rPr>
          <w:rFonts w:ascii="Times New Roman" w:hAnsi="Times New Roman"/>
          <w:i/>
          <w:lang w:val="fr-BE"/>
        </w:rPr>
        <w:t>Inspec</w:t>
      </w:r>
      <w:r>
        <w:rPr>
          <w:rFonts w:ascii="Times New Roman" w:hAnsi="Times New Roman"/>
          <w:i/>
          <w:lang w:val="fr-BE"/>
        </w:rPr>
        <w:t>-</w:t>
      </w:r>
      <w:r w:rsidRPr="00E333B6">
        <w:rPr>
          <w:rFonts w:ascii="Times New Roman" w:hAnsi="Times New Roman"/>
          <w:i/>
          <w:lang w:val="fr-BE"/>
        </w:rPr>
        <w:t xml:space="preserve">tion Générale de Finances </w:t>
      </w:r>
      <w:r w:rsidRPr="00E333B6">
        <w:rPr>
          <w:rFonts w:ascii="Times New Roman" w:hAnsi="Times New Roman"/>
          <w:lang w:val="fr-BE"/>
        </w:rPr>
        <w:t xml:space="preserve">(IGF); </w:t>
      </w:r>
      <w:r w:rsidRPr="00E333B6">
        <w:rPr>
          <w:rFonts w:ascii="Times New Roman" w:hAnsi="Times New Roman"/>
          <w:i/>
          <w:lang w:val="fr-BE"/>
        </w:rPr>
        <w:t>Inspection Générale des Affaires Sociales</w:t>
      </w:r>
      <w:r w:rsidRPr="00E333B6">
        <w:rPr>
          <w:rFonts w:ascii="Times New Roman" w:hAnsi="Times New Roman"/>
          <w:lang w:val="fr-BE"/>
        </w:rPr>
        <w:t xml:space="preserve"> (IGAS); </w:t>
      </w:r>
      <w:r w:rsidRPr="00E333B6">
        <w:rPr>
          <w:rFonts w:ascii="Times New Roman" w:hAnsi="Times New Roman"/>
          <w:i/>
          <w:lang w:val="fr-BE"/>
        </w:rPr>
        <w:t>Conseil Général des Tech</w:t>
      </w:r>
      <w:r>
        <w:rPr>
          <w:rFonts w:ascii="Times New Roman" w:hAnsi="Times New Roman"/>
          <w:i/>
          <w:lang w:val="fr-BE"/>
        </w:rPr>
        <w:t>-</w:t>
      </w:r>
      <w:r w:rsidRPr="00E333B6">
        <w:rPr>
          <w:rFonts w:ascii="Times New Roman" w:hAnsi="Times New Roman"/>
          <w:i/>
          <w:lang w:val="fr-BE"/>
        </w:rPr>
        <w:t>nologies</w:t>
      </w:r>
      <w:r>
        <w:rPr>
          <w:rFonts w:ascii="Times New Roman" w:hAnsi="Times New Roman"/>
          <w:i/>
          <w:lang w:val="fr-BE"/>
        </w:rPr>
        <w:t xml:space="preserve"> </w:t>
      </w:r>
      <w:r w:rsidRPr="00E333B6">
        <w:rPr>
          <w:rFonts w:ascii="Times New Roman" w:hAnsi="Times New Roman"/>
          <w:i/>
          <w:lang w:val="fr-BE"/>
        </w:rPr>
        <w:t xml:space="preserve">de l’ Information </w:t>
      </w:r>
      <w:r w:rsidRPr="00E333B6">
        <w:rPr>
          <w:rFonts w:ascii="Times New Roman" w:hAnsi="Times New Roman"/>
          <w:lang w:val="fr-BE"/>
        </w:rPr>
        <w:t xml:space="preserve">(CGTI); </w:t>
      </w:r>
      <w:r w:rsidRPr="00E333B6">
        <w:rPr>
          <w:rFonts w:ascii="Times New Roman" w:hAnsi="Times New Roman"/>
          <w:i/>
          <w:lang w:val="fr-BE"/>
        </w:rPr>
        <w:t>Le rapport sur le dossier médical personnel (DMP)</w:t>
      </w:r>
      <w:r w:rsidRPr="00E333B6">
        <w:rPr>
          <w:rFonts w:ascii="Times New Roman" w:hAnsi="Times New Roman"/>
          <w:lang w:val="fr-BE"/>
        </w:rPr>
        <w:t>,</w:t>
      </w:r>
      <w:r w:rsidRPr="00E333B6">
        <w:rPr>
          <w:rFonts w:ascii="Times New Roman" w:hAnsi="Times New Roman"/>
          <w:i/>
          <w:lang w:val="fr-BE"/>
        </w:rPr>
        <w:t xml:space="preserve"> </w:t>
      </w:r>
      <w:r w:rsidRPr="00E333B6">
        <w:rPr>
          <w:rFonts w:ascii="Times New Roman" w:hAnsi="Times New Roman"/>
          <w:lang w:val="fr-BE"/>
        </w:rPr>
        <w:t>2007 (</w:t>
      </w:r>
      <w:hyperlink w:history="1">
        <w:r w:rsidRPr="00EA26DD">
          <w:rPr>
            <w:rStyle w:val="Hyperlink"/>
            <w:rFonts w:ascii="Times New Roman" w:hAnsi="Times New Roman"/>
            <w:lang w:val="fr-BE"/>
          </w:rPr>
          <w:t>http://www.sante. gouv.fr/le-rapport-sur-le-dossier-medical-personnel-dmp.html</w:t>
        </w:r>
      </w:hyperlink>
      <w:r w:rsidRPr="00E333B6">
        <w:rPr>
          <w:rFonts w:ascii="Times New Roman" w:hAnsi="Times New Roman"/>
          <w:lang w:val="fr-BE"/>
        </w:rPr>
        <w:t>, laatst geraadpleegd op 23 juli 2012); etc.</w:t>
      </w:r>
    </w:p>
  </w:footnote>
  <w:footnote w:id="66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‘Ethique: le dossier médical personnel en question’, 2008 (</w:t>
      </w:r>
      <w:hyperlink r:id="rId138" w:history="1">
        <w:r w:rsidRPr="00EA26DD">
          <w:rPr>
            <w:rStyle w:val="Hyperlink"/>
            <w:rFonts w:ascii="Times New Roman" w:hAnsi="Times New Roman"/>
            <w:lang w:val="fr-BE"/>
          </w:rPr>
          <w:t>http://www.vie-publique.fr/actualite/alaune/ethique -dossier-medical-personnel-question.html</w:t>
        </w:r>
      </w:hyperlink>
      <w:r w:rsidRPr="00E333B6">
        <w:rPr>
          <w:rFonts w:ascii="Times New Roman" w:hAnsi="Times New Roman"/>
          <w:lang w:val="fr-BE"/>
        </w:rPr>
        <w:t xml:space="preserve">, laatst geraadpleegd op 23 juli 2012). </w:t>
      </w:r>
    </w:p>
  </w:footnote>
  <w:footnote w:id="664">
    <w:p w:rsidR="00E82D16" w:rsidRPr="00426625" w:rsidRDefault="00E82D16" w:rsidP="00426625">
      <w:pPr>
        <w:pStyle w:val="Voetnoottekst"/>
        <w:jc w:val="both"/>
        <w:rPr>
          <w:rFonts w:ascii="Times New Roman" w:hAnsi="Times New Roman"/>
          <w:i/>
        </w:rPr>
      </w:pPr>
      <w:r w:rsidRPr="00426625">
        <w:rPr>
          <w:rStyle w:val="Voetnootmarkering"/>
          <w:rFonts w:ascii="Times New Roman" w:hAnsi="Times New Roman"/>
        </w:rPr>
        <w:footnoteRef/>
      </w:r>
      <w:r w:rsidRPr="00E333B6">
        <w:rPr>
          <w:rFonts w:ascii="Times New Roman" w:hAnsi="Times New Roman"/>
          <w:lang w:val="fr-BE"/>
        </w:rPr>
        <w:t xml:space="preserve"> ‘Plan de relance du Dossier médical personnel (DMP)’, 2008 (</w:t>
      </w:r>
      <w:hyperlink r:id="rId139" w:history="1">
        <w:r w:rsidRPr="00EA26DD">
          <w:rPr>
            <w:rStyle w:val="Hyperlink"/>
            <w:rFonts w:ascii="Times New Roman" w:hAnsi="Times New Roman"/>
            <w:lang w:val="fr-BE"/>
          </w:rPr>
          <w:t>http://www.sante.gouv.fr/plan-de-relance-du-dossier-medical-personnel-dmp.html</w:t>
        </w:r>
      </w:hyperlink>
      <w:r w:rsidRPr="00E333B6">
        <w:rPr>
          <w:rFonts w:ascii="Times New Roman" w:hAnsi="Times New Roman"/>
          <w:lang w:val="fr-BE"/>
        </w:rPr>
        <w:t xml:space="preserve">, laatst geraadpleegd op 23 juli 2012). </w:t>
      </w:r>
      <w:r w:rsidRPr="00426625">
        <w:rPr>
          <w:rFonts w:ascii="Times New Roman" w:hAnsi="Times New Roman"/>
        </w:rPr>
        <w:t xml:space="preserve">Op 23 april verscheen ook de missie van de invoering van de eerste versie van het DMP: GAGNEUX, </w:t>
      </w:r>
      <w:r w:rsidRPr="00426625">
        <w:rPr>
          <w:rFonts w:ascii="Times New Roman" w:hAnsi="Times New Roman"/>
          <w:i/>
        </w:rPr>
        <w:t>Mission de relance du projet de Dossier médi</w:t>
      </w:r>
      <w:r>
        <w:rPr>
          <w:rFonts w:ascii="Times New Roman" w:hAnsi="Times New Roman"/>
          <w:i/>
        </w:rPr>
        <w:t>-</w:t>
      </w:r>
      <w:r w:rsidRPr="00426625">
        <w:rPr>
          <w:rFonts w:ascii="Times New Roman" w:hAnsi="Times New Roman"/>
          <w:i/>
        </w:rPr>
        <w:t>cal personnel</w:t>
      </w:r>
      <w:r w:rsidRPr="00426625">
        <w:rPr>
          <w:rFonts w:ascii="Times New Roman" w:hAnsi="Times New Roman"/>
        </w:rPr>
        <w:t>, 118p.</w:t>
      </w:r>
      <w:r w:rsidRPr="00426625">
        <w:rPr>
          <w:rFonts w:ascii="Times New Roman" w:hAnsi="Times New Roman"/>
          <w:i/>
        </w:rPr>
        <w:t xml:space="preserve"> </w:t>
      </w:r>
    </w:p>
  </w:footnote>
  <w:footnote w:id="66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figuren 12 en 13.</w:t>
      </w:r>
    </w:p>
  </w:footnote>
  <w:footnote w:id="66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40" w:history="1">
        <w:r w:rsidRPr="00426625">
          <w:rPr>
            <w:rStyle w:val="Hyperlink"/>
            <w:rFonts w:ascii="Times New Roman" w:hAnsi="Times New Roman"/>
          </w:rPr>
          <w:t>lahaut.free.fr/word/Informatique%20médicale.doc</w:t>
        </w:r>
      </w:hyperlink>
      <w:r w:rsidRPr="00426625">
        <w:rPr>
          <w:rFonts w:ascii="Times New Roman" w:hAnsi="Times New Roman"/>
        </w:rPr>
        <w:t xml:space="preserve">, laatst geraadpleegd op 23 juli 2012.  </w:t>
      </w:r>
    </w:p>
  </w:footnote>
  <w:footnote w:id="66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ASIP Santé, </w:t>
      </w:r>
      <w:r w:rsidRPr="00E333B6">
        <w:rPr>
          <w:rFonts w:ascii="Times New Roman" w:hAnsi="Times New Roman"/>
          <w:i/>
          <w:lang w:val="fr-BE"/>
        </w:rPr>
        <w:t>Une nouvelle étape dans la mise en œuvre du dossier médical personnel (DMP)</w:t>
      </w:r>
      <w:r w:rsidRPr="00E333B6">
        <w:rPr>
          <w:rFonts w:ascii="Times New Roman" w:hAnsi="Times New Roman"/>
          <w:lang w:val="fr-BE"/>
        </w:rPr>
        <w:t>, Parijs, 2010 (</w:t>
      </w:r>
      <w:hyperlink r:id="rId141" w:history="1">
        <w:r w:rsidRPr="00EA26DD">
          <w:rPr>
            <w:rStyle w:val="Hyperlink"/>
            <w:rFonts w:ascii="Times New Roman" w:hAnsi="Times New Roman"/>
            <w:lang w:val="fr-BE"/>
          </w:rPr>
          <w:t>http://esante.gouv.fr/sites/default/files/CP_notification_hebergeur18022010.pdf</w:t>
        </w:r>
      </w:hyperlink>
      <w:r w:rsidRPr="00E333B6">
        <w:rPr>
          <w:rFonts w:ascii="Times New Roman" w:hAnsi="Times New Roman"/>
          <w:lang w:val="fr-BE"/>
        </w:rPr>
        <w:t>, laatst geraadpleegd op 23 juli 2012).</w:t>
      </w:r>
    </w:p>
  </w:footnote>
  <w:footnote w:id="66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‘Attribution du marché de l’hébergement du DMP’, 2010 (</w:t>
      </w:r>
      <w:hyperlink r:id="rId142" w:history="1">
        <w:r w:rsidRPr="00EA26DD">
          <w:rPr>
            <w:rStyle w:val="Hyperlink"/>
            <w:rFonts w:ascii="Times New Roman" w:hAnsi="Times New Roman"/>
            <w:lang w:val="fr-BE"/>
          </w:rPr>
          <w:t>http://esante.gouv.fr/actus/dmp/attribution-du-marche-de-l-hebergement-du-dmp</w:t>
        </w:r>
      </w:hyperlink>
      <w:r w:rsidRPr="00E333B6">
        <w:rPr>
          <w:rFonts w:ascii="Times New Roman" w:hAnsi="Times New Roman"/>
          <w:lang w:val="fr-BE"/>
        </w:rPr>
        <w:t>, laatst geraadpleegd op 23 juli 2012); ‘L’Asip attribue l’hébergement du DMP au consortium Atos Origin-La Poste’, 2010 (</w:t>
      </w:r>
      <w:hyperlink r:id="rId143" w:history="1">
        <w:r w:rsidRPr="00EA26DD">
          <w:rPr>
            <w:rStyle w:val="Hyperlink"/>
            <w:rFonts w:ascii="Times New Roman" w:hAnsi="Times New Roman"/>
            <w:lang w:val="fr-BE"/>
          </w:rPr>
          <w:t>http://www.ticsante.com/show.php?page=mstory&amp;jeton=nSnNt7 Di0O_Zc26w4UMhtw</w:t>
        </w:r>
      </w:hyperlink>
      <w:r w:rsidRPr="00E333B6">
        <w:rPr>
          <w:rFonts w:ascii="Times New Roman" w:hAnsi="Times New Roman"/>
          <w:lang w:val="fr-BE"/>
        </w:rPr>
        <w:t>, laatst geraadpleegd op 23 juli 2012); ‘Le marché de l’hébergement du DMP définetive</w:t>
      </w:r>
      <w:r>
        <w:rPr>
          <w:rFonts w:ascii="Times New Roman" w:hAnsi="Times New Roman"/>
          <w:lang w:val="fr-BE"/>
        </w:rPr>
        <w:t>-</w:t>
      </w:r>
      <w:r w:rsidRPr="00E333B6">
        <w:rPr>
          <w:rFonts w:ascii="Times New Roman" w:hAnsi="Times New Roman"/>
          <w:lang w:val="fr-BE"/>
        </w:rPr>
        <w:t>ment attribute, la procedure d’agrémenbt peut commencer’, 2010 (</w:t>
      </w:r>
      <w:hyperlink r:id="rId144" w:history="1">
        <w:r w:rsidRPr="00EA26DD">
          <w:rPr>
            <w:rStyle w:val="Hyperlink"/>
            <w:rFonts w:ascii="Times New Roman" w:hAnsi="Times New Roman"/>
            <w:lang w:val="fr-BE"/>
          </w:rPr>
          <w:t>http://www.ticsante.com/show.php?id=576&amp; page=story</w:t>
        </w:r>
      </w:hyperlink>
      <w:r w:rsidRPr="00E333B6">
        <w:rPr>
          <w:rFonts w:ascii="Times New Roman" w:hAnsi="Times New Roman"/>
          <w:lang w:val="fr-BE"/>
        </w:rPr>
        <w:t>, laatst geraadpleegd op 23 juli 2012).</w:t>
      </w:r>
    </w:p>
  </w:footnote>
  <w:footnote w:id="66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r w:rsidRPr="00E333B6">
        <w:rPr>
          <w:rFonts w:ascii="Times New Roman" w:hAnsi="Times New Roman"/>
          <w:i/>
          <w:lang w:val="fr-BE"/>
        </w:rPr>
        <w:t>Programme de relance du DPM et des systèmes d'information partagés de santé: 9 avril 2009</w:t>
      </w:r>
      <w:r w:rsidRPr="00E333B6">
        <w:rPr>
          <w:rFonts w:ascii="Times New Roman" w:hAnsi="Times New Roman"/>
          <w:lang w:val="fr-BE"/>
        </w:rPr>
        <w:t>, Parijs, Mini</w:t>
      </w:r>
      <w:r>
        <w:rPr>
          <w:rFonts w:ascii="Times New Roman" w:hAnsi="Times New Roman"/>
          <w:lang w:val="fr-BE"/>
        </w:rPr>
        <w:t>-</w:t>
      </w:r>
      <w:r w:rsidRPr="00E333B6">
        <w:rPr>
          <w:rFonts w:ascii="Times New Roman" w:hAnsi="Times New Roman"/>
          <w:lang w:val="fr-BE"/>
        </w:rPr>
        <w:t>stère de la santé et des sports, 2009, 10p.</w:t>
      </w:r>
    </w:p>
  </w:footnote>
  <w:footnote w:id="67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BOULIN, C., </w:t>
      </w:r>
      <w:r w:rsidRPr="00E333B6">
        <w:rPr>
          <w:rFonts w:ascii="Times New Roman" w:hAnsi="Times New Roman"/>
          <w:i/>
          <w:lang w:val="fr-BE"/>
        </w:rPr>
        <w:t>DMP. Le dispositif d’accompagnement</w:t>
      </w:r>
      <w:r w:rsidRPr="00E333B6">
        <w:rPr>
          <w:rFonts w:ascii="Times New Roman" w:hAnsi="Times New Roman"/>
          <w:lang w:val="fr-BE"/>
        </w:rPr>
        <w:t>, slide 13 en 16 (</w:t>
      </w:r>
      <w:hyperlink r:id="rId145" w:history="1">
        <w:r w:rsidRPr="00EA26DD">
          <w:rPr>
            <w:rStyle w:val="Hyperlink"/>
            <w:rFonts w:ascii="Times New Roman" w:hAnsi="Times New Roman"/>
            <w:lang w:val="fr-BE"/>
          </w:rPr>
          <w:t>http://www.simulateur.dmp.gouv.fr/ DMP%20%20le%20dispositif%20d'accompagnement.pdf</w:t>
        </w:r>
      </w:hyperlink>
      <w:r w:rsidRPr="00E333B6">
        <w:rPr>
          <w:rFonts w:ascii="Times New Roman" w:hAnsi="Times New Roman"/>
          <w:lang w:val="fr-BE"/>
        </w:rPr>
        <w:t>, laatst geraadpleegd op 23 juli 2012).</w:t>
      </w:r>
    </w:p>
  </w:footnote>
  <w:footnote w:id="67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 slide 14 en 18.</w:t>
      </w:r>
    </w:p>
  </w:footnote>
  <w:footnote w:id="67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161-36-1 tot art. 161-36-5 CSS en art. L. 1111-14 tot art. L. 1111-24 CSP, ingevoerd door art. 3 tot art. 5 van wet nr. 2004-810 van 13 augustus 2004.</w:t>
      </w:r>
    </w:p>
  </w:footnote>
  <w:footnote w:id="67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en-US"/>
        </w:rPr>
        <w:t xml:space="preserve"> Art. L. 161-26-4-2 CSS en art. </w:t>
      </w:r>
      <w:r w:rsidRPr="00E333B6">
        <w:rPr>
          <w:rFonts w:ascii="Times New Roman" w:hAnsi="Times New Roman"/>
          <w:lang w:val="fr-BE"/>
        </w:rPr>
        <w:t xml:space="preserve">L. 4231-2 CSP, ingevoerd door art. 25 van wet nr. 2007-127 van 30 januari 2007; ‘Dossier pharmaceutique: une information-patient partagée entre officines’, </w:t>
      </w:r>
      <w:r w:rsidRPr="00E333B6">
        <w:rPr>
          <w:rFonts w:ascii="Times New Roman" w:hAnsi="Times New Roman"/>
          <w:i/>
          <w:lang w:val="fr-BE"/>
        </w:rPr>
        <w:t>Revue préscrire</w:t>
      </w:r>
      <w:r w:rsidRPr="00E333B6">
        <w:rPr>
          <w:rFonts w:ascii="Times New Roman" w:hAnsi="Times New Roman"/>
          <w:lang w:val="fr-BE"/>
        </w:rPr>
        <w:t xml:space="preserve">, 319/30 (2010), p. 378-380; BANGA, B.; GERVAIS, J.B.; DUGAST, P.; ‘La pharmacie informatisée. Dossier’, </w:t>
      </w:r>
      <w:r w:rsidRPr="00E333B6">
        <w:rPr>
          <w:rFonts w:ascii="Times New Roman" w:hAnsi="Times New Roman"/>
          <w:i/>
          <w:lang w:val="fr-BE"/>
        </w:rPr>
        <w:t>Décision santé – le pharmacien hôpital</w:t>
      </w:r>
      <w:r w:rsidRPr="00E333B6">
        <w:rPr>
          <w:rFonts w:ascii="Times New Roman" w:hAnsi="Times New Roman"/>
          <w:lang w:val="fr-BE"/>
        </w:rPr>
        <w:t xml:space="preserve">, 255 (2009), p. 6-12; CHEMTOB-CONCÉ, M.C., ‘Dossier médical personnel et dossier pharmaceutique’, </w:t>
      </w:r>
      <w:r w:rsidRPr="00E333B6">
        <w:rPr>
          <w:rFonts w:ascii="Times New Roman" w:hAnsi="Times New Roman"/>
          <w:i/>
          <w:iCs/>
          <w:lang w:val="fr-BE"/>
        </w:rPr>
        <w:t>G.P.</w:t>
      </w:r>
      <w:r w:rsidRPr="00E333B6">
        <w:rPr>
          <w:rFonts w:ascii="Times New Roman" w:hAnsi="Times New Roman"/>
          <w:lang w:val="fr-BE"/>
        </w:rPr>
        <w:t xml:space="preserve">, 174 (2007), p. 2; LE GAL, C., ‘Le dossier pharmaceutique: un outil technique de santé publique’, </w:t>
      </w:r>
      <w:r w:rsidRPr="00E333B6">
        <w:rPr>
          <w:rFonts w:ascii="Times New Roman" w:hAnsi="Times New Roman"/>
          <w:i/>
          <w:lang w:val="fr-BE"/>
        </w:rPr>
        <w:t>R.D.S.S.</w:t>
      </w:r>
      <w:r w:rsidRPr="00E333B6">
        <w:rPr>
          <w:rFonts w:ascii="Times New Roman" w:hAnsi="Times New Roman"/>
          <w:lang w:val="fr-BE"/>
        </w:rPr>
        <w:t>, 2009, 2, p. 301-316; ROUSSET, G., ‘Le dossier pharmaceutique, une expérience origi</w:t>
      </w:r>
      <w:r>
        <w:rPr>
          <w:rFonts w:ascii="Times New Roman" w:hAnsi="Times New Roman"/>
          <w:lang w:val="fr-BE"/>
        </w:rPr>
        <w:t>-</w:t>
      </w:r>
      <w:r w:rsidRPr="00E333B6">
        <w:rPr>
          <w:rFonts w:ascii="Times New Roman" w:hAnsi="Times New Roman"/>
          <w:lang w:val="fr-BE"/>
        </w:rPr>
        <w:t xml:space="preserve">nale d'informatisation en santé’, </w:t>
      </w:r>
      <w:r w:rsidRPr="00E333B6">
        <w:rPr>
          <w:rFonts w:ascii="Times New Roman" w:hAnsi="Times New Roman"/>
          <w:i/>
          <w:lang w:val="fr-BE"/>
        </w:rPr>
        <w:t>G.P.</w:t>
      </w:r>
      <w:r w:rsidRPr="00E333B6">
        <w:rPr>
          <w:rFonts w:ascii="Times New Roman" w:hAnsi="Times New Roman"/>
          <w:lang w:val="fr-BE"/>
        </w:rPr>
        <w:t xml:space="preserve">, 328 (2009), p. 39. </w:t>
      </w:r>
    </w:p>
  </w:footnote>
  <w:footnote w:id="67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Wet nr. 2009-879 van 21 juli 2009.</w:t>
      </w:r>
    </w:p>
  </w:footnote>
  <w:footnote w:id="67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50 van wet nr. 2009-879 van 21 juli 2009.</w:t>
      </w:r>
    </w:p>
  </w:footnote>
  <w:footnote w:id="676">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Zie: BRECHAT, P.H.; RYMER, R.; GRENOUILLEAU, M.C.; JOURDAIN, A.; ‘Éléments pour un premier bilan et des perspectives du plan hôpital 2007’, </w:t>
      </w:r>
      <w:r w:rsidRPr="00E333B6">
        <w:rPr>
          <w:rFonts w:ascii="Times New Roman" w:hAnsi="Times New Roman"/>
          <w:i/>
          <w:lang w:val="fr-BE"/>
        </w:rPr>
        <w:t>Santé Publique</w:t>
      </w:r>
      <w:r w:rsidRPr="00E333B6">
        <w:rPr>
          <w:rFonts w:ascii="Times New Roman" w:hAnsi="Times New Roman"/>
          <w:lang w:val="fr-BE"/>
        </w:rPr>
        <w:t xml:space="preserve">, 20/6 (2008), p. 611-621; LE HYARIC, A., </w:t>
      </w:r>
      <w:r w:rsidRPr="00E333B6">
        <w:rPr>
          <w:rFonts w:ascii="Times New Roman" w:hAnsi="Times New Roman"/>
          <w:i/>
          <w:lang w:val="fr-BE"/>
        </w:rPr>
        <w:t>Plan «Hôpital 2007». Le contexte, les objectifs, les réalisations</w:t>
      </w:r>
      <w:r w:rsidRPr="00E333B6">
        <w:rPr>
          <w:rFonts w:ascii="Times New Roman" w:hAnsi="Times New Roman"/>
          <w:lang w:val="fr-BE"/>
        </w:rPr>
        <w:t>, Montereau, 2006 (</w:t>
      </w:r>
      <w:hyperlink r:id="rId146" w:history="1">
        <w:r w:rsidRPr="002E0847">
          <w:rPr>
            <w:rStyle w:val="Hyperlink"/>
            <w:rFonts w:ascii="Times New Roman" w:hAnsi="Times New Roman"/>
            <w:lang w:val="fr-BE"/>
          </w:rPr>
          <w:t>http://rnrsms.ac-creteil.fr/idf/ formation/stage06/reformes2.htm</w:t>
        </w:r>
      </w:hyperlink>
      <w:r w:rsidRPr="00E333B6">
        <w:rPr>
          <w:rFonts w:ascii="Times New Roman" w:hAnsi="Times New Roman"/>
          <w:lang w:val="fr-BE"/>
        </w:rPr>
        <w:t>, laatst geraadpleegd op 23 juli 2012).</w:t>
      </w:r>
    </w:p>
  </w:footnote>
  <w:footnote w:id="67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‘Hôpital 2012: la majorité des projets SI-PDS ne seront pas achieves avant 2013’, 25 mei 2012 (</w:t>
      </w:r>
      <w:hyperlink w:history="1">
        <w:r w:rsidRPr="002E0847">
          <w:rPr>
            <w:rStyle w:val="Hyperlink"/>
            <w:rFonts w:ascii="Times New Roman" w:hAnsi="Times New Roman"/>
            <w:lang w:val="fr-BE"/>
          </w:rPr>
          <w:t>http://www. ticsante.com/show.php?page=story&amp;id=1252</w:t>
        </w:r>
      </w:hyperlink>
      <w:r w:rsidRPr="00E333B6">
        <w:rPr>
          <w:rFonts w:ascii="Times New Roman" w:hAnsi="Times New Roman"/>
          <w:lang w:val="fr-BE"/>
        </w:rPr>
        <w:t xml:space="preserve">, laatst geraadpleegd op 23 juli 2012); </w:t>
      </w:r>
      <w:r w:rsidRPr="00E333B6">
        <w:rPr>
          <w:rFonts w:ascii="Times New Roman" w:hAnsi="Times New Roman"/>
          <w:i/>
          <w:lang w:val="fr-BE"/>
        </w:rPr>
        <w:t>Investissement hospitalier, du plan hôpital 2007 au Plan Hôpital 2012: actes de la conférence, 13 février 2007</w:t>
      </w:r>
      <w:r w:rsidRPr="00E333B6">
        <w:rPr>
          <w:rFonts w:ascii="Times New Roman" w:hAnsi="Times New Roman"/>
          <w:lang w:val="fr-BE"/>
        </w:rPr>
        <w:t>, Parijs, Ministère de la santé et des solidarities, 2007, 34p. (</w:t>
      </w:r>
      <w:hyperlink r:id="rId147" w:history="1">
        <w:r w:rsidRPr="00E333B6">
          <w:rPr>
            <w:rStyle w:val="Hyperlink"/>
            <w:rFonts w:ascii="Times New Roman" w:hAnsi="Times New Roman"/>
            <w:lang w:val="fr-BE"/>
          </w:rPr>
          <w:t>http://fulltext.bdsp.ehesp.fr/Ministere/Publications/2007/ISO20024340.pdf</w:t>
        </w:r>
      </w:hyperlink>
      <w:r w:rsidRPr="00E333B6">
        <w:rPr>
          <w:rFonts w:ascii="Times New Roman" w:hAnsi="Times New Roman"/>
          <w:lang w:val="fr-BE"/>
        </w:rPr>
        <w:t xml:space="preserve">, laatst geraadpleegd op 23 juli 2012); DELCROS, E.; FENIES, M.; LE LUDEC, T.; ‘Plan hospital 2012: dossier’, </w:t>
      </w:r>
      <w:r w:rsidRPr="00E333B6">
        <w:rPr>
          <w:rFonts w:ascii="Times New Roman" w:hAnsi="Times New Roman"/>
          <w:i/>
          <w:lang w:val="fr-BE"/>
        </w:rPr>
        <w:t>La revue de l’ARHIF</w:t>
      </w:r>
      <w:r w:rsidRPr="00E333B6">
        <w:rPr>
          <w:rFonts w:ascii="Times New Roman" w:hAnsi="Times New Roman"/>
          <w:lang w:val="fr-BE"/>
        </w:rPr>
        <w:t xml:space="preserve">, 2008, 10, p. 12-17; LAHALLE, D.; SLOSSE, D.; LE TAILLANDIER DE BABORY, V.; DEGOULET, P.; ‘Systèmes d'information hospitaliers. Hôpital 2012: mode d'emploi’, </w:t>
      </w:r>
      <w:r w:rsidRPr="00E333B6">
        <w:rPr>
          <w:rFonts w:ascii="Times New Roman" w:hAnsi="Times New Roman"/>
          <w:i/>
          <w:lang w:val="fr-BE"/>
        </w:rPr>
        <w:t>Décision Santé</w:t>
      </w:r>
      <w:r w:rsidRPr="00E333B6">
        <w:rPr>
          <w:rFonts w:ascii="Times New Roman" w:hAnsi="Times New Roman"/>
          <w:lang w:val="fr-BE"/>
        </w:rPr>
        <w:t>, 235 (2007), 14p.</w:t>
      </w:r>
    </w:p>
  </w:footnote>
  <w:footnote w:id="67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BESSON, E., </w:t>
      </w:r>
      <w:r w:rsidRPr="00E333B6">
        <w:rPr>
          <w:rFonts w:ascii="Times New Roman" w:hAnsi="Times New Roman"/>
          <w:i/>
          <w:lang w:val="fr-BE"/>
        </w:rPr>
        <w:t>France numérique 2012. Plan de développement de l’économie numérique</w:t>
      </w:r>
      <w:r w:rsidRPr="00E333B6">
        <w:rPr>
          <w:rFonts w:ascii="Times New Roman" w:hAnsi="Times New Roman"/>
          <w:lang w:val="fr-BE"/>
        </w:rPr>
        <w:t>, 2008 (</w:t>
      </w:r>
      <w:hyperlink w:history="1">
        <w:r w:rsidRPr="002E0847">
          <w:rPr>
            <w:rStyle w:val="Hyperlink"/>
            <w:rFonts w:ascii="Times New Roman" w:hAnsi="Times New Roman"/>
            <w:lang w:val="fr-BE"/>
          </w:rPr>
          <w:t>http://www. ladocumentationfrancaise.fr/var/storage/rapports-publics/084000664/0000.pdf</w:t>
        </w:r>
      </w:hyperlink>
      <w:r w:rsidRPr="00E333B6">
        <w:rPr>
          <w:rFonts w:ascii="Times New Roman" w:hAnsi="Times New Roman"/>
          <w:lang w:val="fr-BE"/>
        </w:rPr>
        <w:t>).</w:t>
      </w:r>
    </w:p>
  </w:footnote>
  <w:footnote w:id="67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NGOUYOMBO, B., </w:t>
      </w:r>
      <w:r w:rsidRPr="00E333B6">
        <w:rPr>
          <w:rFonts w:ascii="Times New Roman" w:hAnsi="Times New Roman"/>
          <w:i/>
          <w:lang w:val="fr-BE"/>
        </w:rPr>
        <w:t>Réussir le DMP</w:t>
      </w:r>
      <w:r w:rsidRPr="00E333B6">
        <w:rPr>
          <w:rFonts w:ascii="Times New Roman" w:hAnsi="Times New Roman"/>
          <w:lang w:val="fr-BE"/>
        </w:rPr>
        <w:t>, Parijs, Institut Montaigne, 2010, 8p.</w:t>
      </w:r>
    </w:p>
  </w:footnote>
  <w:footnote w:id="68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hyperlink r:id="rId148" w:history="1">
        <w:r w:rsidRPr="00426625">
          <w:rPr>
            <w:rStyle w:val="Hyperlink"/>
            <w:rFonts w:ascii="Times New Roman" w:hAnsi="Times New Roman"/>
          </w:rPr>
          <w:t>http://www.dmp.gouv.fr/web/dmp/essayez-le-dmp</w:t>
        </w:r>
      </w:hyperlink>
      <w:r w:rsidRPr="00426625">
        <w:rPr>
          <w:rFonts w:ascii="Times New Roman" w:hAnsi="Times New Roman"/>
        </w:rPr>
        <w:t>, laatst geraadpleegd op 23 juli 2012.</w:t>
      </w:r>
    </w:p>
  </w:footnote>
  <w:footnote w:id="68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‘L’accès web «Patients» du Dossier Médical Personnel (DMP) obtient le label ‘2011, Année des patients et de leurs droits’’, Parijs, 2011 (</w:t>
      </w:r>
      <w:hyperlink r:id="rId149" w:history="1">
        <w:r w:rsidRPr="00EA26DD">
          <w:rPr>
            <w:rStyle w:val="Hyperlink"/>
            <w:rFonts w:ascii="Times New Roman" w:hAnsi="Times New Roman"/>
            <w:lang w:val="fr-BE"/>
          </w:rPr>
          <w:t>http://esante.gouv.fr/asip-sante/espace-presse/communiques-de-presse/l-acces-web-patients-du-dossier-medical-personnel-dmp</w:t>
        </w:r>
      </w:hyperlink>
      <w:r w:rsidRPr="00E333B6">
        <w:rPr>
          <w:rFonts w:ascii="Times New Roman" w:hAnsi="Times New Roman"/>
          <w:lang w:val="fr-BE"/>
        </w:rPr>
        <w:t>, laatst geraadpleegd op 23 juli 2012).</w:t>
      </w:r>
    </w:p>
  </w:footnote>
  <w:footnote w:id="682">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‘Près de 16.000 DMP ont été créés en six mois’, Parijs, 2011 (</w:t>
      </w:r>
      <w:hyperlink r:id="rId150" w:history="1">
        <w:r w:rsidRPr="00EA26DD">
          <w:rPr>
            <w:rStyle w:val="Hyperlink"/>
            <w:rFonts w:ascii="Times New Roman" w:hAnsi="Times New Roman" w:cs="Times New Roman"/>
            <w:sz w:val="20"/>
            <w:szCs w:val="20"/>
            <w:lang w:val="fr-BE"/>
          </w:rPr>
          <w:t>http://www.ticsante.com/show.php?page=story &amp;id=1023&amp;story=1023</w:t>
        </w:r>
      </w:hyperlink>
      <w:r w:rsidRPr="00E333B6">
        <w:rPr>
          <w:rFonts w:ascii="Times New Roman" w:hAnsi="Times New Roman" w:cs="Times New Roman"/>
          <w:sz w:val="20"/>
          <w:szCs w:val="20"/>
          <w:lang w:val="fr-BE"/>
        </w:rPr>
        <w:t>, laatst geraadpleegd op 23 juli 2012).</w:t>
      </w:r>
    </w:p>
  </w:footnote>
  <w:footnote w:id="68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BOURRELLIS, C., ‘Le dossier de soins informatisé’, </w:t>
      </w:r>
      <w:r w:rsidRPr="00E333B6">
        <w:rPr>
          <w:rFonts w:ascii="Times New Roman" w:hAnsi="Times New Roman"/>
          <w:i/>
          <w:lang w:val="fr-BE"/>
        </w:rPr>
        <w:t>Revue de l’infirmière</w:t>
      </w:r>
      <w:r w:rsidRPr="00E333B6">
        <w:rPr>
          <w:rFonts w:ascii="Times New Roman" w:hAnsi="Times New Roman"/>
          <w:lang w:val="fr-BE"/>
        </w:rPr>
        <w:t>, 160 (2010), p. 32-34.</w:t>
      </w:r>
    </w:p>
  </w:footnote>
  <w:footnote w:id="684">
    <w:p w:rsidR="00E82D16" w:rsidRPr="0085282A"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85282A">
        <w:rPr>
          <w:rFonts w:ascii="Times New Roman" w:hAnsi="Times New Roman"/>
          <w:lang w:val="fr-BE"/>
        </w:rPr>
        <w:t xml:space="preserve"> Bron: ‘Près de 16.000 DMP ont été créés en six mois’, Parijs, 1 augustus 2011 (</w:t>
      </w:r>
      <w:hyperlink r:id="rId151" w:history="1">
        <w:r w:rsidRPr="00EA26DD">
          <w:rPr>
            <w:rStyle w:val="Hyperlink"/>
            <w:rFonts w:ascii="Times New Roman" w:hAnsi="Times New Roman"/>
            <w:lang w:val="fr-BE"/>
          </w:rPr>
          <w:t>http://www.ticsante.com/ show.php?page=story&amp;id=1023&amp;story=1023</w:t>
        </w:r>
      </w:hyperlink>
      <w:r w:rsidRPr="0085282A">
        <w:rPr>
          <w:rFonts w:ascii="Times New Roman" w:hAnsi="Times New Roman"/>
          <w:lang w:val="fr-BE"/>
        </w:rPr>
        <w:t>, laatst geraadpleegd op 23 juli 2012); ‘Plus de 39.000 DMP créés en dix mois’, Parijs, 26 oktober 2011 (</w:t>
      </w:r>
      <w:hyperlink r:id="rId152" w:history="1">
        <w:r w:rsidRPr="0085282A">
          <w:rPr>
            <w:rStyle w:val="Hyperlink"/>
            <w:rFonts w:ascii="Times New Roman" w:hAnsi="Times New Roman"/>
            <w:lang w:val="fr-BE"/>
          </w:rPr>
          <w:t>http://www.ticsante.com/show.php?page=story&amp;id=1089</w:t>
        </w:r>
      </w:hyperlink>
      <w:r w:rsidRPr="0085282A">
        <w:rPr>
          <w:rFonts w:ascii="Times New Roman" w:hAnsi="Times New Roman"/>
          <w:lang w:val="fr-BE"/>
        </w:rPr>
        <w:t>, laatst geraad</w:t>
      </w:r>
      <w:r>
        <w:rPr>
          <w:rFonts w:ascii="Times New Roman" w:hAnsi="Times New Roman"/>
          <w:lang w:val="fr-BE"/>
        </w:rPr>
        <w:t>-</w:t>
      </w:r>
      <w:r w:rsidRPr="0085282A">
        <w:rPr>
          <w:rFonts w:ascii="Times New Roman" w:hAnsi="Times New Roman"/>
          <w:lang w:val="fr-BE"/>
        </w:rPr>
        <w:t xml:space="preserve">pleegd op 23 juli 2012); </w:t>
      </w:r>
      <w:hyperlink r:id="rId153" w:history="1">
        <w:r w:rsidRPr="0085282A">
          <w:rPr>
            <w:rStyle w:val="Hyperlink"/>
            <w:rFonts w:ascii="Times New Roman" w:hAnsi="Times New Roman"/>
            <w:lang w:val="fr-BE"/>
          </w:rPr>
          <w:t>http://www.dmp.gouv.fr/web/dmp//actualite-dmp/cartes-de-france-du-dmp</w:t>
        </w:r>
      </w:hyperlink>
      <w:r w:rsidRPr="0085282A">
        <w:rPr>
          <w:rFonts w:ascii="Times New Roman" w:hAnsi="Times New Roman"/>
          <w:lang w:val="fr-BE"/>
        </w:rPr>
        <w:t>, laatst ge</w:t>
      </w:r>
      <w:r>
        <w:rPr>
          <w:rFonts w:ascii="Times New Roman" w:hAnsi="Times New Roman"/>
          <w:lang w:val="fr-BE"/>
        </w:rPr>
        <w:t>-</w:t>
      </w:r>
      <w:r w:rsidRPr="0085282A">
        <w:rPr>
          <w:rFonts w:ascii="Times New Roman" w:hAnsi="Times New Roman"/>
          <w:lang w:val="fr-BE"/>
        </w:rPr>
        <w:t>raadpleegd op 23 juli 201</w:t>
      </w:r>
      <w:r>
        <w:rPr>
          <w:rFonts w:ascii="Times New Roman" w:hAnsi="Times New Roman"/>
          <w:lang w:val="fr-BE"/>
        </w:rPr>
        <w:t>2.</w:t>
      </w:r>
    </w:p>
  </w:footnote>
  <w:footnote w:id="68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w:t>
      </w:r>
    </w:p>
  </w:footnote>
  <w:footnote w:id="68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154" w:history="1">
        <w:r w:rsidRPr="00426625">
          <w:rPr>
            <w:rStyle w:val="Hyperlink"/>
            <w:rFonts w:ascii="Times New Roman" w:hAnsi="Times New Roman"/>
          </w:rPr>
          <w:t>http://www.dmp.gouv.fr/web/dmp//actualite-dmp/cartes-de-france-du-dmp</w:t>
        </w:r>
      </w:hyperlink>
      <w:r w:rsidRPr="00426625">
        <w:rPr>
          <w:rFonts w:ascii="Times New Roman" w:hAnsi="Times New Roman"/>
        </w:rPr>
        <w:t>, laatst geraadpleegd op 23 juli 201</w:t>
      </w:r>
      <w:r>
        <w:rPr>
          <w:rFonts w:ascii="Times New Roman" w:hAnsi="Times New Roman"/>
        </w:rPr>
        <w:t>2.</w:t>
      </w:r>
    </w:p>
  </w:footnote>
  <w:footnote w:id="68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155" w:history="1">
        <w:r w:rsidRPr="00426625">
          <w:rPr>
            <w:rStyle w:val="Hyperlink"/>
            <w:rFonts w:ascii="Times New Roman" w:hAnsi="Times New Roman"/>
          </w:rPr>
          <w:t>http://www.dmp.gouv.fr/web/dmp//actualite-dmp/cartes-de-france-du-dmp</w:t>
        </w:r>
      </w:hyperlink>
      <w:r w:rsidRPr="00426625">
        <w:rPr>
          <w:rFonts w:ascii="Times New Roman" w:hAnsi="Times New Roman"/>
        </w:rPr>
        <w:t xml:space="preserve"> en </w:t>
      </w:r>
      <w:hyperlink r:id="rId156" w:history="1">
        <w:r w:rsidRPr="00EA26DD">
          <w:rPr>
            <w:rStyle w:val="Hyperlink"/>
            <w:rFonts w:ascii="Times New Roman" w:hAnsi="Times New Roman"/>
          </w:rPr>
          <w:t>http://www.dmp.gouv.fr/ web/dmp/actualite-dmp/etablissements-raccordes-au-dmp</w:t>
        </w:r>
      </w:hyperlink>
      <w:r w:rsidRPr="00426625">
        <w:rPr>
          <w:rFonts w:ascii="Times New Roman" w:hAnsi="Times New Roman"/>
        </w:rPr>
        <w:t>, laatst geraadpleegd op 23 juli 201</w:t>
      </w:r>
      <w:r>
        <w:rPr>
          <w:rFonts w:ascii="Times New Roman" w:hAnsi="Times New Roman"/>
        </w:rPr>
        <w:t>2.</w:t>
      </w:r>
    </w:p>
  </w:footnote>
  <w:footnote w:id="68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Bron: MONNIER, A., </w:t>
      </w:r>
      <w:r w:rsidRPr="00E333B6">
        <w:rPr>
          <w:rFonts w:ascii="Times New Roman" w:hAnsi="Times New Roman"/>
          <w:i/>
          <w:lang w:val="fr-BE"/>
        </w:rPr>
        <w:t>Réunion des éditeurs «DMP Compatibles». Déploiement du DMP: retours d’expé</w:t>
      </w:r>
      <w:r>
        <w:rPr>
          <w:rFonts w:ascii="Times New Roman" w:hAnsi="Times New Roman"/>
          <w:i/>
          <w:lang w:val="fr-BE"/>
        </w:rPr>
        <w:t>-</w:t>
      </w:r>
      <w:r w:rsidRPr="00E333B6">
        <w:rPr>
          <w:rFonts w:ascii="Times New Roman" w:hAnsi="Times New Roman"/>
          <w:i/>
          <w:lang w:val="fr-BE"/>
        </w:rPr>
        <w:t>rience</w:t>
      </w:r>
      <w:r w:rsidRPr="00E333B6">
        <w:rPr>
          <w:rFonts w:ascii="Times New Roman" w:hAnsi="Times New Roman"/>
          <w:lang w:val="fr-BE"/>
        </w:rPr>
        <w:t>, 23 april 2012, p. 6 (</w:t>
      </w:r>
      <w:hyperlink r:id="rId157" w:history="1">
        <w:r w:rsidRPr="00EA26DD">
          <w:rPr>
            <w:rStyle w:val="Hyperlink"/>
            <w:rFonts w:ascii="Times New Roman" w:hAnsi="Times New Roman"/>
            <w:lang w:val="fr-BE"/>
          </w:rPr>
          <w:t>http://esante.gouv.fr/travaux-d-experts/20120423-deploiement-du-dmp-retours-d-experience</w:t>
        </w:r>
      </w:hyperlink>
      <w:r w:rsidRPr="00E333B6">
        <w:rPr>
          <w:rFonts w:ascii="Times New Roman" w:hAnsi="Times New Roman"/>
          <w:lang w:val="fr-BE"/>
        </w:rPr>
        <w:t>, laatst geraadpleegd op 23 juli 2012).</w:t>
      </w:r>
    </w:p>
  </w:footnote>
  <w:footnote w:id="68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Idem.</w:t>
      </w:r>
    </w:p>
  </w:footnote>
  <w:footnote w:id="69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w:t>
      </w:r>
      <w:r w:rsidRPr="00E333B6">
        <w:rPr>
          <w:rFonts w:ascii="Times New Roman" w:hAnsi="Times New Roman"/>
          <w:i/>
          <w:lang w:val="fr-BE"/>
        </w:rPr>
        <w:t>État des lieux et perspectives de plate-formes régionales de services. Programme de relance du DMP et des systèmes d'information de santé</w:t>
      </w:r>
      <w:r w:rsidRPr="00E333B6">
        <w:rPr>
          <w:rFonts w:ascii="Times New Roman" w:hAnsi="Times New Roman"/>
          <w:lang w:val="fr-BE"/>
        </w:rPr>
        <w:t>, Parijs, Mission de Préfiguration de l’Agence des Systèmes d’Information Parta</w:t>
      </w:r>
      <w:r>
        <w:rPr>
          <w:rFonts w:ascii="Times New Roman" w:hAnsi="Times New Roman"/>
          <w:lang w:val="fr-BE"/>
        </w:rPr>
        <w:t>-</w:t>
      </w:r>
      <w:r w:rsidRPr="00E333B6">
        <w:rPr>
          <w:rFonts w:ascii="Times New Roman" w:hAnsi="Times New Roman"/>
          <w:lang w:val="fr-BE"/>
        </w:rPr>
        <w:t>gés de Santé, 2009, 70p.</w:t>
      </w:r>
    </w:p>
  </w:footnote>
  <w:footnote w:id="69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131 § 1 van wet nr. 2009-879 van 21 juli 2009; besluit nr. 2010-336 van 31 maart 2010 houdende de op</w:t>
      </w:r>
      <w:r>
        <w:rPr>
          <w:rFonts w:ascii="Times New Roman" w:hAnsi="Times New Roman"/>
          <w:lang w:val="fr-BE"/>
        </w:rPr>
        <w:t>-</w:t>
      </w:r>
      <w:r w:rsidRPr="00E333B6">
        <w:rPr>
          <w:rFonts w:ascii="Times New Roman" w:hAnsi="Times New Roman"/>
          <w:lang w:val="fr-BE"/>
        </w:rPr>
        <w:t xml:space="preserve">richting van de </w:t>
      </w:r>
      <w:r w:rsidRPr="00E333B6">
        <w:rPr>
          <w:rFonts w:ascii="Times New Roman" w:hAnsi="Times New Roman"/>
          <w:i/>
          <w:lang w:val="fr-BE"/>
        </w:rPr>
        <w:t xml:space="preserve">Agences Régionales de Santé </w:t>
      </w:r>
      <w:r w:rsidRPr="00E333B6">
        <w:rPr>
          <w:rFonts w:ascii="Times New Roman" w:hAnsi="Times New Roman"/>
          <w:lang w:val="fr-BE"/>
        </w:rPr>
        <w:t>(</w:t>
      </w:r>
      <w:r w:rsidRPr="00E333B6">
        <w:rPr>
          <w:rFonts w:ascii="Times New Roman" w:hAnsi="Times New Roman"/>
          <w:i/>
          <w:lang w:val="fr-BE"/>
        </w:rPr>
        <w:t>JORF</w:t>
      </w:r>
      <w:r w:rsidRPr="00E333B6">
        <w:rPr>
          <w:rFonts w:ascii="Times New Roman" w:hAnsi="Times New Roman"/>
          <w:lang w:val="fr-BE"/>
        </w:rPr>
        <w:t xml:space="preserve"> 77, 1 april 2010); besluit nr. 2010-337 van 31 maart 2010 met betrekking tot de toezichtsraad van de </w:t>
      </w:r>
      <w:r w:rsidRPr="00E333B6">
        <w:rPr>
          <w:rFonts w:ascii="Times New Roman" w:hAnsi="Times New Roman"/>
          <w:i/>
          <w:lang w:val="fr-BE"/>
        </w:rPr>
        <w:t xml:space="preserve">Agence Régionale de Santé </w:t>
      </w:r>
      <w:r w:rsidRPr="00E333B6">
        <w:rPr>
          <w:rFonts w:ascii="Times New Roman" w:hAnsi="Times New Roman"/>
          <w:lang w:val="fr-BE"/>
        </w:rPr>
        <w:t>(</w:t>
      </w:r>
      <w:r w:rsidRPr="00E333B6">
        <w:rPr>
          <w:rFonts w:ascii="Times New Roman" w:hAnsi="Times New Roman"/>
          <w:i/>
          <w:lang w:val="fr-BE"/>
        </w:rPr>
        <w:t>JORF</w:t>
      </w:r>
      <w:r w:rsidRPr="00E333B6">
        <w:rPr>
          <w:rFonts w:ascii="Times New Roman" w:hAnsi="Times New Roman"/>
          <w:lang w:val="fr-BE"/>
        </w:rPr>
        <w:t xml:space="preserve"> 77, 1 april 2010); besluit nr. 2010-339 van 31 maart 2010 met betrekking tot het financiële regime van de </w:t>
      </w:r>
      <w:r w:rsidRPr="00E333B6">
        <w:rPr>
          <w:rFonts w:ascii="Times New Roman" w:hAnsi="Times New Roman"/>
          <w:i/>
          <w:lang w:val="fr-BE"/>
        </w:rPr>
        <w:t>Agences Régionales de Santé</w:t>
      </w:r>
      <w:r w:rsidRPr="00E333B6">
        <w:rPr>
          <w:rFonts w:ascii="Times New Roman" w:hAnsi="Times New Roman"/>
          <w:lang w:val="fr-BE"/>
        </w:rPr>
        <w:t xml:space="preserve"> (</w:t>
      </w:r>
      <w:r w:rsidRPr="00E333B6">
        <w:rPr>
          <w:rFonts w:ascii="Times New Roman" w:hAnsi="Times New Roman"/>
          <w:i/>
          <w:lang w:val="fr-BE"/>
        </w:rPr>
        <w:t>JORF</w:t>
      </w:r>
      <w:r w:rsidRPr="00E333B6">
        <w:rPr>
          <w:rFonts w:ascii="Times New Roman" w:hAnsi="Times New Roman"/>
          <w:lang w:val="fr-BE"/>
        </w:rPr>
        <w:t xml:space="preserve"> 77, 1 april 2010); besluit nr. 2010-786 van 8 juli 2010 betreffende de nationale besturing van de </w:t>
      </w:r>
      <w:r w:rsidRPr="00E333B6">
        <w:rPr>
          <w:rFonts w:ascii="Times New Roman" w:hAnsi="Times New Roman"/>
          <w:i/>
          <w:lang w:val="fr-BE"/>
        </w:rPr>
        <w:t>Agences Régionales de Santé</w:t>
      </w:r>
      <w:r w:rsidRPr="00E333B6">
        <w:rPr>
          <w:rFonts w:ascii="Times New Roman" w:hAnsi="Times New Roman"/>
          <w:lang w:val="fr-BE"/>
        </w:rPr>
        <w:t xml:space="preserve"> (</w:t>
      </w:r>
      <w:r w:rsidRPr="00E333B6">
        <w:rPr>
          <w:rFonts w:ascii="Times New Roman" w:hAnsi="Times New Roman"/>
          <w:i/>
          <w:lang w:val="fr-BE"/>
        </w:rPr>
        <w:t>JORF</w:t>
      </w:r>
      <w:r w:rsidRPr="00E333B6">
        <w:rPr>
          <w:rFonts w:ascii="Times New Roman" w:hAnsi="Times New Roman"/>
          <w:lang w:val="fr-BE"/>
        </w:rPr>
        <w:t xml:space="preserve"> 159, 11 juli 2010); DE LARD, B., ‘Les outils des agences régionales de santé’, </w:t>
      </w:r>
      <w:r w:rsidRPr="00E333B6">
        <w:rPr>
          <w:rFonts w:ascii="Times New Roman" w:hAnsi="Times New Roman"/>
          <w:i/>
          <w:lang w:val="fr-BE"/>
        </w:rPr>
        <w:t>A.J.S.</w:t>
      </w:r>
      <w:r w:rsidRPr="00E333B6">
        <w:rPr>
          <w:rFonts w:ascii="Times New Roman" w:hAnsi="Times New Roman"/>
          <w:lang w:val="fr-BE"/>
        </w:rPr>
        <w:t>, 66 (2009), p. 14-17; ID., ‘Participation des établissements au nouveau piltoge régional de la santé (ARS): Faire jou</w:t>
      </w:r>
      <w:r>
        <w:rPr>
          <w:rFonts w:ascii="Times New Roman" w:hAnsi="Times New Roman"/>
          <w:lang w:val="fr-BE"/>
        </w:rPr>
        <w:t>-</w:t>
      </w:r>
      <w:r w:rsidRPr="00E333B6">
        <w:rPr>
          <w:rFonts w:ascii="Times New Roman" w:hAnsi="Times New Roman"/>
          <w:lang w:val="fr-BE"/>
        </w:rPr>
        <w:t xml:space="preserve">er la représentativité sur tous les fronts’, </w:t>
      </w:r>
      <w:r w:rsidRPr="00E333B6">
        <w:rPr>
          <w:rFonts w:ascii="Times New Roman" w:hAnsi="Times New Roman"/>
          <w:i/>
          <w:lang w:val="fr-BE"/>
        </w:rPr>
        <w:t>A.J.S.</w:t>
      </w:r>
      <w:r w:rsidRPr="00E333B6">
        <w:rPr>
          <w:rFonts w:ascii="Times New Roman" w:hAnsi="Times New Roman"/>
          <w:lang w:val="fr-BE"/>
        </w:rPr>
        <w:t xml:space="preserve">, 71 (2010), p. 14-16; NABET, N.; OLIVIER, P.; COURREGES, C.; ‘L’ARS: pilote de la politique de santé régionale. Les agences régionales de santé, un an après’, </w:t>
      </w:r>
      <w:r w:rsidRPr="00E333B6">
        <w:rPr>
          <w:rFonts w:ascii="Times New Roman" w:hAnsi="Times New Roman"/>
          <w:i/>
          <w:lang w:val="fr-BE"/>
        </w:rPr>
        <w:t>A.D.S.P.</w:t>
      </w:r>
      <w:r w:rsidRPr="00E333B6">
        <w:rPr>
          <w:rFonts w:ascii="Times New Roman" w:hAnsi="Times New Roman"/>
          <w:lang w:val="fr-BE"/>
        </w:rPr>
        <w:t>, 74 (2011), p. 22-34.</w:t>
      </w:r>
    </w:p>
  </w:footnote>
  <w:footnote w:id="69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Besluit nr. 2010-348 van 31 maart 2010 betreffende de regionale conferentie over gezondheid en autonomie (</w:t>
      </w:r>
      <w:r w:rsidRPr="00426625">
        <w:rPr>
          <w:rFonts w:ascii="Times New Roman" w:hAnsi="Times New Roman"/>
          <w:i/>
        </w:rPr>
        <w:t>JORF</w:t>
      </w:r>
      <w:r w:rsidRPr="00426625">
        <w:rPr>
          <w:rFonts w:ascii="Times New Roman" w:hAnsi="Times New Roman"/>
        </w:rPr>
        <w:t xml:space="preserve"> 77, 1 april 2010); besluit nr. 2010-346 van 31 maart 2010 betreffende de comités voor de coördinatie van politiek (</w:t>
      </w:r>
      <w:r w:rsidRPr="00426625">
        <w:rPr>
          <w:rFonts w:ascii="Times New Roman" w:hAnsi="Times New Roman"/>
          <w:i/>
        </w:rPr>
        <w:t>JORF</w:t>
      </w:r>
      <w:r w:rsidRPr="00426625">
        <w:rPr>
          <w:rFonts w:ascii="Times New Roman" w:hAnsi="Times New Roman"/>
        </w:rPr>
        <w:t xml:space="preserve"> 77, 1 april 2010); besluit nr. 2010-347 van 31 maart 2010 betreffende de samenstelling en de wijze waarop de conferenties over verzorgingsgebieden functioneren (</w:t>
      </w:r>
      <w:r w:rsidRPr="00426625">
        <w:rPr>
          <w:rFonts w:ascii="Times New Roman" w:hAnsi="Times New Roman"/>
          <w:i/>
        </w:rPr>
        <w:t>JORF</w:t>
      </w:r>
      <w:r w:rsidRPr="00426625">
        <w:rPr>
          <w:rFonts w:ascii="Times New Roman" w:hAnsi="Times New Roman"/>
        </w:rPr>
        <w:t xml:space="preserve"> 77, 1 april 2010); besluit nr. 2010-514 van 18 mei 2010 betreffende het regionaal gezondheidsproject (</w:t>
      </w:r>
      <w:r w:rsidRPr="00426625">
        <w:rPr>
          <w:rFonts w:ascii="Times New Roman" w:hAnsi="Times New Roman"/>
          <w:i/>
        </w:rPr>
        <w:t>JORF</w:t>
      </w:r>
      <w:r w:rsidRPr="00426625">
        <w:rPr>
          <w:rFonts w:ascii="Times New Roman" w:hAnsi="Times New Roman"/>
        </w:rPr>
        <w:t xml:space="preserve"> 115, 20 mei 2010); </w:t>
      </w:r>
      <w:hyperlink w:history="1">
        <w:r w:rsidRPr="00EA26DD">
          <w:rPr>
            <w:rStyle w:val="Hyperlink"/>
            <w:rFonts w:ascii="Times New Roman" w:hAnsi="Times New Roman"/>
          </w:rPr>
          <w:t>http://www. handipole.org/spip.php?article1802</w:t>
        </w:r>
      </w:hyperlink>
      <w:r w:rsidRPr="00426625">
        <w:rPr>
          <w:rFonts w:ascii="Times New Roman" w:hAnsi="Times New Roman"/>
        </w:rPr>
        <w:t>, laatst geraadpleegd op 23 juli 2012.</w:t>
      </w:r>
    </w:p>
  </w:footnote>
  <w:footnote w:id="69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Besluit nr. 2011-496 van 5 mei 2011 houdende oprichting van een </w:t>
      </w:r>
      <w:r w:rsidRPr="00426625">
        <w:rPr>
          <w:rFonts w:ascii="Times New Roman" w:hAnsi="Times New Roman"/>
          <w:i/>
        </w:rPr>
        <w:t>délégation à la stratégie des systèmes d’in</w:t>
      </w:r>
      <w:r>
        <w:rPr>
          <w:rFonts w:ascii="Times New Roman" w:hAnsi="Times New Roman"/>
          <w:i/>
        </w:rPr>
        <w:t>-</w:t>
      </w:r>
      <w:r w:rsidRPr="00426625">
        <w:rPr>
          <w:rFonts w:ascii="Times New Roman" w:hAnsi="Times New Roman"/>
          <w:i/>
        </w:rPr>
        <w:t>formation de santé nabij de ministers die bevoegd zijn voor volksgezondheid, sociale zekerheid, solidariteit en sociale cohesie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105, 6 mei 2011).</w:t>
      </w:r>
    </w:p>
  </w:footnote>
  <w:footnote w:id="69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Verordening van 8 september 2009 houdende goedkeuring van de overeenkomst over de samenstelling van een onderneming van openbaar belang (</w:t>
      </w:r>
      <w:r w:rsidRPr="00426625">
        <w:rPr>
          <w:rFonts w:ascii="Times New Roman" w:hAnsi="Times New Roman"/>
          <w:i/>
        </w:rPr>
        <w:t>JORF</w:t>
      </w:r>
      <w:r w:rsidRPr="00426625">
        <w:rPr>
          <w:rFonts w:ascii="Times New Roman" w:hAnsi="Times New Roman"/>
        </w:rPr>
        <w:t xml:space="preserve"> 213, 15 september 2009), gewijzigd door de verordening van 28 november 2009 (</w:t>
      </w:r>
      <w:r w:rsidRPr="00426625">
        <w:rPr>
          <w:rFonts w:ascii="Times New Roman" w:hAnsi="Times New Roman"/>
          <w:i/>
        </w:rPr>
        <w:t xml:space="preserve">JORF </w:t>
      </w:r>
      <w:r w:rsidRPr="00426625">
        <w:rPr>
          <w:rFonts w:ascii="Times New Roman" w:hAnsi="Times New Roman"/>
        </w:rPr>
        <w:t>277, 29 november 2009); verordening van 28 november 2009 houdende goedkeuring van de ontbinding van de organisatie van openbaar belang «</w:t>
      </w:r>
      <w:r w:rsidRPr="00426625">
        <w:rPr>
          <w:rFonts w:ascii="Times New Roman" w:hAnsi="Times New Roman"/>
          <w:i/>
        </w:rPr>
        <w:t>Carte de professionnel de santé</w:t>
      </w:r>
      <w:r w:rsidRPr="00426625">
        <w:rPr>
          <w:rFonts w:ascii="Times New Roman" w:hAnsi="Times New Roman"/>
        </w:rPr>
        <w:t xml:space="preserve">» en overdracht van de goederen, rechten en verplichtingen aan het </w:t>
      </w:r>
      <w:r w:rsidRPr="00426625">
        <w:rPr>
          <w:rFonts w:ascii="Times New Roman" w:hAnsi="Times New Roman"/>
          <w:i/>
        </w:rPr>
        <w:t>Agence des systèmes d’information partagées de santé</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277, 29 november 2009); verordening van 9 december 2009 ter regeling van de toekenningsbedingen door  ASIP San</w:t>
      </w:r>
      <w:r>
        <w:rPr>
          <w:rFonts w:ascii="Times New Roman" w:hAnsi="Times New Roman"/>
        </w:rPr>
        <w:t>-</w:t>
      </w:r>
      <w:r w:rsidRPr="00426625">
        <w:rPr>
          <w:rFonts w:ascii="Times New Roman" w:hAnsi="Times New Roman"/>
        </w:rPr>
        <w:t>té van finaceringen gericht op het aanmoedigen van de ontwikkeling van gedeelde zorginformatiesystemen (</w:t>
      </w:r>
      <w:r w:rsidRPr="00426625">
        <w:rPr>
          <w:rFonts w:ascii="Times New Roman" w:hAnsi="Times New Roman"/>
          <w:i/>
        </w:rPr>
        <w:t>JORF</w:t>
      </w:r>
      <w:r w:rsidRPr="00426625">
        <w:rPr>
          <w:rFonts w:ascii="Times New Roman" w:hAnsi="Times New Roman"/>
        </w:rPr>
        <w:t xml:space="preserve"> 294, 19 december 2009); </w:t>
      </w:r>
      <w:hyperlink r:id="rId158" w:history="1">
        <w:r w:rsidRPr="00426625">
          <w:rPr>
            <w:rStyle w:val="Hyperlink"/>
            <w:rFonts w:ascii="Times New Roman" w:hAnsi="Times New Roman"/>
          </w:rPr>
          <w:t>http://d-m-p.org/sites/default/files/CP_programme_de_relance_160209.pdf</w:t>
        </w:r>
      </w:hyperlink>
      <w:r w:rsidRPr="00426625">
        <w:rPr>
          <w:rFonts w:ascii="Times New Roman" w:hAnsi="Times New Roman"/>
        </w:rPr>
        <w:t xml:space="preserve">, laatst geraadpleegd op 23 juli 2012; </w:t>
      </w:r>
      <w:hyperlink r:id="rId159" w:history="1">
        <w:r w:rsidRPr="002E0847">
          <w:rPr>
            <w:rStyle w:val="Hyperlink"/>
            <w:rFonts w:ascii="Times New Roman" w:hAnsi="Times New Roman"/>
          </w:rPr>
          <w:t>http://esante.gouv.fr/sites/default/files/Convention_constitutive_ASIP_ 19novembre2009.pdf</w:t>
        </w:r>
      </w:hyperlink>
      <w:r w:rsidRPr="00426625">
        <w:rPr>
          <w:rFonts w:ascii="Times New Roman" w:hAnsi="Times New Roman"/>
        </w:rPr>
        <w:t>, laatst geraadpleegd op 23 juli 2012</w:t>
      </w:r>
      <w:r w:rsidRPr="00426625">
        <w:rPr>
          <w:rStyle w:val="Hyperlink"/>
          <w:rFonts w:ascii="Times New Roman" w:hAnsi="Times New Roman"/>
        </w:rPr>
        <w:t>.</w:t>
      </w:r>
    </w:p>
  </w:footnote>
  <w:footnote w:id="69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lang w:val="fr-BE"/>
        </w:rPr>
        <w:t xml:space="preserve"> ‘Cadre d’Interoperabilité des Systèmes d’Information de Santé (CI-SIS)’, 2012 (</w:t>
      </w:r>
      <w:hyperlink r:id="rId160" w:history="1">
        <w:r w:rsidRPr="00EA26DD">
          <w:rPr>
            <w:rStyle w:val="Hyperlink"/>
            <w:rFonts w:ascii="Times New Roman" w:hAnsi="Times New Roman"/>
            <w:lang w:val="fr-BE"/>
          </w:rPr>
          <w:t>http://esante.gouv.fr/services/ referentiels/referentiels-d-interoperabilite/cadre-d-interoperabilite-des-systemes-d-inform</w:t>
        </w:r>
      </w:hyperlink>
      <w:r w:rsidRPr="00E333B6">
        <w:rPr>
          <w:rFonts w:ascii="Times New Roman" w:hAnsi="Times New Roman"/>
          <w:lang w:val="fr-BE"/>
        </w:rPr>
        <w:t>, laatst geraadpleegd op 23 juli 2012); ‘L’ASIP Santé, hôte des réunions de trois comités de standardisation IHE International’, 2012 (</w:t>
      </w:r>
      <w:hyperlink r:id="rId161" w:history="1">
        <w:r w:rsidRPr="002E0847">
          <w:rPr>
            <w:rStyle w:val="Hyperlink"/>
            <w:rFonts w:ascii="Times New Roman" w:hAnsi="Times New Roman"/>
            <w:lang w:val="fr-BE"/>
          </w:rPr>
          <w:t>http://esante.gouv.fr/actus/interoperabilite/l-asip-sante-hote-des-reunions-de-trois-comites-de-standardisation-ihe-intern</w:t>
        </w:r>
      </w:hyperlink>
      <w:r w:rsidRPr="00E333B6">
        <w:rPr>
          <w:rFonts w:ascii="Times New Roman" w:hAnsi="Times New Roman"/>
          <w:lang w:val="fr-BE"/>
        </w:rPr>
        <w:t xml:space="preserve">, laatst geraadpleegd op 23 juli 2012); ARTMANN; GIEST; DUMORTIER; </w:t>
      </w:r>
      <w:r w:rsidRPr="00E333B6">
        <w:rPr>
          <w:rFonts w:ascii="Times New Roman" w:hAnsi="Times New Roman"/>
          <w:i/>
          <w:lang w:val="fr-BE"/>
        </w:rPr>
        <w:t>Country Brief: France</w:t>
      </w:r>
      <w:r w:rsidRPr="00E333B6">
        <w:rPr>
          <w:rFonts w:ascii="Times New Roman" w:hAnsi="Times New Roman"/>
          <w:lang w:val="fr-BE"/>
        </w:rPr>
        <w:t>, p. 25-26; BOURQUARD, K.; VILTER, V.; CHEREL, P.; HAGAY, C.; HIRLIMANN, E.; ‘Systèmes d’infor</w:t>
      </w:r>
      <w:r>
        <w:rPr>
          <w:rFonts w:ascii="Times New Roman" w:hAnsi="Times New Roman"/>
          <w:lang w:val="fr-BE"/>
        </w:rPr>
        <w:t>-</w:t>
      </w:r>
      <w:r w:rsidRPr="00E333B6">
        <w:rPr>
          <w:rFonts w:ascii="Times New Roman" w:hAnsi="Times New Roman"/>
          <w:lang w:val="fr-BE"/>
        </w:rPr>
        <w:t xml:space="preserve">mation’, </w:t>
      </w:r>
      <w:r w:rsidRPr="00E333B6">
        <w:rPr>
          <w:rFonts w:ascii="Times New Roman" w:hAnsi="Times New Roman"/>
          <w:i/>
          <w:lang w:val="fr-BE"/>
        </w:rPr>
        <w:t>Techniques Hospitalières</w:t>
      </w:r>
      <w:r w:rsidRPr="00E333B6">
        <w:rPr>
          <w:rFonts w:ascii="Times New Roman" w:hAnsi="Times New Roman"/>
          <w:lang w:val="fr-BE"/>
        </w:rPr>
        <w:t xml:space="preserve">, 687 (2004), p. 42-53; FIESCHI, M., </w:t>
      </w:r>
      <w:r w:rsidRPr="00E333B6">
        <w:rPr>
          <w:rFonts w:ascii="Times New Roman" w:hAnsi="Times New Roman"/>
          <w:i/>
          <w:lang w:val="fr-BE"/>
        </w:rPr>
        <w:t>La gouvernance de l’interoperabilité sé</w:t>
      </w:r>
      <w:r>
        <w:rPr>
          <w:rFonts w:ascii="Times New Roman" w:hAnsi="Times New Roman"/>
          <w:i/>
          <w:lang w:val="fr-BE"/>
        </w:rPr>
        <w:t>-</w:t>
      </w:r>
      <w:r w:rsidRPr="00E333B6">
        <w:rPr>
          <w:rFonts w:ascii="Times New Roman" w:hAnsi="Times New Roman"/>
          <w:i/>
          <w:lang w:val="fr-BE"/>
        </w:rPr>
        <w:t>mantique est au cœur du développement des systèmes d’information en santé</w:t>
      </w:r>
      <w:r w:rsidRPr="00E333B6">
        <w:rPr>
          <w:rFonts w:ascii="Times New Roman" w:hAnsi="Times New Roman"/>
          <w:lang w:val="fr-BE"/>
        </w:rPr>
        <w:t xml:space="preserve">, Marseille, 2009, 66p. </w:t>
      </w:r>
      <w:r w:rsidRPr="00426625">
        <w:rPr>
          <w:rFonts w:ascii="Times New Roman" w:hAnsi="Times New Roman"/>
        </w:rPr>
        <w:t>(</w:t>
      </w:r>
      <w:hyperlink r:id="rId162" w:history="1">
        <w:r w:rsidRPr="00EA26DD">
          <w:rPr>
            <w:rStyle w:val="Hyperlink"/>
            <w:rFonts w:ascii="Times New Roman" w:hAnsi="Times New Roman"/>
          </w:rPr>
          <w:t>http://cybertim.timone.univ-mrs.fr/enseignement/doc-enseignement/informatique/Rapport%20minist09/ docpeda_fichier</w:t>
        </w:r>
      </w:hyperlink>
      <w:r w:rsidRPr="00426625">
        <w:rPr>
          <w:rFonts w:ascii="Times New Roman" w:hAnsi="Times New Roman"/>
        </w:rPr>
        <w:t>, laatst geraadpleegd op 23 juli 2012).</w:t>
      </w:r>
    </w:p>
  </w:footnote>
  <w:footnote w:id="696">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COUVREUR, C., ‘Projet de dossier médical personnel et cadre national d’interopérabilité’, </w:t>
      </w:r>
      <w:r w:rsidRPr="00E333B6">
        <w:rPr>
          <w:rFonts w:ascii="Times New Roman" w:hAnsi="Times New Roman"/>
          <w:i/>
          <w:lang w:val="fr-BE"/>
        </w:rPr>
        <w:t>R.H.F.</w:t>
      </w:r>
      <w:r w:rsidRPr="00E333B6">
        <w:rPr>
          <w:rFonts w:ascii="Times New Roman" w:hAnsi="Times New Roman"/>
          <w:lang w:val="fr-BE"/>
        </w:rPr>
        <w:t>, 536 (2010), p. 60-62.</w:t>
      </w:r>
    </w:p>
  </w:footnote>
  <w:footnote w:id="697">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MCDONALD, C.J.; HUFF, S.M.; SUICO, J.G.; HILL, G.; LEAVELLE, D.; ALLER, R.; FORREY, A.; MERCER, K.; DEMOOR, G.; HOOK, J.; WILLIAMS, W.; CASE, J.; MALONEY, P.; ‘LOINC, a universal standard for identifying laboratory observations: a 5-year update’, </w:t>
      </w:r>
      <w:r w:rsidRPr="00426625">
        <w:rPr>
          <w:rFonts w:ascii="Times New Roman" w:hAnsi="Times New Roman"/>
          <w:i/>
          <w:lang w:val="en-US"/>
        </w:rPr>
        <w:t>Clinical Chemistry</w:t>
      </w:r>
      <w:r w:rsidRPr="00426625">
        <w:rPr>
          <w:rFonts w:ascii="Times New Roman" w:hAnsi="Times New Roman"/>
          <w:lang w:val="en-US"/>
        </w:rPr>
        <w:t>, 49/4 (2003), p. 624-633.</w:t>
      </w:r>
    </w:p>
  </w:footnote>
  <w:footnote w:id="69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VARROUD-VIAL, M., ‘Développer la coordination et la continuité des soins en se basant sur des échanges de données standardisés’, </w:t>
      </w:r>
      <w:r w:rsidRPr="00E333B6">
        <w:rPr>
          <w:rFonts w:ascii="Times New Roman" w:hAnsi="Times New Roman"/>
          <w:i/>
          <w:lang w:val="fr-BE"/>
        </w:rPr>
        <w:t>R.S.T.</w:t>
      </w:r>
      <w:r w:rsidRPr="00E333B6">
        <w:rPr>
          <w:rFonts w:ascii="Times New Roman" w:hAnsi="Times New Roman"/>
          <w:lang w:val="fr-BE"/>
        </w:rPr>
        <w:t>, 34 (2010), p. 12-15.</w:t>
      </w:r>
    </w:p>
  </w:footnote>
  <w:footnote w:id="69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MILTGEN, C., ‘Systèmes et échanges d’informations de santé. Quel management, quelle sécurité?’, </w:t>
      </w:r>
      <w:r w:rsidRPr="00E333B6">
        <w:rPr>
          <w:rFonts w:ascii="Times New Roman" w:hAnsi="Times New Roman"/>
          <w:i/>
          <w:lang w:val="fr-BE"/>
        </w:rPr>
        <w:t>R.H.F.</w:t>
      </w:r>
      <w:r w:rsidRPr="00E333B6">
        <w:rPr>
          <w:rFonts w:ascii="Times New Roman" w:hAnsi="Times New Roman"/>
          <w:lang w:val="fr-BE"/>
        </w:rPr>
        <w:t>, 527 (2009), p. 70-74.</w:t>
      </w:r>
    </w:p>
  </w:footnote>
  <w:footnote w:id="70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DIJK, C.H., ‘Toepassing van de theorie van verlies van een kans bij medische aansprakelijkheid’, KASTELEIN, W.R.; SLUIJTERS, B.; </w:t>
      </w:r>
      <w:r w:rsidRPr="00426625">
        <w:rPr>
          <w:rFonts w:ascii="Times New Roman" w:hAnsi="Times New Roman"/>
          <w:i/>
        </w:rPr>
        <w:t>Medische aansprakelijkheid</w:t>
      </w:r>
      <w:r w:rsidRPr="00426625">
        <w:rPr>
          <w:rFonts w:ascii="Times New Roman" w:hAnsi="Times New Roman"/>
        </w:rPr>
        <w:t>, Den Haag, Koninklijke Vermande, 2003, p. 27-43.</w:t>
      </w:r>
    </w:p>
  </w:footnote>
  <w:footnote w:id="70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CNIL, </w:t>
      </w:r>
      <w:r w:rsidRPr="00E333B6">
        <w:rPr>
          <w:rFonts w:ascii="Times New Roman" w:hAnsi="Times New Roman"/>
          <w:i/>
          <w:lang w:val="fr-BE"/>
        </w:rPr>
        <w:t>Guide professionnels de santé</w:t>
      </w:r>
      <w:r w:rsidRPr="00E333B6">
        <w:rPr>
          <w:rFonts w:ascii="Times New Roman" w:hAnsi="Times New Roman"/>
          <w:lang w:val="fr-BE"/>
        </w:rPr>
        <w:t>, p. 47</w:t>
      </w:r>
    </w:p>
  </w:footnote>
  <w:footnote w:id="702">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RAULT, R., </w:t>
      </w:r>
      <w:r w:rsidRPr="00E333B6">
        <w:rPr>
          <w:rFonts w:ascii="Times New Roman" w:hAnsi="Times New Roman"/>
          <w:i/>
          <w:lang w:val="fr-BE"/>
        </w:rPr>
        <w:t>La mise en ligne des données de santé – le cas du dossier médical personnel</w:t>
      </w:r>
      <w:r w:rsidRPr="00E333B6">
        <w:rPr>
          <w:rFonts w:ascii="Times New Roman" w:hAnsi="Times New Roman"/>
          <w:lang w:val="fr-BE"/>
        </w:rPr>
        <w:t>, onuitgeg. Meester</w:t>
      </w:r>
      <w:r>
        <w:rPr>
          <w:rFonts w:ascii="Times New Roman" w:hAnsi="Times New Roman"/>
          <w:lang w:val="fr-BE"/>
        </w:rPr>
        <w:t>-</w:t>
      </w:r>
      <w:r w:rsidRPr="00E333B6">
        <w:rPr>
          <w:rFonts w:ascii="Times New Roman" w:hAnsi="Times New Roman"/>
          <w:lang w:val="fr-BE"/>
        </w:rPr>
        <w:t xml:space="preserve">proef, faculteit Rechtsgeleerdheid, </w:t>
      </w:r>
      <w:r w:rsidRPr="00E333B6">
        <w:rPr>
          <w:rFonts w:ascii="Times New Roman" w:hAnsi="Times New Roman"/>
          <w:i/>
          <w:lang w:val="fr-BE"/>
        </w:rPr>
        <w:t>DESS Droit du Multimédia et de</w:t>
      </w:r>
      <w:r w:rsidRPr="00E333B6">
        <w:rPr>
          <w:rFonts w:ascii="Times New Roman" w:hAnsi="Times New Roman"/>
          <w:lang w:val="fr-BE"/>
        </w:rPr>
        <w:t xml:space="preserve"> </w:t>
      </w:r>
      <w:r w:rsidRPr="00E333B6">
        <w:rPr>
          <w:rFonts w:ascii="Times New Roman" w:hAnsi="Times New Roman"/>
          <w:i/>
          <w:lang w:val="fr-BE"/>
        </w:rPr>
        <w:t xml:space="preserve">l’Informatique, </w:t>
      </w:r>
      <w:r w:rsidRPr="00E333B6">
        <w:rPr>
          <w:rFonts w:ascii="Times New Roman" w:hAnsi="Times New Roman"/>
          <w:lang w:val="fr-BE"/>
        </w:rPr>
        <w:t>Universiteit van Parijs II, promotor prof. dr. A. Lepage, 2005, p. 26-30.</w:t>
      </w:r>
    </w:p>
  </w:footnote>
  <w:footnote w:id="70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MORVAN, O., ‘L’e-dossier médical personnel: est-ce que j’ai le choix?’, </w:t>
      </w:r>
      <w:r w:rsidRPr="00E333B6">
        <w:rPr>
          <w:rFonts w:ascii="Times New Roman" w:hAnsi="Times New Roman"/>
          <w:i/>
          <w:lang w:val="fr-BE"/>
        </w:rPr>
        <w:t>Vie sociale et traitements</w:t>
      </w:r>
      <w:r w:rsidRPr="00E333B6">
        <w:rPr>
          <w:rFonts w:ascii="Times New Roman" w:hAnsi="Times New Roman"/>
          <w:lang w:val="fr-BE"/>
        </w:rPr>
        <w:t>, 84 (2005), p. 38-44.</w:t>
      </w:r>
    </w:p>
  </w:footnote>
  <w:footnote w:id="704">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Bron: LOBEL, E., </w:t>
      </w:r>
      <w:r w:rsidRPr="00E333B6">
        <w:rPr>
          <w:rFonts w:ascii="Times New Roman" w:hAnsi="Times New Roman"/>
          <w:i/>
          <w:lang w:val="fr-BE"/>
        </w:rPr>
        <w:t>Présentation du DMP</w:t>
      </w:r>
      <w:r w:rsidRPr="00E333B6">
        <w:rPr>
          <w:rFonts w:ascii="Times New Roman" w:hAnsi="Times New Roman"/>
          <w:lang w:val="fr-BE"/>
        </w:rPr>
        <w:t>, s.l.n.d., slide 3.</w:t>
      </w:r>
    </w:p>
  </w:footnote>
  <w:footnote w:id="705">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Système d’Information Radiologique</w:t>
      </w:r>
      <w:r>
        <w:rPr>
          <w:rFonts w:ascii="Times New Roman" w:hAnsi="Times New Roman"/>
          <w:lang w:val="fr-BE"/>
        </w:rPr>
        <w:t>.</w:t>
      </w:r>
    </w:p>
  </w:footnote>
  <w:footnote w:id="706">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Fournisseur d'Application Hébergée</w:t>
      </w:r>
      <w:r>
        <w:rPr>
          <w:rFonts w:ascii="Times New Roman" w:hAnsi="Times New Roman"/>
          <w:lang w:val="fr-BE"/>
        </w:rPr>
        <w:t>.</w:t>
      </w:r>
    </w:p>
  </w:footnote>
  <w:footnote w:id="70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Logiciel de Gestion de Cabinet</w:t>
      </w:r>
      <w:r>
        <w:rPr>
          <w:rFonts w:ascii="Times New Roman" w:hAnsi="Times New Roman"/>
          <w:lang w:val="fr-BE"/>
        </w:rPr>
        <w:t>.</w:t>
      </w:r>
    </w:p>
  </w:footnote>
  <w:footnote w:id="70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Système d’information Hospitalier</w:t>
      </w:r>
      <w:r>
        <w:rPr>
          <w:rFonts w:ascii="Times New Roman" w:hAnsi="Times New Roman"/>
          <w:lang w:val="fr-BE"/>
        </w:rPr>
        <w:t>.</w:t>
      </w:r>
    </w:p>
  </w:footnote>
  <w:footnote w:id="70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Gestion Administrative des Malades</w:t>
      </w:r>
      <w:r>
        <w:rPr>
          <w:rFonts w:ascii="Times New Roman" w:hAnsi="Times New Roman"/>
          <w:lang w:val="fr-BE"/>
        </w:rPr>
        <w:t>.</w:t>
      </w:r>
    </w:p>
  </w:footnote>
  <w:footnote w:id="71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Intégration d'Application d'Entreprise (Connecteur, passerelle, etc.)</w:t>
      </w:r>
      <w:r>
        <w:rPr>
          <w:rFonts w:ascii="Times New Roman" w:hAnsi="Times New Roman"/>
          <w:lang w:val="fr-BE"/>
        </w:rPr>
        <w:t>.</w:t>
      </w:r>
    </w:p>
  </w:footnote>
  <w:footnote w:id="71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163" w:history="1">
        <w:r w:rsidRPr="00426625">
          <w:rPr>
            <w:rStyle w:val="Hyperlink"/>
            <w:rFonts w:ascii="Times New Roman" w:hAnsi="Times New Roman"/>
          </w:rPr>
          <w:t>http://www.dmp.gouv.fr/web/dmp/professionnel-de-sante/liste-des-logiciels-dmp-compatibles</w:t>
        </w:r>
      </w:hyperlink>
      <w:r w:rsidRPr="00426625">
        <w:rPr>
          <w:rFonts w:ascii="Times New Roman" w:hAnsi="Times New Roman"/>
        </w:rPr>
        <w:t xml:space="preserve">, laatst geraadpleegd op 23 juli 2012.   </w:t>
      </w:r>
    </w:p>
  </w:footnote>
  <w:footnote w:id="71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Art. L. 1111-15 CSP en art. </w:t>
      </w:r>
      <w:r w:rsidRPr="00426625">
        <w:rPr>
          <w:rFonts w:ascii="Times New Roman" w:hAnsi="Times New Roman"/>
        </w:rPr>
        <w:t>L. 161-32-2 CSS, ingevoerd door art. 3 van wet nr. 2004-810 van 13 augustus 2004.</w:t>
      </w:r>
    </w:p>
  </w:footnote>
  <w:footnote w:id="713">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Percentages zijn ontleend aan: ‘DMP en chiffres’, </w:t>
      </w:r>
      <w:r w:rsidRPr="00426625">
        <w:rPr>
          <w:rFonts w:ascii="Times New Roman" w:hAnsi="Times New Roman"/>
          <w:i/>
        </w:rPr>
        <w:t>DMP Actu</w:t>
      </w:r>
      <w:r w:rsidRPr="00426625">
        <w:rPr>
          <w:rFonts w:ascii="Times New Roman" w:hAnsi="Times New Roman"/>
        </w:rPr>
        <w:t xml:space="preserve">, 1/2 (2012) en ‘DMP en chiffres’, </w:t>
      </w:r>
      <w:r w:rsidRPr="00426625">
        <w:rPr>
          <w:rFonts w:ascii="Times New Roman" w:hAnsi="Times New Roman"/>
          <w:i/>
        </w:rPr>
        <w:t>DMP Actu</w:t>
      </w:r>
      <w:r w:rsidRPr="00426625">
        <w:rPr>
          <w:rFonts w:ascii="Times New Roman" w:hAnsi="Times New Roman"/>
        </w:rPr>
        <w:t>, 1/3 (2012) (</w:t>
      </w:r>
      <w:hyperlink r:id="rId164" w:history="1">
        <w:r w:rsidRPr="00426625">
          <w:rPr>
            <w:rStyle w:val="Hyperlink"/>
            <w:rFonts w:ascii="Times New Roman" w:hAnsi="Times New Roman"/>
          </w:rPr>
          <w:t>http://www.dmp.gouv.fr/web/dmp/newsletter-dmp</w:t>
        </w:r>
      </w:hyperlink>
      <w:r w:rsidRPr="00426625">
        <w:rPr>
          <w:rFonts w:ascii="Times New Roman" w:hAnsi="Times New Roman"/>
        </w:rPr>
        <w:t xml:space="preserve">, laatst geraadpleegd op 23 juli 2012). </w:t>
      </w:r>
      <w:r w:rsidRPr="00E333B6">
        <w:rPr>
          <w:rFonts w:ascii="Times New Roman" w:hAnsi="Times New Roman"/>
          <w:lang w:val="fr-BE"/>
        </w:rPr>
        <w:t xml:space="preserve">Zie ook: ASIP Santé, </w:t>
      </w:r>
      <w:r w:rsidRPr="00E333B6">
        <w:rPr>
          <w:rFonts w:ascii="Times New Roman" w:hAnsi="Times New Roman"/>
          <w:i/>
          <w:lang w:val="fr-BE"/>
        </w:rPr>
        <w:t>Guide pratique du projet DMP en établissements de santé</w:t>
      </w:r>
      <w:r w:rsidRPr="00E333B6">
        <w:rPr>
          <w:rFonts w:ascii="Times New Roman" w:hAnsi="Times New Roman"/>
          <w:lang w:val="fr-BE"/>
        </w:rPr>
        <w:t xml:space="preserve">, 2012², p. 62. </w:t>
      </w:r>
    </w:p>
  </w:footnote>
  <w:footnote w:id="714">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L. 1111-7 CSP, ingevoerd door art. 11 van wet nr. 2002-303 van 4 maart 2002 en gewijzigd door wet nr. 2005-370 van 22 april 2005; RAULT, R., </w:t>
      </w:r>
      <w:r w:rsidRPr="00E333B6">
        <w:rPr>
          <w:rFonts w:ascii="Times New Roman" w:hAnsi="Times New Roman"/>
          <w:i/>
          <w:lang w:val="fr-BE"/>
        </w:rPr>
        <w:t>La mise en ligne des données de santé – le cas du dossier médical per</w:t>
      </w:r>
      <w:r>
        <w:rPr>
          <w:rFonts w:ascii="Times New Roman" w:hAnsi="Times New Roman"/>
          <w:i/>
          <w:lang w:val="fr-BE"/>
        </w:rPr>
        <w:t>-</w:t>
      </w:r>
      <w:r w:rsidRPr="00E333B6">
        <w:rPr>
          <w:rFonts w:ascii="Times New Roman" w:hAnsi="Times New Roman"/>
          <w:i/>
          <w:lang w:val="fr-BE"/>
        </w:rPr>
        <w:t>sonnel</w:t>
      </w:r>
      <w:r w:rsidRPr="00E333B6">
        <w:rPr>
          <w:rFonts w:ascii="Times New Roman" w:hAnsi="Times New Roman"/>
          <w:lang w:val="fr-BE"/>
        </w:rPr>
        <w:t>, p. 30-31.</w:t>
      </w:r>
    </w:p>
  </w:footnote>
  <w:footnote w:id="71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E333B6">
        <w:rPr>
          <w:rFonts w:ascii="Times New Roman" w:hAnsi="Times New Roman"/>
          <w:lang w:val="fr-BE"/>
        </w:rPr>
        <w:t xml:space="preserve"> CHEVILLARD, M., </w:t>
      </w:r>
      <w:r w:rsidRPr="00E333B6">
        <w:rPr>
          <w:rFonts w:ascii="Times New Roman" w:hAnsi="Times New Roman"/>
          <w:i/>
          <w:lang w:val="fr-BE"/>
        </w:rPr>
        <w:t>Le droit au masquage par le patient dans le cadre du Dossier Médical en France</w:t>
      </w:r>
      <w:r w:rsidRPr="00E333B6">
        <w:rPr>
          <w:rFonts w:ascii="Times New Roman" w:hAnsi="Times New Roman"/>
          <w:lang w:val="fr-BE"/>
        </w:rPr>
        <w:t>, onuit</w:t>
      </w:r>
      <w:r>
        <w:rPr>
          <w:rFonts w:ascii="Times New Roman" w:hAnsi="Times New Roman"/>
          <w:lang w:val="fr-BE"/>
        </w:rPr>
        <w:t>-</w:t>
      </w:r>
      <w:r w:rsidRPr="00E333B6">
        <w:rPr>
          <w:rFonts w:ascii="Times New Roman" w:hAnsi="Times New Roman"/>
          <w:lang w:val="fr-BE"/>
        </w:rPr>
        <w:t>geg. doctoraatsverhandeling, Universiteit Paris IV – Pierre et Marie Curie, Faculté Pierre et Marie Curie, pro</w:t>
      </w:r>
      <w:r>
        <w:rPr>
          <w:rFonts w:ascii="Times New Roman" w:hAnsi="Times New Roman"/>
          <w:lang w:val="fr-BE"/>
        </w:rPr>
        <w:t>-</w:t>
      </w:r>
      <w:r w:rsidRPr="00E333B6">
        <w:rPr>
          <w:rFonts w:ascii="Times New Roman" w:hAnsi="Times New Roman"/>
          <w:lang w:val="fr-BE"/>
        </w:rPr>
        <w:t xml:space="preserve">motor: dr. J.F. Renard, Parijs, 2007, 172p.; FAGNIEZ, P.L., </w:t>
      </w:r>
      <w:r w:rsidRPr="00E333B6">
        <w:rPr>
          <w:rFonts w:ascii="Times New Roman" w:hAnsi="Times New Roman"/>
          <w:i/>
          <w:lang w:val="fr-BE"/>
        </w:rPr>
        <w:t>Le masquage d'informations par le patient dans son DMP</w:t>
      </w:r>
      <w:r w:rsidRPr="00E333B6">
        <w:rPr>
          <w:rFonts w:ascii="Times New Roman" w:hAnsi="Times New Roman"/>
          <w:lang w:val="fr-BE"/>
        </w:rPr>
        <w:t xml:space="preserve">, Parijs, La Documentation française, 2007, 15p. </w:t>
      </w:r>
      <w:r w:rsidRPr="00426625">
        <w:rPr>
          <w:rFonts w:ascii="Times New Roman" w:hAnsi="Times New Roman"/>
        </w:rPr>
        <w:t>(</w:t>
      </w:r>
      <w:hyperlink r:id="rId165" w:history="1">
        <w:r w:rsidRPr="00EA26DD">
          <w:rPr>
            <w:rStyle w:val="Hyperlink"/>
            <w:rFonts w:ascii="Times New Roman" w:hAnsi="Times New Roman"/>
          </w:rPr>
          <w:t>http://www.ladocumentationfrancaise.fr/var/storage/ rapports-publics/074000115/0000.pdf</w:t>
        </w:r>
      </w:hyperlink>
      <w:r w:rsidRPr="00426625">
        <w:rPr>
          <w:rFonts w:ascii="Times New Roman" w:hAnsi="Times New Roman"/>
        </w:rPr>
        <w:t>, laatst geraadpleegd op 23 juli 2012)</w:t>
      </w:r>
    </w:p>
  </w:footnote>
  <w:footnote w:id="716">
    <w:p w:rsidR="00E82D16" w:rsidRPr="00E333B6" w:rsidRDefault="00E82D16" w:rsidP="00426625">
      <w:pPr>
        <w:pStyle w:val="Voetnoottekst"/>
        <w:jc w:val="both"/>
        <w:rPr>
          <w:rFonts w:ascii="Times New Roman" w:hAnsi="Times New Roman"/>
          <w:i/>
          <w:lang w:val="fr-BE"/>
        </w:rPr>
      </w:pPr>
      <w:r w:rsidRPr="00426625">
        <w:rPr>
          <w:rStyle w:val="Voetnootmarkering"/>
          <w:rFonts w:ascii="Times New Roman" w:hAnsi="Times New Roman"/>
        </w:rPr>
        <w:footnoteRef/>
      </w:r>
      <w:r w:rsidRPr="00E333B6">
        <w:rPr>
          <w:rFonts w:ascii="Times New Roman" w:hAnsi="Times New Roman"/>
          <w:lang w:val="fr-BE"/>
        </w:rPr>
        <w:t xml:space="preserve"> Bron: ASIP Santé, </w:t>
      </w:r>
      <w:r w:rsidRPr="00E333B6">
        <w:rPr>
          <w:rFonts w:ascii="Times New Roman" w:hAnsi="Times New Roman"/>
          <w:i/>
          <w:lang w:val="fr-BE"/>
        </w:rPr>
        <w:t>Rapport d’Activité 2010. Agir ensemble pour soigner mieux</w:t>
      </w:r>
      <w:r w:rsidRPr="00E333B6">
        <w:rPr>
          <w:rFonts w:ascii="Times New Roman" w:hAnsi="Times New Roman"/>
          <w:lang w:val="fr-BE"/>
        </w:rPr>
        <w:t>, p. 27 (</w:t>
      </w:r>
      <w:hyperlink r:id="rId166" w:history="1">
        <w:r w:rsidRPr="00EA26DD">
          <w:rPr>
            <w:rStyle w:val="Hyperlink"/>
            <w:rFonts w:ascii="Times New Roman" w:hAnsi="Times New Roman"/>
            <w:lang w:val="fr-BE"/>
          </w:rPr>
          <w:t>http://esante.gouv.fr/ sites/default/files/ASIP_RA2010.pdf</w:t>
        </w:r>
      </w:hyperlink>
      <w:r w:rsidRPr="00E333B6">
        <w:rPr>
          <w:rFonts w:ascii="Times New Roman" w:hAnsi="Times New Roman"/>
          <w:lang w:val="fr-BE"/>
        </w:rPr>
        <w:t>, laatst geraadpleegd op 23 juli 2012).</w:t>
      </w:r>
    </w:p>
  </w:footnote>
  <w:footnote w:id="71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41 tot art. 48 van verordening (EG) nr. 45/2001 van het Europees Parlement en de raad van 18 december 2000 betreffende de bescherming van de natuurlijke personen in verband met de verwerking van persoons</w:t>
      </w:r>
      <w:r>
        <w:rPr>
          <w:rFonts w:ascii="Times New Roman" w:hAnsi="Times New Roman"/>
        </w:rPr>
        <w:t>-</w:t>
      </w:r>
      <w:r w:rsidRPr="00426625">
        <w:rPr>
          <w:rFonts w:ascii="Times New Roman" w:hAnsi="Times New Roman"/>
        </w:rPr>
        <w:t>gegevens door de communautaire instellingen en organen en betreffende het vrije verkeer van die gegevens (</w:t>
      </w:r>
      <w:r w:rsidRPr="00426625">
        <w:rPr>
          <w:rFonts w:ascii="Times New Roman" w:hAnsi="Times New Roman"/>
          <w:i/>
        </w:rPr>
        <w:t>Pb.EG L.</w:t>
      </w:r>
      <w:r w:rsidRPr="00426625">
        <w:rPr>
          <w:rFonts w:ascii="Times New Roman" w:hAnsi="Times New Roman"/>
        </w:rPr>
        <w:t xml:space="preserve"> 8, 12 januari 2001). Voor de website van de EPDS, zie: </w:t>
      </w:r>
      <w:hyperlink r:id="rId167" w:history="1">
        <w:r w:rsidRPr="00EA26DD">
          <w:rPr>
            <w:rStyle w:val="Hyperlink"/>
            <w:rFonts w:ascii="Times New Roman" w:hAnsi="Times New Roman"/>
          </w:rPr>
          <w:t>http://www.edps.europa.eu/EDPSWEB/edps/ EDPS</w:t>
        </w:r>
      </w:hyperlink>
      <w:r w:rsidRPr="00426625">
        <w:rPr>
          <w:rFonts w:ascii="Times New Roman" w:hAnsi="Times New Roman"/>
        </w:rPr>
        <w:t xml:space="preserve">. </w:t>
      </w:r>
    </w:p>
  </w:footnote>
  <w:footnote w:id="71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bijvoorbeeld: </w:t>
      </w:r>
      <w:hyperlink r:id="rId168" w:history="1">
        <w:r w:rsidRPr="00EA26DD">
          <w:rPr>
            <w:rStyle w:val="Hyperlink"/>
            <w:rFonts w:ascii="Times New Roman" w:hAnsi="Times New Roman"/>
          </w:rPr>
          <w:t>http://www.healthpowerhouse.com/files/Index-matrix-EHCI-2012-120508-final-A3-sheet-substrate.pdf</w:t>
        </w:r>
      </w:hyperlink>
      <w:r>
        <w:rPr>
          <w:rFonts w:ascii="Times New Roman" w:hAnsi="Times New Roman"/>
        </w:rPr>
        <w:t xml:space="preserve">. </w:t>
      </w:r>
    </w:p>
  </w:footnote>
  <w:footnote w:id="71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Bron: </w:t>
      </w:r>
      <w:hyperlink r:id="rId169" w:history="1">
        <w:r w:rsidRPr="002E0847">
          <w:rPr>
            <w:rStyle w:val="Hyperlink"/>
            <w:rFonts w:ascii="Times New Roman" w:hAnsi="Times New Roman"/>
          </w:rPr>
          <w:t>http://www.healthpowerhouse.com/files/ehci-2012-press-netherlands.pdf</w:t>
        </w:r>
      </w:hyperlink>
      <w:r>
        <w:rPr>
          <w:rFonts w:ascii="Times New Roman" w:hAnsi="Times New Roman"/>
        </w:rPr>
        <w:t xml:space="preserve">. </w:t>
      </w:r>
    </w:p>
  </w:footnote>
  <w:footnote w:id="72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TEGENBOS, G., ‘België zwak broertje e-health. Tevredenheid over gezondheidszorg remt vernieuwing af’, </w:t>
      </w:r>
      <w:r w:rsidRPr="00426625">
        <w:rPr>
          <w:rFonts w:ascii="Times New Roman" w:hAnsi="Times New Roman"/>
          <w:i/>
        </w:rPr>
        <w:t>De Standaard</w:t>
      </w:r>
      <w:r w:rsidRPr="00426625">
        <w:rPr>
          <w:rFonts w:ascii="Times New Roman" w:hAnsi="Times New Roman"/>
        </w:rPr>
        <w:t>, 8 februari 2011.</w:t>
      </w:r>
    </w:p>
  </w:footnote>
  <w:footnote w:id="72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1° van het decreet van 9 juli 2010 betreffende de bestuurlijk-administratieve archiefwerking (</w:t>
      </w:r>
      <w:r w:rsidRPr="00426625">
        <w:rPr>
          <w:rFonts w:ascii="Times New Roman" w:hAnsi="Times New Roman"/>
          <w:i/>
        </w:rPr>
        <w:t>BS</w:t>
      </w:r>
      <w:r w:rsidRPr="00426625">
        <w:rPr>
          <w:rFonts w:ascii="Times New Roman" w:hAnsi="Times New Roman"/>
        </w:rPr>
        <w:t xml:space="preserve"> 5 augustus 2010), hierna: Vlaams Archiefdecreet; ATNV, lemma 167. Voor een gelijkaardige definitie van </w:t>
      </w:r>
      <w:r w:rsidRPr="00426625">
        <w:rPr>
          <w:rFonts w:ascii="Times New Roman" w:hAnsi="Times New Roman"/>
          <w:i/>
        </w:rPr>
        <w:t>gestion des archives courantes et intermédiaire</w:t>
      </w:r>
      <w:r w:rsidRPr="00426625">
        <w:rPr>
          <w:rFonts w:ascii="Times New Roman" w:hAnsi="Times New Roman"/>
        </w:rPr>
        <w:t xml:space="preserve">, zie: </w:t>
      </w:r>
      <w:hyperlink r:id="rId170" w:history="1">
        <w:r w:rsidRPr="00426625">
          <w:rPr>
            <w:rStyle w:val="Hyperlink"/>
            <w:rFonts w:ascii="Times New Roman" w:hAnsi="Times New Roman"/>
          </w:rPr>
          <w:t>http://www.archivesdefrance.culture.gouv.fr/static/3226</w:t>
        </w:r>
      </w:hyperlink>
      <w:r w:rsidRPr="00426625">
        <w:rPr>
          <w:rStyle w:val="Hyperlink"/>
          <w:rFonts w:ascii="Times New Roman" w:hAnsi="Times New Roman"/>
        </w:rPr>
        <w:t>.</w:t>
      </w:r>
    </w:p>
  </w:footnote>
  <w:footnote w:id="72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3, 3° van het Vlaams Archiefdecreet; artikel 14 van het besluit van 15 december 1995, houdende rege</w:t>
      </w:r>
      <w:r>
        <w:rPr>
          <w:rFonts w:ascii="Times New Roman" w:hAnsi="Times New Roman"/>
        </w:rPr>
        <w:t>-</w:t>
      </w:r>
      <w:r w:rsidRPr="00426625">
        <w:rPr>
          <w:rFonts w:ascii="Times New Roman" w:hAnsi="Times New Roman"/>
        </w:rPr>
        <w:t>len ter uitvoering van een aantal bepalingen van de Archiefwet 1995 (</w:t>
      </w:r>
      <w:r w:rsidRPr="00426625">
        <w:rPr>
          <w:rFonts w:ascii="Times New Roman" w:hAnsi="Times New Roman"/>
          <w:i/>
        </w:rPr>
        <w:t>Stb.</w:t>
      </w:r>
      <w:r w:rsidRPr="00426625">
        <w:rPr>
          <w:rFonts w:ascii="Times New Roman" w:hAnsi="Times New Roman"/>
        </w:rPr>
        <w:t xml:space="preserve"> 671, 28 december 1995); ATNV, lem</w:t>
      </w:r>
      <w:r>
        <w:rPr>
          <w:rFonts w:ascii="Times New Roman" w:hAnsi="Times New Roman"/>
        </w:rPr>
        <w:t>-</w:t>
      </w:r>
      <w:r w:rsidRPr="00426625">
        <w:rPr>
          <w:rFonts w:ascii="Times New Roman" w:hAnsi="Times New Roman"/>
        </w:rPr>
        <w:t>ma 169.</w:t>
      </w:r>
    </w:p>
  </w:footnote>
  <w:footnote w:id="72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AT2, p. 28 (nr. 34).</w:t>
      </w:r>
    </w:p>
  </w:footnote>
  <w:footnote w:id="724">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rPr>
        <w:t xml:space="preserve"> Hitachi Data Systems (</w:t>
      </w:r>
      <w:hyperlink r:id="rId171" w:history="1">
        <w:r w:rsidRPr="00426625">
          <w:rPr>
            <w:rStyle w:val="Hyperlink"/>
            <w:rFonts w:ascii="Times New Roman" w:hAnsi="Times New Roman"/>
          </w:rPr>
          <w:t>http://internet.ziffdavisenterprise.com/podcasts/eWeek/channel02252009.mp3</w:t>
        </w:r>
      </w:hyperlink>
      <w:r w:rsidRPr="00426625">
        <w:rPr>
          <w:rFonts w:ascii="Times New Roman" w:hAnsi="Times New Roman"/>
        </w:rPr>
        <w:t>, laatst geraadpleegd op 23 juli 2012); IDC (</w:t>
      </w:r>
      <w:hyperlink r:id="rId172" w:history="1">
        <w:r w:rsidRPr="002E0847">
          <w:rPr>
            <w:rStyle w:val="Hyperlink"/>
            <w:rFonts w:ascii="Times New Roman" w:hAnsi="Times New Roman"/>
          </w:rPr>
          <w:t>http://www.lemagit.fr/article/stockage-numerique-idc-nuage-donnees-cloud /6254/1/idc-pronostique-une-explosion-volumedonnees-produites-dans-monde-ici-ans/</w:t>
        </w:r>
      </w:hyperlink>
      <w:r w:rsidRPr="00426625">
        <w:rPr>
          <w:rFonts w:ascii="Times New Roman" w:hAnsi="Times New Roman"/>
        </w:rPr>
        <w:t xml:space="preserve">, laatst geraadpleegd op 23 juli 2012); geciteerd door: SOYEZ, S., ‘Attardons-nous sur… </w:t>
      </w:r>
      <w:r w:rsidRPr="00E333B6">
        <w:rPr>
          <w:rFonts w:ascii="Times New Roman" w:hAnsi="Times New Roman"/>
          <w:lang w:val="fr-BE"/>
        </w:rPr>
        <w:t xml:space="preserve">Dossiers médicaux’, VASTESAEGER, A.M.; SOYEZ, S.; DELPLANCS, T.; </w:t>
      </w:r>
      <w:r w:rsidRPr="00E333B6">
        <w:rPr>
          <w:rFonts w:ascii="Times New Roman" w:hAnsi="Times New Roman"/>
          <w:i/>
          <w:lang w:val="fr-BE"/>
        </w:rPr>
        <w:t>Questions d’archivage</w:t>
      </w:r>
      <w:r w:rsidRPr="00E333B6">
        <w:rPr>
          <w:rFonts w:ascii="Times New Roman" w:hAnsi="Times New Roman"/>
          <w:lang w:val="fr-BE"/>
        </w:rPr>
        <w:t xml:space="preserve">, Brussel, Politeia, 2012², p. 219 (voetnoot 1). </w:t>
      </w:r>
      <w:r w:rsidRPr="00426625">
        <w:rPr>
          <w:rFonts w:ascii="Times New Roman" w:hAnsi="Times New Roman"/>
        </w:rPr>
        <w:t xml:space="preserve">Met dank aan Sébastien Soyez en Kathleen Devolder, die mij een </w:t>
      </w:r>
      <w:r w:rsidRPr="00426625">
        <w:rPr>
          <w:rFonts w:ascii="Times New Roman" w:hAnsi="Times New Roman"/>
          <w:i/>
        </w:rPr>
        <w:t>draft</w:t>
      </w:r>
      <w:r w:rsidRPr="00426625">
        <w:rPr>
          <w:rFonts w:ascii="Times New Roman" w:hAnsi="Times New Roman"/>
        </w:rPr>
        <w:t xml:space="preserve"> van dit artikel bezorgden. </w:t>
      </w:r>
      <w:r w:rsidRPr="00426625">
        <w:rPr>
          <w:rFonts w:ascii="Times New Roman" w:hAnsi="Times New Roman"/>
          <w:lang w:val="en-US"/>
        </w:rPr>
        <w:t>Zie ook deel 5.</w:t>
      </w:r>
    </w:p>
  </w:footnote>
  <w:footnote w:id="725">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21 Privacywet.</w:t>
      </w:r>
    </w:p>
  </w:footnote>
  <w:footnote w:id="726">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Zie hiervoor: BRILLON, S., ‘The European Data Protection Legislation and the Medical Records’, CALLENS, S. (red.), </w:t>
      </w:r>
      <w:r w:rsidRPr="00426625">
        <w:rPr>
          <w:rFonts w:ascii="Times New Roman" w:hAnsi="Times New Roman"/>
          <w:i/>
          <w:lang w:val="en-US"/>
        </w:rPr>
        <w:t>E-Health and the Law</w:t>
      </w:r>
      <w:r w:rsidRPr="00426625">
        <w:rPr>
          <w:rFonts w:ascii="Times New Roman" w:hAnsi="Times New Roman"/>
          <w:lang w:val="en-US"/>
        </w:rPr>
        <w:t>, Den Haag, Kluwer Law International, 2003, p. 92-95; CALLENS; GOOSSENS; CIERKENS; p. 345-347; DIERKS, C., ‘Data Subject’s Consent and Cross-Border Data Proces</w:t>
      </w:r>
      <w:r>
        <w:rPr>
          <w:rFonts w:ascii="Times New Roman" w:hAnsi="Times New Roman"/>
          <w:lang w:val="en-US"/>
        </w:rPr>
        <w:t>-</w:t>
      </w:r>
      <w:r w:rsidRPr="00426625">
        <w:rPr>
          <w:rFonts w:ascii="Times New Roman" w:hAnsi="Times New Roman"/>
          <w:lang w:val="en-US"/>
        </w:rPr>
        <w:t xml:space="preserve">sing’, CALLENS, S. (red.), </w:t>
      </w:r>
      <w:r w:rsidRPr="00426625">
        <w:rPr>
          <w:rFonts w:ascii="Times New Roman" w:hAnsi="Times New Roman"/>
          <w:i/>
          <w:lang w:val="en-US"/>
        </w:rPr>
        <w:t>E-Health and the Law</w:t>
      </w:r>
      <w:r w:rsidRPr="00426625">
        <w:rPr>
          <w:rFonts w:ascii="Times New Roman" w:hAnsi="Times New Roman"/>
          <w:lang w:val="en-US"/>
        </w:rPr>
        <w:t>, p. 114.</w:t>
      </w:r>
    </w:p>
  </w:footnote>
  <w:footnote w:id="72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inleiding.</w:t>
      </w:r>
    </w:p>
  </w:footnote>
  <w:footnote w:id="72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3° van het MB van 1 maart 2010 tot vaststelling van de criteria voor de erkenning van huisartsen (</w:t>
      </w:r>
      <w:r w:rsidRPr="00426625">
        <w:rPr>
          <w:rFonts w:ascii="Times New Roman" w:hAnsi="Times New Roman"/>
          <w:i/>
        </w:rPr>
        <w:t>BS</w:t>
      </w:r>
      <w:r w:rsidRPr="00426625">
        <w:rPr>
          <w:rFonts w:ascii="Times New Roman" w:hAnsi="Times New Roman"/>
        </w:rPr>
        <w:t xml:space="preserve"> 4 maart 2010).</w:t>
      </w:r>
    </w:p>
  </w:footnote>
  <w:footnote w:id="7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1.</w:t>
      </w:r>
    </w:p>
  </w:footnote>
  <w:footnote w:id="73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70 Ziekenhuiswet (1); artikel 68 Ziekenhuiswet (2).</w:t>
      </w:r>
    </w:p>
  </w:footnote>
  <w:footnote w:id="731">
    <w:p w:rsidR="00E82D16" w:rsidRPr="00E333B6" w:rsidRDefault="00E82D16" w:rsidP="00426625">
      <w:pPr>
        <w:pStyle w:val="Geenafstand"/>
        <w:jc w:val="both"/>
        <w:rPr>
          <w:rFonts w:ascii="Times New Roman" w:hAnsi="Times New Roman" w:cs="Times New Roman"/>
          <w:sz w:val="20"/>
          <w:szCs w:val="20"/>
          <w:lang w:val="fr-BE"/>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1 § 4 Privacywet; BRILLON; CALLENS; ‘La conservation du dossier patient’, p. 182.</w:t>
      </w:r>
    </w:p>
  </w:footnote>
  <w:footnote w:id="7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 1° Ziekenhuiswet (1); artikel 18, 1° Ziekenhuiswet (2).</w:t>
      </w:r>
    </w:p>
  </w:footnote>
  <w:footnote w:id="73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17</w:t>
      </w:r>
      <w:r w:rsidRPr="00426625">
        <w:rPr>
          <w:rFonts w:ascii="Times New Roman" w:hAnsi="Times New Roman" w:cs="Times New Roman"/>
          <w:i/>
          <w:iCs/>
          <w:sz w:val="20"/>
          <w:szCs w:val="20"/>
        </w:rPr>
        <w:t xml:space="preserve">quater </w:t>
      </w:r>
      <w:r w:rsidRPr="00426625">
        <w:rPr>
          <w:rFonts w:ascii="Times New Roman" w:hAnsi="Times New Roman" w:cs="Times New Roman"/>
          <w:iCs/>
          <w:sz w:val="20"/>
          <w:szCs w:val="20"/>
        </w:rPr>
        <w:t>§ 1 Ziekenhuiswet (1)</w:t>
      </w:r>
      <w:r w:rsidRPr="00426625">
        <w:rPr>
          <w:rFonts w:ascii="Times New Roman" w:hAnsi="Times New Roman" w:cs="Times New Roman"/>
          <w:sz w:val="20"/>
          <w:szCs w:val="20"/>
        </w:rPr>
        <w:t>; art. 6 van het KB van 15 december 1987 houdende uitvoering van de ar</w:t>
      </w:r>
      <w:r>
        <w:rPr>
          <w:rFonts w:ascii="Times New Roman" w:hAnsi="Times New Roman" w:cs="Times New Roman"/>
          <w:sz w:val="20"/>
          <w:szCs w:val="20"/>
        </w:rPr>
        <w:t>-</w:t>
      </w:r>
      <w:r w:rsidRPr="00426625">
        <w:rPr>
          <w:rFonts w:ascii="Times New Roman" w:hAnsi="Times New Roman" w:cs="Times New Roman"/>
          <w:sz w:val="20"/>
          <w:szCs w:val="20"/>
        </w:rPr>
        <w:t>tikels 13 tot en met 17 van de wet op de ziekenhuizen, zoals gecoördineerd door het KB van 7 augustus 1987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25 december 1987); art. 25 § 1 Ziekenhuiswet (2); ‘Medisch archief – Verantwoordelijke voor de opslag ervan in het ziekenhuis’, </w:t>
      </w:r>
      <w:r w:rsidRPr="00426625">
        <w:rPr>
          <w:rFonts w:ascii="Times New Roman" w:hAnsi="Times New Roman" w:cs="Times New Roman"/>
          <w:i/>
          <w:sz w:val="20"/>
          <w:szCs w:val="20"/>
        </w:rPr>
        <w:t>T.N.R.</w:t>
      </w:r>
      <w:r w:rsidRPr="00426625">
        <w:rPr>
          <w:rFonts w:ascii="Times New Roman" w:hAnsi="Times New Roman" w:cs="Times New Roman"/>
          <w:sz w:val="20"/>
          <w:szCs w:val="20"/>
        </w:rPr>
        <w:t>, 86 (1999), p. 15; ‘Onverenigbaarheid tussen de functie van hoofdarts en deze van direc</w:t>
      </w:r>
      <w:r>
        <w:rPr>
          <w:rFonts w:ascii="Times New Roman" w:hAnsi="Times New Roman" w:cs="Times New Roman"/>
          <w:sz w:val="20"/>
          <w:szCs w:val="20"/>
        </w:rPr>
        <w:t>-</w:t>
      </w:r>
      <w:r w:rsidRPr="00426625">
        <w:rPr>
          <w:rFonts w:ascii="Times New Roman" w:hAnsi="Times New Roman" w:cs="Times New Roman"/>
          <w:sz w:val="20"/>
          <w:szCs w:val="20"/>
        </w:rPr>
        <w:t xml:space="preserve">teur van het ziekenhuis’, </w:t>
      </w:r>
      <w:r w:rsidRPr="00426625">
        <w:rPr>
          <w:rFonts w:ascii="Times New Roman" w:hAnsi="Times New Roman" w:cs="Times New Roman"/>
          <w:i/>
          <w:sz w:val="20"/>
          <w:szCs w:val="20"/>
        </w:rPr>
        <w:t>T.N.R.</w:t>
      </w:r>
      <w:r w:rsidRPr="00426625">
        <w:rPr>
          <w:rFonts w:ascii="Times New Roman" w:hAnsi="Times New Roman" w:cs="Times New Roman"/>
          <w:sz w:val="20"/>
          <w:szCs w:val="20"/>
        </w:rPr>
        <w:t>, 123 (2008); DIERCKX, A., ‘De burgerrechtelijke aansprakelijkheid van de al</w:t>
      </w:r>
      <w:r>
        <w:rPr>
          <w:rFonts w:ascii="Times New Roman" w:hAnsi="Times New Roman" w:cs="Times New Roman"/>
          <w:sz w:val="20"/>
          <w:szCs w:val="20"/>
        </w:rPr>
        <w:t>-</w:t>
      </w:r>
      <w:r w:rsidRPr="00426625">
        <w:rPr>
          <w:rFonts w:ascii="Times New Roman" w:hAnsi="Times New Roman" w:cs="Times New Roman"/>
          <w:sz w:val="20"/>
          <w:szCs w:val="20"/>
        </w:rPr>
        <w:t>gemeen directeur, de hoofdgeneesheer, het ethisch comité, de medische raad en het comité hygiëne in zieken</w:t>
      </w:r>
      <w:r>
        <w:rPr>
          <w:rFonts w:ascii="Times New Roman" w:hAnsi="Times New Roman" w:cs="Times New Roman"/>
          <w:sz w:val="20"/>
          <w:szCs w:val="20"/>
        </w:rPr>
        <w:t>-</w:t>
      </w:r>
      <w:r w:rsidRPr="00426625">
        <w:rPr>
          <w:rFonts w:ascii="Times New Roman" w:hAnsi="Times New Roman" w:cs="Times New Roman"/>
          <w:sz w:val="20"/>
          <w:szCs w:val="20"/>
        </w:rPr>
        <w:t xml:space="preserve">huisverband; een literatuurstudie’, </w:t>
      </w:r>
      <w:r w:rsidRPr="00426625">
        <w:rPr>
          <w:rFonts w:ascii="Times New Roman" w:hAnsi="Times New Roman" w:cs="Times New Roman"/>
          <w:i/>
          <w:sz w:val="20"/>
          <w:szCs w:val="20"/>
        </w:rPr>
        <w:t>Hosp.</w:t>
      </w:r>
      <w:r w:rsidRPr="00426625">
        <w:rPr>
          <w:rFonts w:ascii="Times New Roman" w:hAnsi="Times New Roman" w:cs="Times New Roman"/>
          <w:sz w:val="20"/>
          <w:szCs w:val="20"/>
        </w:rPr>
        <w:t xml:space="preserve">, 49/1 (2005), p. 27-36; VAN DIJCK, J., </w:t>
      </w:r>
      <w:r w:rsidRPr="00426625">
        <w:rPr>
          <w:rFonts w:ascii="Times New Roman" w:hAnsi="Times New Roman" w:cs="Times New Roman"/>
          <w:i/>
          <w:sz w:val="20"/>
          <w:szCs w:val="20"/>
        </w:rPr>
        <w:t>De Hoofdgeneesheer</w:t>
      </w:r>
      <w:r w:rsidRPr="00426625">
        <w:rPr>
          <w:rFonts w:ascii="Times New Roman" w:hAnsi="Times New Roman" w:cs="Times New Roman"/>
          <w:sz w:val="20"/>
          <w:szCs w:val="20"/>
        </w:rPr>
        <w:t>, s.l., Vlaamse Vereniging van Hoofdgeneesheren, 2005, p. 25-26.</w:t>
      </w:r>
    </w:p>
  </w:footnote>
  <w:footnote w:id="73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7 § 4 Privacywet.</w:t>
      </w:r>
    </w:p>
  </w:footnote>
  <w:footnote w:id="7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‘Medisch archief – Verantwoordelijke voor de opslag ervan in het ziekenhuis’, </w:t>
      </w:r>
      <w:r w:rsidRPr="00426625">
        <w:rPr>
          <w:rFonts w:ascii="Times New Roman" w:hAnsi="Times New Roman"/>
          <w:i/>
          <w:iCs/>
        </w:rPr>
        <w:t>T.N.R.</w:t>
      </w:r>
      <w:r w:rsidRPr="00426625">
        <w:rPr>
          <w:rFonts w:ascii="Times New Roman" w:hAnsi="Times New Roman"/>
        </w:rPr>
        <w:t>, 86 (1999), p. 15.</w:t>
      </w:r>
    </w:p>
  </w:footnote>
  <w:footnote w:id="7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verpleegplan bestaat uit verpleegproblemen en/of verpleegdiagnoses, de doelstellingen, de verwachte re</w:t>
      </w:r>
      <w:r>
        <w:rPr>
          <w:rFonts w:ascii="Times New Roman" w:hAnsi="Times New Roman"/>
        </w:rPr>
        <w:t>-</w:t>
      </w:r>
      <w:r w:rsidRPr="00426625">
        <w:rPr>
          <w:rFonts w:ascii="Times New Roman" w:hAnsi="Times New Roman"/>
        </w:rPr>
        <w:t xml:space="preserve">sultaten en verpleegkundige interventies, terwijl de verpleegplanning een lijst is van de geplande en al dan niet verstrekte zorgen, overeenkomstig het verpleegplan en de voorgeschreven behandelingen. </w:t>
      </w:r>
      <w:r w:rsidRPr="00426625">
        <w:rPr>
          <w:rFonts w:ascii="Times New Roman" w:hAnsi="Times New Roman"/>
          <w:i/>
        </w:rPr>
        <w:t>Verpleegkunde &amp; vroedkunde zakboekje 2009-2010</w:t>
      </w:r>
      <w:r w:rsidRPr="00426625">
        <w:rPr>
          <w:rFonts w:ascii="Times New Roman" w:hAnsi="Times New Roman"/>
        </w:rPr>
        <w:t>, Mechelen, Kluwer, 2009, p. 316.</w:t>
      </w:r>
    </w:p>
  </w:footnote>
  <w:footnote w:id="73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van het KB van 28 december 2006.</w:t>
      </w:r>
    </w:p>
  </w:footnote>
  <w:footnote w:id="73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45 § 1, 4° van de organieke wet van 8 juli 1976 betreffende de openbare centra voor maatschappelijk welzijn (</w:t>
      </w:r>
      <w:r w:rsidRPr="00426625">
        <w:rPr>
          <w:rFonts w:ascii="Times New Roman" w:hAnsi="Times New Roman" w:cs="Times New Roman"/>
          <w:i/>
          <w:sz w:val="20"/>
          <w:szCs w:val="20"/>
        </w:rPr>
        <w:t xml:space="preserve">BS </w:t>
      </w:r>
      <w:r w:rsidRPr="00426625">
        <w:rPr>
          <w:rFonts w:ascii="Times New Roman" w:hAnsi="Times New Roman" w:cs="Times New Roman"/>
          <w:sz w:val="20"/>
          <w:szCs w:val="20"/>
        </w:rPr>
        <w:t xml:space="preserve">5 augsutus 1976, err.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26 november 1976); art. 88 van het decreet van 19 december 2008 betref</w:t>
      </w:r>
      <w:r>
        <w:rPr>
          <w:rFonts w:ascii="Times New Roman" w:hAnsi="Times New Roman" w:cs="Times New Roman"/>
          <w:sz w:val="20"/>
          <w:szCs w:val="20"/>
        </w:rPr>
        <w:t>-</w:t>
      </w:r>
      <w:r w:rsidRPr="00426625">
        <w:rPr>
          <w:rFonts w:ascii="Times New Roman" w:hAnsi="Times New Roman" w:cs="Times New Roman"/>
          <w:sz w:val="20"/>
          <w:szCs w:val="20"/>
        </w:rPr>
        <w:t>fende de organisatie van de openbare centra voor maatschappelijk welzijn I (</w:t>
      </w:r>
      <w:r w:rsidRPr="00426625">
        <w:rPr>
          <w:rFonts w:ascii="Times New Roman" w:hAnsi="Times New Roman" w:cs="Times New Roman"/>
          <w:i/>
          <w:sz w:val="20"/>
          <w:szCs w:val="20"/>
        </w:rPr>
        <w:t>BS</w:t>
      </w:r>
      <w:r w:rsidRPr="00426625">
        <w:rPr>
          <w:rFonts w:ascii="Times New Roman" w:hAnsi="Times New Roman" w:cs="Times New Roman"/>
          <w:sz w:val="20"/>
          <w:szCs w:val="20"/>
        </w:rPr>
        <w:t xml:space="preserve"> 24 december 2008); antwoord van Philippe Busquin als Minister van Volksgezondheid op vraag nr. 61 van de heer T. Van Parys op 10 novem</w:t>
      </w:r>
      <w:r>
        <w:rPr>
          <w:rFonts w:ascii="Times New Roman" w:hAnsi="Times New Roman" w:cs="Times New Roman"/>
          <w:sz w:val="20"/>
          <w:szCs w:val="20"/>
        </w:rPr>
        <w:t>-</w:t>
      </w:r>
      <w:r w:rsidRPr="00426625">
        <w:rPr>
          <w:rFonts w:ascii="Times New Roman" w:hAnsi="Times New Roman" w:cs="Times New Roman"/>
          <w:sz w:val="20"/>
          <w:szCs w:val="20"/>
        </w:rPr>
        <w:t xml:space="preserve">ber 1988. </w:t>
      </w:r>
      <w:r w:rsidRPr="00426625">
        <w:rPr>
          <w:rFonts w:ascii="Times New Roman" w:hAnsi="Times New Roman" w:cs="Times New Roman"/>
          <w:i/>
          <w:iCs/>
          <w:sz w:val="20"/>
          <w:szCs w:val="20"/>
        </w:rPr>
        <w:t>Vr. en Antw.</w:t>
      </w:r>
      <w:r w:rsidRPr="00426625">
        <w:rPr>
          <w:rFonts w:ascii="Times New Roman" w:hAnsi="Times New Roman" w:cs="Times New Roman"/>
          <w:sz w:val="20"/>
          <w:szCs w:val="20"/>
        </w:rPr>
        <w:t xml:space="preserve">, 20 december 1988, p. 2586; MARECHAL, G., ‘Het O.C.M.W.-archief: taak en uitdaging voor de secretaris’, </w:t>
      </w:r>
      <w:r w:rsidRPr="00426625">
        <w:rPr>
          <w:rFonts w:ascii="Times New Roman" w:hAnsi="Times New Roman" w:cs="Times New Roman"/>
          <w:i/>
          <w:iCs/>
          <w:sz w:val="20"/>
          <w:szCs w:val="20"/>
        </w:rPr>
        <w:t>O.C.M.W.-visies</w:t>
      </w:r>
      <w:r w:rsidRPr="00426625">
        <w:rPr>
          <w:rFonts w:ascii="Times New Roman" w:hAnsi="Times New Roman" w:cs="Times New Roman"/>
          <w:sz w:val="20"/>
          <w:szCs w:val="20"/>
        </w:rPr>
        <w:t>, 1/6 (1991), p. 24-29.</w:t>
      </w:r>
    </w:p>
  </w:footnote>
  <w:footnote w:id="73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MEIRESONNE, A., </w:t>
      </w:r>
      <w:r w:rsidRPr="00426625">
        <w:rPr>
          <w:rFonts w:ascii="Times New Roman" w:hAnsi="Times New Roman"/>
          <w:i/>
        </w:rPr>
        <w:t>Het medisch archief. Casus Universitair Ziekenhuis Brugmann – Universitair Kinderziekenhuis Koningin Fabiola</w:t>
      </w:r>
      <w:r w:rsidRPr="00426625">
        <w:rPr>
          <w:rFonts w:ascii="Times New Roman" w:hAnsi="Times New Roman"/>
        </w:rPr>
        <w:t>, onuitgeg. verhandeling, Archivistiek en Hedendaags Documentbeheer, pro</w:t>
      </w:r>
      <w:r>
        <w:rPr>
          <w:rFonts w:ascii="Times New Roman" w:hAnsi="Times New Roman"/>
        </w:rPr>
        <w:t>-</w:t>
      </w:r>
      <w:r w:rsidRPr="00426625">
        <w:rPr>
          <w:rFonts w:ascii="Times New Roman" w:hAnsi="Times New Roman"/>
        </w:rPr>
        <w:t>motor J. Verhelst, Vrije Universiteit Brussel, 1992-1993, p. 30-31; VERSCHAEREN, J., ‘O.C.M.W.-ziekenhuis</w:t>
      </w:r>
      <w:r>
        <w:rPr>
          <w:rFonts w:ascii="Times New Roman" w:hAnsi="Times New Roman"/>
        </w:rPr>
        <w:t>-</w:t>
      </w:r>
      <w:r w:rsidRPr="00426625">
        <w:rPr>
          <w:rFonts w:ascii="Times New Roman" w:hAnsi="Times New Roman"/>
        </w:rPr>
        <w:t xml:space="preserve">archieven: problemen van selectie en bewaring’, MARECHAL, G. (red.), </w:t>
      </w:r>
      <w:r w:rsidRPr="00426625">
        <w:rPr>
          <w:rFonts w:ascii="Times New Roman" w:hAnsi="Times New Roman"/>
          <w:i/>
        </w:rPr>
        <w:t>‘Een kompas met vele streken’. Studies over Antwerpen, scheepvaart en archivistiek aangeboden aan dr. Gustaaf Asaert ter gelegenheid van zijn 65ste verjaardag</w:t>
      </w:r>
      <w:r w:rsidRPr="00426625">
        <w:rPr>
          <w:rFonts w:ascii="Times New Roman" w:hAnsi="Times New Roman"/>
        </w:rPr>
        <w:t>, VVBAD, Antwerpen, 1994, p. 219.</w:t>
      </w:r>
    </w:p>
  </w:footnote>
  <w:footnote w:id="74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58 van het decreet van 19 december 2008.</w:t>
      </w:r>
    </w:p>
  </w:footnote>
  <w:footnote w:id="741">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7 § 1 Privacywet.</w:t>
      </w:r>
    </w:p>
  </w:footnote>
  <w:footnote w:id="742">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7 § 2 Privacywet.</w:t>
      </w:r>
    </w:p>
  </w:footnote>
  <w:footnote w:id="743">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7 § 2, j) Privacywet.</w:t>
      </w:r>
    </w:p>
  </w:footnote>
  <w:footnote w:id="744">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16 § 1 Privacywet. Zie ook: FORESTI, S., </w:t>
      </w:r>
      <w:r w:rsidRPr="00426625">
        <w:rPr>
          <w:rFonts w:ascii="Times New Roman" w:hAnsi="Times New Roman"/>
          <w:i/>
          <w:lang w:val="en-US"/>
        </w:rPr>
        <w:t>Preserving Privacy in Data Outsourcing</w:t>
      </w:r>
      <w:r w:rsidRPr="00426625">
        <w:rPr>
          <w:rFonts w:ascii="Times New Roman" w:hAnsi="Times New Roman"/>
          <w:lang w:val="en-US"/>
        </w:rPr>
        <w:t>, Advances in Infor</w:t>
      </w:r>
      <w:r>
        <w:rPr>
          <w:rFonts w:ascii="Times New Roman" w:hAnsi="Times New Roman"/>
          <w:lang w:val="en-US"/>
        </w:rPr>
        <w:t>-</w:t>
      </w:r>
      <w:r w:rsidRPr="00426625">
        <w:rPr>
          <w:rFonts w:ascii="Times New Roman" w:hAnsi="Times New Roman"/>
          <w:lang w:val="en-US"/>
        </w:rPr>
        <w:t>mation Security, 51, New York-Dordrecht-Heidelberg-Londen, Springer, 2011, 196p.</w:t>
      </w:r>
    </w:p>
  </w:footnote>
  <w:footnote w:id="74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‘Stockering van medische gegevens door een handelsfirma’, </w:t>
      </w:r>
      <w:r w:rsidRPr="00426625">
        <w:rPr>
          <w:rFonts w:ascii="Times New Roman" w:hAnsi="Times New Roman" w:cs="Times New Roman"/>
          <w:i/>
          <w:iCs/>
          <w:sz w:val="20"/>
          <w:szCs w:val="20"/>
        </w:rPr>
        <w:t>T.N.R.</w:t>
      </w:r>
      <w:r w:rsidRPr="00426625">
        <w:rPr>
          <w:rFonts w:ascii="Times New Roman" w:hAnsi="Times New Roman" w:cs="Times New Roman"/>
          <w:sz w:val="20"/>
          <w:szCs w:val="20"/>
        </w:rPr>
        <w:t>, 84 (1999), p.18.</w:t>
      </w:r>
    </w:p>
  </w:footnote>
  <w:footnote w:id="74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N1, B, 3, b) van het KB van 21 september 2004.</w:t>
      </w:r>
    </w:p>
  </w:footnote>
  <w:footnote w:id="74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infra.</w:t>
      </w:r>
    </w:p>
  </w:footnote>
  <w:footnote w:id="74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CLEPKENS, C., ‘Overhandigen van medische gegevens uit het RVT-dossier’, p. 182.</w:t>
      </w:r>
    </w:p>
  </w:footnote>
  <w:footnote w:id="74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15 § 1 en art. </w:t>
      </w:r>
      <w:r w:rsidRPr="00426625">
        <w:rPr>
          <w:rFonts w:ascii="Times New Roman" w:hAnsi="Times New Roman" w:cs="Times New Roman"/>
          <w:i/>
          <w:iCs/>
          <w:sz w:val="20"/>
          <w:szCs w:val="20"/>
        </w:rPr>
        <w:t xml:space="preserve">17quater </w:t>
      </w:r>
      <w:r w:rsidRPr="00426625">
        <w:rPr>
          <w:rFonts w:ascii="Times New Roman" w:hAnsi="Times New Roman" w:cs="Times New Roman"/>
          <w:sz w:val="20"/>
          <w:szCs w:val="20"/>
        </w:rPr>
        <w:t>§ 1 Ziekenhuiswet (1); art. 1 § 3 van het KB van 3 mei 1999 (2); art. 20 § 1 en art. 25 § 1 Ziekenhuiswet (2).</w:t>
      </w:r>
    </w:p>
  </w:footnote>
  <w:footnote w:id="75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 1 van het KB van 3 mei 1999 (2). Zie ook: KIEVITS, F.; ADRIAANSE, M.T.; ‘Duitse artsen zeggen nee tegen centrale opslag patiëntengegevens’, </w:t>
      </w:r>
      <w:r w:rsidRPr="00426625">
        <w:rPr>
          <w:rFonts w:ascii="Times New Roman" w:hAnsi="Times New Roman" w:cs="Times New Roman"/>
          <w:i/>
          <w:iCs/>
          <w:sz w:val="20"/>
          <w:szCs w:val="20"/>
        </w:rPr>
        <w:t>N.T.G.</w:t>
      </w:r>
      <w:r w:rsidRPr="00426625">
        <w:rPr>
          <w:rFonts w:ascii="Times New Roman" w:hAnsi="Times New Roman" w:cs="Times New Roman"/>
          <w:sz w:val="20"/>
          <w:szCs w:val="20"/>
        </w:rPr>
        <w:t>, 152 (2008), p. 343-344.</w:t>
      </w:r>
    </w:p>
  </w:footnote>
  <w:footnote w:id="7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NUYTTENS, p. 59.</w:t>
      </w:r>
    </w:p>
  </w:footnote>
  <w:footnote w:id="752">
    <w:p w:rsidR="00E82D16" w:rsidRPr="00426625" w:rsidRDefault="00E82D16" w:rsidP="00426625">
      <w:pPr>
        <w:pStyle w:val="Voetnoottekst"/>
        <w:jc w:val="both"/>
        <w:rPr>
          <w:rFonts w:ascii="Times New Roman" w:hAnsi="Times New Roman"/>
        </w:rPr>
      </w:pPr>
      <w:r w:rsidRPr="00AF492F">
        <w:rPr>
          <w:rStyle w:val="Voetnootmarkering"/>
          <w:rFonts w:ascii="Times New Roman" w:hAnsi="Times New Roman"/>
        </w:rPr>
        <w:footnoteRef/>
      </w:r>
      <w:r w:rsidRPr="00AF492F">
        <w:rPr>
          <w:rFonts w:ascii="Times New Roman" w:hAnsi="Times New Roman"/>
        </w:rPr>
        <w:t xml:space="preserve"> Zie supra.</w:t>
      </w:r>
    </w:p>
  </w:footnote>
  <w:footnote w:id="753">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Antwoord van Magda Aelvoet als Minister van Volksgezondheid op vraag nr. 191 van de heer F. Antheunis op 13 september 2000. </w:t>
      </w:r>
      <w:r w:rsidRPr="00426625">
        <w:rPr>
          <w:rFonts w:ascii="Times New Roman" w:hAnsi="Times New Roman" w:cs="Times New Roman"/>
          <w:i/>
          <w:iCs/>
          <w:sz w:val="20"/>
          <w:szCs w:val="20"/>
        </w:rPr>
        <w:t>Vr. en antw.</w:t>
      </w:r>
      <w:r w:rsidRPr="00426625">
        <w:rPr>
          <w:rFonts w:ascii="Times New Roman" w:hAnsi="Times New Roman" w:cs="Times New Roman"/>
          <w:sz w:val="20"/>
          <w:szCs w:val="20"/>
        </w:rPr>
        <w:t xml:space="preserve">, 23 oktober 2000, p. 5822; </w:t>
      </w:r>
      <w:r w:rsidRPr="00426625">
        <w:rPr>
          <w:rFonts w:ascii="Times New Roman" w:hAnsi="Times New Roman" w:cs="Times New Roman"/>
          <w:i/>
          <w:iCs/>
          <w:sz w:val="20"/>
          <w:szCs w:val="20"/>
        </w:rPr>
        <w:t>De Geneesheer-Specialist</w:t>
      </w:r>
      <w:r w:rsidRPr="00426625">
        <w:rPr>
          <w:rFonts w:ascii="Times New Roman" w:hAnsi="Times New Roman" w:cs="Times New Roman"/>
          <w:sz w:val="20"/>
          <w:szCs w:val="20"/>
        </w:rPr>
        <w:t>, 46/9 (2000), (</w:t>
      </w:r>
      <w:hyperlink w:history="1">
        <w:r w:rsidRPr="002E0847">
          <w:rPr>
            <w:rStyle w:val="Hyperlink"/>
            <w:rFonts w:ascii="Times New Roman" w:hAnsi="Times New Roman" w:cs="Times New Roman"/>
            <w:sz w:val="20"/>
            <w:szCs w:val="20"/>
          </w:rPr>
          <w:t>http:// www.vbs-gbs.org/dgs/gs2000/gs0009/gs0009-05.asp</w:t>
        </w:r>
      </w:hyperlink>
      <w:r w:rsidRPr="00426625">
        <w:rPr>
          <w:rFonts w:ascii="Times New Roman" w:hAnsi="Times New Roman" w:cs="Times New Roman"/>
          <w:sz w:val="20"/>
          <w:szCs w:val="20"/>
        </w:rPr>
        <w:t xml:space="preserve">). </w:t>
      </w:r>
    </w:p>
  </w:footnote>
  <w:footnote w:id="75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‘Bewaring van medische ziekenhuisgegevens’, </w:t>
      </w:r>
      <w:r w:rsidRPr="00426625">
        <w:rPr>
          <w:rFonts w:ascii="Times New Roman" w:hAnsi="Times New Roman"/>
          <w:i/>
          <w:iCs/>
        </w:rPr>
        <w:t>T.N.R.</w:t>
      </w:r>
      <w:r w:rsidRPr="00426625">
        <w:rPr>
          <w:rFonts w:ascii="Times New Roman" w:hAnsi="Times New Roman"/>
        </w:rPr>
        <w:t xml:space="preserve">, 93 (2001), p. 5; ‘Stockering van medische gegevens door een handelsfirma’, </w:t>
      </w:r>
      <w:r w:rsidRPr="00426625">
        <w:rPr>
          <w:rFonts w:ascii="Times New Roman" w:hAnsi="Times New Roman"/>
          <w:i/>
          <w:iCs/>
        </w:rPr>
        <w:t>T.N.R.</w:t>
      </w:r>
      <w:r w:rsidRPr="00426625">
        <w:rPr>
          <w:rFonts w:ascii="Times New Roman" w:hAnsi="Times New Roman"/>
        </w:rPr>
        <w:t xml:space="preserve">, 84 (1999), p.18; ‘Medisch archief – Verantwoordelijke voor de opslag ervan in het ziekenhuis’, </w:t>
      </w:r>
      <w:r w:rsidRPr="00426625">
        <w:rPr>
          <w:rFonts w:ascii="Times New Roman" w:hAnsi="Times New Roman"/>
          <w:i/>
          <w:iCs/>
        </w:rPr>
        <w:t>T.N.R.</w:t>
      </w:r>
      <w:r w:rsidRPr="00426625">
        <w:rPr>
          <w:rFonts w:ascii="Times New Roman" w:hAnsi="Times New Roman"/>
        </w:rPr>
        <w:t xml:space="preserve">, 86 (1999), p. 15; BRILLON, S.; CALLENS, S.; ‘La conservation du dossier du patient’, </w:t>
      </w:r>
      <w:r w:rsidRPr="00426625">
        <w:rPr>
          <w:rFonts w:ascii="Times New Roman" w:hAnsi="Times New Roman"/>
          <w:i/>
        </w:rPr>
        <w:t>T.Gez.</w:t>
      </w:r>
      <w:r w:rsidRPr="00426625">
        <w:rPr>
          <w:rFonts w:ascii="Times New Roman" w:hAnsi="Times New Roman"/>
        </w:rPr>
        <w:t>,</w:t>
      </w:r>
      <w:r w:rsidRPr="00426625">
        <w:rPr>
          <w:rFonts w:ascii="Times New Roman" w:hAnsi="Times New Roman"/>
          <w:i/>
        </w:rPr>
        <w:t xml:space="preserve"> </w:t>
      </w:r>
      <w:r w:rsidRPr="00426625">
        <w:rPr>
          <w:rFonts w:ascii="Times New Roman" w:hAnsi="Times New Roman"/>
        </w:rPr>
        <w:t>2001-2002, 4, p. 180. Cf. werkgroep ‘Archieven’ van de Telematicacommissie, ‘Advies nr. 7: Langeter</w:t>
      </w:r>
      <w:r>
        <w:rPr>
          <w:rFonts w:ascii="Times New Roman" w:hAnsi="Times New Roman"/>
        </w:rPr>
        <w:t>-</w:t>
      </w:r>
      <w:r w:rsidRPr="00426625">
        <w:rPr>
          <w:rFonts w:ascii="Times New Roman" w:hAnsi="Times New Roman"/>
        </w:rPr>
        <w:t>mijnbewaring van patiëntendossiers door ziekenhuizen’, 2002, p. 3 (nr. 5); Nationale Raad voor Ziekenhuisvoor</w:t>
      </w:r>
      <w:r>
        <w:rPr>
          <w:rFonts w:ascii="Times New Roman" w:hAnsi="Times New Roman"/>
        </w:rPr>
        <w:t>-ziening,</w:t>
      </w:r>
      <w:r w:rsidRPr="00426625">
        <w:rPr>
          <w:rFonts w:ascii="Times New Roman" w:hAnsi="Times New Roman"/>
        </w:rPr>
        <w:t xml:space="preserve"> ‘Opmerkingen m.b.t. adviezen 7 en 8 van de Telematicacommissie’, Brussel, 2005, p. 7 (nr. 5).</w:t>
      </w:r>
    </w:p>
  </w:footnote>
  <w:footnote w:id="755">
    <w:p w:rsidR="00E82D16" w:rsidRPr="00426625" w:rsidRDefault="00E82D16" w:rsidP="00426625">
      <w:pPr>
        <w:pStyle w:val="Voetnoottekst"/>
        <w:ind w:firstLine="1"/>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lang w:val="fr-BE"/>
        </w:rPr>
        <w:t xml:space="preserve"> ROGER, F.H.; JOOS, M.; SERVAIS, P.; ‘Les archives médicales aux cliniques universitaires de Louvain: historiques et perspectives’, </w:t>
      </w:r>
      <w:r w:rsidRPr="00426625">
        <w:rPr>
          <w:rFonts w:ascii="Times New Roman" w:hAnsi="Times New Roman"/>
          <w:i/>
          <w:lang w:val="fr-BE"/>
        </w:rPr>
        <w:t>L’hôpital belge</w:t>
      </w:r>
      <w:r w:rsidRPr="00426625">
        <w:rPr>
          <w:rFonts w:ascii="Times New Roman" w:hAnsi="Times New Roman"/>
          <w:lang w:val="fr-BE"/>
        </w:rPr>
        <w:t xml:space="preserve">, 2 (1989), p. 35-39; </w:t>
      </w:r>
      <w:r w:rsidRPr="00426625">
        <w:rPr>
          <w:rFonts w:ascii="Times New Roman" w:hAnsi="Times New Roman"/>
          <w:i/>
          <w:lang w:val="fr-BE"/>
        </w:rPr>
        <w:t>L’hôpital de Paris</w:t>
      </w:r>
      <w:r w:rsidRPr="00426625">
        <w:rPr>
          <w:rFonts w:ascii="Times New Roman" w:hAnsi="Times New Roman"/>
          <w:lang w:val="fr-BE"/>
        </w:rPr>
        <w:t>, 120 (1990), p. 53-58.</w:t>
      </w:r>
    </w:p>
  </w:footnote>
  <w:footnote w:id="75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73" w:history="1">
        <w:r w:rsidRPr="00426625">
          <w:rPr>
            <w:rStyle w:val="Hyperlink"/>
            <w:rFonts w:ascii="Times New Roman" w:hAnsi="Times New Roman"/>
          </w:rPr>
          <w:t>www.goudengids.be</w:t>
        </w:r>
      </w:hyperlink>
      <w:r>
        <w:rPr>
          <w:rFonts w:ascii="Times New Roman" w:hAnsi="Times New Roman"/>
        </w:rPr>
        <w:t xml:space="preserve">, onder </w:t>
      </w:r>
      <w:r w:rsidRPr="00426625">
        <w:rPr>
          <w:rFonts w:ascii="Times New Roman" w:hAnsi="Times New Roman"/>
        </w:rPr>
        <w:t>‘archiefvernietiging &amp; archiefbewaring’.</w:t>
      </w:r>
    </w:p>
  </w:footnote>
  <w:footnote w:id="75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6 § 1, 2° van het KB van 3 mei 1999 (2).</w:t>
      </w:r>
    </w:p>
  </w:footnote>
  <w:footnote w:id="758">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MEIRESONNE, A., ‘Records Management op de Campus Brugmann: het patiëntendossier’, JANSSENS, G.; MARECHAL, G.; SCHEELINGS, F. (reds.); </w:t>
      </w:r>
      <w:r w:rsidRPr="00426625">
        <w:rPr>
          <w:rFonts w:ascii="Times New Roman" w:hAnsi="Times New Roman"/>
          <w:i/>
        </w:rPr>
        <w:t>Archiefinitiatie(f), 4: Door de archivistiek gestrikt. Liber amico</w:t>
      </w:r>
      <w:r>
        <w:rPr>
          <w:rFonts w:ascii="Times New Roman" w:hAnsi="Times New Roman"/>
          <w:i/>
        </w:rPr>
        <w:t>-</w:t>
      </w:r>
      <w:r w:rsidRPr="00426625">
        <w:rPr>
          <w:rFonts w:ascii="Times New Roman" w:hAnsi="Times New Roman"/>
          <w:i/>
        </w:rPr>
        <w:t>rum prof. dr. Juul Verhelst</w:t>
      </w:r>
      <w:r w:rsidRPr="00426625">
        <w:rPr>
          <w:rFonts w:ascii="Times New Roman" w:hAnsi="Times New Roman"/>
        </w:rPr>
        <w:t>, Brussel, VUBPress, 2000, p. 176-177.</w:t>
      </w:r>
    </w:p>
  </w:footnote>
  <w:footnote w:id="75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9 Privacywet.</w:t>
      </w:r>
    </w:p>
  </w:footnote>
  <w:footnote w:id="76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LIERMAN, S., ‘Het pleit beslecht: de patiënt draagt de bewijslast van de informatiemiskenning door de arts’, </w:t>
      </w:r>
      <w:r w:rsidRPr="00426625">
        <w:rPr>
          <w:rFonts w:ascii="Times New Roman" w:hAnsi="Times New Roman"/>
          <w:i/>
        </w:rPr>
        <w:t>T.Gez.</w:t>
      </w:r>
      <w:r w:rsidRPr="00426625">
        <w:rPr>
          <w:rFonts w:ascii="Times New Roman" w:hAnsi="Times New Roman"/>
        </w:rPr>
        <w:t>, 2004-2005, p. 302-308; VAN DEN BOSSCHE, A., ‘Objectieve aansprakelijkheid geldt ook voor medi</w:t>
      </w:r>
      <w:r>
        <w:rPr>
          <w:rFonts w:ascii="Times New Roman" w:hAnsi="Times New Roman"/>
        </w:rPr>
        <w:t>-</w:t>
      </w:r>
      <w:r w:rsidRPr="00426625">
        <w:rPr>
          <w:rFonts w:ascii="Times New Roman" w:hAnsi="Times New Roman"/>
        </w:rPr>
        <w:t xml:space="preserve">sche sector’, </w:t>
      </w:r>
      <w:r w:rsidRPr="00426625">
        <w:rPr>
          <w:rFonts w:ascii="Times New Roman" w:hAnsi="Times New Roman"/>
          <w:i/>
        </w:rPr>
        <w:t>Juristenkrant</w:t>
      </w:r>
      <w:r w:rsidRPr="00426625">
        <w:rPr>
          <w:rFonts w:ascii="Times New Roman" w:hAnsi="Times New Roman"/>
        </w:rPr>
        <w:t>, 33 (2001), p. 8.</w:t>
      </w:r>
    </w:p>
  </w:footnote>
  <w:footnote w:id="761">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VANSWEEVELT; DEWALLENS; p. 159.</w:t>
      </w:r>
    </w:p>
  </w:footnote>
  <w:footnote w:id="762">
    <w:p w:rsidR="00E82D16" w:rsidRPr="00426625" w:rsidRDefault="00E82D16" w:rsidP="00426625">
      <w:pPr>
        <w:pStyle w:val="Geenafstand"/>
        <w:jc w:val="both"/>
        <w:rPr>
          <w:rFonts w:ascii="Times New Roman" w:hAnsi="Times New Roman" w:cs="Times New Roman"/>
          <w:sz w:val="20"/>
          <w:szCs w:val="20"/>
        </w:rPr>
      </w:pPr>
      <w:r w:rsidRPr="00EE4FA6">
        <w:rPr>
          <w:rStyle w:val="FootnoteCharacters"/>
          <w:rFonts w:ascii="Times New Roman" w:hAnsi="Times New Roman" w:cs="Times New Roman"/>
          <w:sz w:val="20"/>
          <w:szCs w:val="20"/>
          <w:vertAlign w:val="superscript"/>
        </w:rPr>
        <w:footnoteRef/>
      </w:r>
      <w:r w:rsidRPr="00426625">
        <w:rPr>
          <w:rFonts w:ascii="Times New Roman" w:hAnsi="Times New Roman" w:cs="Times New Roman"/>
          <w:sz w:val="20"/>
          <w:szCs w:val="20"/>
        </w:rPr>
        <w:t xml:space="preserve"> Het gebrek aan een algemene bewaartermijn wordt aangeklaagd in: BRILLON, S.; CALLENS, S.; ‘La con</w:t>
      </w:r>
      <w:r>
        <w:rPr>
          <w:rFonts w:ascii="Times New Roman" w:hAnsi="Times New Roman" w:cs="Times New Roman"/>
          <w:sz w:val="20"/>
          <w:szCs w:val="20"/>
        </w:rPr>
        <w:t>-</w:t>
      </w:r>
      <w:r w:rsidRPr="00426625">
        <w:rPr>
          <w:rFonts w:ascii="Times New Roman" w:hAnsi="Times New Roman" w:cs="Times New Roman"/>
          <w:sz w:val="20"/>
          <w:szCs w:val="20"/>
        </w:rPr>
        <w:t>servation du dossier du patient’, p. 176-177. Zie Tabel 2.</w:t>
      </w:r>
    </w:p>
  </w:footnote>
  <w:footnote w:id="76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Kind en Gezin, </w:t>
      </w:r>
      <w:r w:rsidRPr="00426625">
        <w:rPr>
          <w:rFonts w:ascii="Times New Roman" w:hAnsi="Times New Roman"/>
          <w:i/>
        </w:rPr>
        <w:t>Kwaliteitsnieuwsbrief</w:t>
      </w:r>
      <w:r w:rsidRPr="00426625">
        <w:rPr>
          <w:rFonts w:ascii="Times New Roman" w:hAnsi="Times New Roman"/>
        </w:rPr>
        <w:t>, 7 (2003), p. 4 (</w:t>
      </w:r>
      <w:hyperlink r:id="rId174" w:history="1">
        <w:r w:rsidRPr="00426625">
          <w:rPr>
            <w:rStyle w:val="Hyperlink"/>
            <w:rFonts w:ascii="Times New Roman" w:hAnsi="Times New Roman"/>
          </w:rPr>
          <w:t>www.kindengezin.be</w:t>
        </w:r>
      </w:hyperlink>
      <w:r w:rsidRPr="00426625">
        <w:rPr>
          <w:rFonts w:ascii="Times New Roman" w:hAnsi="Times New Roman"/>
        </w:rPr>
        <w:t>), geciteerd door VANSWEEVELT; DEWALLENS; p. 154 (nr. 246).</w:t>
      </w:r>
    </w:p>
  </w:footnote>
  <w:footnote w:id="76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w:t>
      </w:r>
      <w:r>
        <w:rPr>
          <w:rFonts w:ascii="Times New Roman" w:hAnsi="Times New Roman"/>
        </w:rPr>
        <w:t>ron</w:t>
      </w:r>
      <w:r w:rsidRPr="00426625">
        <w:rPr>
          <w:rFonts w:ascii="Times New Roman" w:hAnsi="Times New Roman"/>
        </w:rPr>
        <w:t>: VANSWEEVELT; DEWALLENS; p. 150-155 (nrs. 238 tot 248).</w:t>
      </w:r>
    </w:p>
  </w:footnote>
  <w:footnote w:id="76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1 van het KB van 3 mei 1999 (2); art. 17</w:t>
      </w:r>
      <w:r w:rsidRPr="00426625">
        <w:rPr>
          <w:rFonts w:ascii="Times New Roman" w:hAnsi="Times New Roman"/>
          <w:i/>
          <w:iCs/>
        </w:rPr>
        <w:t>quater</w:t>
      </w:r>
      <w:r w:rsidRPr="00426625">
        <w:rPr>
          <w:rFonts w:ascii="Times New Roman" w:hAnsi="Times New Roman"/>
        </w:rPr>
        <w:t xml:space="preserve"> § 1 Ziekenhuiswet (1); art. 25 § 1 Ziekenhuiswet (2).</w:t>
      </w:r>
    </w:p>
  </w:footnote>
  <w:footnote w:id="76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 3 van het KB van 3 mei 1999 (2); art. 1 § 3 van het KB van 28 december 2006; BRILLON, S.; CALLENS, S.; ‘La conservation du dossier patient’,</w:t>
      </w:r>
      <w:r w:rsidRPr="00426625">
        <w:rPr>
          <w:rFonts w:ascii="Times New Roman" w:hAnsi="Times New Roman"/>
          <w:bCs/>
        </w:rPr>
        <w:t xml:space="preserve"> p. 177-178</w:t>
      </w:r>
      <w:r w:rsidRPr="00426625">
        <w:rPr>
          <w:rFonts w:ascii="Times New Roman" w:hAnsi="Times New Roman"/>
        </w:rPr>
        <w:t>.</w:t>
      </w:r>
    </w:p>
  </w:footnote>
  <w:footnote w:id="76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2262</w:t>
      </w:r>
      <w:r w:rsidRPr="00426625">
        <w:rPr>
          <w:rFonts w:ascii="Times New Roman" w:hAnsi="Times New Roman" w:cs="Times New Roman"/>
          <w:i/>
          <w:iCs/>
          <w:sz w:val="20"/>
          <w:szCs w:val="20"/>
        </w:rPr>
        <w:t>bis</w:t>
      </w:r>
      <w:r w:rsidRPr="00426625">
        <w:rPr>
          <w:rFonts w:ascii="Times New Roman" w:hAnsi="Times New Roman" w:cs="Times New Roman"/>
          <w:sz w:val="20"/>
          <w:szCs w:val="20"/>
        </w:rPr>
        <w:t xml:space="preserve"> BW. FORRIER, Boek III, Titel XX, Hoofdstuk V, p. 190.</w:t>
      </w:r>
    </w:p>
  </w:footnote>
  <w:footnote w:id="768">
    <w:p w:rsidR="00E82D16" w:rsidRPr="00E333B6" w:rsidRDefault="00E82D16" w:rsidP="00426625">
      <w:pPr>
        <w:pStyle w:val="Geenafstand"/>
        <w:jc w:val="both"/>
        <w:rPr>
          <w:rFonts w:ascii="Times New Roman" w:hAnsi="Times New Roman" w:cs="Times New Roman"/>
          <w:sz w:val="20"/>
          <w:szCs w:val="20"/>
        </w:rPr>
      </w:pPr>
      <w:r w:rsidRPr="00426625">
        <w:rPr>
          <w:rStyle w:val="FootnoteCharacters"/>
          <w:rFonts w:ascii="Times New Roman" w:hAnsi="Times New Roman" w:cs="Times New Roman"/>
          <w:sz w:val="20"/>
          <w:szCs w:val="20"/>
        </w:rPr>
        <w:footnoteRef/>
      </w:r>
      <w:r w:rsidRPr="00426625">
        <w:rPr>
          <w:rFonts w:ascii="Times New Roman" w:hAnsi="Times New Roman" w:cs="Times New Roman"/>
          <w:sz w:val="20"/>
          <w:szCs w:val="20"/>
        </w:rPr>
        <w:t xml:space="preserve"> Ingevoegd bij art. 5 van de wet van 10 juni 1998 tot wijziging van sommige bepalingen betreffende de verja</w:t>
      </w:r>
      <w:r>
        <w:rPr>
          <w:rFonts w:ascii="Times New Roman" w:hAnsi="Times New Roman" w:cs="Times New Roman"/>
          <w:sz w:val="20"/>
          <w:szCs w:val="20"/>
        </w:rPr>
        <w:t>-</w:t>
      </w:r>
      <w:r w:rsidRPr="00426625">
        <w:rPr>
          <w:rFonts w:ascii="Times New Roman" w:hAnsi="Times New Roman" w:cs="Times New Roman"/>
          <w:sz w:val="20"/>
          <w:szCs w:val="20"/>
        </w:rPr>
        <w:t>ring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17 juli 1998); </w:t>
      </w:r>
      <w:r w:rsidRPr="00E333B6">
        <w:rPr>
          <w:rFonts w:ascii="Times New Roman" w:hAnsi="Times New Roman" w:cs="Times New Roman"/>
          <w:sz w:val="20"/>
          <w:szCs w:val="20"/>
        </w:rPr>
        <w:t xml:space="preserve">CLAEYS, I., ‘De nieuwe verjaringstermijn: een inleidende verkenning’, </w:t>
      </w:r>
      <w:r w:rsidRPr="00E333B6">
        <w:rPr>
          <w:rFonts w:ascii="Times New Roman" w:hAnsi="Times New Roman" w:cs="Times New Roman"/>
          <w:i/>
          <w:sz w:val="20"/>
          <w:szCs w:val="20"/>
        </w:rPr>
        <w:t>R.W.</w:t>
      </w:r>
      <w:r w:rsidRPr="00E333B6">
        <w:rPr>
          <w:rFonts w:ascii="Times New Roman" w:hAnsi="Times New Roman" w:cs="Times New Roman"/>
          <w:sz w:val="20"/>
          <w:szCs w:val="20"/>
        </w:rPr>
        <w:t>, 1998-1999, k. 377-403.</w:t>
      </w:r>
    </w:p>
  </w:footnote>
  <w:footnote w:id="76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tot art. 12 van de wet van 10 juni 1998 tot wijziging van sommige bepalingen betreffende de verjaring (</w:t>
      </w:r>
      <w:r w:rsidRPr="00426625">
        <w:rPr>
          <w:rFonts w:ascii="Times New Roman" w:hAnsi="Times New Roman"/>
          <w:i/>
          <w:iCs/>
        </w:rPr>
        <w:t>BS</w:t>
      </w:r>
      <w:r w:rsidRPr="00426625">
        <w:rPr>
          <w:rFonts w:ascii="Times New Roman" w:hAnsi="Times New Roman"/>
        </w:rPr>
        <w:t xml:space="preserve"> 17 juli 1998).</w:t>
      </w:r>
    </w:p>
  </w:footnote>
  <w:footnote w:id="770">
    <w:p w:rsidR="00E82D16" w:rsidRPr="00E333B6"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‘Bewaartermijn van radiografieën en elektro-encefalografische tracés’, </w:t>
      </w:r>
      <w:r w:rsidRPr="00E333B6">
        <w:rPr>
          <w:rFonts w:ascii="Times New Roman" w:hAnsi="Times New Roman"/>
          <w:i/>
        </w:rPr>
        <w:t>T.N.R.</w:t>
      </w:r>
      <w:r w:rsidRPr="00E333B6">
        <w:rPr>
          <w:rFonts w:ascii="Times New Roman" w:hAnsi="Times New Roman"/>
        </w:rPr>
        <w:t>, 92 (2001), p. 3; ‘Bewaarter</w:t>
      </w:r>
      <w:r>
        <w:rPr>
          <w:rFonts w:ascii="Times New Roman" w:hAnsi="Times New Roman"/>
        </w:rPr>
        <w:t>-</w:t>
      </w:r>
      <w:r w:rsidRPr="00E333B6">
        <w:rPr>
          <w:rFonts w:ascii="Times New Roman" w:hAnsi="Times New Roman"/>
        </w:rPr>
        <w:t xml:space="preserve">mijnen van ziekenhuisdossiers’, </w:t>
      </w:r>
      <w:r w:rsidRPr="00E333B6">
        <w:rPr>
          <w:rFonts w:ascii="Times New Roman" w:hAnsi="Times New Roman"/>
          <w:i/>
        </w:rPr>
        <w:t>T.N.R.</w:t>
      </w:r>
      <w:r w:rsidRPr="00E333B6">
        <w:rPr>
          <w:rFonts w:ascii="Times New Roman" w:hAnsi="Times New Roman"/>
        </w:rPr>
        <w:t>, 98 (2002), p. 5.</w:t>
      </w:r>
    </w:p>
  </w:footnote>
  <w:footnote w:id="771">
    <w:p w:rsidR="00E82D16" w:rsidRPr="00426625" w:rsidRDefault="00E82D16" w:rsidP="00426625">
      <w:pPr>
        <w:pStyle w:val="Geenafstand"/>
        <w:jc w:val="both"/>
        <w:rPr>
          <w:rFonts w:ascii="Times New Roman" w:hAnsi="Times New Roman" w:cs="Times New Roman"/>
          <w:color w:val="FF0000"/>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3 van het KB van 3 mei 1999 (2).</w:t>
      </w:r>
    </w:p>
  </w:footnote>
  <w:footnote w:id="77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 § 3 van het KB van 28 december 2006. </w:t>
      </w:r>
      <w:r w:rsidRPr="00426625">
        <w:rPr>
          <w:rFonts w:ascii="Times New Roman" w:hAnsi="Times New Roman" w:cs="Times New Roman"/>
          <w:i/>
          <w:sz w:val="20"/>
          <w:szCs w:val="20"/>
        </w:rPr>
        <w:t>Contra</w:t>
      </w:r>
      <w:r w:rsidRPr="00426625">
        <w:rPr>
          <w:rFonts w:ascii="Times New Roman" w:hAnsi="Times New Roman" w:cs="Times New Roman"/>
          <w:sz w:val="20"/>
          <w:szCs w:val="20"/>
        </w:rPr>
        <w:t xml:space="preserve">: </w:t>
      </w:r>
      <w:r w:rsidRPr="00426625">
        <w:rPr>
          <w:rFonts w:ascii="Times New Roman" w:hAnsi="Times New Roman" w:cs="Times New Roman"/>
          <w:i/>
          <w:sz w:val="20"/>
          <w:szCs w:val="20"/>
        </w:rPr>
        <w:t>Verpleegkunde, Vroedkunde: Zakboekje 2009-2010</w:t>
      </w:r>
      <w:r w:rsidRPr="00426625">
        <w:rPr>
          <w:rFonts w:ascii="Times New Roman" w:hAnsi="Times New Roman" w:cs="Times New Roman"/>
          <w:sz w:val="20"/>
          <w:szCs w:val="20"/>
        </w:rPr>
        <w:t xml:space="preserve">, Mechelen, Kluwer, 2009, p. 265: </w:t>
      </w:r>
      <w:r w:rsidRPr="00426625">
        <w:rPr>
          <w:rFonts w:ascii="Times New Roman" w:hAnsi="Times New Roman" w:cs="Times New Roman"/>
          <w:i/>
          <w:sz w:val="20"/>
          <w:szCs w:val="20"/>
        </w:rPr>
        <w:t>De bewaringstermijn</w:t>
      </w:r>
      <w:r w:rsidRPr="00426625">
        <w:rPr>
          <w:rFonts w:ascii="Times New Roman" w:hAnsi="Times New Roman" w:cs="Times New Roman"/>
          <w:sz w:val="20"/>
          <w:szCs w:val="20"/>
        </w:rPr>
        <w:t xml:space="preserve"> [van het verpleegkundig dossier] </w:t>
      </w:r>
      <w:r w:rsidRPr="00426625">
        <w:rPr>
          <w:rFonts w:ascii="Times New Roman" w:hAnsi="Times New Roman" w:cs="Times New Roman"/>
          <w:i/>
          <w:sz w:val="20"/>
          <w:szCs w:val="20"/>
        </w:rPr>
        <w:t>is minstens 5 jaar</w:t>
      </w:r>
      <w:r w:rsidRPr="00426625">
        <w:rPr>
          <w:rFonts w:ascii="Times New Roman" w:hAnsi="Times New Roman" w:cs="Times New Roman"/>
          <w:sz w:val="20"/>
          <w:szCs w:val="20"/>
        </w:rPr>
        <w:t>.</w:t>
      </w:r>
    </w:p>
  </w:footnote>
  <w:footnote w:id="77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Het voornaamste voorstel is advies nr. 7 van de Werkgroep ‘Archieven’ van de Telematicacommissie, ‘Langetermijnbewaring van patiëntendossiers door ziekenhuizen’, 2002 (</w:t>
      </w:r>
      <w:hyperlink r:id="rId175" w:history="1">
        <w:r w:rsidRPr="00426625">
          <w:rPr>
            <w:rStyle w:val="Hyperlink"/>
            <w:rFonts w:ascii="Times New Roman" w:hAnsi="Times New Roman"/>
          </w:rPr>
          <w:t>www.health.belgium.be</w:t>
        </w:r>
      </w:hyperlink>
      <w:r w:rsidRPr="00426625">
        <w:rPr>
          <w:rFonts w:ascii="Times New Roman" w:hAnsi="Times New Roman"/>
        </w:rPr>
        <w:t xml:space="preserve">). Omdat de Telematicacommissie in dit advies geen rekening hield met de overgangsbepaling van de wet van 10 juni 1998 werd het voorstel door de Nationale Raad van de Orde der geneesheren afgeschoten. </w:t>
      </w:r>
      <w:r w:rsidRPr="00E333B6">
        <w:rPr>
          <w:rFonts w:ascii="Times New Roman" w:hAnsi="Times New Roman"/>
        </w:rPr>
        <w:t xml:space="preserve">‘Bewaartermijnen van ziekenhuisdossiers’, </w:t>
      </w:r>
      <w:r w:rsidRPr="00E333B6">
        <w:rPr>
          <w:rFonts w:ascii="Times New Roman" w:hAnsi="Times New Roman"/>
          <w:i/>
        </w:rPr>
        <w:t>T.N.R.</w:t>
      </w:r>
      <w:r w:rsidRPr="00E333B6">
        <w:rPr>
          <w:rFonts w:ascii="Times New Roman" w:hAnsi="Times New Roman"/>
        </w:rPr>
        <w:t xml:space="preserve">, 98 (2002), p. 5. </w:t>
      </w:r>
      <w:r w:rsidRPr="00426625">
        <w:rPr>
          <w:rFonts w:ascii="Times New Roman" w:hAnsi="Times New Roman"/>
        </w:rPr>
        <w:t>De twintig jarige bewaartermijn wordt ook in de rechtsleer ver</w:t>
      </w:r>
      <w:r>
        <w:rPr>
          <w:rFonts w:ascii="Times New Roman" w:hAnsi="Times New Roman"/>
        </w:rPr>
        <w:t>-</w:t>
      </w:r>
      <w:r w:rsidRPr="00426625">
        <w:rPr>
          <w:rFonts w:ascii="Times New Roman" w:hAnsi="Times New Roman"/>
        </w:rPr>
        <w:t xml:space="preserve">dedigd: BRILLON; CALLENS; ‘La conservation du dossier patient’, p. 178. Michel Nuyttens pleit zelfs voor een algemene bewaartermijn van tien jaar. NUYTTENS, M., </w:t>
      </w:r>
      <w:r w:rsidRPr="00426625">
        <w:rPr>
          <w:rFonts w:ascii="Times New Roman" w:hAnsi="Times New Roman"/>
          <w:i/>
        </w:rPr>
        <w:t>Inspectieverslag betreffende het archief van open</w:t>
      </w:r>
      <w:r>
        <w:rPr>
          <w:rFonts w:ascii="Times New Roman" w:hAnsi="Times New Roman"/>
          <w:i/>
        </w:rPr>
        <w:t>-</w:t>
      </w:r>
      <w:r w:rsidRPr="00426625">
        <w:rPr>
          <w:rFonts w:ascii="Times New Roman" w:hAnsi="Times New Roman"/>
          <w:i/>
        </w:rPr>
        <w:t>bare ziekenhuizen in de provincie West-Vlaanderen</w:t>
      </w:r>
      <w:r w:rsidRPr="00426625">
        <w:rPr>
          <w:rFonts w:ascii="Times New Roman" w:hAnsi="Times New Roman"/>
        </w:rPr>
        <w:t>, p. 61.</w:t>
      </w:r>
    </w:p>
  </w:footnote>
  <w:footnote w:id="77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‘Bewaring van medische dossiers’,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33 (1985), p. 60; ‘Bewaring medische dossiers’,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44 (1989), p. 19; ‘Klinische biologie: bewaring en archivering van medische dossiers, accreditering van de laboratoria’,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70 (1995), p. 17; ‘Wegnemingen - Bewaartermijn’, </w:t>
      </w:r>
      <w:r w:rsidRPr="00426625">
        <w:rPr>
          <w:rFonts w:ascii="Times New Roman" w:hAnsi="Times New Roman" w:cs="Times New Roman"/>
          <w:i/>
          <w:iCs/>
          <w:sz w:val="20"/>
          <w:szCs w:val="20"/>
        </w:rPr>
        <w:t>T.N.R.</w:t>
      </w:r>
      <w:r w:rsidRPr="00426625">
        <w:rPr>
          <w:rFonts w:ascii="Times New Roman" w:hAnsi="Times New Roman" w:cs="Times New Roman"/>
          <w:sz w:val="20"/>
          <w:szCs w:val="20"/>
        </w:rPr>
        <w:t>, 72 (1996), p. 29; ‘Medische dossiers – Der</w:t>
      </w:r>
      <w:r>
        <w:rPr>
          <w:rFonts w:ascii="Times New Roman" w:hAnsi="Times New Roman" w:cs="Times New Roman"/>
          <w:sz w:val="20"/>
          <w:szCs w:val="20"/>
        </w:rPr>
        <w:t>-</w:t>
      </w:r>
      <w:r w:rsidRPr="00426625">
        <w:rPr>
          <w:rFonts w:ascii="Times New Roman" w:hAnsi="Times New Roman" w:cs="Times New Roman"/>
          <w:sz w:val="20"/>
          <w:szCs w:val="20"/>
        </w:rPr>
        <w:t xml:space="preserve">tigjarige bewaartermijn’, </w:t>
      </w:r>
      <w:r w:rsidRPr="00426625">
        <w:rPr>
          <w:rFonts w:ascii="Times New Roman" w:hAnsi="Times New Roman" w:cs="Times New Roman"/>
          <w:i/>
          <w:iCs/>
          <w:sz w:val="20"/>
          <w:szCs w:val="20"/>
        </w:rPr>
        <w:t>T.N.R.</w:t>
      </w:r>
      <w:r w:rsidRPr="00426625">
        <w:rPr>
          <w:rFonts w:ascii="Times New Roman" w:hAnsi="Times New Roman" w:cs="Times New Roman"/>
          <w:sz w:val="20"/>
          <w:szCs w:val="20"/>
        </w:rPr>
        <w:t>, 81 (1998), p. 19; ‘Bewaartermijn van radiografieën en elektro-encefalogra</w:t>
      </w:r>
      <w:r>
        <w:rPr>
          <w:rFonts w:ascii="Times New Roman" w:hAnsi="Times New Roman" w:cs="Times New Roman"/>
          <w:sz w:val="20"/>
          <w:szCs w:val="20"/>
        </w:rPr>
        <w:t>-</w:t>
      </w:r>
      <w:r w:rsidRPr="00426625">
        <w:rPr>
          <w:rFonts w:ascii="Times New Roman" w:hAnsi="Times New Roman" w:cs="Times New Roman"/>
          <w:sz w:val="20"/>
          <w:szCs w:val="20"/>
        </w:rPr>
        <w:t xml:space="preserve">fische tracés’,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92 (2001), p. 3; ‘Bewaartermijn van Guthrie-kaartjes’,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95 (2001), p. 12; ‘Commis</w:t>
      </w:r>
      <w:r>
        <w:rPr>
          <w:rFonts w:ascii="Times New Roman" w:hAnsi="Times New Roman" w:cs="Times New Roman"/>
          <w:sz w:val="20"/>
          <w:szCs w:val="20"/>
        </w:rPr>
        <w:t>-</w:t>
      </w:r>
      <w:r w:rsidRPr="00426625">
        <w:rPr>
          <w:rFonts w:ascii="Times New Roman" w:hAnsi="Times New Roman" w:cs="Times New Roman"/>
          <w:sz w:val="20"/>
          <w:szCs w:val="20"/>
        </w:rPr>
        <w:t xml:space="preserve">sie voor medische ethiek: bewaartermijn van de protocollen’, </w:t>
      </w:r>
      <w:r w:rsidRPr="00426625">
        <w:rPr>
          <w:rFonts w:ascii="Times New Roman" w:hAnsi="Times New Roman" w:cs="Times New Roman"/>
          <w:i/>
          <w:iCs/>
          <w:sz w:val="20"/>
          <w:szCs w:val="20"/>
        </w:rPr>
        <w:t>T.N.R.</w:t>
      </w:r>
      <w:r w:rsidRPr="00426625">
        <w:rPr>
          <w:rFonts w:ascii="Times New Roman" w:hAnsi="Times New Roman" w:cs="Times New Roman"/>
          <w:sz w:val="20"/>
          <w:szCs w:val="20"/>
        </w:rPr>
        <w:t>, 96 (2002), p. 9; ‘Bewaartermijnen van zie</w:t>
      </w:r>
      <w:r>
        <w:rPr>
          <w:rFonts w:ascii="Times New Roman" w:hAnsi="Times New Roman" w:cs="Times New Roman"/>
          <w:sz w:val="20"/>
          <w:szCs w:val="20"/>
        </w:rPr>
        <w:t>-</w:t>
      </w:r>
      <w:r w:rsidRPr="00426625">
        <w:rPr>
          <w:rFonts w:ascii="Times New Roman" w:hAnsi="Times New Roman" w:cs="Times New Roman"/>
          <w:sz w:val="20"/>
          <w:szCs w:val="20"/>
        </w:rPr>
        <w:t xml:space="preserve">kenhuisdossiers’,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98 (2002), p. 5; ‘Bewaringstermijn van medische dossiers van adviserende geneesheren van verzekeringsmaatschappijen en van artsen-deskundigen’,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109 (2005), p. 6. </w:t>
      </w:r>
    </w:p>
  </w:footnote>
  <w:footnote w:id="775">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BRILLON, CALLENS, ‘La conservation du dossier patient’, p. 178 (voetnoot 21).</w:t>
      </w:r>
    </w:p>
  </w:footnote>
  <w:footnote w:id="77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CEUTERICK, G., ‘Bewaartermijn patiëntendossier’, </w:t>
      </w:r>
      <w:r w:rsidRPr="00426625">
        <w:rPr>
          <w:rFonts w:ascii="Times New Roman" w:hAnsi="Times New Roman"/>
          <w:i/>
        </w:rPr>
        <w:t>Wetgeving betreffende de gezondheidsinstellingen – commentaar</w:t>
      </w:r>
      <w:r w:rsidRPr="00426625">
        <w:rPr>
          <w:rFonts w:ascii="Times New Roman" w:hAnsi="Times New Roman"/>
        </w:rPr>
        <w:t xml:space="preserve">, UGA, Kortrijk-Heulen, 2A/0101.01, p. 3; NYS, H., </w:t>
      </w:r>
      <w:r w:rsidRPr="00426625">
        <w:rPr>
          <w:rFonts w:ascii="Times New Roman" w:hAnsi="Times New Roman"/>
          <w:i/>
        </w:rPr>
        <w:t>La médecine et le droit</w:t>
      </w:r>
      <w:r w:rsidRPr="00426625">
        <w:rPr>
          <w:rFonts w:ascii="Times New Roman" w:hAnsi="Times New Roman"/>
        </w:rPr>
        <w:t>, Kluwer, Diegem, 1995, p. 60-61.</w:t>
      </w:r>
    </w:p>
  </w:footnote>
  <w:footnote w:id="77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‘Bewaring van medische dossiers op microfilm’,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57 (1992), p. 20; </w:t>
      </w:r>
      <w:r w:rsidRPr="00E333B6">
        <w:rPr>
          <w:rFonts w:ascii="Times New Roman" w:hAnsi="Times New Roman" w:cs="Times New Roman"/>
          <w:sz w:val="20"/>
          <w:szCs w:val="20"/>
        </w:rPr>
        <w:t>‘Bewaartermijnen van ziekenhuis</w:t>
      </w:r>
      <w:r>
        <w:rPr>
          <w:rFonts w:ascii="Times New Roman" w:hAnsi="Times New Roman" w:cs="Times New Roman"/>
          <w:sz w:val="20"/>
          <w:szCs w:val="20"/>
        </w:rPr>
        <w:t>-</w:t>
      </w:r>
      <w:r w:rsidRPr="00E333B6">
        <w:rPr>
          <w:rFonts w:ascii="Times New Roman" w:hAnsi="Times New Roman" w:cs="Times New Roman"/>
          <w:sz w:val="20"/>
          <w:szCs w:val="20"/>
        </w:rPr>
        <w:t xml:space="preserve">dossiers’, </w:t>
      </w:r>
      <w:r w:rsidRPr="00E333B6">
        <w:rPr>
          <w:rFonts w:ascii="Times New Roman" w:hAnsi="Times New Roman" w:cs="Times New Roman"/>
          <w:i/>
          <w:sz w:val="20"/>
          <w:szCs w:val="20"/>
        </w:rPr>
        <w:t>T.N.R.</w:t>
      </w:r>
      <w:r w:rsidRPr="00E333B6">
        <w:rPr>
          <w:rFonts w:ascii="Times New Roman" w:hAnsi="Times New Roman" w:cs="Times New Roman"/>
          <w:sz w:val="20"/>
          <w:szCs w:val="20"/>
        </w:rPr>
        <w:t>, 98 (2002), p. 5.</w:t>
      </w:r>
    </w:p>
  </w:footnote>
  <w:footnote w:id="778">
    <w:p w:rsidR="00E82D16" w:rsidRPr="00426625" w:rsidRDefault="00E82D16" w:rsidP="00426625">
      <w:pPr>
        <w:pStyle w:val="Geenafstand"/>
        <w:jc w:val="both"/>
        <w:rPr>
          <w:rFonts w:ascii="Times New Roman" w:hAnsi="Times New Roman" w:cs="Times New Roman"/>
          <w:sz w:val="20"/>
          <w:szCs w:val="20"/>
        </w:rPr>
      </w:pPr>
      <w:r w:rsidRPr="00426625">
        <w:rPr>
          <w:rStyle w:val="FootnoteCharacters"/>
          <w:rFonts w:ascii="Times New Roman" w:hAnsi="Times New Roman" w:cs="Times New Roman"/>
          <w:sz w:val="20"/>
          <w:szCs w:val="20"/>
        </w:rPr>
        <w:footnoteRef/>
      </w:r>
      <w:r w:rsidRPr="00426625">
        <w:rPr>
          <w:rFonts w:ascii="Times New Roman" w:hAnsi="Times New Roman" w:cs="Times New Roman"/>
          <w:sz w:val="20"/>
          <w:szCs w:val="20"/>
        </w:rPr>
        <w:t xml:space="preserve"> In artikel 46 C.G.P. </w:t>
      </w:r>
    </w:p>
  </w:footnote>
  <w:footnote w:id="77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2252 BW. FORRIER, Boek III, Titel XX, Hoofdstuk IV, p. 189.</w:t>
      </w:r>
    </w:p>
  </w:footnote>
  <w:footnote w:id="780">
    <w:p w:rsidR="00E82D16" w:rsidRPr="00426625" w:rsidRDefault="00E82D16" w:rsidP="00E40390">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‘Het beroepsgeheim na (het) overlijden (van de patiënt)’, </w:t>
      </w:r>
      <w:r w:rsidRPr="00426625">
        <w:rPr>
          <w:rFonts w:ascii="Times New Roman" w:hAnsi="Times New Roman" w:cs="Times New Roman"/>
          <w:i/>
          <w:iCs/>
          <w:sz w:val="20"/>
          <w:szCs w:val="20"/>
        </w:rPr>
        <w:t>T.N.R.</w:t>
      </w:r>
      <w:r w:rsidRPr="00426625">
        <w:rPr>
          <w:rFonts w:ascii="Times New Roman" w:hAnsi="Times New Roman" w:cs="Times New Roman"/>
          <w:sz w:val="20"/>
          <w:szCs w:val="20"/>
        </w:rPr>
        <w:t>, 105 (2004), p. 2.</w:t>
      </w:r>
    </w:p>
  </w:footnote>
  <w:footnote w:id="781">
    <w:p w:rsidR="00E82D16" w:rsidRPr="00426625" w:rsidRDefault="00E82D16" w:rsidP="00E40390">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DEKNUDT, G., ‘Inzage in het Patiëntendossier door nabestaanden inzake de betwisting van een testament – volgt de praktijk stilaan de wet’, </w:t>
      </w:r>
      <w:r w:rsidRPr="00426625">
        <w:rPr>
          <w:rFonts w:ascii="Times New Roman" w:hAnsi="Times New Roman"/>
          <w:i/>
        </w:rPr>
        <w:t>Nieuwsbrief Notariaat</w:t>
      </w:r>
      <w:r w:rsidRPr="00426625">
        <w:rPr>
          <w:rFonts w:ascii="Times New Roman" w:hAnsi="Times New Roman"/>
        </w:rPr>
        <w:t xml:space="preserve">, 2007, 4, p. 3-5; WOSTYN, L., ‘[Het overmaken van medische gegevens na overlijden] In het geval van testamentaire betwistingen’, ID., </w:t>
      </w:r>
      <w:r w:rsidRPr="00426625">
        <w:rPr>
          <w:rFonts w:ascii="Times New Roman" w:hAnsi="Times New Roman"/>
          <w:i/>
        </w:rPr>
        <w:t>Het overmaken van medi</w:t>
      </w:r>
      <w:r>
        <w:rPr>
          <w:rFonts w:ascii="Times New Roman" w:hAnsi="Times New Roman"/>
          <w:i/>
        </w:rPr>
        <w:t>-</w:t>
      </w:r>
      <w:r w:rsidRPr="00426625">
        <w:rPr>
          <w:rFonts w:ascii="Times New Roman" w:hAnsi="Times New Roman"/>
          <w:i/>
        </w:rPr>
        <w:t>sche gegevens na het overlijden van de patiënt</w:t>
      </w:r>
      <w:r w:rsidRPr="00426625">
        <w:rPr>
          <w:rFonts w:ascii="Times New Roman" w:hAnsi="Times New Roman"/>
        </w:rPr>
        <w:t>, Gent, Story Publishers, 2011, p. 40-55.</w:t>
      </w:r>
    </w:p>
  </w:footnote>
  <w:footnote w:id="782">
    <w:p w:rsidR="00E82D16" w:rsidRPr="00426625" w:rsidRDefault="00E82D16" w:rsidP="00E40390">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HERT, P., ‘Doden hebben (nog) geen privacy’, </w:t>
      </w:r>
      <w:r w:rsidRPr="00426625">
        <w:rPr>
          <w:rFonts w:ascii="Times New Roman" w:hAnsi="Times New Roman"/>
          <w:i/>
        </w:rPr>
        <w:t>Juristenkrant</w:t>
      </w:r>
      <w:r w:rsidRPr="00426625">
        <w:rPr>
          <w:rFonts w:ascii="Times New Roman" w:hAnsi="Times New Roman"/>
        </w:rPr>
        <w:t>, 18 (2000), p. 12-13.</w:t>
      </w:r>
    </w:p>
  </w:footnote>
  <w:footnote w:id="783">
    <w:p w:rsidR="00E82D16" w:rsidRPr="00426625" w:rsidRDefault="00E82D16" w:rsidP="00E40390">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DEKEYSER, H., ‘Bewaring van medische dossiers langer dan 30 jaar voor historisch, statistisch en weten</w:t>
      </w:r>
      <w:r>
        <w:rPr>
          <w:rFonts w:ascii="Times New Roman" w:hAnsi="Times New Roman"/>
        </w:rPr>
        <w:t>-</w:t>
      </w:r>
      <w:r w:rsidRPr="00426625">
        <w:rPr>
          <w:rFonts w:ascii="Times New Roman" w:hAnsi="Times New Roman"/>
        </w:rPr>
        <w:t>schappelijk onderzoek (…)’, p. 8. Deze analyse werd op 20 december 2011 aan de Algemeen Rijksarchivaris, Karel Velle, toegezonden. Het betreft een antwoord op een verzoek van 22 oktober 2008. Met dank aan prof. Velle om mij deze documenten te bezorgen. Michel Nuyttens oordeelt dat de vrije consultatie van patiënten</w:t>
      </w:r>
      <w:r>
        <w:rPr>
          <w:rFonts w:ascii="Times New Roman" w:hAnsi="Times New Roman"/>
        </w:rPr>
        <w:t>-</w:t>
      </w:r>
      <w:r w:rsidRPr="00426625">
        <w:rPr>
          <w:rFonts w:ascii="Times New Roman" w:hAnsi="Times New Roman"/>
        </w:rPr>
        <w:t>dossiers slechts mogelijk is wanneer ze minstens 125 jaar oud zijn. NUYTTENS, p. 65. Zie ook deel 4.</w:t>
      </w:r>
    </w:p>
  </w:footnote>
  <w:footnote w:id="78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deel 1.</w:t>
      </w:r>
    </w:p>
  </w:footnote>
  <w:footnote w:id="78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N1, B, 3, b van het KB van 21 september 2004.</w:t>
      </w:r>
    </w:p>
  </w:footnote>
  <w:footnote w:id="78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CLEPKENS, C., ‘Overhandigen van medische gegevens uit het RVT-dossier’, p. 182.</w:t>
      </w:r>
    </w:p>
  </w:footnote>
  <w:footnote w:id="78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Dixit Herman Nys, tijdens een gesprek op 15 december 2011.</w:t>
      </w:r>
    </w:p>
  </w:footnote>
  <w:footnote w:id="78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CALLENS, S.; GOOSSENS, M.; CIERKENS, K.; ‘Omgaan met gegevens in de gezondheidszorg’, </w:t>
      </w:r>
      <w:r w:rsidRPr="00426625">
        <w:rPr>
          <w:rFonts w:ascii="Times New Roman" w:hAnsi="Times New Roman" w:cs="Times New Roman"/>
          <w:iCs/>
          <w:sz w:val="20"/>
          <w:szCs w:val="20"/>
        </w:rPr>
        <w:t>p. 308 (</w:t>
      </w:r>
      <w:r w:rsidRPr="00426625">
        <w:rPr>
          <w:rFonts w:ascii="Times New Roman" w:hAnsi="Times New Roman" w:cs="Times New Roman"/>
          <w:sz w:val="20"/>
          <w:szCs w:val="20"/>
        </w:rPr>
        <w:t xml:space="preserve">nr. 770); NYS, H., </w:t>
      </w:r>
      <w:r w:rsidRPr="00426625">
        <w:rPr>
          <w:rFonts w:ascii="Times New Roman" w:hAnsi="Times New Roman" w:cs="Times New Roman"/>
          <w:i/>
          <w:iCs/>
          <w:sz w:val="20"/>
          <w:szCs w:val="20"/>
        </w:rPr>
        <w:t>Geneeskunde – Recht en medisch handelen</w:t>
      </w:r>
      <w:r w:rsidRPr="00426625">
        <w:rPr>
          <w:rFonts w:ascii="Times New Roman" w:hAnsi="Times New Roman" w:cs="Times New Roman"/>
          <w:sz w:val="20"/>
          <w:szCs w:val="20"/>
        </w:rPr>
        <w:t xml:space="preserve">, p. 170-171 (nr. 376); VAN DEN EEDEN, E., ‘De uitoefening van de geneeskunde’, </w:t>
      </w:r>
      <w:r w:rsidRPr="00426625">
        <w:rPr>
          <w:rFonts w:ascii="Times New Roman" w:hAnsi="Times New Roman" w:cs="Times New Roman"/>
          <w:i/>
          <w:iCs/>
          <w:sz w:val="20"/>
          <w:szCs w:val="20"/>
        </w:rPr>
        <w:t>Zakboekje voor de ziekenhuisarts</w:t>
      </w:r>
      <w:r w:rsidRPr="00426625">
        <w:rPr>
          <w:rFonts w:ascii="Times New Roman" w:hAnsi="Times New Roman" w:cs="Times New Roman"/>
          <w:sz w:val="20"/>
          <w:szCs w:val="20"/>
        </w:rPr>
        <w:t>, Mechelen, Kluwer, 2009, p. 40.</w:t>
      </w:r>
    </w:p>
  </w:footnote>
  <w:footnote w:id="789">
    <w:p w:rsidR="00E82D16" w:rsidRPr="00426625" w:rsidRDefault="00E82D16" w:rsidP="00426625">
      <w:pPr>
        <w:pStyle w:val="Geenafstand"/>
        <w:jc w:val="both"/>
        <w:rPr>
          <w:rFonts w:ascii="Times New Roman" w:hAnsi="Times New Roman" w:cs="Times New Roman"/>
          <w:sz w:val="20"/>
          <w:szCs w:val="20"/>
          <w:lang w:val="fr-BE"/>
        </w:rPr>
      </w:pPr>
      <w:r w:rsidRPr="00EE4FA6">
        <w:rPr>
          <w:rStyle w:val="FootnoteCharacters"/>
          <w:rFonts w:ascii="Times New Roman" w:hAnsi="Times New Roman" w:cs="Times New Roman"/>
          <w:sz w:val="20"/>
          <w:szCs w:val="20"/>
          <w:vertAlign w:val="superscript"/>
        </w:rPr>
        <w:footnoteRef/>
      </w:r>
      <w:r w:rsidRPr="00426625">
        <w:rPr>
          <w:rFonts w:ascii="Times New Roman" w:hAnsi="Times New Roman" w:cs="Times New Roman"/>
          <w:sz w:val="20"/>
          <w:szCs w:val="20"/>
          <w:lang w:val="fr-BE"/>
        </w:rPr>
        <w:t xml:space="preserve"> BEAUTHIER, J.P., ‘Dossier médical et justice. La bonne tenue d’un dossier médical. Sa saisie, sa conser</w:t>
      </w:r>
      <w:r>
        <w:rPr>
          <w:rFonts w:ascii="Times New Roman" w:hAnsi="Times New Roman" w:cs="Times New Roman"/>
          <w:sz w:val="20"/>
          <w:szCs w:val="20"/>
          <w:lang w:val="fr-BE"/>
        </w:rPr>
        <w:t>-</w:t>
      </w:r>
      <w:r w:rsidRPr="00426625">
        <w:rPr>
          <w:rFonts w:ascii="Times New Roman" w:hAnsi="Times New Roman" w:cs="Times New Roman"/>
          <w:sz w:val="20"/>
          <w:szCs w:val="20"/>
          <w:lang w:val="fr-BE"/>
        </w:rPr>
        <w:t xml:space="preserve">vation, la communication des données, quelques questions à propos de la responsabilité, de la préscription et des réserves’, </w:t>
      </w:r>
      <w:r w:rsidRPr="00426625">
        <w:rPr>
          <w:rFonts w:ascii="Times New Roman" w:hAnsi="Times New Roman" w:cs="Times New Roman"/>
          <w:i/>
          <w:sz w:val="20"/>
          <w:szCs w:val="20"/>
          <w:lang w:val="fr-BE"/>
        </w:rPr>
        <w:t>Con.M.</w:t>
      </w:r>
      <w:r w:rsidRPr="00426625">
        <w:rPr>
          <w:rFonts w:ascii="Times New Roman" w:hAnsi="Times New Roman" w:cs="Times New Roman"/>
          <w:sz w:val="20"/>
          <w:szCs w:val="20"/>
          <w:lang w:val="fr-BE"/>
        </w:rPr>
        <w:t>, 30/3 (2003), p. 99-114.</w:t>
      </w:r>
    </w:p>
  </w:footnote>
  <w:footnote w:id="79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Fonts w:ascii="Times New Roman" w:hAnsi="Times New Roman" w:cs="Times New Roman"/>
          <w:i/>
          <w:sz w:val="20"/>
          <w:szCs w:val="20"/>
        </w:rPr>
        <w:t>Contra</w:t>
      </w:r>
      <w:r w:rsidRPr="00426625">
        <w:rPr>
          <w:rFonts w:ascii="Times New Roman" w:hAnsi="Times New Roman" w:cs="Times New Roman"/>
          <w:sz w:val="20"/>
          <w:szCs w:val="20"/>
        </w:rPr>
        <w:t xml:space="preserve">: VANSWEEVELT; DEWALLENS; p. 157 (nr. 252). </w:t>
      </w:r>
    </w:p>
  </w:footnote>
  <w:footnote w:id="791">
    <w:p w:rsidR="00E82D16" w:rsidRPr="00426625" w:rsidRDefault="00E82D16" w:rsidP="00426625">
      <w:pPr>
        <w:pStyle w:val="Geenafstand"/>
        <w:jc w:val="both"/>
        <w:rPr>
          <w:rFonts w:ascii="Times New Roman" w:hAnsi="Times New Roman" w:cs="Times New Roman"/>
          <w:sz w:val="20"/>
          <w:szCs w:val="20"/>
        </w:rPr>
      </w:pPr>
      <w:r w:rsidRPr="00EE4FA6">
        <w:rPr>
          <w:rStyle w:val="FootnoteCharacters"/>
          <w:rFonts w:ascii="Times New Roman" w:hAnsi="Times New Roman" w:cs="Times New Roman"/>
          <w:sz w:val="20"/>
          <w:szCs w:val="20"/>
          <w:vertAlign w:val="superscript"/>
        </w:rPr>
        <w:footnoteRef/>
      </w:r>
      <w:r w:rsidRPr="00426625">
        <w:rPr>
          <w:rFonts w:ascii="Times New Roman" w:hAnsi="Times New Roman" w:cs="Times New Roman"/>
          <w:sz w:val="20"/>
          <w:szCs w:val="20"/>
        </w:rPr>
        <w:t xml:space="preserve"> VAN DER STOCK, M., ‘Medisch dossier. Synthesenota V.V.I.-A.C.C.-Werkgroep’, </w:t>
      </w:r>
      <w:r w:rsidRPr="00426625">
        <w:rPr>
          <w:rFonts w:ascii="Times New Roman" w:hAnsi="Times New Roman" w:cs="Times New Roman"/>
          <w:i/>
          <w:iCs/>
          <w:sz w:val="20"/>
          <w:szCs w:val="20"/>
        </w:rPr>
        <w:t>Hospitalia</w:t>
      </w:r>
      <w:r w:rsidRPr="00426625">
        <w:rPr>
          <w:rFonts w:ascii="Times New Roman" w:hAnsi="Times New Roman" w:cs="Times New Roman"/>
          <w:sz w:val="20"/>
          <w:szCs w:val="20"/>
        </w:rPr>
        <w:t>, 1986, p. 214, geciteerd door VANSWEEVELT; DEWALLENS; p. 156 (nr. 251).</w:t>
      </w:r>
    </w:p>
  </w:footnote>
  <w:footnote w:id="79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CEUTERICK, G., ‘Bewaartermijn patiëntendossier’, p. 1-5.</w:t>
      </w:r>
    </w:p>
  </w:footnote>
  <w:footnote w:id="793">
    <w:p w:rsidR="00E82D16" w:rsidRPr="00426625" w:rsidRDefault="00E82D16" w:rsidP="00426625">
      <w:pPr>
        <w:pStyle w:val="Geenafstand"/>
        <w:jc w:val="both"/>
        <w:rPr>
          <w:rFonts w:ascii="Times New Roman" w:hAnsi="Times New Roman" w:cs="Times New Roman"/>
          <w:color w:val="FF0000"/>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NUYTTENS, M., </w:t>
      </w:r>
      <w:r w:rsidRPr="00426625">
        <w:rPr>
          <w:rFonts w:ascii="Times New Roman" w:hAnsi="Times New Roman" w:cs="Times New Roman"/>
          <w:i/>
          <w:iCs/>
          <w:sz w:val="20"/>
          <w:szCs w:val="20"/>
        </w:rPr>
        <w:t>Inspectieverslag betreffende het archief van openbare ziekenhuizen in de provincie West-Vlaanderen</w:t>
      </w:r>
      <w:r w:rsidRPr="00426625">
        <w:rPr>
          <w:rFonts w:ascii="Times New Roman" w:hAnsi="Times New Roman" w:cs="Times New Roman"/>
          <w:sz w:val="20"/>
          <w:szCs w:val="20"/>
        </w:rPr>
        <w:t xml:space="preserve">, p. 44. </w:t>
      </w:r>
    </w:p>
  </w:footnote>
  <w:footnote w:id="794">
    <w:p w:rsidR="00E82D16" w:rsidRPr="00426625" w:rsidRDefault="00E82D16" w:rsidP="00426625">
      <w:pPr>
        <w:pStyle w:val="Geenafstand"/>
        <w:jc w:val="both"/>
        <w:rPr>
          <w:rFonts w:ascii="Times New Roman" w:hAnsi="Times New Roman" w:cs="Times New Roman"/>
          <w:sz w:val="20"/>
          <w:szCs w:val="20"/>
        </w:rPr>
      </w:pPr>
      <w:r w:rsidRPr="00EE4FA6">
        <w:rPr>
          <w:rStyle w:val="FootnoteCharacters"/>
          <w:rFonts w:ascii="Times New Roman" w:hAnsi="Times New Roman" w:cs="Times New Roman"/>
          <w:sz w:val="20"/>
          <w:szCs w:val="20"/>
          <w:vertAlign w:val="superscript"/>
        </w:rPr>
        <w:footnoteRef/>
      </w:r>
      <w:r w:rsidRPr="00426625">
        <w:rPr>
          <w:rFonts w:ascii="Times New Roman" w:hAnsi="Times New Roman" w:cs="Times New Roman"/>
          <w:sz w:val="20"/>
          <w:szCs w:val="20"/>
        </w:rPr>
        <w:t xml:space="preserve"> Art. 1 § 8 van de bijlage bij het KB van 14 september 1984 tot vaststelling van de nomenclatuur van de ge</w:t>
      </w:r>
      <w:r>
        <w:rPr>
          <w:rFonts w:ascii="Times New Roman" w:hAnsi="Times New Roman" w:cs="Times New Roman"/>
          <w:sz w:val="20"/>
          <w:szCs w:val="20"/>
        </w:rPr>
        <w:t>-</w:t>
      </w:r>
      <w:r w:rsidRPr="00426625">
        <w:rPr>
          <w:rFonts w:ascii="Times New Roman" w:hAnsi="Times New Roman" w:cs="Times New Roman"/>
          <w:sz w:val="20"/>
          <w:szCs w:val="20"/>
        </w:rPr>
        <w:t>neeskundige verstrekkingen inzake verplichte ziekte- en invaliditeitsverzekering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29 september 1984).</w:t>
      </w:r>
    </w:p>
  </w:footnote>
  <w:footnote w:id="795">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Art. 42 C.G.P.</w:t>
      </w:r>
      <w:r w:rsidRPr="00426625">
        <w:rPr>
          <w:rFonts w:ascii="Times New Roman" w:hAnsi="Times New Roman" w:cs="Times New Roman"/>
          <w:color w:val="FF0000"/>
          <w:sz w:val="20"/>
          <w:szCs w:val="20"/>
          <w:lang w:val="en-US"/>
        </w:rPr>
        <w:t xml:space="preserve"> </w:t>
      </w:r>
    </w:p>
  </w:footnote>
  <w:footnote w:id="796">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NUYTTENS, p. 69.</w:t>
      </w:r>
    </w:p>
  </w:footnote>
  <w:footnote w:id="79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SCHUTYSER, K., ‘Eigendomsrecht en medische dossiers’, k. 3031-3032.</w:t>
      </w:r>
    </w:p>
  </w:footnote>
  <w:footnote w:id="79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‘Bewaring medische dossiers (PR Antwerpen)’, </w:t>
      </w:r>
      <w:r w:rsidRPr="00426625">
        <w:rPr>
          <w:rFonts w:ascii="Times New Roman" w:hAnsi="Times New Roman" w:cs="Times New Roman"/>
          <w:i/>
          <w:sz w:val="20"/>
          <w:szCs w:val="20"/>
        </w:rPr>
        <w:t>T.N.R.</w:t>
      </w:r>
      <w:r w:rsidRPr="00426625">
        <w:rPr>
          <w:rFonts w:ascii="Times New Roman" w:hAnsi="Times New Roman" w:cs="Times New Roman"/>
          <w:sz w:val="20"/>
          <w:szCs w:val="20"/>
        </w:rPr>
        <w:t>, 33 (1985), p. 60.</w:t>
      </w:r>
    </w:p>
  </w:footnote>
  <w:footnote w:id="799">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‘Bewaartermijnen van radiografieën en elektro-encefalografische tracés’, </w:t>
      </w:r>
      <w:r w:rsidRPr="00426625">
        <w:rPr>
          <w:rFonts w:ascii="Times New Roman" w:hAnsi="Times New Roman" w:cs="Times New Roman"/>
          <w:i/>
          <w:iCs/>
          <w:sz w:val="20"/>
          <w:szCs w:val="20"/>
        </w:rPr>
        <w:t>T.N.R.</w:t>
      </w:r>
      <w:r w:rsidRPr="00426625">
        <w:rPr>
          <w:rFonts w:ascii="Times New Roman" w:hAnsi="Times New Roman" w:cs="Times New Roman"/>
          <w:sz w:val="20"/>
          <w:szCs w:val="20"/>
        </w:rPr>
        <w:t xml:space="preserve">, 92 (2001), p. 3. </w:t>
      </w:r>
    </w:p>
  </w:footnote>
  <w:footnote w:id="80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NUYTTENS, p. 62.</w:t>
      </w:r>
    </w:p>
  </w:footnote>
  <w:footnote w:id="80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Dixit Kathleen Devolder, tijdens een gesprek in het Algemeen Rijksarchief te Brussel op 5 april 2012. Zie Tabel 3: Bewaartermijnen van medische documenten in openbare ziekenhuizen.</w:t>
      </w:r>
    </w:p>
  </w:footnote>
  <w:footnote w:id="802">
    <w:p w:rsidR="00E82D16" w:rsidRPr="00426625" w:rsidRDefault="00E82D16" w:rsidP="00426625">
      <w:pPr>
        <w:pStyle w:val="Geenafstand"/>
        <w:jc w:val="both"/>
        <w:rPr>
          <w:rFonts w:ascii="Times New Roman" w:hAnsi="Times New Roman" w:cs="Times New Roman"/>
          <w:iCs/>
          <w:color w:val="FF0000"/>
          <w:sz w:val="20"/>
          <w:szCs w:val="20"/>
          <w:shd w:val="clear" w:color="auto" w:fill="FFFFFF"/>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w:t>
      </w:r>
      <w:r w:rsidRPr="00426625">
        <w:rPr>
          <w:rStyle w:val="Nadruk"/>
          <w:rFonts w:ascii="Times New Roman" w:hAnsi="Times New Roman" w:cs="Times New Roman"/>
          <w:sz w:val="20"/>
          <w:szCs w:val="20"/>
          <w:shd w:val="clear" w:color="auto" w:fill="FFFFFF"/>
        </w:rPr>
        <w:t>Art. 17 § 12, 5° van het gecoördineerde KB van 14 september 1984 tot vaststelling van de nomenclatuur van de geneeskundige verstrekkingen inzake verplichte ziekte- en invaliditeitsverzekering (BS 29 september 1984).</w:t>
      </w:r>
    </w:p>
  </w:footnote>
  <w:footnote w:id="803">
    <w:p w:rsidR="00E82D16" w:rsidRPr="00426625" w:rsidRDefault="00E82D16" w:rsidP="00426625">
      <w:pPr>
        <w:pStyle w:val="Geenafstand"/>
        <w:jc w:val="both"/>
        <w:rPr>
          <w:rFonts w:ascii="Times New Roman" w:hAnsi="Times New Roman" w:cs="Times New Roman"/>
          <w:color w:val="0070C0"/>
          <w:sz w:val="20"/>
          <w:szCs w:val="20"/>
          <w:shd w:val="clear" w:color="auto" w:fill="FFFFFF"/>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24 § 9, 6° </w:t>
      </w:r>
      <w:r w:rsidRPr="00426625">
        <w:rPr>
          <w:rStyle w:val="Nadruk"/>
          <w:rFonts w:ascii="Times New Roman" w:hAnsi="Times New Roman" w:cs="Times New Roman"/>
          <w:sz w:val="20"/>
          <w:szCs w:val="20"/>
          <w:shd w:val="clear" w:color="auto" w:fill="FFFFFF"/>
        </w:rPr>
        <w:t xml:space="preserve">van het gecoördineerde KB van 14 september 1984, zoals gewijzigd door art. </w:t>
      </w:r>
      <w:r w:rsidRPr="00426625">
        <w:rPr>
          <w:rFonts w:ascii="Times New Roman" w:hAnsi="Times New Roman" w:cs="Times New Roman"/>
          <w:sz w:val="20"/>
          <w:szCs w:val="20"/>
        </w:rPr>
        <w:t>11, 2°, 6</w:t>
      </w:r>
      <w:r w:rsidRPr="00426625">
        <w:rPr>
          <w:rStyle w:val="Nadruk"/>
          <w:rFonts w:ascii="Times New Roman" w:hAnsi="Times New Roman" w:cs="Times New Roman"/>
          <w:sz w:val="20"/>
          <w:szCs w:val="20"/>
          <w:shd w:val="clear" w:color="auto" w:fill="FFFFFF"/>
        </w:rPr>
        <w:t xml:space="preserve"> van het KB van 31 augustus 1998 (BS 24 september 1998);</w:t>
      </w:r>
      <w:r w:rsidRPr="00426625">
        <w:rPr>
          <w:rStyle w:val="Nadruk"/>
          <w:rFonts w:ascii="Times New Roman" w:hAnsi="Times New Roman" w:cs="Times New Roman"/>
          <w:color w:val="0070C0"/>
          <w:sz w:val="20"/>
          <w:szCs w:val="20"/>
          <w:shd w:val="clear" w:color="auto" w:fill="FFFFFF"/>
        </w:rPr>
        <w:t xml:space="preserve"> </w:t>
      </w:r>
      <w:r w:rsidRPr="00426625">
        <w:rPr>
          <w:rFonts w:ascii="Times New Roman" w:hAnsi="Times New Roman" w:cs="Times New Roman"/>
          <w:sz w:val="20"/>
          <w:szCs w:val="20"/>
        </w:rPr>
        <w:t>BRILLON; CALLENS; ‘La conservation du dossier médi</w:t>
      </w:r>
      <w:r>
        <w:rPr>
          <w:rFonts w:ascii="Times New Roman" w:hAnsi="Times New Roman" w:cs="Times New Roman"/>
          <w:sz w:val="20"/>
          <w:szCs w:val="20"/>
        </w:rPr>
        <w:t>-</w:t>
      </w:r>
      <w:r w:rsidRPr="00426625">
        <w:rPr>
          <w:rFonts w:ascii="Times New Roman" w:hAnsi="Times New Roman" w:cs="Times New Roman"/>
          <w:sz w:val="20"/>
          <w:szCs w:val="20"/>
        </w:rPr>
        <w:t>cal’, p. 178 (voetnoot 15).</w:t>
      </w:r>
    </w:p>
  </w:footnote>
  <w:footnote w:id="80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1N, 5.2, c van het KB van 4 maart 2004 tot wijziging van het KB van 3 juli 1969 betreffende de registra</w:t>
      </w:r>
      <w:r>
        <w:rPr>
          <w:rFonts w:ascii="Times New Roman" w:hAnsi="Times New Roman"/>
        </w:rPr>
        <w:t>-</w:t>
      </w:r>
      <w:r w:rsidRPr="00426625">
        <w:rPr>
          <w:rFonts w:ascii="Times New Roman" w:hAnsi="Times New Roman"/>
        </w:rPr>
        <w:t>tie van geneesmiddelen en tot wijziging van het KB van 6 juni 1960 betreffende de fabricage, de distributie in het groot en de terhandstelling van geneesmiddelen (</w:t>
      </w:r>
      <w:r w:rsidRPr="00426625">
        <w:rPr>
          <w:rFonts w:ascii="Times New Roman" w:hAnsi="Times New Roman"/>
          <w:i/>
        </w:rPr>
        <w:t>BS</w:t>
      </w:r>
      <w:r w:rsidRPr="00426625">
        <w:rPr>
          <w:rFonts w:ascii="Times New Roman" w:hAnsi="Times New Roman"/>
        </w:rPr>
        <w:t xml:space="preserve"> 10 maart 2004); richtlijn 2001/20/EG van het Europees Parlement en de Raad van 24 april 2001 betreffende de onderlinge aanpassing van de wettelijke en bestuurs</w:t>
      </w:r>
      <w:r>
        <w:rPr>
          <w:rFonts w:ascii="Times New Roman" w:hAnsi="Times New Roman"/>
        </w:rPr>
        <w:t>-</w:t>
      </w:r>
      <w:r w:rsidRPr="00426625">
        <w:rPr>
          <w:rFonts w:ascii="Times New Roman" w:hAnsi="Times New Roman"/>
        </w:rPr>
        <w:t>rechtelijke bepalingen van de lidstaten inzake de toepassing van goede klinische praktijken bij de uitvoering van klinische proeven met geneesmiddelen voor menselijk gebruik (</w:t>
      </w:r>
      <w:r w:rsidRPr="00426625">
        <w:rPr>
          <w:rFonts w:ascii="Times New Roman" w:hAnsi="Times New Roman"/>
          <w:i/>
        </w:rPr>
        <w:t>Pb.EG L.</w:t>
      </w:r>
      <w:r w:rsidRPr="00426625">
        <w:rPr>
          <w:rFonts w:ascii="Times New Roman" w:hAnsi="Times New Roman"/>
        </w:rPr>
        <w:t xml:space="preserve"> 121, 1 mei 2001).</w:t>
      </w:r>
    </w:p>
  </w:footnote>
  <w:footnote w:id="80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6 van het KB van 14 december 1987 houdende bepaling van de regels en de termijn volgens dewelke de beheerder van het ziekenhuis mededeling doet van de financiële toestand, van de bedrijfsuitkomsten, van het ver</w:t>
      </w:r>
      <w:r>
        <w:rPr>
          <w:rFonts w:ascii="Times New Roman" w:hAnsi="Times New Roman" w:cs="Times New Roman"/>
          <w:sz w:val="20"/>
          <w:szCs w:val="20"/>
        </w:rPr>
        <w:t>-</w:t>
      </w:r>
      <w:r w:rsidRPr="00426625">
        <w:rPr>
          <w:rFonts w:ascii="Times New Roman" w:hAnsi="Times New Roman" w:cs="Times New Roman"/>
          <w:sz w:val="20"/>
          <w:szCs w:val="20"/>
        </w:rPr>
        <w:t>slag van de bedrijfsrevisor en van alle statistische gegevens die met zijn inrichting verband houden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18 mei 1988). </w:t>
      </w:r>
    </w:p>
  </w:footnote>
  <w:footnote w:id="80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11 van het MB van 15 maart 1985 tot vastlegging van het model en het gebruik van de getuigschriften voor verstrekte hulp en van de overeenstemmingstrook die moeten worden gebruikt door de inrichtingen voor geneeskundige verzorging (</w:t>
      </w:r>
      <w:r w:rsidRPr="00426625">
        <w:rPr>
          <w:rFonts w:ascii="Times New Roman" w:hAnsi="Times New Roman" w:cs="Times New Roman"/>
          <w:i/>
          <w:iCs/>
          <w:sz w:val="20"/>
          <w:szCs w:val="20"/>
        </w:rPr>
        <w:t>BS</w:t>
      </w:r>
      <w:r w:rsidRPr="00426625">
        <w:rPr>
          <w:rFonts w:ascii="Times New Roman" w:hAnsi="Times New Roman" w:cs="Times New Roman"/>
          <w:sz w:val="20"/>
          <w:szCs w:val="20"/>
        </w:rPr>
        <w:t xml:space="preserve"> 28 maart 1985).</w:t>
      </w:r>
    </w:p>
  </w:footnote>
  <w:footnote w:id="807">
    <w:p w:rsidR="00E82D16" w:rsidRPr="00426625" w:rsidRDefault="00E82D16" w:rsidP="00426625">
      <w:pPr>
        <w:pStyle w:val="Geenafstand"/>
        <w:jc w:val="both"/>
        <w:rPr>
          <w:rFonts w:ascii="Times New Roman" w:hAnsi="Times New Roman" w:cs="Times New Roman"/>
          <w:i/>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i/>
          <w:iCs/>
          <w:sz w:val="20"/>
          <w:szCs w:val="20"/>
        </w:rPr>
        <w:t xml:space="preserve"> </w:t>
      </w:r>
      <w:r w:rsidRPr="00426625">
        <w:rPr>
          <w:rStyle w:val="Nadruk"/>
          <w:rFonts w:ascii="Times New Roman" w:hAnsi="Times New Roman" w:cs="Times New Roman"/>
          <w:sz w:val="20"/>
          <w:szCs w:val="20"/>
          <w:shd w:val="clear" w:color="auto" w:fill="FFFFFF"/>
        </w:rPr>
        <w:t>Art. 4 van het KB van 25 november 1996 tot vaststelling van de regelen inzake het bijhouden van een ver</w:t>
      </w:r>
      <w:r>
        <w:rPr>
          <w:rStyle w:val="Nadruk"/>
          <w:rFonts w:ascii="Times New Roman" w:hAnsi="Times New Roman" w:cs="Times New Roman"/>
          <w:sz w:val="20"/>
          <w:szCs w:val="20"/>
          <w:shd w:val="clear" w:color="auto" w:fill="FFFFFF"/>
        </w:rPr>
        <w:t>-</w:t>
      </w:r>
      <w:r w:rsidRPr="00426625">
        <w:rPr>
          <w:rStyle w:val="Nadruk"/>
          <w:rFonts w:ascii="Times New Roman" w:hAnsi="Times New Roman" w:cs="Times New Roman"/>
          <w:sz w:val="20"/>
          <w:szCs w:val="20"/>
          <w:shd w:val="clear" w:color="auto" w:fill="FFFFFF"/>
        </w:rPr>
        <w:t>strekkingenregister door de zorgverleners bedoeld in art. 76 van de wet betreffende de verplichte verzekering voor geneeskundige verzorging en uitkeringen, gecoördineerd op 14 juli 1994 en tot bepaling van de admini</w:t>
      </w:r>
      <w:r>
        <w:rPr>
          <w:rStyle w:val="Nadruk"/>
          <w:rFonts w:ascii="Times New Roman" w:hAnsi="Times New Roman" w:cs="Times New Roman"/>
          <w:sz w:val="20"/>
          <w:szCs w:val="20"/>
          <w:shd w:val="clear" w:color="auto" w:fill="FFFFFF"/>
        </w:rPr>
        <w:t>-</w:t>
      </w:r>
      <w:r w:rsidRPr="00426625">
        <w:rPr>
          <w:rStyle w:val="Nadruk"/>
          <w:rFonts w:ascii="Times New Roman" w:hAnsi="Times New Roman" w:cs="Times New Roman"/>
          <w:sz w:val="20"/>
          <w:szCs w:val="20"/>
          <w:shd w:val="clear" w:color="auto" w:fill="FFFFFF"/>
        </w:rPr>
        <w:t>stratieve geldboetes in geval van inbreuk op deze voorschriften (BS 13 december 1996).</w:t>
      </w:r>
    </w:p>
  </w:footnote>
  <w:footnote w:id="80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Met dank aan Kathleen Devolder, die mij de selectielijst van openbare ziekenhuisarchieven bezorgde.</w:t>
      </w:r>
    </w:p>
  </w:footnote>
  <w:footnote w:id="809">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1, d Wbp.</w:t>
      </w:r>
    </w:p>
  </w:footnote>
  <w:footnote w:id="81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Art. 33-34 Wbp. </w:t>
      </w:r>
      <w:r w:rsidRPr="00426625">
        <w:rPr>
          <w:rFonts w:ascii="Times New Roman" w:hAnsi="Times New Roman"/>
        </w:rPr>
        <w:t xml:space="preserve">WITMER, J.M.; DE ROODE, R.P.; </w:t>
      </w:r>
      <w:r w:rsidRPr="00426625">
        <w:rPr>
          <w:rFonts w:ascii="Times New Roman" w:hAnsi="Times New Roman"/>
          <w:i/>
        </w:rPr>
        <w:t>Van wet naar praktijk. Implementatie van de WGBO. Deel 3: Dossier en bewaartermijnen</w:t>
      </w:r>
      <w:r w:rsidRPr="00426625">
        <w:rPr>
          <w:rFonts w:ascii="Times New Roman" w:hAnsi="Times New Roman"/>
        </w:rPr>
        <w:t>, Utrecht, KNMG, 2004, p. 10 en p. 27.</w:t>
      </w:r>
    </w:p>
  </w:footnote>
  <w:footnote w:id="81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13 Wbp; WITMER; DE ROODE; </w:t>
      </w:r>
      <w:r w:rsidRPr="00426625">
        <w:rPr>
          <w:rFonts w:ascii="Times New Roman" w:hAnsi="Times New Roman"/>
          <w:i/>
        </w:rPr>
        <w:t>Van wet naar praktijk. Implementatie van de WGBO. Deel 3</w:t>
      </w:r>
      <w:r w:rsidRPr="00426625">
        <w:rPr>
          <w:rFonts w:ascii="Times New Roman" w:hAnsi="Times New Roman"/>
        </w:rPr>
        <w:t>, p. 28.</w:t>
      </w:r>
    </w:p>
  </w:footnote>
  <w:footnote w:id="81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27-30 Wbp; WITMER; DE ROODE; </w:t>
      </w:r>
      <w:r w:rsidRPr="00426625">
        <w:rPr>
          <w:rFonts w:ascii="Times New Roman" w:hAnsi="Times New Roman"/>
          <w:i/>
        </w:rPr>
        <w:t>Van wet naar praktijk. Implementatie van de WGBO. Deel 3</w:t>
      </w:r>
      <w:r w:rsidRPr="00426625">
        <w:rPr>
          <w:rFonts w:ascii="Times New Roman" w:hAnsi="Times New Roman"/>
        </w:rPr>
        <w:t>, p. 28.</w:t>
      </w:r>
    </w:p>
  </w:footnote>
  <w:footnote w:id="81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27 § 1 Wbp.</w:t>
      </w:r>
    </w:p>
  </w:footnote>
  <w:footnote w:id="81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Volgens Michel Nuyttens berust het archiefbeheer in Nederlandse verzorgingsinstelling bij een Werkgroep Centraal Medisch Archief, die samengesteld is uit: een snijdend specialist (chirurg); een niet snijdend specialist (cardioloog); een medisch administrateur; een automatiseringsdeskundige; het hoofd, en als plaatsvervanger het subhoofd, poliklinieken en een organisatiemedewerker. NUYTTENS, p. 57 (voetnoot 82). Dit werd evenwel ner</w:t>
      </w:r>
      <w:r>
        <w:rPr>
          <w:rFonts w:ascii="Times New Roman" w:hAnsi="Times New Roman"/>
        </w:rPr>
        <w:t>-</w:t>
      </w:r>
      <w:r w:rsidRPr="00426625">
        <w:rPr>
          <w:rFonts w:ascii="Times New Roman" w:hAnsi="Times New Roman"/>
        </w:rPr>
        <w:t xml:space="preserve">gens anders bevestigd. </w:t>
      </w:r>
    </w:p>
  </w:footnote>
  <w:footnote w:id="815">
    <w:p w:rsidR="00E82D16" w:rsidRPr="00B20EAB" w:rsidRDefault="00E82D16" w:rsidP="00B20EAB">
      <w:pPr>
        <w:pStyle w:val="Voetnoottekst"/>
        <w:jc w:val="both"/>
        <w:rPr>
          <w:rFonts w:ascii="Times New Roman" w:hAnsi="Times New Roman"/>
        </w:rPr>
      </w:pPr>
      <w:r w:rsidRPr="00B20EAB">
        <w:rPr>
          <w:rStyle w:val="Voetnootmarkering"/>
          <w:rFonts w:ascii="Times New Roman" w:hAnsi="Times New Roman"/>
        </w:rPr>
        <w:footnoteRef/>
      </w:r>
      <w:r w:rsidRPr="00B20EAB">
        <w:rPr>
          <w:rFonts w:ascii="Times New Roman" w:hAnsi="Times New Roman"/>
        </w:rPr>
        <w:t xml:space="preserve"> Zie hoofdstuk 1.</w:t>
      </w:r>
    </w:p>
  </w:footnote>
  <w:footnote w:id="81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454 § 3 WGBO; art. 20 § 1 Wcz</w:t>
      </w:r>
      <w:r w:rsidRPr="00426625">
        <w:rPr>
          <w:rFonts w:ascii="Times New Roman" w:hAnsi="Times New Roman"/>
          <w:i/>
        </w:rPr>
        <w:t>.</w:t>
      </w:r>
      <w:r w:rsidRPr="00426625">
        <w:rPr>
          <w:rFonts w:ascii="Times New Roman" w:hAnsi="Times New Roman"/>
        </w:rPr>
        <w:t xml:space="preserve"> Zie deel 1.</w:t>
      </w:r>
    </w:p>
  </w:footnote>
  <w:footnote w:id="81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Vooralsnog werd dergelijke lijst alleen in het Slingeland ziekenhuis te Doetinchem gerealiseerd. HELMER, F.M.M.; BUITING, H.P.J.; ‘Ziekenhuis ontwikkelt criteria verantwoorde bewaartermijnen’, </w:t>
      </w:r>
      <w:r w:rsidRPr="00426625">
        <w:rPr>
          <w:rFonts w:ascii="Times New Roman" w:hAnsi="Times New Roman"/>
          <w:i/>
        </w:rPr>
        <w:t>M.C.</w:t>
      </w:r>
      <w:r w:rsidRPr="00426625">
        <w:rPr>
          <w:rFonts w:ascii="Times New Roman" w:hAnsi="Times New Roman"/>
        </w:rPr>
        <w:t>, 54/19 (1999), p. 691-694.</w:t>
      </w:r>
    </w:p>
  </w:footnote>
  <w:footnote w:id="81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WITMER; DE ROODE; </w:t>
      </w:r>
      <w:r w:rsidRPr="00426625">
        <w:rPr>
          <w:rFonts w:ascii="Times New Roman" w:hAnsi="Times New Roman"/>
          <w:i/>
        </w:rPr>
        <w:t>Van wet naar praktijk. Implementatie van de WGBO. Deel 3</w:t>
      </w:r>
      <w:r w:rsidRPr="00426625">
        <w:rPr>
          <w:rFonts w:ascii="Times New Roman" w:hAnsi="Times New Roman"/>
        </w:rPr>
        <w:t>, p. 10 en p. 27.</w:t>
      </w:r>
    </w:p>
  </w:footnote>
  <w:footnote w:id="81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‘Wie zwijgt, wordt geacht in te stemmen’.</w:t>
      </w:r>
    </w:p>
  </w:footnote>
  <w:footnote w:id="82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BEUVING, J., ‘ASP’s in de zorg’, den Haag, 2009; </w:t>
      </w:r>
      <w:hyperlink r:id="rId176" w:anchor="214-uitbesteding-van-uw-archiefbeheer" w:history="1">
        <w:r w:rsidRPr="002E0847">
          <w:rPr>
            <w:rStyle w:val="Hyperlink"/>
            <w:rFonts w:ascii="Times New Roman" w:hAnsi="Times New Roman"/>
          </w:rPr>
          <w:t>http://www.erfgoedinspectie.nl/archieven/uw-archiefbeheer/uitbesteding#214-uitbesteding-van-uw-archiefbeheer</w:t>
        </w:r>
      </w:hyperlink>
      <w:r w:rsidRPr="00426625">
        <w:rPr>
          <w:rFonts w:ascii="Times New Roman" w:hAnsi="Times New Roman"/>
        </w:rPr>
        <w:t>.</w:t>
      </w:r>
    </w:p>
  </w:footnote>
  <w:footnote w:id="82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KETELAAR, E., ‘Elke handeling telt. Archiefdiensten en de Wet bescherming persoonsgegevens (deel 2)’, </w:t>
      </w:r>
      <w:r w:rsidRPr="00426625">
        <w:rPr>
          <w:rFonts w:ascii="Times New Roman" w:hAnsi="Times New Roman"/>
          <w:i/>
        </w:rPr>
        <w:t>Archievenblad</w:t>
      </w:r>
      <w:r w:rsidRPr="00426625">
        <w:rPr>
          <w:rFonts w:ascii="Times New Roman" w:hAnsi="Times New Roman"/>
        </w:rPr>
        <w:t>, 104/4 (2000), p. 27.</w:t>
      </w:r>
    </w:p>
  </w:footnote>
  <w:footnote w:id="822">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Resp. art. 1, d) en art. 1, e) Wbp.</w:t>
      </w:r>
    </w:p>
  </w:footnote>
  <w:footnote w:id="823">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457 § 1 WGBO; art. 24 § 1 Wcz.</w:t>
      </w:r>
    </w:p>
  </w:footnote>
  <w:footnote w:id="82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457 § 2 WGBO; art. 24 § 2 Wcz. Het verbod op verstrekking van gezondheidsgegevens wordt ook opge</w:t>
      </w:r>
      <w:r>
        <w:rPr>
          <w:rFonts w:ascii="Times New Roman" w:hAnsi="Times New Roman"/>
        </w:rPr>
        <w:t>-</w:t>
      </w:r>
      <w:r w:rsidRPr="00426625">
        <w:rPr>
          <w:rFonts w:ascii="Times New Roman" w:hAnsi="Times New Roman"/>
        </w:rPr>
        <w:t xml:space="preserve">heven </w:t>
      </w:r>
      <w:r w:rsidRPr="00426625">
        <w:rPr>
          <w:rFonts w:ascii="Times New Roman" w:hAnsi="Times New Roman"/>
          <w:i/>
        </w:rPr>
        <w:t>indien het bij of krachtens de wet bepaalde daartoe verplicht</w:t>
      </w:r>
      <w:r w:rsidRPr="00426625">
        <w:rPr>
          <w:rFonts w:ascii="Times New Roman" w:hAnsi="Times New Roman"/>
        </w:rPr>
        <w:t xml:space="preserve"> (art. 457 § 1 WGBO; art. 24 § 1 Wcz); voor </w:t>
      </w:r>
      <w:r w:rsidRPr="00426625">
        <w:rPr>
          <w:rFonts w:ascii="Times New Roman" w:hAnsi="Times New Roman"/>
          <w:i/>
        </w:rPr>
        <w:t xml:space="preserve">degene die optreedt als vervanger van de hulpverlener </w:t>
      </w:r>
      <w:r w:rsidRPr="00426625">
        <w:rPr>
          <w:rFonts w:ascii="Times New Roman" w:hAnsi="Times New Roman"/>
        </w:rPr>
        <w:t>(art. 457 § 2 WGBO; art. 24 § 2 Wcz); en indien dat noodzakelijk is in het kader van de behandelingsovereenkomst (art. 457 § 3 WGBO; art. 24 § 3 Wcz).</w:t>
      </w:r>
    </w:p>
  </w:footnote>
  <w:footnote w:id="82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1990-1991, 21 561, nr. 6, p. 39.</w:t>
      </w:r>
    </w:p>
  </w:footnote>
  <w:footnote w:id="82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Voor de wettelijke definitie van het begrip ‘verwerken’, zie deel 4.</w:t>
      </w:r>
    </w:p>
  </w:footnote>
  <w:footnote w:id="82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WITMER; DE ROODE; </w:t>
      </w:r>
      <w:r w:rsidRPr="00426625">
        <w:rPr>
          <w:rFonts w:ascii="Times New Roman" w:hAnsi="Times New Roman"/>
          <w:i/>
        </w:rPr>
        <w:t>Van wet naar praktijk. Implementatie van de WGBO. Deel 4: Toegang tot patiënten</w:t>
      </w:r>
      <w:r>
        <w:rPr>
          <w:rFonts w:ascii="Times New Roman" w:hAnsi="Times New Roman"/>
          <w:i/>
        </w:rPr>
        <w:t>-</w:t>
      </w:r>
      <w:r w:rsidRPr="00426625">
        <w:rPr>
          <w:rFonts w:ascii="Times New Roman" w:hAnsi="Times New Roman"/>
          <w:i/>
        </w:rPr>
        <w:t>gegevens</w:t>
      </w:r>
      <w:r w:rsidRPr="00426625">
        <w:rPr>
          <w:rFonts w:ascii="Times New Roman" w:hAnsi="Times New Roman"/>
        </w:rPr>
        <w:t>, Utrecht, KNMG, 2004, p. 18.</w:t>
      </w:r>
    </w:p>
  </w:footnote>
  <w:footnote w:id="82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 p. 39.</w:t>
      </w:r>
    </w:p>
  </w:footnote>
  <w:footnote w:id="8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hAnsi="Times New Roman"/>
          <w:lang w:eastAsia="nl-BE"/>
        </w:rPr>
        <w:t>Kamerstukken II, Vergaderjaar 1990-1991, 21 561, nr. 7, p. 1.</w:t>
      </w:r>
    </w:p>
  </w:footnote>
  <w:footnote w:id="83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454 § 3 WGBO.</w:t>
      </w:r>
    </w:p>
  </w:footnote>
  <w:footnote w:id="83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Gezondheidsraad, </w:t>
      </w:r>
      <w:r w:rsidRPr="00426625">
        <w:rPr>
          <w:rFonts w:ascii="Times New Roman" w:hAnsi="Times New Roman"/>
          <w:i/>
        </w:rPr>
        <w:t>De bewaartermijn voor medische gegevens</w:t>
      </w:r>
      <w:r w:rsidRPr="00426625">
        <w:rPr>
          <w:rFonts w:ascii="Times New Roman" w:hAnsi="Times New Roman"/>
        </w:rPr>
        <w:t>, Den Haag, 2000 (Publicatienummer 2000/15), p. 10-11 en p. 17-18.</w:t>
      </w:r>
    </w:p>
  </w:footnote>
  <w:footnote w:id="8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Art. 10 § 1 Wbp; art. 464 § 2, a WGBO; art. 20 § 5 Wcz. </w:t>
      </w:r>
      <w:r w:rsidRPr="00426625">
        <w:rPr>
          <w:rFonts w:ascii="Times New Roman" w:hAnsi="Times New Roman"/>
        </w:rPr>
        <w:t>Deze wettelijke bepaling is ook in tal van Europese regelgeving opgenomen: art. 5, e van verdrag nr. 108 van de Raad van Europa van 28 januari 1981 tot bescher</w:t>
      </w:r>
      <w:r>
        <w:rPr>
          <w:rFonts w:ascii="Times New Roman" w:hAnsi="Times New Roman"/>
        </w:rPr>
        <w:t>-</w:t>
      </w:r>
      <w:r w:rsidRPr="00426625">
        <w:rPr>
          <w:rFonts w:ascii="Times New Roman" w:hAnsi="Times New Roman"/>
        </w:rPr>
        <w:t>ming van personen ten opzichte van de geautomatiseerde verwerking van persoonsgegevens (Verdrag van Straatsburg) en punt 42 van het verklarend rapport bij het Verdrag van Straatsburg (</w:t>
      </w:r>
      <w:r w:rsidRPr="00426625">
        <w:rPr>
          <w:rFonts w:ascii="Times New Roman" w:hAnsi="Times New Roman"/>
          <w:i/>
        </w:rPr>
        <w:t>E.T.S.</w:t>
      </w:r>
      <w:r w:rsidRPr="00426625">
        <w:rPr>
          <w:rFonts w:ascii="Times New Roman" w:hAnsi="Times New Roman"/>
        </w:rPr>
        <w:t>, nr. 108; punt 7 van aanbeveling R(86)1 van het Comité van Ministers aan de Lidstaten van 23 januari 1986 betreffende de bescher</w:t>
      </w:r>
      <w:r>
        <w:rPr>
          <w:rFonts w:ascii="Times New Roman" w:hAnsi="Times New Roman"/>
        </w:rPr>
        <w:t>-</w:t>
      </w:r>
      <w:r w:rsidRPr="00426625">
        <w:rPr>
          <w:rFonts w:ascii="Times New Roman" w:hAnsi="Times New Roman"/>
        </w:rPr>
        <w:t>ming van persoonsgegevens die voor sociale zekerheidsdoeleinden gebruikt worden; art. 6 § 1, e van richtlijn 95/46/EG van het Europees Parlement en de Raad van 24 oktober 1995 betreffende de bescherming van natuur</w:t>
      </w:r>
      <w:r>
        <w:rPr>
          <w:rFonts w:ascii="Times New Roman" w:hAnsi="Times New Roman"/>
        </w:rPr>
        <w:t>-</w:t>
      </w:r>
      <w:r w:rsidRPr="00426625">
        <w:rPr>
          <w:rFonts w:ascii="Times New Roman" w:hAnsi="Times New Roman"/>
        </w:rPr>
        <w:t>lijke personen in verband met de verwerking van persoonsgegevens en betreffende het vrije verkeer van die ge</w:t>
      </w:r>
      <w:r>
        <w:rPr>
          <w:rFonts w:ascii="Times New Roman" w:hAnsi="Times New Roman"/>
        </w:rPr>
        <w:t>-</w:t>
      </w:r>
      <w:r w:rsidRPr="00426625">
        <w:rPr>
          <w:rFonts w:ascii="Times New Roman" w:hAnsi="Times New Roman"/>
        </w:rPr>
        <w:t>gevens (</w:t>
      </w:r>
      <w:r w:rsidRPr="00426625">
        <w:rPr>
          <w:rFonts w:ascii="Times New Roman" w:hAnsi="Times New Roman"/>
          <w:i/>
        </w:rPr>
        <w:t>Pb.EG L.</w:t>
      </w:r>
      <w:r w:rsidRPr="00426625">
        <w:rPr>
          <w:rFonts w:ascii="Times New Roman" w:hAnsi="Times New Roman"/>
        </w:rPr>
        <w:t xml:space="preserve"> 281, 23 november 1995); art. 4 § 1, e van verordening (EG) nr. 45/2001 van het Europees Par</w:t>
      </w:r>
      <w:r>
        <w:rPr>
          <w:rFonts w:ascii="Times New Roman" w:hAnsi="Times New Roman"/>
        </w:rPr>
        <w:t>-</w:t>
      </w:r>
      <w:r w:rsidRPr="00426625">
        <w:rPr>
          <w:rFonts w:ascii="Times New Roman" w:hAnsi="Times New Roman"/>
        </w:rPr>
        <w:t>lement en de Raad van 18 december 2000 betreffende de bescherming van natuurlijke personen in verband met de verwerking van persoonsgegevens door de communautaire instellingen en organen en betreffende het vrije verkeer van die gegevens (</w:t>
      </w:r>
      <w:r w:rsidRPr="00426625">
        <w:rPr>
          <w:rFonts w:ascii="Times New Roman" w:hAnsi="Times New Roman"/>
          <w:i/>
        </w:rPr>
        <w:t xml:space="preserve">Pb.EG L. </w:t>
      </w:r>
      <w:r w:rsidRPr="00426625">
        <w:rPr>
          <w:rFonts w:ascii="Times New Roman" w:hAnsi="Times New Roman"/>
        </w:rPr>
        <w:t>8, 12 januari</w:t>
      </w:r>
      <w:r w:rsidRPr="00426625">
        <w:rPr>
          <w:rFonts w:ascii="Times New Roman" w:hAnsi="Times New Roman"/>
          <w:i/>
        </w:rPr>
        <w:t xml:space="preserve"> </w:t>
      </w:r>
      <w:r w:rsidRPr="00426625">
        <w:rPr>
          <w:rFonts w:ascii="Times New Roman" w:hAnsi="Times New Roman"/>
        </w:rPr>
        <w:t>2001).</w:t>
      </w:r>
    </w:p>
  </w:footnote>
  <w:footnote w:id="83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Punt 10 van aanbeveling R(97)5 van het Comité van Ministers aan de Lidstaten van 13 februari 1997 betref</w:t>
      </w:r>
      <w:r>
        <w:rPr>
          <w:rFonts w:ascii="Times New Roman" w:hAnsi="Times New Roman"/>
        </w:rPr>
        <w:t>-</w:t>
      </w:r>
      <w:r w:rsidRPr="00426625">
        <w:rPr>
          <w:rFonts w:ascii="Times New Roman" w:hAnsi="Times New Roman"/>
        </w:rPr>
        <w:t>fende de bescherming van medische gegevens.</w:t>
      </w:r>
    </w:p>
  </w:footnote>
  <w:footnote w:id="83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supra.</w:t>
      </w:r>
    </w:p>
  </w:footnote>
  <w:footnote w:id="8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BERGKAMP, P.; VAN WERSCH, P.J.M.; ‘De Wet Persoonsregistraties niet van toepassing op het medisch dossier’, </w:t>
      </w:r>
      <w:r w:rsidRPr="00426625">
        <w:rPr>
          <w:rFonts w:ascii="Times New Roman" w:hAnsi="Times New Roman"/>
          <w:i/>
        </w:rPr>
        <w:t>Het Ziekenhuis</w:t>
      </w:r>
      <w:r w:rsidRPr="00426625">
        <w:rPr>
          <w:rFonts w:ascii="Times New Roman" w:hAnsi="Times New Roman"/>
        </w:rPr>
        <w:t xml:space="preserve">, 1990, nr. 1, p. 15-16; RIJKSEN, W.P.; AANEN, D.K.; ‘Het Medisch Dossier onder de Wet Persoonsregistraties’, </w:t>
      </w:r>
      <w:r w:rsidRPr="00426625">
        <w:rPr>
          <w:rFonts w:ascii="Times New Roman" w:hAnsi="Times New Roman"/>
          <w:i/>
        </w:rPr>
        <w:t>Het Ziekenhuis</w:t>
      </w:r>
      <w:r w:rsidRPr="00426625">
        <w:rPr>
          <w:rFonts w:ascii="Times New Roman" w:hAnsi="Times New Roman"/>
        </w:rPr>
        <w:t xml:space="preserve">, 1990, nr. 3, p. 80-82, nr. 6-7, p. 260–261. Zie ook GEVERS, J.K.M., ‘Het wetsvoorstel betreffende de geneeskundige behandelingsovereenkomst en de bescherming van de privacy’, </w:t>
      </w:r>
      <w:r w:rsidRPr="00426625">
        <w:rPr>
          <w:rFonts w:ascii="Times New Roman" w:hAnsi="Times New Roman"/>
          <w:i/>
        </w:rPr>
        <w:t>Computerr.</w:t>
      </w:r>
      <w:r w:rsidRPr="00426625">
        <w:rPr>
          <w:rFonts w:ascii="Times New Roman" w:hAnsi="Times New Roman"/>
        </w:rPr>
        <w:t>, 1991, 1, p. 4.</w:t>
      </w:r>
    </w:p>
  </w:footnote>
  <w:footnote w:id="8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Gezondheidsraad, </w:t>
      </w:r>
      <w:r w:rsidRPr="00426625">
        <w:rPr>
          <w:rFonts w:ascii="Times New Roman" w:hAnsi="Times New Roman"/>
          <w:i/>
        </w:rPr>
        <w:t>De bewaartermijn voor medische gegevens</w:t>
      </w:r>
      <w:r w:rsidRPr="00426625">
        <w:rPr>
          <w:rFonts w:ascii="Times New Roman" w:hAnsi="Times New Roman"/>
        </w:rPr>
        <w:t>, p. 15-20.</w:t>
      </w:r>
    </w:p>
  </w:footnote>
  <w:footnote w:id="837">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1991-1992, 21 561, nr. 11, p. 43. Zie ook: DONDORP, W.J.; LEGEMAATE, J.; VAN DE KLIPPE, C.J.; ‘Bewaartermijn voor patiëntengegevens. Gezondheidsraad bepleit wetswijziging’, </w:t>
      </w:r>
      <w:r w:rsidRPr="00426625">
        <w:rPr>
          <w:rFonts w:ascii="Times New Roman" w:hAnsi="Times New Roman" w:cs="Times New Roman"/>
          <w:i/>
          <w:sz w:val="20"/>
          <w:szCs w:val="20"/>
        </w:rPr>
        <w:t>N.T.G.</w:t>
      </w:r>
      <w:r w:rsidRPr="00426625">
        <w:rPr>
          <w:rFonts w:ascii="Times New Roman" w:hAnsi="Times New Roman" w:cs="Times New Roman"/>
          <w:sz w:val="20"/>
          <w:szCs w:val="20"/>
        </w:rPr>
        <w:t xml:space="preserve">, 148/15 (2004), p. 744; LEGEMAATE, J., ‘De klok tikt door, vernietiging dossiers dreigt’, </w:t>
      </w:r>
      <w:r w:rsidRPr="00426625">
        <w:rPr>
          <w:rFonts w:ascii="Times New Roman" w:hAnsi="Times New Roman" w:cs="Times New Roman"/>
          <w:i/>
          <w:iCs/>
          <w:sz w:val="20"/>
          <w:szCs w:val="20"/>
        </w:rPr>
        <w:t>M.C.</w:t>
      </w:r>
      <w:r w:rsidRPr="00426625">
        <w:rPr>
          <w:rFonts w:ascii="Times New Roman" w:hAnsi="Times New Roman" w:cs="Times New Roman"/>
          <w:sz w:val="20"/>
          <w:szCs w:val="20"/>
        </w:rPr>
        <w:t>, 57/45 (2002), p. 1661-1662. Aanvankelijk duidde de wetgever deze termijn als ‘algemene minimum bewaartijd’ aan. Kamerstukken II, vergaderjaar 1989-1990, 21 561, nr. 3, p. 36.</w:t>
      </w:r>
    </w:p>
  </w:footnote>
  <w:footnote w:id="838">
    <w:p w:rsidR="00E82D16" w:rsidRPr="00426625" w:rsidRDefault="00E82D16" w:rsidP="00426625">
      <w:pPr>
        <w:pStyle w:val="Geenafstand"/>
        <w:jc w:val="both"/>
        <w:rPr>
          <w:rFonts w:ascii="Times New Roman" w:hAnsi="Times New Roman" w:cs="Times New Roman"/>
          <w:i/>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454 § 3 WGBO; art. 20 § 1 Wcz.</w:t>
      </w:r>
    </w:p>
  </w:footnote>
  <w:footnote w:id="839">
    <w:p w:rsidR="00E82D16" w:rsidRPr="00426625" w:rsidRDefault="00E82D16" w:rsidP="00426625">
      <w:pPr>
        <w:pStyle w:val="Geenafstand"/>
        <w:jc w:val="both"/>
        <w:rPr>
          <w:rFonts w:ascii="Times New Roman" w:hAnsi="Times New Roman" w:cs="Times New Roman"/>
          <w:color w:val="FF0000"/>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overgangsbepaling is vervat in artikel IV WGBO; DONDORP, W.J.; LEGEMAATE, J.; VAN DE KLIPPE, C.J.; ‘Bewaartermijn voor patiëntengegevens. Gezondheidsraad bepleit wetswijziging’, p. 746.</w:t>
      </w:r>
    </w:p>
  </w:footnote>
  <w:footnote w:id="84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BREUNING, M.H.; ROSCAM ABBING, H.D.C.; ‘Verantwoord omgaan met bewaartermijn medische ge</w:t>
      </w:r>
      <w:r>
        <w:rPr>
          <w:rFonts w:ascii="Times New Roman" w:hAnsi="Times New Roman"/>
        </w:rPr>
        <w:t>-</w:t>
      </w:r>
      <w:r w:rsidRPr="00426625">
        <w:rPr>
          <w:rFonts w:ascii="Times New Roman" w:hAnsi="Times New Roman"/>
        </w:rPr>
        <w:t xml:space="preserve">gevens’, </w:t>
      </w:r>
      <w:r w:rsidRPr="00426625">
        <w:rPr>
          <w:rFonts w:ascii="Times New Roman" w:hAnsi="Times New Roman"/>
          <w:i/>
        </w:rPr>
        <w:t>N.T.G.</w:t>
      </w:r>
      <w:r w:rsidRPr="00426625">
        <w:rPr>
          <w:rFonts w:ascii="Times New Roman" w:hAnsi="Times New Roman"/>
        </w:rPr>
        <w:t>, 145 (2001), p. 1376; HOEFNAGELS, J.J., ‘Weggooien medische dossiers bedreigt de volksge</w:t>
      </w:r>
      <w:r>
        <w:rPr>
          <w:rFonts w:ascii="Times New Roman" w:hAnsi="Times New Roman"/>
        </w:rPr>
        <w:t>-</w:t>
      </w:r>
      <w:r w:rsidRPr="00426625">
        <w:rPr>
          <w:rFonts w:ascii="Times New Roman" w:hAnsi="Times New Roman"/>
        </w:rPr>
        <w:t xml:space="preserve">zondheid’, </w:t>
      </w:r>
      <w:r w:rsidRPr="00426625">
        <w:rPr>
          <w:rFonts w:ascii="Times New Roman" w:hAnsi="Times New Roman"/>
          <w:i/>
        </w:rPr>
        <w:t>N.T.G.</w:t>
      </w:r>
      <w:r w:rsidRPr="00426625">
        <w:rPr>
          <w:rFonts w:ascii="Times New Roman" w:hAnsi="Times New Roman"/>
        </w:rPr>
        <w:t>, 143 (1999), p. 1537; OLSTHOORN-HEIM, E.T.M., ‘De bewaartermijn van patiëntenge</w:t>
      </w:r>
      <w:r>
        <w:rPr>
          <w:rFonts w:ascii="Times New Roman" w:hAnsi="Times New Roman"/>
        </w:rPr>
        <w:t>-</w:t>
      </w:r>
      <w:r w:rsidRPr="00426625">
        <w:rPr>
          <w:rFonts w:ascii="Times New Roman" w:hAnsi="Times New Roman"/>
        </w:rPr>
        <w:t xml:space="preserve">gevens’, </w:t>
      </w:r>
      <w:r w:rsidRPr="00426625">
        <w:rPr>
          <w:rFonts w:ascii="Times New Roman" w:hAnsi="Times New Roman"/>
          <w:i/>
        </w:rPr>
        <w:t>T.G.</w:t>
      </w:r>
      <w:r w:rsidRPr="00426625">
        <w:rPr>
          <w:rFonts w:ascii="Times New Roman" w:hAnsi="Times New Roman"/>
        </w:rPr>
        <w:t xml:space="preserve">, 24/2 (2000), p. 26; OOSTERVINK, F.; DEKKER, M.J.G.M.; KARS, P.; ‘Herbezinnen op dossiervernietiging’, </w:t>
      </w:r>
      <w:r w:rsidRPr="00426625">
        <w:rPr>
          <w:rFonts w:ascii="Times New Roman" w:hAnsi="Times New Roman"/>
          <w:i/>
        </w:rPr>
        <w:t>M.C.</w:t>
      </w:r>
      <w:r w:rsidRPr="00426625">
        <w:rPr>
          <w:rFonts w:ascii="Times New Roman" w:hAnsi="Times New Roman"/>
        </w:rPr>
        <w:t>,</w:t>
      </w:r>
      <w:r w:rsidRPr="00426625">
        <w:rPr>
          <w:rFonts w:ascii="Times New Roman" w:hAnsi="Times New Roman"/>
          <w:i/>
        </w:rPr>
        <w:t xml:space="preserve"> </w:t>
      </w:r>
      <w:r w:rsidRPr="00426625">
        <w:rPr>
          <w:rFonts w:ascii="Times New Roman" w:hAnsi="Times New Roman"/>
        </w:rPr>
        <w:t xml:space="preserve">54/45 (1999), p. 1550-1552; ROSCAM ABBING, H.D.C., ‘Verantwoord omgaan met bewaartermijn medische gegevens’, </w:t>
      </w:r>
      <w:r w:rsidRPr="00426625">
        <w:rPr>
          <w:rFonts w:ascii="Times New Roman" w:hAnsi="Times New Roman"/>
          <w:i/>
        </w:rPr>
        <w:t>N.T.G.</w:t>
      </w:r>
      <w:r w:rsidRPr="00426625">
        <w:rPr>
          <w:rFonts w:ascii="Times New Roman" w:hAnsi="Times New Roman"/>
        </w:rPr>
        <w:t>, 145 (2001), p. 1090-1091; TEN VERGERT, H.G.M., ‘Medi</w:t>
      </w:r>
      <w:r>
        <w:rPr>
          <w:rFonts w:ascii="Times New Roman" w:hAnsi="Times New Roman"/>
        </w:rPr>
        <w:t>-</w:t>
      </w:r>
      <w:r w:rsidRPr="00426625">
        <w:rPr>
          <w:rFonts w:ascii="Times New Roman" w:hAnsi="Times New Roman"/>
        </w:rPr>
        <w:t xml:space="preserve">sche dossiers langer bewaren dan tien jaar?’, </w:t>
      </w:r>
      <w:r w:rsidRPr="00426625">
        <w:rPr>
          <w:rFonts w:ascii="Times New Roman" w:hAnsi="Times New Roman"/>
          <w:i/>
        </w:rPr>
        <w:t>M.C.</w:t>
      </w:r>
      <w:r w:rsidRPr="00426625">
        <w:rPr>
          <w:rFonts w:ascii="Times New Roman" w:hAnsi="Times New Roman"/>
        </w:rPr>
        <w:t>, 54/19 (1999), p. 688-689; VAN LEEUWEN, F.E.; SCHORNAGEL, J.H.; ‘Bewaren of vernietigen? Het belang van het dossier voor de patiënt van gisteren en mor</w:t>
      </w:r>
      <w:r>
        <w:rPr>
          <w:rFonts w:ascii="Times New Roman" w:hAnsi="Times New Roman"/>
        </w:rPr>
        <w:t>-</w:t>
      </w:r>
      <w:r w:rsidRPr="00426625">
        <w:rPr>
          <w:rFonts w:ascii="Times New Roman" w:hAnsi="Times New Roman"/>
        </w:rPr>
        <w:t xml:space="preserve">gen’, </w:t>
      </w:r>
      <w:r w:rsidRPr="00426625">
        <w:rPr>
          <w:rFonts w:ascii="Times New Roman" w:hAnsi="Times New Roman"/>
          <w:i/>
        </w:rPr>
        <w:t>N.T.G.</w:t>
      </w:r>
      <w:r w:rsidRPr="00426625">
        <w:rPr>
          <w:rFonts w:ascii="Times New Roman" w:hAnsi="Times New Roman"/>
        </w:rPr>
        <w:t xml:space="preserve">, 145/10 (2001), p. 459; VENCKEN, L.M., ‘De WGBO in de praktijk: dossierperikelen’, </w:t>
      </w:r>
      <w:r w:rsidRPr="00426625">
        <w:rPr>
          <w:rFonts w:ascii="Times New Roman" w:hAnsi="Times New Roman"/>
          <w:i/>
        </w:rPr>
        <w:t>M.C.</w:t>
      </w:r>
      <w:r w:rsidRPr="00426625">
        <w:rPr>
          <w:rFonts w:ascii="Times New Roman" w:hAnsi="Times New Roman"/>
        </w:rPr>
        <w:t>, 51/31-32 (1996), p. 1018-1019.</w:t>
      </w:r>
    </w:p>
  </w:footnote>
  <w:footnote w:id="84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Wbp.</w:t>
      </w:r>
    </w:p>
  </w:footnote>
  <w:footnote w:id="842">
    <w:p w:rsidR="00E82D16" w:rsidRPr="00426625" w:rsidRDefault="00E82D16" w:rsidP="00426625">
      <w:pPr>
        <w:pStyle w:val="Voetnoottekst"/>
        <w:jc w:val="both"/>
        <w:rPr>
          <w:rFonts w:ascii="Times New Roman" w:hAnsi="Times New Roman"/>
          <w:color w:val="FF0000"/>
        </w:rPr>
      </w:pPr>
      <w:r w:rsidRPr="00426625">
        <w:rPr>
          <w:rStyle w:val="Voetnootmarkering"/>
          <w:rFonts w:ascii="Times New Roman" w:hAnsi="Times New Roman"/>
        </w:rPr>
        <w:footnoteRef/>
      </w:r>
      <w:r w:rsidRPr="00426625">
        <w:rPr>
          <w:rFonts w:ascii="Times New Roman" w:hAnsi="Times New Roman"/>
        </w:rPr>
        <w:t xml:space="preserve"> Voor meer informatie over dit juridisch dilemma, zie: PLOEM, M.C., </w:t>
      </w:r>
      <w:r w:rsidRPr="00426625">
        <w:rPr>
          <w:rFonts w:ascii="Times New Roman" w:hAnsi="Times New Roman"/>
          <w:i/>
        </w:rPr>
        <w:t>Wetenschapsbeoefening en belemme</w:t>
      </w:r>
      <w:r>
        <w:rPr>
          <w:rFonts w:ascii="Times New Roman" w:hAnsi="Times New Roman"/>
          <w:i/>
        </w:rPr>
        <w:t>-</w:t>
      </w:r>
      <w:r w:rsidRPr="00426625">
        <w:rPr>
          <w:rFonts w:ascii="Times New Roman" w:hAnsi="Times New Roman"/>
          <w:i/>
        </w:rPr>
        <w:t>rende privacywetgeving: de wetgever in balans?</w:t>
      </w:r>
      <w:r w:rsidRPr="00426625">
        <w:rPr>
          <w:rFonts w:ascii="Times New Roman" w:hAnsi="Times New Roman"/>
        </w:rPr>
        <w:t xml:space="preserve">, Den Haag, SDU Uitgevers, 2002, 134p.; ID., </w:t>
      </w:r>
      <w:r w:rsidRPr="00426625">
        <w:rPr>
          <w:rFonts w:ascii="Times New Roman" w:hAnsi="Times New Roman"/>
          <w:i/>
        </w:rPr>
        <w:t>Tussen privacy en wetenschapsvrijheid. Regulering van gegevensverwerking voor medisch-wetenschappelijk onderzoek</w:t>
      </w:r>
      <w:r w:rsidRPr="00426625">
        <w:rPr>
          <w:rFonts w:ascii="Times New Roman" w:hAnsi="Times New Roman"/>
        </w:rPr>
        <w:t>, Ge</w:t>
      </w:r>
      <w:r>
        <w:rPr>
          <w:rFonts w:ascii="Times New Roman" w:hAnsi="Times New Roman"/>
        </w:rPr>
        <w:t>-</w:t>
      </w:r>
      <w:r w:rsidRPr="00426625">
        <w:rPr>
          <w:rFonts w:ascii="Times New Roman" w:hAnsi="Times New Roman"/>
        </w:rPr>
        <w:t>zondheidsrecht, 24, Den Haag, SDU Uitgevers, 284p.; VAN LEEUWEN; SCHORNAGEL; ‘Bewaren of ver</w:t>
      </w:r>
      <w:r>
        <w:rPr>
          <w:rFonts w:ascii="Times New Roman" w:hAnsi="Times New Roman"/>
        </w:rPr>
        <w:t>-</w:t>
      </w:r>
      <w:r w:rsidRPr="00426625">
        <w:rPr>
          <w:rFonts w:ascii="Times New Roman" w:hAnsi="Times New Roman"/>
        </w:rPr>
        <w:t>nietigen?’, p. 455-460. Er geldt evenwel een uitzondering voorzien voor wetenschappelijke, statistische en histo</w:t>
      </w:r>
      <w:r>
        <w:rPr>
          <w:rFonts w:ascii="Times New Roman" w:hAnsi="Times New Roman"/>
        </w:rPr>
        <w:t>-</w:t>
      </w:r>
      <w:r w:rsidRPr="00426625">
        <w:rPr>
          <w:rFonts w:ascii="Times New Roman" w:hAnsi="Times New Roman"/>
        </w:rPr>
        <w:t>rische doeleinden, mits de nodige maatregelen getroffen worden om de privacy van de betrokkenen te waarbor</w:t>
      </w:r>
      <w:r>
        <w:rPr>
          <w:rFonts w:ascii="Times New Roman" w:hAnsi="Times New Roman"/>
        </w:rPr>
        <w:t>-</w:t>
      </w:r>
      <w:r w:rsidRPr="00426625">
        <w:rPr>
          <w:rFonts w:ascii="Times New Roman" w:hAnsi="Times New Roman"/>
        </w:rPr>
        <w:t>gen. Artikel 9 § 3 Wbp. Zie deel 4.</w:t>
      </w:r>
    </w:p>
  </w:footnote>
  <w:footnote w:id="84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LEEUWEN; SCHORNAGEL; ‘Bewaren of vernietigen?’, p. 458.</w:t>
      </w:r>
    </w:p>
  </w:footnote>
  <w:footnote w:id="84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22 Gw. KORTMANN, C.A.J.M.; BOVEND’EERT, P.P.T.; ACKERMANS-WIJN, J.C.E.; FLEUREN, J.W.A.; VAN DER NAT, M.N.H.; </w:t>
      </w:r>
      <w:r w:rsidRPr="00426625">
        <w:rPr>
          <w:rFonts w:ascii="Times New Roman" w:hAnsi="Times New Roman"/>
          <w:i/>
        </w:rPr>
        <w:t>Grondwet voor het Koninkrijk der Nederlanden</w:t>
      </w:r>
      <w:r w:rsidRPr="00426625">
        <w:rPr>
          <w:rFonts w:ascii="Times New Roman" w:hAnsi="Times New Roman"/>
        </w:rPr>
        <w:t>, Tekst &amp; Commentaar, De</w:t>
      </w:r>
      <w:r>
        <w:rPr>
          <w:rFonts w:ascii="Times New Roman" w:hAnsi="Times New Roman"/>
        </w:rPr>
        <w:t>-</w:t>
      </w:r>
      <w:r w:rsidRPr="00426625">
        <w:rPr>
          <w:rFonts w:ascii="Times New Roman" w:hAnsi="Times New Roman"/>
        </w:rPr>
        <w:t>venter, Kluwer, 1998, p. 20.</w:t>
      </w:r>
    </w:p>
  </w:footnote>
  <w:footnote w:id="84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Artikel 10 Gw. KORTMANN; BOVEND’EERT; ACKERMANS-WIJN; FLEUREN; VAN DER NAT; p. 11; OVERKLEEFT-VERBURG, G., ‘Het grondrecht op eerbiediging van de persoonlijke levenssfeer’, KOEKKOEK, A.K. (red.), </w:t>
      </w:r>
      <w:r w:rsidRPr="00426625">
        <w:rPr>
          <w:rFonts w:ascii="Times New Roman" w:hAnsi="Times New Roman"/>
          <w:i/>
        </w:rPr>
        <w:t>De Grondwet,</w:t>
      </w:r>
      <w:r w:rsidRPr="00426625">
        <w:rPr>
          <w:rFonts w:ascii="Times New Roman" w:hAnsi="Times New Roman"/>
        </w:rPr>
        <w:t xml:space="preserve"> </w:t>
      </w:r>
      <w:r w:rsidRPr="00426625">
        <w:rPr>
          <w:rFonts w:ascii="Times New Roman" w:hAnsi="Times New Roman"/>
          <w:i/>
        </w:rPr>
        <w:t>een systematisch en artikelsgewijs commentaar</w:t>
      </w:r>
      <w:r w:rsidRPr="00426625">
        <w:rPr>
          <w:rFonts w:ascii="Times New Roman" w:hAnsi="Times New Roman"/>
        </w:rPr>
        <w:t>, Deventer, 2000</w:t>
      </w:r>
      <w:r w:rsidRPr="00426625">
        <w:rPr>
          <w:rFonts w:ascii="Times New Roman" w:hAnsi="Times New Roman"/>
          <w:vertAlign w:val="superscript"/>
        </w:rPr>
        <w:t>3</w:t>
      </w:r>
      <w:r w:rsidRPr="00426625">
        <w:rPr>
          <w:rFonts w:ascii="Times New Roman" w:hAnsi="Times New Roman"/>
        </w:rPr>
        <w:t>, p. 155-178.</w:t>
      </w:r>
    </w:p>
  </w:footnote>
  <w:footnote w:id="846">
    <w:p w:rsidR="00E82D16" w:rsidRPr="00426625" w:rsidRDefault="00E82D16" w:rsidP="00426625">
      <w:pPr>
        <w:pStyle w:val="Geenafstand"/>
        <w:jc w:val="both"/>
        <w:rPr>
          <w:rFonts w:ascii="Times New Roman" w:hAnsi="Times New Roman" w:cs="Times New Roman"/>
          <w:i/>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3:310 § 1 NBW. </w:t>
      </w:r>
    </w:p>
  </w:footnote>
  <w:footnote w:id="84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WITMER; DE ROODE; </w:t>
      </w:r>
      <w:r w:rsidRPr="00426625">
        <w:rPr>
          <w:rFonts w:ascii="Times New Roman" w:hAnsi="Times New Roman"/>
          <w:i/>
        </w:rPr>
        <w:t>Van wet naar praktijk. Implementatie van de WGBO. Deel 3</w:t>
      </w:r>
      <w:r w:rsidRPr="00426625">
        <w:rPr>
          <w:rFonts w:ascii="Times New Roman" w:hAnsi="Times New Roman"/>
        </w:rPr>
        <w:t>, p. 31.</w:t>
      </w:r>
    </w:p>
  </w:footnote>
  <w:footnote w:id="84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RIJKSEN, </w:t>
      </w:r>
      <w:r w:rsidRPr="00426625">
        <w:rPr>
          <w:rFonts w:ascii="Times New Roman" w:hAnsi="Times New Roman"/>
          <w:i/>
        </w:rPr>
        <w:t>Bewaartermijnen Patiëntengegevens. Wet- en regelgeving</w:t>
      </w:r>
      <w:r w:rsidRPr="00426625">
        <w:rPr>
          <w:rFonts w:ascii="Times New Roman" w:hAnsi="Times New Roman"/>
        </w:rPr>
        <w:t xml:space="preserve">, p. 25; ID., </w:t>
      </w:r>
      <w:r w:rsidRPr="00426625">
        <w:rPr>
          <w:rFonts w:ascii="Times New Roman" w:hAnsi="Times New Roman"/>
          <w:i/>
        </w:rPr>
        <w:t>Bewaartermijnen patiënten</w:t>
      </w:r>
      <w:r>
        <w:rPr>
          <w:rFonts w:ascii="Times New Roman" w:hAnsi="Times New Roman"/>
          <w:i/>
        </w:rPr>
        <w:t>-</w:t>
      </w:r>
      <w:r w:rsidRPr="00426625">
        <w:rPr>
          <w:rFonts w:ascii="Times New Roman" w:hAnsi="Times New Roman"/>
          <w:i/>
        </w:rPr>
        <w:t>gegevens. Jaarboek 1995/96</w:t>
      </w:r>
      <w:r w:rsidRPr="00426625">
        <w:rPr>
          <w:rFonts w:ascii="Times New Roman" w:hAnsi="Times New Roman"/>
        </w:rPr>
        <w:t>, p. 33. Het zal geen verbazing wekken dat de auteur van deze werken, Paul Rijksen, de huidige algemeen directeur van de KNMG is.</w:t>
      </w:r>
    </w:p>
  </w:footnote>
  <w:footnote w:id="84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Gezondheidsraad, </w:t>
      </w:r>
      <w:r w:rsidRPr="00426625">
        <w:rPr>
          <w:rFonts w:ascii="Times New Roman" w:hAnsi="Times New Roman"/>
          <w:i/>
          <w:iCs/>
        </w:rPr>
        <w:t>Bewaartermijn patiëntengegevens. Pleidooi voor wetswijziging</w:t>
      </w:r>
      <w:r w:rsidRPr="00426625">
        <w:rPr>
          <w:rFonts w:ascii="Times New Roman" w:hAnsi="Times New Roman"/>
        </w:rPr>
        <w:t>, Den Haag, 2004 (Publica</w:t>
      </w:r>
      <w:r>
        <w:rPr>
          <w:rFonts w:ascii="Times New Roman" w:hAnsi="Times New Roman"/>
        </w:rPr>
        <w:t>-</w:t>
      </w:r>
      <w:r w:rsidRPr="00426625">
        <w:rPr>
          <w:rFonts w:ascii="Times New Roman" w:hAnsi="Times New Roman"/>
        </w:rPr>
        <w:t xml:space="preserve">tienummer 2004/08). Voor besprekingen van dit advies, zie: DONDORP, W.J.; LEGEMAATE, J.; VAN DE KLIPPE, C.J.; ‘Bewaartermijn voor patiëntengegevens. Gezondheidsraad bepleit wetswijziging’, </w:t>
      </w:r>
      <w:r w:rsidRPr="00426625">
        <w:rPr>
          <w:rFonts w:ascii="Times New Roman" w:hAnsi="Times New Roman"/>
          <w:i/>
        </w:rPr>
        <w:t>N.T.G.</w:t>
      </w:r>
      <w:r w:rsidRPr="00426625">
        <w:rPr>
          <w:rFonts w:ascii="Times New Roman" w:hAnsi="Times New Roman"/>
        </w:rPr>
        <w:t>, 148/15 (2004), p. 743-747; DUTE, J.C.J.; PLOEM, M.C.; ‘Kanttekeningen bij het advies ‘Bewaartermijn patiënten</w:t>
      </w:r>
      <w:r>
        <w:rPr>
          <w:rFonts w:ascii="Times New Roman" w:hAnsi="Times New Roman"/>
        </w:rPr>
        <w:t>-</w:t>
      </w:r>
      <w:r w:rsidRPr="00426625">
        <w:rPr>
          <w:rFonts w:ascii="Times New Roman" w:hAnsi="Times New Roman"/>
        </w:rPr>
        <w:t xml:space="preserve">gegevens’ van de Gezondheidsraad’, </w:t>
      </w:r>
      <w:r w:rsidRPr="00426625">
        <w:rPr>
          <w:rFonts w:ascii="Times New Roman" w:hAnsi="Times New Roman"/>
          <w:i/>
        </w:rPr>
        <w:t>T.G.</w:t>
      </w:r>
      <w:r w:rsidRPr="00426625">
        <w:rPr>
          <w:rFonts w:ascii="Times New Roman" w:hAnsi="Times New Roman"/>
        </w:rPr>
        <w:t>, 28/4 (2004), p. 246-248; TENT, M., ‘Gezondheidsraad wil vernieti</w:t>
      </w:r>
      <w:r>
        <w:rPr>
          <w:rFonts w:ascii="Times New Roman" w:hAnsi="Times New Roman"/>
        </w:rPr>
        <w:t>-</w:t>
      </w:r>
      <w:r w:rsidRPr="00426625">
        <w:rPr>
          <w:rFonts w:ascii="Times New Roman" w:hAnsi="Times New Roman"/>
        </w:rPr>
        <w:t xml:space="preserve">ging voor zijn. Patiëntengegevens dertig jaar bewaren’, </w:t>
      </w:r>
      <w:r w:rsidRPr="00426625">
        <w:rPr>
          <w:rFonts w:ascii="Times New Roman" w:hAnsi="Times New Roman"/>
          <w:i/>
        </w:rPr>
        <w:t>P.W.</w:t>
      </w:r>
      <w:r w:rsidRPr="00426625">
        <w:rPr>
          <w:rFonts w:ascii="Times New Roman" w:hAnsi="Times New Roman"/>
        </w:rPr>
        <w:t>, 139/16 (2004), p. 541.</w:t>
      </w:r>
    </w:p>
  </w:footnote>
  <w:footnote w:id="85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2004-2005, 30 049, nr. 2; art. 1, B van de wet van 22 december 2005 tot wijzi</w:t>
      </w:r>
      <w:r>
        <w:rPr>
          <w:rFonts w:ascii="Times New Roman" w:hAnsi="Times New Roman"/>
        </w:rPr>
        <w:t>-</w:t>
      </w:r>
      <w:r w:rsidRPr="00426625">
        <w:rPr>
          <w:rFonts w:ascii="Times New Roman" w:hAnsi="Times New Roman"/>
        </w:rPr>
        <w:t>ging van enige bepalingen van het Burgerlijk Wetboek omtrent de overeenkomst inzake geneeskundige behande</w:t>
      </w:r>
      <w:r>
        <w:rPr>
          <w:rFonts w:ascii="Times New Roman" w:hAnsi="Times New Roman"/>
        </w:rPr>
        <w:t>-</w:t>
      </w:r>
      <w:r w:rsidRPr="00426625">
        <w:rPr>
          <w:rFonts w:ascii="Times New Roman" w:hAnsi="Times New Roman"/>
        </w:rPr>
        <w:t>ling en van artikel IV van de wet van 17 november 1994 (</w:t>
      </w:r>
      <w:r w:rsidRPr="00426625">
        <w:rPr>
          <w:rFonts w:ascii="Times New Roman" w:hAnsi="Times New Roman"/>
          <w:i/>
        </w:rPr>
        <w:t>Stb.</w:t>
      </w:r>
      <w:r w:rsidRPr="00426625">
        <w:rPr>
          <w:rFonts w:ascii="Times New Roman" w:hAnsi="Times New Roman"/>
        </w:rPr>
        <w:t xml:space="preserve"> 837, 31 januari 2006). Ook de in artikel 7:455 § 3 NBW vervatte bewaartermijn werd opgetrokken tot vijftien jaar. ‘Bewaartermijn patiëntengegevens’, </w:t>
      </w:r>
      <w:r w:rsidRPr="00426625">
        <w:rPr>
          <w:rFonts w:ascii="Times New Roman" w:hAnsi="Times New Roman"/>
          <w:i/>
        </w:rPr>
        <w:t>Computerr</w:t>
      </w:r>
      <w:r w:rsidRPr="00426625">
        <w:rPr>
          <w:rFonts w:ascii="Times New Roman" w:hAnsi="Times New Roman"/>
        </w:rPr>
        <w:t xml:space="preserve">., 2005, 3, p. 164; ‘Bewaartermijn medische dossiers verlengd’, </w:t>
      </w:r>
      <w:r w:rsidRPr="00426625">
        <w:rPr>
          <w:rFonts w:ascii="Times New Roman" w:hAnsi="Times New Roman"/>
          <w:i/>
        </w:rPr>
        <w:t>M.C.</w:t>
      </w:r>
      <w:r w:rsidRPr="00426625">
        <w:rPr>
          <w:rFonts w:ascii="Times New Roman" w:hAnsi="Times New Roman"/>
        </w:rPr>
        <w:t>, 59/3 (2004), p. 92; ‘Bewaarter</w:t>
      </w:r>
      <w:r>
        <w:rPr>
          <w:rFonts w:ascii="Times New Roman" w:hAnsi="Times New Roman"/>
        </w:rPr>
        <w:t>-</w:t>
      </w:r>
      <w:r w:rsidRPr="00426625">
        <w:rPr>
          <w:rFonts w:ascii="Times New Roman" w:hAnsi="Times New Roman"/>
        </w:rPr>
        <w:t xml:space="preserve">mijn patiëntendossiers naar vijftien jaar’, </w:t>
      </w:r>
      <w:r w:rsidRPr="00426625">
        <w:rPr>
          <w:rFonts w:ascii="Times New Roman" w:hAnsi="Times New Roman"/>
          <w:i/>
        </w:rPr>
        <w:t>P&amp;I</w:t>
      </w:r>
      <w:r w:rsidRPr="00426625">
        <w:rPr>
          <w:rFonts w:ascii="Times New Roman" w:hAnsi="Times New Roman"/>
        </w:rPr>
        <w:t xml:space="preserve">, 9/3 (2006), p. 143-144 (nr. 158). </w:t>
      </w:r>
    </w:p>
  </w:footnote>
  <w:footnote w:id="8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KNMG, ‘Bewaartermijn patiëntendossiers voorlopig van tien naar vijftien jaar’, </w:t>
      </w:r>
      <w:r w:rsidRPr="00426625">
        <w:rPr>
          <w:rFonts w:ascii="Times New Roman" w:hAnsi="Times New Roman"/>
          <w:i/>
          <w:iCs/>
        </w:rPr>
        <w:t>M.C.</w:t>
      </w:r>
      <w:r w:rsidRPr="00426625">
        <w:rPr>
          <w:rFonts w:ascii="Times New Roman" w:hAnsi="Times New Roman"/>
        </w:rPr>
        <w:t>, 61/7 (2006), p. 298.</w:t>
      </w:r>
    </w:p>
  </w:footnote>
  <w:footnote w:id="85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KNMG, ‘Dringend advies medische gegevens niet te vernietigen’, </w:t>
      </w:r>
      <w:r w:rsidRPr="00426625">
        <w:rPr>
          <w:rFonts w:ascii="Times New Roman" w:hAnsi="Times New Roman" w:cs="Times New Roman"/>
          <w:i/>
          <w:iCs/>
          <w:sz w:val="20"/>
          <w:szCs w:val="20"/>
        </w:rPr>
        <w:t>M.C.</w:t>
      </w:r>
      <w:r w:rsidRPr="00426625">
        <w:rPr>
          <w:rFonts w:ascii="Times New Roman" w:hAnsi="Times New Roman" w:cs="Times New Roman"/>
          <w:sz w:val="20"/>
          <w:szCs w:val="20"/>
        </w:rPr>
        <w:t>, 60/12 (2005), p. 510.</w:t>
      </w:r>
    </w:p>
  </w:footnote>
  <w:footnote w:id="853">
    <w:p w:rsidR="00E82D16" w:rsidRPr="00426625" w:rsidRDefault="00E82D16" w:rsidP="00426625">
      <w:pPr>
        <w:pStyle w:val="Geenafstand"/>
        <w:jc w:val="both"/>
        <w:rPr>
          <w:rFonts w:ascii="Times New Roman" w:hAnsi="Times New Roman" w:cs="Times New Roman"/>
          <w:sz w:val="20"/>
          <w:szCs w:val="20"/>
          <w:u w:val="single"/>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DONDORP, W.J.; LEGEMAATE, J.; VAN DE KLIPPE, C.J.; ‘Bewaartermijn voor patiëntengegevens. Ge</w:t>
      </w:r>
      <w:r>
        <w:rPr>
          <w:rFonts w:ascii="Times New Roman" w:hAnsi="Times New Roman" w:cs="Times New Roman"/>
          <w:sz w:val="20"/>
          <w:szCs w:val="20"/>
        </w:rPr>
        <w:t>-</w:t>
      </w:r>
      <w:r w:rsidRPr="00426625">
        <w:rPr>
          <w:rFonts w:ascii="Times New Roman" w:hAnsi="Times New Roman" w:cs="Times New Roman"/>
          <w:sz w:val="20"/>
          <w:szCs w:val="20"/>
        </w:rPr>
        <w:t xml:space="preserve">zondheidsraad bepleit wetswijziging’, </w:t>
      </w:r>
      <w:r w:rsidRPr="00426625">
        <w:rPr>
          <w:rFonts w:ascii="Times New Roman" w:hAnsi="Times New Roman" w:cs="Times New Roman"/>
          <w:i/>
          <w:sz w:val="20"/>
          <w:szCs w:val="20"/>
        </w:rPr>
        <w:t>N.T.G.</w:t>
      </w:r>
      <w:r w:rsidRPr="00426625">
        <w:rPr>
          <w:rFonts w:ascii="Times New Roman" w:hAnsi="Times New Roman" w:cs="Times New Roman"/>
          <w:sz w:val="20"/>
          <w:szCs w:val="20"/>
        </w:rPr>
        <w:t>, 148/15 (2004), p. 746.</w:t>
      </w:r>
    </w:p>
  </w:footnote>
  <w:footnote w:id="85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DUTE, J., ‘Het geknoei met de bewaartermijn’, </w:t>
      </w:r>
      <w:r w:rsidRPr="00426625">
        <w:rPr>
          <w:rFonts w:ascii="Times New Roman" w:hAnsi="Times New Roman"/>
          <w:i/>
        </w:rPr>
        <w:t>T.G.</w:t>
      </w:r>
      <w:r w:rsidRPr="00426625">
        <w:rPr>
          <w:rFonts w:ascii="Times New Roman" w:hAnsi="Times New Roman"/>
        </w:rPr>
        <w:t>, 34/3 (2010), p. 167; KNMG, ‘Vernietig uw oude pa</w:t>
      </w:r>
      <w:r>
        <w:rPr>
          <w:rFonts w:ascii="Times New Roman" w:hAnsi="Times New Roman"/>
        </w:rPr>
        <w:t>-</w:t>
      </w:r>
      <w:r w:rsidRPr="00426625">
        <w:rPr>
          <w:rFonts w:ascii="Times New Roman" w:hAnsi="Times New Roman"/>
        </w:rPr>
        <w:t>tiëntendossiers niet!’, 2010.</w:t>
      </w:r>
    </w:p>
  </w:footnote>
  <w:footnote w:id="855">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84 Wcz</w:t>
      </w:r>
      <w:r w:rsidRPr="00426625">
        <w:rPr>
          <w:rFonts w:ascii="Times New Roman" w:hAnsi="Times New Roman"/>
          <w:i/>
          <w:lang w:val="en-US"/>
        </w:rPr>
        <w:t>.</w:t>
      </w:r>
    </w:p>
  </w:footnote>
  <w:footnote w:id="856">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20 § 1 Wcz</w:t>
      </w:r>
      <w:r w:rsidRPr="00426625">
        <w:rPr>
          <w:rFonts w:ascii="Times New Roman" w:hAnsi="Times New Roman"/>
          <w:i/>
          <w:iCs/>
          <w:lang w:val="en-US"/>
        </w:rPr>
        <w:t>.</w:t>
      </w:r>
    </w:p>
  </w:footnote>
  <w:footnote w:id="857">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lang w:val="en-US"/>
        </w:rPr>
        <w:t xml:space="preserve"> Art. 454 § 3 WGBO.</w:t>
      </w:r>
    </w:p>
  </w:footnote>
  <w:footnote w:id="85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SLUIJTERS, B.; BIESAART, M.C.I.H.; </w:t>
      </w:r>
      <w:r w:rsidRPr="00426625">
        <w:rPr>
          <w:rFonts w:ascii="Times New Roman" w:hAnsi="Times New Roman" w:cs="Times New Roman"/>
          <w:i/>
          <w:sz w:val="20"/>
          <w:szCs w:val="20"/>
        </w:rPr>
        <w:t>De geneeskundige behandelingsovereenkomst</w:t>
      </w:r>
      <w:r w:rsidRPr="00426625">
        <w:rPr>
          <w:rFonts w:ascii="Times New Roman" w:hAnsi="Times New Roman" w:cs="Times New Roman"/>
          <w:sz w:val="20"/>
          <w:szCs w:val="20"/>
        </w:rPr>
        <w:t>, Deventer, Kluwer, 2005², p. 83.</w:t>
      </w:r>
    </w:p>
  </w:footnote>
  <w:footnote w:id="85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In de Wet cliëntenrechten zorg zal de wetgeving geconformeerd worden met de praktijk. Art. 20 § 1 Wcz.</w:t>
      </w:r>
    </w:p>
  </w:footnote>
  <w:footnote w:id="86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DEN ASSEM, R.; WALGEMOED, P.; ‘Medische gegevens, de uitdaging van het bewaren, ontsluiten en vernietigen’, </w:t>
      </w:r>
      <w:r w:rsidRPr="00426625">
        <w:rPr>
          <w:rFonts w:ascii="Times New Roman" w:hAnsi="Times New Roman"/>
          <w:i/>
        </w:rPr>
        <w:t>Zorgspecial</w:t>
      </w:r>
      <w:r w:rsidRPr="00426625">
        <w:rPr>
          <w:rFonts w:ascii="Times New Roman" w:hAnsi="Times New Roman"/>
        </w:rPr>
        <w:t>, 2006, 1, p. 19.</w:t>
      </w:r>
    </w:p>
  </w:footnote>
  <w:footnote w:id="86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Wbp; art. 454 § 1 WGBO; art. 19 § 1 Wcz; VAN HUTTEN; SCHERMER VOEST; VERHOEVEN; VERSCHOOR; </w:t>
      </w:r>
      <w:r w:rsidRPr="00426625">
        <w:rPr>
          <w:rFonts w:ascii="Times New Roman" w:hAnsi="Times New Roman"/>
          <w:i/>
        </w:rPr>
        <w:t>Bewaartermijnen Patiëntendossiers. Een pragmatische oplossing</w:t>
      </w:r>
      <w:r w:rsidRPr="00426625">
        <w:rPr>
          <w:rFonts w:ascii="Times New Roman" w:hAnsi="Times New Roman"/>
        </w:rPr>
        <w:t>, p. 26.</w:t>
      </w:r>
    </w:p>
  </w:footnote>
  <w:footnote w:id="86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1989-1990, 21 561, nr. 3, p. 36.</w:t>
      </w:r>
    </w:p>
  </w:footnote>
  <w:footnote w:id="86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RIJKSEN, </w:t>
      </w:r>
      <w:r w:rsidRPr="00426625">
        <w:rPr>
          <w:rFonts w:ascii="Times New Roman" w:hAnsi="Times New Roman"/>
          <w:i/>
        </w:rPr>
        <w:t>Bewaartermijnen Patiëntengegevens. Wet- en regelgeving</w:t>
      </w:r>
      <w:r w:rsidRPr="00426625">
        <w:rPr>
          <w:rFonts w:ascii="Times New Roman" w:hAnsi="Times New Roman"/>
        </w:rPr>
        <w:t xml:space="preserve">, p. 36-37; ID., </w:t>
      </w:r>
      <w:r w:rsidRPr="00426625">
        <w:rPr>
          <w:rFonts w:ascii="Times New Roman" w:hAnsi="Times New Roman"/>
          <w:i/>
        </w:rPr>
        <w:t>Bewaartermijnen pa</w:t>
      </w:r>
      <w:r>
        <w:rPr>
          <w:rFonts w:ascii="Times New Roman" w:hAnsi="Times New Roman"/>
          <w:i/>
        </w:rPr>
        <w:t>-</w:t>
      </w:r>
      <w:r w:rsidRPr="00426625">
        <w:rPr>
          <w:rFonts w:ascii="Times New Roman" w:hAnsi="Times New Roman"/>
          <w:i/>
        </w:rPr>
        <w:t>tiëntengegevens. Jaarboek 1995/96</w:t>
      </w:r>
      <w:r w:rsidRPr="00426625">
        <w:rPr>
          <w:rFonts w:ascii="Times New Roman" w:hAnsi="Times New Roman"/>
        </w:rPr>
        <w:t>, p. 71-74.</w:t>
      </w:r>
    </w:p>
  </w:footnote>
  <w:footnote w:id="864">
    <w:p w:rsidR="00E82D16" w:rsidRPr="00426625" w:rsidRDefault="00E82D16" w:rsidP="00426625">
      <w:pPr>
        <w:pStyle w:val="Geenafstand"/>
        <w:jc w:val="both"/>
        <w:rPr>
          <w:rFonts w:ascii="Times New Roman" w:hAnsi="Times New Roman" w:cs="Times New Roman"/>
          <w:i/>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Art. 454 § 3 WGBO; art. 20 § 1 Wcz.</w:t>
      </w:r>
    </w:p>
  </w:footnote>
  <w:footnote w:id="86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1991-1992, 21 561, nr. 11, p. 44.</w:t>
      </w:r>
    </w:p>
  </w:footnote>
  <w:footnote w:id="866">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Kamerstukken II, vergaderjaar 1990-1991, 21 561, nr. 6, p. 62.</w:t>
      </w:r>
    </w:p>
  </w:footnote>
  <w:footnote w:id="86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1991-1992, 21 561, nr. 11, p. 43 </w:t>
      </w:r>
    </w:p>
  </w:footnote>
  <w:footnote w:id="868">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DE ROODE, R.P.; WITMER, J.M.; WIGERSMA, L.; ‘Een moeilijke wet. Artsen over de implementatie van de WGBO’, </w:t>
      </w:r>
      <w:r w:rsidRPr="00426625">
        <w:rPr>
          <w:rFonts w:ascii="Times New Roman" w:hAnsi="Times New Roman" w:cs="Times New Roman"/>
          <w:i/>
          <w:sz w:val="20"/>
          <w:szCs w:val="20"/>
        </w:rPr>
        <w:t>M.C.</w:t>
      </w:r>
      <w:r w:rsidRPr="00426625">
        <w:rPr>
          <w:rFonts w:ascii="Times New Roman" w:hAnsi="Times New Roman" w:cs="Times New Roman"/>
          <w:sz w:val="20"/>
          <w:szCs w:val="20"/>
        </w:rPr>
        <w:t xml:space="preserve">, 54/46 (2003), p. 1779-1781; WITMER; DE ROODE; </w:t>
      </w:r>
      <w:r w:rsidRPr="00426625">
        <w:rPr>
          <w:rFonts w:ascii="Times New Roman" w:hAnsi="Times New Roman" w:cs="Times New Roman"/>
          <w:i/>
          <w:sz w:val="20"/>
          <w:szCs w:val="20"/>
        </w:rPr>
        <w:t>Van wet naar praktijk. Implementatie van de WGBO. Deel 3</w:t>
      </w:r>
      <w:r w:rsidRPr="00426625">
        <w:rPr>
          <w:rFonts w:ascii="Times New Roman" w:hAnsi="Times New Roman" w:cs="Times New Roman"/>
          <w:sz w:val="20"/>
          <w:szCs w:val="20"/>
        </w:rPr>
        <w:t xml:space="preserve">, p. 30; KNMG, ‘Opvattingen en ervaringen van artsen inzake de WGBO. KNMG-bijdrage aan de eerste evaluatie van de WGBO’, </w:t>
      </w:r>
      <w:r w:rsidRPr="00426625">
        <w:rPr>
          <w:rFonts w:ascii="Times New Roman" w:hAnsi="Times New Roman" w:cs="Times New Roman"/>
          <w:i/>
          <w:sz w:val="20"/>
          <w:szCs w:val="20"/>
        </w:rPr>
        <w:t>M.C.</w:t>
      </w:r>
      <w:r w:rsidRPr="00426625">
        <w:rPr>
          <w:rFonts w:ascii="Times New Roman" w:hAnsi="Times New Roman" w:cs="Times New Roman"/>
          <w:sz w:val="20"/>
          <w:szCs w:val="20"/>
        </w:rPr>
        <w:t>, 1999, nr. 44. p. 1530-1531.</w:t>
      </w:r>
    </w:p>
  </w:footnote>
  <w:footnote w:id="869">
    <w:p w:rsidR="00E82D16" w:rsidRPr="00426625" w:rsidRDefault="00E82D16" w:rsidP="00426625">
      <w:pPr>
        <w:pStyle w:val="Voetnoottekst"/>
        <w:jc w:val="both"/>
        <w:rPr>
          <w:rFonts w:ascii="Times New Roman" w:hAnsi="Times New Roman"/>
          <w:i/>
          <w:lang w:val="en-US"/>
        </w:rPr>
      </w:pPr>
      <w:r w:rsidRPr="00426625">
        <w:rPr>
          <w:rStyle w:val="Voetnootmarkering"/>
          <w:rFonts w:ascii="Times New Roman" w:hAnsi="Times New Roman"/>
        </w:rPr>
        <w:footnoteRef/>
      </w:r>
      <w:r w:rsidRPr="00426625">
        <w:rPr>
          <w:rFonts w:ascii="Times New Roman" w:hAnsi="Times New Roman"/>
          <w:lang w:val="en-US"/>
        </w:rPr>
        <w:t xml:space="preserve"> Art. 455 § 2 WGBO; art. 20 § 4 Wcz.</w:t>
      </w:r>
    </w:p>
  </w:footnote>
  <w:footnote w:id="870">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10 Wbp.</w:t>
      </w:r>
    </w:p>
  </w:footnote>
  <w:footnote w:id="87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Kamerstukken II, vergaderjaar 2001-2002, 28 000 XVI, nr. 14, p. 16; ROSCAM ABBING, H.D.C., ‘Verant</w:t>
      </w:r>
      <w:r>
        <w:rPr>
          <w:rFonts w:ascii="Times New Roman" w:hAnsi="Times New Roman"/>
        </w:rPr>
        <w:t>-</w:t>
      </w:r>
      <w:r w:rsidRPr="00426625">
        <w:rPr>
          <w:rFonts w:ascii="Times New Roman" w:hAnsi="Times New Roman"/>
        </w:rPr>
        <w:t xml:space="preserve">woord omgaan met bewaartermijn medische gegevens’, </w:t>
      </w:r>
      <w:r w:rsidRPr="00426625">
        <w:rPr>
          <w:rFonts w:ascii="Times New Roman" w:hAnsi="Times New Roman"/>
          <w:i/>
        </w:rPr>
        <w:t>N.T.G.</w:t>
      </w:r>
      <w:r w:rsidRPr="00426625">
        <w:rPr>
          <w:rFonts w:ascii="Times New Roman" w:hAnsi="Times New Roman"/>
        </w:rPr>
        <w:t>, 145/22 (2001), p. 1090-1091.</w:t>
      </w:r>
    </w:p>
  </w:footnote>
  <w:footnote w:id="872">
    <w:p w:rsidR="00E82D16" w:rsidRPr="00426625" w:rsidRDefault="00E82D16" w:rsidP="00426625">
      <w:pPr>
        <w:pStyle w:val="Geenafstand"/>
        <w:jc w:val="both"/>
        <w:rPr>
          <w:rFonts w:ascii="Times New Roman" w:hAnsi="Times New Roman" w:cs="Times New Roman"/>
          <w:sz w:val="20"/>
          <w:szCs w:val="20"/>
          <w:lang w:val="en-US"/>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HELMER; BUITING; ‘Ziekenhuis ontwikkelt criteria verantwoorde bewaartermijnen’, p. 691-694. </w:t>
      </w:r>
      <w:r w:rsidRPr="00426625">
        <w:rPr>
          <w:rFonts w:ascii="Times New Roman" w:hAnsi="Times New Roman" w:cs="Times New Roman"/>
          <w:sz w:val="20"/>
          <w:szCs w:val="20"/>
          <w:lang w:val="en-US"/>
        </w:rPr>
        <w:t>Zie supra.</w:t>
      </w:r>
    </w:p>
  </w:footnote>
  <w:footnote w:id="873">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20 § 2, b Wcz.</w:t>
      </w:r>
    </w:p>
  </w:footnote>
  <w:footnote w:id="874">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455 § 1 WGBO; art. 20 § 2, a Wcz.</w:t>
      </w:r>
    </w:p>
  </w:footnote>
  <w:footnote w:id="87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voetnoot 80.</w:t>
      </w:r>
    </w:p>
  </w:footnote>
  <w:footnote w:id="87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DIRIX; TILLEMAN; VAN ORSHOVEN; p. 247-248; TILLEMAN; DEMARSIN; p. 48 (nr. 103) en p. 85 (nr. 114).</w:t>
      </w:r>
    </w:p>
  </w:footnote>
  <w:footnote w:id="87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POPELIER, P., </w:t>
      </w:r>
      <w:r w:rsidRPr="00426625">
        <w:rPr>
          <w:rFonts w:ascii="Times New Roman" w:hAnsi="Times New Roman"/>
          <w:i/>
        </w:rPr>
        <w:t>De wet juridisch bekeken</w:t>
      </w:r>
      <w:r w:rsidRPr="00426625">
        <w:rPr>
          <w:rFonts w:ascii="Times New Roman" w:hAnsi="Times New Roman"/>
        </w:rPr>
        <w:t>, Brugge, die Keure, 2004, p. 351-352 (nrs. 798-800); VANSWEEVELT; DEWALLENS; p. 69 (nr. 101).</w:t>
      </w:r>
    </w:p>
  </w:footnote>
  <w:footnote w:id="87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w:t>
      </w:r>
      <w:r>
        <w:rPr>
          <w:rFonts w:ascii="Times New Roman" w:hAnsi="Times New Roman"/>
        </w:rPr>
        <w:t xml:space="preserve">§ 2 </w:t>
      </w:r>
      <w:r w:rsidRPr="00426625">
        <w:rPr>
          <w:rFonts w:ascii="Times New Roman" w:hAnsi="Times New Roman"/>
        </w:rPr>
        <w:t>besluit patiëntendossier Bopz.</w:t>
      </w:r>
    </w:p>
  </w:footnote>
  <w:footnote w:id="87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1 besluit patiëntendossier Bopz.</w:t>
      </w:r>
    </w:p>
  </w:footnote>
  <w:footnote w:id="88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2 besluit patiëntendossier Bopz.</w:t>
      </w:r>
    </w:p>
  </w:footnote>
  <w:footnote w:id="88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56 § 2, b Bopz.</w:t>
      </w:r>
    </w:p>
  </w:footnote>
  <w:footnote w:id="882">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56 § 2, c Bopz.</w:t>
      </w:r>
    </w:p>
  </w:footnote>
  <w:footnote w:id="883">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56 § 3 Bopz.</w:t>
      </w:r>
    </w:p>
  </w:footnote>
  <w:footnote w:id="884">
    <w:p w:rsidR="00E82D16" w:rsidRPr="00426625" w:rsidRDefault="00E82D16" w:rsidP="00426625">
      <w:pPr>
        <w:pStyle w:val="Voetnoottekst"/>
        <w:jc w:val="both"/>
        <w:rPr>
          <w:rFonts w:ascii="Times New Roman" w:hAnsi="Times New Roman"/>
          <w:lang w:val="en-US"/>
        </w:rPr>
      </w:pPr>
      <w:r w:rsidRPr="00426625">
        <w:rPr>
          <w:rStyle w:val="Voetnootmarkering"/>
          <w:rFonts w:ascii="Times New Roman" w:hAnsi="Times New Roman"/>
        </w:rPr>
        <w:footnoteRef/>
      </w:r>
      <w:r w:rsidRPr="00426625">
        <w:rPr>
          <w:rFonts w:ascii="Times New Roman" w:hAnsi="Times New Roman"/>
          <w:lang w:val="en-US"/>
        </w:rPr>
        <w:t xml:space="preserve"> Art. 20 § 6, art. 36 § 4 en art. 66 § 4 Bopz.</w:t>
      </w:r>
    </w:p>
  </w:footnote>
  <w:footnote w:id="885">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RIJKSEN, </w:t>
      </w:r>
      <w:r w:rsidRPr="00426625">
        <w:rPr>
          <w:rFonts w:ascii="Times New Roman" w:hAnsi="Times New Roman" w:cs="Times New Roman"/>
          <w:i/>
          <w:sz w:val="20"/>
          <w:szCs w:val="20"/>
        </w:rPr>
        <w:t>Bewaartermijnen Patiëntengegevens. Wet- en regelgeving</w:t>
      </w:r>
      <w:r w:rsidRPr="00426625">
        <w:rPr>
          <w:rFonts w:ascii="Times New Roman" w:hAnsi="Times New Roman" w:cs="Times New Roman"/>
          <w:sz w:val="20"/>
          <w:szCs w:val="20"/>
        </w:rPr>
        <w:t xml:space="preserve">, p. 25; VAN HUTTEN, R.W.; SHERMER VOEST, S.A.M.; VERHOEVEN, M.; VERSCHOOR, N.; </w:t>
      </w:r>
      <w:r w:rsidRPr="00426625">
        <w:rPr>
          <w:rFonts w:ascii="Times New Roman" w:hAnsi="Times New Roman" w:cs="Times New Roman"/>
          <w:i/>
          <w:sz w:val="20"/>
          <w:szCs w:val="20"/>
        </w:rPr>
        <w:t>Bewaartermijn Patiëntendossiers. Een pragmatische oplossing</w:t>
      </w:r>
      <w:r w:rsidRPr="00426625">
        <w:rPr>
          <w:rFonts w:ascii="Times New Roman" w:hAnsi="Times New Roman" w:cs="Times New Roman"/>
          <w:sz w:val="20"/>
          <w:szCs w:val="20"/>
        </w:rPr>
        <w:t>, p. 7.</w:t>
      </w:r>
    </w:p>
  </w:footnote>
  <w:footnote w:id="88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464 § 2, a WGBO; art. 20 § 5 Wcz; MARKENSTEIN, L.E., ‘De Wet Medische Keuringen: een stukje van een (nog) onvoltooide puzzel’, </w:t>
      </w:r>
      <w:r w:rsidRPr="00426625">
        <w:rPr>
          <w:rFonts w:ascii="Times New Roman" w:hAnsi="Times New Roman"/>
          <w:i/>
        </w:rPr>
        <w:t>T.G.</w:t>
      </w:r>
      <w:r w:rsidRPr="00426625">
        <w:rPr>
          <w:rFonts w:ascii="Times New Roman" w:hAnsi="Times New Roman"/>
        </w:rPr>
        <w:t>, 21/5 (1998), p. 262-273.</w:t>
      </w:r>
    </w:p>
  </w:footnote>
  <w:footnote w:id="88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art. 455 § 1 WGBO; art. 20 § 2, a Wcz; </w:t>
      </w:r>
      <w:r w:rsidRPr="00426625">
        <w:rPr>
          <w:rFonts w:ascii="Times New Roman" w:hAnsi="Times New Roman"/>
          <w:i/>
        </w:rPr>
        <w:t>Richtlijnen inzake het omgaan met medische gegevens</w:t>
      </w:r>
      <w:r w:rsidRPr="00426625">
        <w:rPr>
          <w:rFonts w:ascii="Times New Roman" w:hAnsi="Times New Roman"/>
        </w:rPr>
        <w:t xml:space="preserve">, p. 10; LEGEMAATE, J.; DUTE, J.C.J.; KASTELEIN, W.R.; RAAS, G.P.M.; VAN VEEN, E.B.; </w:t>
      </w:r>
      <w:r w:rsidRPr="00426625">
        <w:rPr>
          <w:rFonts w:ascii="Times New Roman" w:hAnsi="Times New Roman"/>
          <w:i/>
        </w:rPr>
        <w:t>Beroepenwetgeving gezondheidszorg 2010/2011</w:t>
      </w:r>
      <w:r w:rsidRPr="00426625">
        <w:rPr>
          <w:rFonts w:ascii="Times New Roman" w:hAnsi="Times New Roman"/>
        </w:rPr>
        <w:t>, Houten, Bohn Stafleu van Loghum, 2010, p. 206.</w:t>
      </w:r>
    </w:p>
  </w:footnote>
  <w:footnote w:id="88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55 § 1 van de Wet op de jeugdzorg.</w:t>
      </w:r>
    </w:p>
  </w:footnote>
  <w:footnote w:id="88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a van de Wet op de jeugdzorg.</w:t>
      </w:r>
    </w:p>
  </w:footnote>
  <w:footnote w:id="89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b van de Wet op de jeugdzorg; art. 1:257 NBW.</w:t>
      </w:r>
    </w:p>
  </w:footnote>
  <w:footnote w:id="89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e van de Wet op de jeugdzorg.</w:t>
      </w:r>
    </w:p>
  </w:footnote>
  <w:footnote w:id="89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55 § 2 van de Wet op de jeugdzorg.</w:t>
      </w:r>
    </w:p>
  </w:footnote>
  <w:footnote w:id="89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8 Wet donorgegevens.</w:t>
      </w:r>
    </w:p>
  </w:footnote>
  <w:footnote w:id="894">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RIJKSEN, </w:t>
      </w:r>
      <w:r w:rsidRPr="00426625">
        <w:rPr>
          <w:rFonts w:ascii="Times New Roman" w:hAnsi="Times New Roman" w:cs="Times New Roman"/>
          <w:i/>
          <w:sz w:val="20"/>
          <w:szCs w:val="20"/>
        </w:rPr>
        <w:t>Bewaartermijnen Patiëntengegevens. Wet- en regelgeving</w:t>
      </w:r>
      <w:r w:rsidRPr="00426625">
        <w:rPr>
          <w:rFonts w:ascii="Times New Roman" w:hAnsi="Times New Roman" w:cs="Times New Roman"/>
          <w:sz w:val="20"/>
          <w:szCs w:val="20"/>
        </w:rPr>
        <w:t>, p. 25; VAN HUTTEN, R.W.; SHER</w:t>
      </w:r>
      <w:r>
        <w:rPr>
          <w:rFonts w:ascii="Times New Roman" w:hAnsi="Times New Roman" w:cs="Times New Roman"/>
          <w:sz w:val="20"/>
          <w:szCs w:val="20"/>
        </w:rPr>
        <w:t>-</w:t>
      </w:r>
      <w:r w:rsidRPr="00426625">
        <w:rPr>
          <w:rFonts w:ascii="Times New Roman" w:hAnsi="Times New Roman" w:cs="Times New Roman"/>
          <w:sz w:val="20"/>
          <w:szCs w:val="20"/>
        </w:rPr>
        <w:t xml:space="preserve">MER VOEST, S.A.M.; VERHOEVEN, M.; VERSCHOOR, N.; </w:t>
      </w:r>
      <w:r w:rsidRPr="00426625">
        <w:rPr>
          <w:rFonts w:ascii="Times New Roman" w:hAnsi="Times New Roman" w:cs="Times New Roman"/>
          <w:i/>
          <w:sz w:val="20"/>
          <w:szCs w:val="20"/>
        </w:rPr>
        <w:t>Bewaartermijn Patiëntendossiers. Een pragma</w:t>
      </w:r>
      <w:r>
        <w:rPr>
          <w:rFonts w:ascii="Times New Roman" w:hAnsi="Times New Roman" w:cs="Times New Roman"/>
          <w:i/>
          <w:sz w:val="20"/>
          <w:szCs w:val="20"/>
        </w:rPr>
        <w:t>-</w:t>
      </w:r>
      <w:r w:rsidRPr="00426625">
        <w:rPr>
          <w:rFonts w:ascii="Times New Roman" w:hAnsi="Times New Roman" w:cs="Times New Roman"/>
          <w:i/>
          <w:sz w:val="20"/>
          <w:szCs w:val="20"/>
        </w:rPr>
        <w:t>tische oplossing</w:t>
      </w:r>
      <w:r w:rsidRPr="00426625">
        <w:rPr>
          <w:rFonts w:ascii="Times New Roman" w:hAnsi="Times New Roman" w:cs="Times New Roman"/>
          <w:sz w:val="20"/>
          <w:szCs w:val="20"/>
        </w:rPr>
        <w:t>, p. 7.</w:t>
      </w:r>
    </w:p>
  </w:footnote>
  <w:footnote w:id="89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Deze selectielijst is toegevoegd aan het besluit van 16 april 2009, nr. 09.001007 houdende vaststelling van een selectielijst van de Tweede Kamer der Staten-Generaal op het deelbeleidsterrein van personeelszaken, t.w. personeelsdossiers (</w:t>
      </w:r>
      <w:r w:rsidRPr="00426625">
        <w:rPr>
          <w:rFonts w:ascii="Times New Roman" w:hAnsi="Times New Roman"/>
          <w:i/>
        </w:rPr>
        <w:t>Stcrt</w:t>
      </w:r>
      <w:r w:rsidRPr="00426625">
        <w:rPr>
          <w:rFonts w:ascii="Times New Roman" w:hAnsi="Times New Roman"/>
        </w:rPr>
        <w:t>. 105, 16 april 2009)</w:t>
      </w:r>
    </w:p>
  </w:footnote>
  <w:footnote w:id="89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Idem.</w:t>
      </w:r>
    </w:p>
  </w:footnote>
  <w:footnote w:id="897">
    <w:p w:rsidR="00E82D16" w:rsidRPr="00426625" w:rsidRDefault="00E82D16" w:rsidP="00426625">
      <w:pPr>
        <w:pStyle w:val="Geenafstand"/>
        <w:jc w:val="both"/>
        <w:rPr>
          <w:rFonts w:ascii="Times New Roman" w:hAnsi="Times New Roman" w:cs="Times New Roman"/>
          <w:sz w:val="20"/>
          <w:szCs w:val="20"/>
        </w:rPr>
      </w:pPr>
      <w:r w:rsidRPr="00426625">
        <w:rPr>
          <w:rStyle w:val="FootnoteCharacters"/>
          <w:rFonts w:ascii="Times New Roman" w:hAnsi="Times New Roman" w:cs="Times New Roman"/>
          <w:sz w:val="20"/>
          <w:szCs w:val="20"/>
        </w:rPr>
        <w:footnoteRef/>
      </w:r>
      <w:r w:rsidRPr="00426625">
        <w:rPr>
          <w:rFonts w:ascii="Times New Roman" w:hAnsi="Times New Roman" w:cs="Times New Roman"/>
          <w:sz w:val="20"/>
          <w:szCs w:val="20"/>
        </w:rPr>
        <w:t xml:space="preserve"> Handeling 234 ‘Het verslagleggen van de medische behandeling van patiënten’ van: VAN HEEZIK, N.; BROEKHUIS, W.; PRINZ, E.M.; AUGUSTIJN, A.; KWINT, M.; STRIJBOSCH, A.; </w:t>
      </w:r>
      <w:r w:rsidRPr="00426625">
        <w:rPr>
          <w:rFonts w:ascii="Times New Roman" w:hAnsi="Times New Roman" w:cs="Times New Roman"/>
          <w:i/>
          <w:sz w:val="20"/>
          <w:szCs w:val="20"/>
        </w:rPr>
        <w:t xml:space="preserve">Basisselectiedocument openbare en bijzondere ziekenhuizen 1985- </w:t>
      </w:r>
      <w:r w:rsidRPr="00426625">
        <w:rPr>
          <w:rFonts w:ascii="Times New Roman" w:hAnsi="Times New Roman" w:cs="Times New Roman"/>
          <w:sz w:val="20"/>
          <w:szCs w:val="20"/>
        </w:rPr>
        <w:t>, 2006, p. 75 (</w:t>
      </w:r>
      <w:r w:rsidRPr="00426625">
        <w:rPr>
          <w:rFonts w:ascii="Times New Roman" w:hAnsi="Times New Roman" w:cs="Times New Roman"/>
          <w:i/>
          <w:sz w:val="20"/>
          <w:szCs w:val="20"/>
        </w:rPr>
        <w:t xml:space="preserve">Stcrt. </w:t>
      </w:r>
      <w:r w:rsidRPr="00426625">
        <w:rPr>
          <w:rFonts w:ascii="Times New Roman" w:hAnsi="Times New Roman" w:cs="Times New Roman"/>
          <w:sz w:val="20"/>
          <w:szCs w:val="20"/>
        </w:rPr>
        <w:t>35, 19 februari 2007). De grondslag voor deze regeling is artikel 5 § 2, c van de Archiefwet, die vastgesteld is voor het Academisch Medisch Centrum Univer</w:t>
      </w:r>
      <w:r>
        <w:rPr>
          <w:rFonts w:ascii="Times New Roman" w:hAnsi="Times New Roman" w:cs="Times New Roman"/>
          <w:sz w:val="20"/>
          <w:szCs w:val="20"/>
        </w:rPr>
        <w:t>-</w:t>
      </w:r>
      <w:r w:rsidRPr="00426625">
        <w:rPr>
          <w:rFonts w:ascii="Times New Roman" w:hAnsi="Times New Roman" w:cs="Times New Roman"/>
          <w:sz w:val="20"/>
          <w:szCs w:val="20"/>
        </w:rPr>
        <w:t>siteit van Amsterdam, het Universitair Medisch Centrum Groningen, het Leids Universitair Medisch Centrum, het Academisch Ziekenhuis Maastricht, het Erasmus Medisch Centrum en het Universitair Medisch Centrum Utrecht. Hoewel het VU Medisch Centrum te Amsterdam en het Universitair Medisch Centrum St. Radboud te Nijmegen als privaatrechtelijke organisaties niet onder de Archiefwet vallen, hebben zij zich daaraan wel gecon</w:t>
      </w:r>
      <w:r>
        <w:rPr>
          <w:rFonts w:ascii="Times New Roman" w:hAnsi="Times New Roman" w:cs="Times New Roman"/>
          <w:sz w:val="20"/>
          <w:szCs w:val="20"/>
        </w:rPr>
        <w:t>-</w:t>
      </w:r>
      <w:r w:rsidRPr="00426625">
        <w:rPr>
          <w:rFonts w:ascii="Times New Roman" w:hAnsi="Times New Roman" w:cs="Times New Roman"/>
          <w:sz w:val="20"/>
          <w:szCs w:val="20"/>
        </w:rPr>
        <w:t xml:space="preserve">formeerd. RIJKSEN, </w:t>
      </w:r>
      <w:r w:rsidRPr="00426625">
        <w:rPr>
          <w:rFonts w:ascii="Times New Roman" w:hAnsi="Times New Roman" w:cs="Times New Roman"/>
          <w:i/>
          <w:sz w:val="20"/>
          <w:szCs w:val="20"/>
        </w:rPr>
        <w:t>Bewaartermijnen Patiëntengegevens. Wet- en regelgeving</w:t>
      </w:r>
      <w:r w:rsidRPr="00426625">
        <w:rPr>
          <w:rFonts w:ascii="Times New Roman" w:hAnsi="Times New Roman" w:cs="Times New Roman"/>
          <w:sz w:val="20"/>
          <w:szCs w:val="20"/>
        </w:rPr>
        <w:t>, p. 25.</w:t>
      </w:r>
    </w:p>
  </w:footnote>
  <w:footnote w:id="89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VAN HUTTEN, R.W.; SHERMER VOEST, S.A.M.; VERHOEVEN, M.; VERSCHOOR, N.; </w:t>
      </w:r>
      <w:r w:rsidRPr="00426625">
        <w:rPr>
          <w:rFonts w:ascii="Times New Roman" w:hAnsi="Times New Roman"/>
          <w:i/>
        </w:rPr>
        <w:t>Bewaartermijn Patiëntendossiers. Een pragmatische oplossing</w:t>
      </w:r>
      <w:r w:rsidRPr="00426625">
        <w:rPr>
          <w:rFonts w:ascii="Times New Roman" w:hAnsi="Times New Roman"/>
        </w:rPr>
        <w:t>, Hoorn, Nederlandse Vereniging voor Medische Administratie, 1994, p. 9.</w:t>
      </w:r>
    </w:p>
  </w:footnote>
  <w:footnote w:id="89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Handeling 234 ‘Het verslagleggen van de medische behandeling van patiënten’ van: VAN HEEZIK, N.; BROEKHUIS, W.; PRINZ, E.M.; AUGUSTIJN, A.; KWINT, M.; STRIJBOSCH, A.; </w:t>
      </w:r>
      <w:r w:rsidRPr="00426625">
        <w:rPr>
          <w:rFonts w:ascii="Times New Roman" w:hAnsi="Times New Roman"/>
          <w:i/>
        </w:rPr>
        <w:t xml:space="preserve">Basisselectiedocument openbare en bijzondere ziekenhuizen 1985- </w:t>
      </w:r>
      <w:r w:rsidRPr="00426625">
        <w:rPr>
          <w:rFonts w:ascii="Times New Roman" w:hAnsi="Times New Roman"/>
        </w:rPr>
        <w:t>, 2006, p. 75 (</w:t>
      </w:r>
      <w:r w:rsidRPr="00426625">
        <w:rPr>
          <w:rFonts w:ascii="Times New Roman" w:hAnsi="Times New Roman"/>
          <w:i/>
        </w:rPr>
        <w:t xml:space="preserve">Stcrt. </w:t>
      </w:r>
      <w:r w:rsidRPr="00426625">
        <w:rPr>
          <w:rFonts w:ascii="Times New Roman" w:hAnsi="Times New Roman"/>
        </w:rPr>
        <w:t>35, 19 februari 2007).</w:t>
      </w:r>
    </w:p>
  </w:footnote>
  <w:footnote w:id="900">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426625">
        <w:rPr>
          <w:rFonts w:ascii="Times New Roman" w:hAnsi="Times New Roman" w:cs="Times New Roman"/>
          <w:sz w:val="20"/>
          <w:szCs w:val="20"/>
        </w:rPr>
        <w:t xml:space="preserve"> DONDORP, W.J.; LEGEMAATE, J.; VAN DE KLIPPE, C.J.; ‘Bewaartermijn voor patiëntengegevens. Ge</w:t>
      </w:r>
      <w:r>
        <w:rPr>
          <w:rFonts w:ascii="Times New Roman" w:hAnsi="Times New Roman" w:cs="Times New Roman"/>
          <w:sz w:val="20"/>
          <w:szCs w:val="20"/>
        </w:rPr>
        <w:t>-</w:t>
      </w:r>
      <w:r w:rsidRPr="00426625">
        <w:rPr>
          <w:rFonts w:ascii="Times New Roman" w:hAnsi="Times New Roman" w:cs="Times New Roman"/>
          <w:sz w:val="20"/>
          <w:szCs w:val="20"/>
        </w:rPr>
        <w:t xml:space="preserve">zondheidsraad bepleit wetswijziging’, </w:t>
      </w:r>
      <w:r w:rsidRPr="00426625">
        <w:rPr>
          <w:rFonts w:ascii="Times New Roman" w:hAnsi="Times New Roman" w:cs="Times New Roman"/>
          <w:i/>
          <w:sz w:val="20"/>
          <w:szCs w:val="20"/>
        </w:rPr>
        <w:t>N.T.G.</w:t>
      </w:r>
      <w:r w:rsidRPr="00426625">
        <w:rPr>
          <w:rFonts w:ascii="Times New Roman" w:hAnsi="Times New Roman" w:cs="Times New Roman"/>
          <w:sz w:val="20"/>
          <w:szCs w:val="20"/>
        </w:rPr>
        <w:t xml:space="preserve">, 148/15 (2004), p. 746; LEEUWEN, F.E.; SCHORNAGEL, J.H.; ‘Bewaren of vernietigen? Het belang van het dossier voor de patiënt van gisteren en morgen’, </w:t>
      </w:r>
      <w:r w:rsidRPr="00426625">
        <w:rPr>
          <w:rFonts w:ascii="Times New Roman" w:hAnsi="Times New Roman" w:cs="Times New Roman"/>
          <w:i/>
          <w:sz w:val="20"/>
          <w:szCs w:val="20"/>
        </w:rPr>
        <w:t>N.T.G.</w:t>
      </w:r>
      <w:r w:rsidRPr="00426625">
        <w:rPr>
          <w:rFonts w:ascii="Times New Roman" w:hAnsi="Times New Roman" w:cs="Times New Roman"/>
          <w:sz w:val="20"/>
          <w:szCs w:val="20"/>
        </w:rPr>
        <w:t xml:space="preserve">, 145/10 (2001), p. 458; VAN HUTTEN, R.W.; SHERMER VOEST, S.A.M.; VERHOEVEN, M.; VERSCHOOR, N.; </w:t>
      </w:r>
      <w:r w:rsidRPr="00426625">
        <w:rPr>
          <w:rFonts w:ascii="Times New Roman" w:hAnsi="Times New Roman" w:cs="Times New Roman"/>
          <w:i/>
          <w:sz w:val="20"/>
          <w:szCs w:val="20"/>
        </w:rPr>
        <w:t>Bewaartermijn Patiëntendossiers. Een pragmatische oplossing</w:t>
      </w:r>
      <w:r w:rsidRPr="00426625">
        <w:rPr>
          <w:rFonts w:ascii="Times New Roman" w:hAnsi="Times New Roman" w:cs="Times New Roman"/>
          <w:sz w:val="20"/>
          <w:szCs w:val="20"/>
        </w:rPr>
        <w:t xml:space="preserve">, Hoorn, Nederlandse Vereniging voor Medische Administratie, 1994, p. 7. Deze termijn heeft ook de aandacht getrokken van de heer Michel Nuyttens. NUYTTENS, </w:t>
      </w:r>
      <w:r w:rsidRPr="00426625">
        <w:rPr>
          <w:rFonts w:ascii="Times New Roman" w:hAnsi="Times New Roman" w:cs="Times New Roman"/>
          <w:i/>
          <w:sz w:val="20"/>
          <w:szCs w:val="20"/>
        </w:rPr>
        <w:t>Inspectieverslag</w:t>
      </w:r>
      <w:r w:rsidRPr="00426625">
        <w:rPr>
          <w:rFonts w:ascii="Times New Roman" w:hAnsi="Times New Roman" w:cs="Times New Roman"/>
          <w:sz w:val="20"/>
          <w:szCs w:val="20"/>
        </w:rPr>
        <w:t>, p. 61.</w:t>
      </w:r>
    </w:p>
  </w:footnote>
  <w:footnote w:id="90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10 § 1 Wbp.</w:t>
      </w:r>
    </w:p>
  </w:footnote>
  <w:footnote w:id="90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supra.</w:t>
      </w:r>
    </w:p>
  </w:footnote>
  <w:footnote w:id="90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4127-45 § 2 en art. R. 4127-96 CSP, ingevoerd door art. 45 § 2 van besluit nr. 95-1000 van 6 septem</w:t>
      </w:r>
      <w:r>
        <w:rPr>
          <w:rFonts w:ascii="Times New Roman" w:hAnsi="Times New Roman"/>
        </w:rPr>
        <w:t>-</w:t>
      </w:r>
      <w:r w:rsidRPr="00426625">
        <w:rPr>
          <w:rFonts w:ascii="Times New Roman" w:hAnsi="Times New Roman"/>
        </w:rPr>
        <w:t>ber 1995</w:t>
      </w:r>
      <w:r w:rsidRPr="00426625">
        <w:rPr>
          <w:rFonts w:ascii="Times New Roman" w:hAnsi="Times New Roman"/>
          <w:i/>
        </w:rPr>
        <w:t>.</w:t>
      </w:r>
    </w:p>
  </w:footnote>
  <w:footnote w:id="904">
    <w:p w:rsidR="00E82D16" w:rsidRPr="00426625"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Het statuut van directeurs van openbare verzorgingsinstellingen is vervat in besluit nr. 2005-921 van 2 augus</w:t>
      </w:r>
      <w:r>
        <w:rPr>
          <w:rFonts w:ascii="Times New Roman" w:hAnsi="Times New Roman"/>
        </w:rPr>
        <w:t>-</w:t>
      </w:r>
      <w:r w:rsidRPr="00426625">
        <w:rPr>
          <w:rFonts w:ascii="Times New Roman" w:hAnsi="Times New Roman"/>
        </w:rPr>
        <w:t>tus 2005 houdende het bijzondere statuut van graden en functies van directiepersoneel van instelling vermeld in art</w:t>
      </w:r>
      <w:r>
        <w:rPr>
          <w:rFonts w:ascii="Times New Roman" w:hAnsi="Times New Roman"/>
        </w:rPr>
        <w:t>.</w:t>
      </w:r>
      <w:r w:rsidRPr="00426625">
        <w:rPr>
          <w:rFonts w:ascii="Times New Roman" w:hAnsi="Times New Roman"/>
        </w:rPr>
        <w:t xml:space="preserve"> 2 (1°,  2° en 3°) van wet nr. 86-33 van 9 januari 1986 houdende statutaire bepalingen met betrekking tot de openbare ziekenhuisfunctie (</w:t>
      </w:r>
      <w:r w:rsidRPr="00426625">
        <w:rPr>
          <w:rFonts w:ascii="Times New Roman" w:hAnsi="Times New Roman"/>
          <w:i/>
        </w:rPr>
        <w:t>JORF</w:t>
      </w:r>
      <w:r w:rsidRPr="00426625">
        <w:rPr>
          <w:rFonts w:ascii="Times New Roman" w:hAnsi="Times New Roman"/>
        </w:rPr>
        <w:t xml:space="preserve"> 181, 5 augustus 2005), aangevuld door besluit nr. 2007-1930 van 26 decem</w:t>
      </w:r>
      <w:r>
        <w:rPr>
          <w:rFonts w:ascii="Times New Roman" w:hAnsi="Times New Roman"/>
        </w:rPr>
        <w:t>-</w:t>
      </w:r>
      <w:r w:rsidRPr="00426625">
        <w:rPr>
          <w:rFonts w:ascii="Times New Roman" w:hAnsi="Times New Roman"/>
        </w:rPr>
        <w:t>ber 2007 houdende het bijzonder statuut van de directieleden van gezondheids-, sociale en medisch-sociale in</w:t>
      </w:r>
      <w:r>
        <w:rPr>
          <w:rFonts w:ascii="Times New Roman" w:hAnsi="Times New Roman"/>
        </w:rPr>
        <w:t>-</w:t>
      </w:r>
      <w:r w:rsidRPr="00426625">
        <w:rPr>
          <w:rFonts w:ascii="Times New Roman" w:hAnsi="Times New Roman"/>
        </w:rPr>
        <w:t>stellingen die de openbare ziekenhuisdienst verlenen (</w:t>
      </w:r>
      <w:r w:rsidRPr="00426625">
        <w:rPr>
          <w:rFonts w:ascii="Times New Roman" w:hAnsi="Times New Roman"/>
          <w:i/>
        </w:rPr>
        <w:t>JORF</w:t>
      </w:r>
      <w:r w:rsidRPr="00426625">
        <w:rPr>
          <w:rFonts w:ascii="Times New Roman" w:hAnsi="Times New Roman"/>
        </w:rPr>
        <w:t xml:space="preserve"> 303, 30 december 2007) en besluit nr. 2010-30 van 8 januari 2010 genomen in uitvoering van art. 77 van de gewijzigde wet van 9 januari 1986 houdende statutaire bepalingen met betrekking tot de openbare ziekenhuisfunctie (</w:t>
      </w:r>
      <w:r w:rsidRPr="00426625">
        <w:rPr>
          <w:rFonts w:ascii="Times New Roman" w:hAnsi="Times New Roman"/>
          <w:i/>
        </w:rPr>
        <w:t>JORF</w:t>
      </w:r>
      <w:r w:rsidRPr="00426625">
        <w:rPr>
          <w:rFonts w:ascii="Times New Roman" w:hAnsi="Times New Roman"/>
        </w:rPr>
        <w:t xml:space="preserve"> 8, 10 januari 2010); </w:t>
      </w:r>
      <w:r w:rsidRPr="00E333B6">
        <w:rPr>
          <w:rFonts w:ascii="Times New Roman" w:hAnsi="Times New Roman"/>
          <w:color w:val="000000"/>
          <w:shd w:val="clear" w:color="auto" w:fill="FFFFFF"/>
        </w:rPr>
        <w:t>‘Pouvoir et compe</w:t>
      </w:r>
      <w:r>
        <w:rPr>
          <w:rFonts w:ascii="Times New Roman" w:hAnsi="Times New Roman"/>
          <w:color w:val="000000"/>
          <w:shd w:val="clear" w:color="auto" w:fill="FFFFFF"/>
        </w:rPr>
        <w:t>-</w:t>
      </w:r>
      <w:r w:rsidRPr="00E333B6">
        <w:rPr>
          <w:rFonts w:ascii="Times New Roman" w:hAnsi="Times New Roman"/>
          <w:color w:val="000000"/>
          <w:shd w:val="clear" w:color="auto" w:fill="FFFFFF"/>
        </w:rPr>
        <w:t xml:space="preserve">tences du directeur’, </w:t>
      </w:r>
      <w:r w:rsidRPr="00E333B6">
        <w:rPr>
          <w:rFonts w:ascii="Times New Roman" w:hAnsi="Times New Roman"/>
          <w:i/>
          <w:iCs/>
          <w:color w:val="000000"/>
          <w:shd w:val="clear" w:color="auto" w:fill="FFFFFF"/>
        </w:rPr>
        <w:t>A.J.S.</w:t>
      </w:r>
      <w:r w:rsidRPr="00E333B6">
        <w:rPr>
          <w:rFonts w:ascii="Times New Roman" w:hAnsi="Times New Roman"/>
          <w:color w:val="000000"/>
          <w:shd w:val="clear" w:color="auto" w:fill="FFFFFF"/>
        </w:rPr>
        <w:t>, 57-58 (2007), p. 50-52; BAROTH, F.X., ‘Archivage et classement des dossiers mé</w:t>
      </w:r>
      <w:r>
        <w:rPr>
          <w:rFonts w:ascii="Times New Roman" w:hAnsi="Times New Roman"/>
          <w:color w:val="000000"/>
          <w:shd w:val="clear" w:color="auto" w:fill="FFFFFF"/>
        </w:rPr>
        <w:t>-</w:t>
      </w:r>
      <w:r w:rsidRPr="00E333B6">
        <w:rPr>
          <w:rFonts w:ascii="Times New Roman" w:hAnsi="Times New Roman"/>
          <w:color w:val="000000"/>
          <w:shd w:val="clear" w:color="auto" w:fill="FFFFFF"/>
        </w:rPr>
        <w:t xml:space="preserve">dicaux: quelles solutions?’, </w:t>
      </w:r>
      <w:r w:rsidRPr="00E333B6">
        <w:rPr>
          <w:rFonts w:ascii="Times New Roman" w:hAnsi="Times New Roman"/>
          <w:i/>
          <w:iCs/>
          <w:color w:val="000000"/>
          <w:shd w:val="clear" w:color="auto" w:fill="FFFFFF"/>
        </w:rPr>
        <w:t>Le Directeur d’Hôpital</w:t>
      </w:r>
      <w:r w:rsidRPr="00E333B6">
        <w:rPr>
          <w:rFonts w:ascii="Times New Roman" w:hAnsi="Times New Roman"/>
          <w:color w:val="000000"/>
          <w:shd w:val="clear" w:color="auto" w:fill="FFFFFF"/>
        </w:rPr>
        <w:t xml:space="preserve">, 95 (2004), p. 19; </w:t>
      </w:r>
      <w:r w:rsidRPr="00426625">
        <w:rPr>
          <w:rFonts w:ascii="Times New Roman" w:hAnsi="Times New Roman"/>
        </w:rPr>
        <w:t xml:space="preserve">CLAUSSE-DURIF, C., ‘Métier. </w:t>
      </w:r>
      <w:r w:rsidRPr="00E333B6">
        <w:rPr>
          <w:rFonts w:ascii="Times New Roman" w:hAnsi="Times New Roman"/>
          <w:lang w:val="fr-BE"/>
        </w:rPr>
        <w:t xml:space="preserve">Directeur des soins: un corps professionnel en évolution’, </w:t>
      </w:r>
      <w:r w:rsidRPr="00E333B6">
        <w:rPr>
          <w:rFonts w:ascii="Times New Roman" w:hAnsi="Times New Roman"/>
          <w:i/>
          <w:lang w:val="fr-BE"/>
        </w:rPr>
        <w:t>G.H.</w:t>
      </w:r>
      <w:r w:rsidRPr="00E333B6">
        <w:rPr>
          <w:rFonts w:ascii="Times New Roman" w:hAnsi="Times New Roman"/>
          <w:lang w:val="fr-BE"/>
        </w:rPr>
        <w:t xml:space="preserve">, 503 (2011), p. 95-114; </w:t>
      </w:r>
      <w:r w:rsidRPr="00426625">
        <w:rPr>
          <w:rFonts w:ascii="Times New Roman" w:hAnsi="Times New Roman"/>
          <w:color w:val="000000"/>
          <w:shd w:val="clear" w:color="auto" w:fill="FFFFFF"/>
          <w:lang w:val="fr-BE"/>
        </w:rPr>
        <w:t>DE LARD, B., ‘Le risque de ges</w:t>
      </w:r>
      <w:r>
        <w:rPr>
          <w:rFonts w:ascii="Times New Roman" w:hAnsi="Times New Roman"/>
          <w:color w:val="000000"/>
          <w:shd w:val="clear" w:color="auto" w:fill="FFFFFF"/>
          <w:lang w:val="fr-BE"/>
        </w:rPr>
        <w:t>-</w:t>
      </w:r>
      <w:r w:rsidRPr="00426625">
        <w:rPr>
          <w:rFonts w:ascii="Times New Roman" w:hAnsi="Times New Roman"/>
          <w:color w:val="000000"/>
          <w:shd w:val="clear" w:color="auto" w:fill="FFFFFF"/>
          <w:lang w:val="fr-BE"/>
        </w:rPr>
        <w:t xml:space="preserve">tion de fait par le directeur d’hôpital’, </w:t>
      </w:r>
      <w:r w:rsidRPr="00426625">
        <w:rPr>
          <w:rFonts w:ascii="Times New Roman" w:hAnsi="Times New Roman"/>
          <w:i/>
          <w:iCs/>
          <w:color w:val="000000"/>
          <w:shd w:val="clear" w:color="auto" w:fill="FFFFFF"/>
          <w:lang w:val="fr-BE"/>
        </w:rPr>
        <w:t>A.J.S.</w:t>
      </w:r>
      <w:r w:rsidRPr="00426625">
        <w:rPr>
          <w:rFonts w:ascii="Times New Roman" w:hAnsi="Times New Roman"/>
          <w:color w:val="000000"/>
          <w:shd w:val="clear" w:color="auto" w:fill="FFFFFF"/>
          <w:lang w:val="fr-BE"/>
        </w:rPr>
        <w:t xml:space="preserve">, 59 (2007), p. 24-27; </w:t>
      </w:r>
      <w:r w:rsidRPr="00426625">
        <w:rPr>
          <w:rFonts w:ascii="Times New Roman" w:hAnsi="Times New Roman"/>
          <w:lang w:val="fr-BE"/>
        </w:rPr>
        <w:t xml:space="preserve">GLORIEUX, P., </w:t>
      </w:r>
      <w:r w:rsidRPr="00426625">
        <w:rPr>
          <w:rFonts w:ascii="Times New Roman" w:hAnsi="Times New Roman"/>
          <w:i/>
          <w:iCs/>
          <w:lang w:val="fr-BE"/>
        </w:rPr>
        <w:t>Du dossier de soins au dos</w:t>
      </w:r>
      <w:r>
        <w:rPr>
          <w:rFonts w:ascii="Times New Roman" w:hAnsi="Times New Roman"/>
          <w:i/>
          <w:iCs/>
          <w:lang w:val="fr-BE"/>
        </w:rPr>
        <w:t>-</w:t>
      </w:r>
      <w:r w:rsidRPr="00426625">
        <w:rPr>
          <w:rFonts w:ascii="Times New Roman" w:hAnsi="Times New Roman"/>
          <w:i/>
          <w:iCs/>
          <w:lang w:val="fr-BE"/>
        </w:rPr>
        <w:t>sier patient: un enjeu pour le Directeur des soins</w:t>
      </w:r>
      <w:r w:rsidRPr="00426625">
        <w:rPr>
          <w:rFonts w:ascii="Times New Roman" w:hAnsi="Times New Roman"/>
          <w:lang w:val="fr-BE"/>
        </w:rPr>
        <w:t xml:space="preserve">, Mémoire ENSP de Directeur des Soins, Rennes, ENSP, 2004, 61p.; MARIN, P., ‘Directeur d’hôpital: un cadre d’exercice professionel profondément modifié, de nouveaux principes de formation’, </w:t>
      </w:r>
      <w:r w:rsidRPr="00426625">
        <w:rPr>
          <w:rFonts w:ascii="Times New Roman" w:hAnsi="Times New Roman"/>
          <w:i/>
          <w:lang w:val="fr-BE"/>
        </w:rPr>
        <w:t>Cahiers Hospitaliers</w:t>
      </w:r>
      <w:r w:rsidRPr="00426625">
        <w:rPr>
          <w:rFonts w:ascii="Times New Roman" w:hAnsi="Times New Roman"/>
          <w:lang w:val="fr-BE"/>
        </w:rPr>
        <w:t xml:space="preserve">, 282 (2011), p. 8-11; ROMAN, N., ‘La gestion du dossier médical. Le point de vue d’un directeur d’hôpital’, </w:t>
      </w:r>
      <w:r w:rsidRPr="00426625">
        <w:rPr>
          <w:rFonts w:ascii="Times New Roman" w:hAnsi="Times New Roman"/>
          <w:i/>
          <w:lang w:val="fr-BE"/>
        </w:rPr>
        <w:t>G.A.N.S.</w:t>
      </w:r>
      <w:r w:rsidRPr="00426625">
        <w:rPr>
          <w:rFonts w:ascii="Times New Roman" w:hAnsi="Times New Roman"/>
          <w:lang w:val="fr-BE"/>
        </w:rPr>
        <w:t xml:space="preserve">, 167 (1994), p. 374-380; </w:t>
      </w:r>
      <w:r w:rsidRPr="00426625">
        <w:rPr>
          <w:rFonts w:ascii="Times New Roman" w:hAnsi="Times New Roman"/>
          <w:color w:val="000000"/>
          <w:shd w:val="clear" w:color="auto" w:fill="FFFFFF"/>
          <w:lang w:val="fr-BE"/>
        </w:rPr>
        <w:t xml:space="preserve">SEGUI-SAULNIER, S.; TANGUY, H.; ‘Le directeur et le directoire’, </w:t>
      </w:r>
      <w:r w:rsidRPr="00426625">
        <w:rPr>
          <w:rFonts w:ascii="Times New Roman" w:hAnsi="Times New Roman"/>
          <w:i/>
          <w:iCs/>
          <w:color w:val="000000"/>
          <w:shd w:val="clear" w:color="auto" w:fill="FFFFFF"/>
          <w:lang w:val="fr-BE"/>
        </w:rPr>
        <w:t>A.J.S.</w:t>
      </w:r>
      <w:r w:rsidRPr="00426625">
        <w:rPr>
          <w:rFonts w:ascii="Times New Roman" w:hAnsi="Times New Roman"/>
          <w:color w:val="000000"/>
          <w:shd w:val="clear" w:color="auto" w:fill="FFFFFF"/>
          <w:lang w:val="fr-BE"/>
        </w:rPr>
        <w:t>, 66 (2009), p. 41-44</w:t>
      </w:r>
      <w:r w:rsidRPr="00426625">
        <w:rPr>
          <w:rFonts w:ascii="Times New Roman" w:hAnsi="Times New Roman"/>
          <w:lang w:val="fr-BE"/>
        </w:rPr>
        <w:t>.</w:t>
      </w:r>
    </w:p>
  </w:footnote>
  <w:footnote w:id="90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3 § 1 van wet nr. 2004-801 van 6 augustus 2004 betreffende de bescherming van natuurlijke personen ten opzichte van de verwerking van persoonsgegevens en ter wijziging van wet nr. 78-17 van 1978 betreffende de informatica, bestanden en vrijheden I (</w:t>
      </w:r>
      <w:r w:rsidRPr="00426625">
        <w:rPr>
          <w:rFonts w:ascii="Times New Roman" w:hAnsi="Times New Roman"/>
          <w:i/>
        </w:rPr>
        <w:t>JORF</w:t>
      </w:r>
      <w:r w:rsidRPr="00426625">
        <w:rPr>
          <w:rFonts w:ascii="Times New Roman" w:hAnsi="Times New Roman"/>
        </w:rPr>
        <w:t xml:space="preserve"> 182, 7 augsutus 2004).</w:t>
      </w:r>
    </w:p>
  </w:footnote>
  <w:footnote w:id="90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Rondzendbrief DGS/DH/AFS 97-149 van 26 februari 1997 betreffende de toegang van patiënten tot infor</w:t>
      </w:r>
      <w:r>
        <w:rPr>
          <w:rFonts w:ascii="Times New Roman" w:hAnsi="Times New Roman"/>
        </w:rPr>
        <w:t>-</w:t>
      </w:r>
      <w:r w:rsidRPr="00426625">
        <w:rPr>
          <w:rFonts w:ascii="Times New Roman" w:hAnsi="Times New Roman"/>
        </w:rPr>
        <w:t>matie op het gebied van bloedtransfusie, met name in het kader van een vordering tot schadevergoeding.</w:t>
      </w:r>
    </w:p>
  </w:footnote>
  <w:footnote w:id="90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1112-7 § 2 CSP, ingevoerd door bijlage van wet nr. 2003-462 van 21 mei 2003, gewijzigd door artikel 2 van besluit nr. 2006-6 van 4 januari 2006; art. 3 en art. 7 van het reglement van ziekenhuisarchieven.</w:t>
      </w:r>
    </w:p>
  </w:footnote>
  <w:footnote w:id="90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w:t>
      </w:r>
      <w:r>
        <w:rPr>
          <w:rFonts w:ascii="Times New Roman" w:hAnsi="Times New Roman"/>
        </w:rPr>
        <w:t>.</w:t>
      </w:r>
      <w:r w:rsidRPr="00426625">
        <w:rPr>
          <w:rFonts w:ascii="Times New Roman" w:hAnsi="Times New Roman"/>
        </w:rPr>
        <w:t xml:space="preserve"> 13 van het reglement van ziekenhuisarchieven.</w:t>
      </w:r>
    </w:p>
  </w:footnote>
  <w:footnote w:id="909">
    <w:p w:rsidR="00E82D16" w:rsidRPr="00426625" w:rsidRDefault="00E82D16" w:rsidP="00426625">
      <w:pPr>
        <w:pStyle w:val="Voetnoottekst"/>
        <w:jc w:val="both"/>
        <w:rPr>
          <w:rFonts w:ascii="Times New Roman" w:hAnsi="Times New Roman"/>
          <w:i/>
        </w:rPr>
      </w:pPr>
      <w:r w:rsidRPr="00426625">
        <w:rPr>
          <w:rStyle w:val="Voetnootmarkering"/>
          <w:rFonts w:ascii="Times New Roman" w:hAnsi="Times New Roman"/>
        </w:rPr>
        <w:footnoteRef/>
      </w:r>
      <w:r w:rsidRPr="00426625">
        <w:rPr>
          <w:rFonts w:ascii="Times New Roman" w:hAnsi="Times New Roman"/>
        </w:rPr>
        <w:t xml:space="preserve"> Art. 14 en art. 15 van het reglement van ziekenhuisarchieven; L’HEUREUX, R., ‘La gestion des archives hospitalières en France: l’exemple de l'Assistance publique – Hôpitaux de Paris’, HONNORÉ, L. (red.), </w:t>
      </w:r>
      <w:r w:rsidRPr="00426625">
        <w:rPr>
          <w:rFonts w:ascii="Times New Roman" w:hAnsi="Times New Roman"/>
          <w:i/>
          <w:iCs/>
        </w:rPr>
        <w:t>Hande</w:t>
      </w:r>
      <w:r>
        <w:rPr>
          <w:rFonts w:ascii="Times New Roman" w:hAnsi="Times New Roman"/>
          <w:i/>
          <w:iCs/>
        </w:rPr>
        <w:t>-</w:t>
      </w:r>
      <w:r w:rsidRPr="00426625">
        <w:rPr>
          <w:rFonts w:ascii="Times New Roman" w:hAnsi="Times New Roman"/>
          <w:i/>
          <w:iCs/>
        </w:rPr>
        <w:t>lingen van het Internationaal Colloquium ‘Het geheugen van onze gezondheid. Het medisch archief en zijn hulp</w:t>
      </w:r>
      <w:r>
        <w:rPr>
          <w:rFonts w:ascii="Times New Roman" w:hAnsi="Times New Roman"/>
          <w:i/>
          <w:iCs/>
        </w:rPr>
        <w:t>-</w:t>
      </w:r>
      <w:r w:rsidRPr="00426625">
        <w:rPr>
          <w:rFonts w:ascii="Times New Roman" w:hAnsi="Times New Roman"/>
          <w:i/>
          <w:iCs/>
        </w:rPr>
        <w:t>bronnen’. Brussel 15-17 maart 2007</w:t>
      </w:r>
      <w:r w:rsidRPr="00426625">
        <w:rPr>
          <w:rFonts w:ascii="Times New Roman" w:hAnsi="Times New Roman"/>
        </w:rPr>
        <w:t xml:space="preserve">, A.B.B., extranummer 86, Brussel, 2008, p. 18; NUYTTENS, p. 58-59. </w:t>
      </w:r>
    </w:p>
  </w:footnote>
  <w:footnote w:id="91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1112-1 § 4-§ 5 CSP,</w:t>
      </w:r>
      <w:r w:rsidRPr="00E333B6">
        <w:rPr>
          <w:rFonts w:ascii="Times New Roman" w:hAnsi="Times New Roman"/>
        </w:rPr>
        <w:t xml:space="preserve"> gewijzigd door art. 19 van beschikking nr. 2010-177 van 23 februari 2010.</w:t>
      </w:r>
    </w:p>
  </w:footnote>
  <w:footnote w:id="91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ROMAN, N., ‘La gestion du dossier médical. Le point de vue d’un directeur d’hôpital’, p. 375.</w:t>
      </w:r>
    </w:p>
  </w:footnote>
  <w:footnote w:id="912">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 p. 7.</w:t>
      </w:r>
    </w:p>
  </w:footnote>
  <w:footnote w:id="91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4 van het reglement van ziekenhuisarchieven; Rondzendbrief AD-97-4 van 1 september 1997 betreffende de inventarisering van fondsen in archiefdiensten van territoriale gemeenschappen; ALLAGUI, F., ‘Récole</w:t>
      </w:r>
      <w:r>
        <w:rPr>
          <w:rFonts w:ascii="Times New Roman" w:hAnsi="Times New Roman"/>
        </w:rPr>
        <w:t>-</w:t>
      </w:r>
      <w:r w:rsidRPr="00426625">
        <w:rPr>
          <w:rFonts w:ascii="Times New Roman" w:hAnsi="Times New Roman"/>
        </w:rPr>
        <w:t xml:space="preserve">ment’, </w:t>
      </w:r>
      <w:r w:rsidRPr="00426625">
        <w:rPr>
          <w:rFonts w:ascii="Times New Roman" w:hAnsi="Times New Roman"/>
          <w:i/>
        </w:rPr>
        <w:t>Guide des archives hospitalières. Volume 1: méthodologie et procédures</w:t>
      </w:r>
      <w:r w:rsidRPr="00426625">
        <w:rPr>
          <w:rFonts w:ascii="Times New Roman" w:hAnsi="Times New Roman"/>
        </w:rPr>
        <w:t>, p. 1-2.</w:t>
      </w:r>
    </w:p>
  </w:footnote>
  <w:footnote w:id="91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Deze functie werd ingevoerd door: rondzendbrief DH/P.M.S.I. Ndeg. 303 van 24 juli 1989 met betrekking tot de veralgemening van medicaliseringsprogramma van informatiesystemen (P.M.S.I.) en de organisatie van de medische informatie in openbare ziekenhuizen enerzijds; art. 40 van wet nr. 93-121 van 27 januari 1993 houden</w:t>
      </w:r>
      <w:r>
        <w:rPr>
          <w:rFonts w:ascii="Times New Roman" w:hAnsi="Times New Roman"/>
        </w:rPr>
        <w:t>-</w:t>
      </w:r>
      <w:r w:rsidRPr="00426625">
        <w:rPr>
          <w:rFonts w:ascii="Times New Roman" w:hAnsi="Times New Roman"/>
        </w:rPr>
        <w:t>de diverse maatregelen voor de openbare orde I (</w:t>
      </w:r>
      <w:r w:rsidRPr="00426625">
        <w:rPr>
          <w:rFonts w:ascii="Times New Roman" w:hAnsi="Times New Roman"/>
          <w:i/>
        </w:rPr>
        <w:t>JORF</w:t>
      </w:r>
      <w:r w:rsidRPr="00426625">
        <w:rPr>
          <w:rFonts w:ascii="Times New Roman" w:hAnsi="Times New Roman"/>
        </w:rPr>
        <w:t xml:space="preserve"> 25, 30 januari 1993). Momenteel is deze functie vervat in art</w:t>
      </w:r>
      <w:r>
        <w:rPr>
          <w:rFonts w:ascii="Times New Roman" w:hAnsi="Times New Roman"/>
        </w:rPr>
        <w:t>.</w:t>
      </w:r>
      <w:r w:rsidRPr="00426625">
        <w:rPr>
          <w:rFonts w:ascii="Times New Roman" w:hAnsi="Times New Roman"/>
        </w:rPr>
        <w:t xml:space="preserve"> L. 6113-7 § 6 CSP, gewijzigd door artikel 4 van beschikking nr. 2010-177 van 23 februari 2010; </w:t>
      </w:r>
      <w:r w:rsidRPr="00E333B6">
        <w:rPr>
          <w:rFonts w:ascii="Times New Roman" w:hAnsi="Times New Roman"/>
        </w:rPr>
        <w:t xml:space="preserve">DUPONT, M., ‘L’évolution du droit hospitalier et ses incidences sur les archives’, </w:t>
      </w:r>
      <w:r w:rsidRPr="00E333B6">
        <w:rPr>
          <w:rFonts w:ascii="Times New Roman" w:hAnsi="Times New Roman"/>
          <w:i/>
        </w:rPr>
        <w:t>G.A.N.S.</w:t>
      </w:r>
      <w:r w:rsidRPr="00E333B6">
        <w:rPr>
          <w:rFonts w:ascii="Times New Roman" w:hAnsi="Times New Roman"/>
        </w:rPr>
        <w:t>, 205 (2007), p. 8.</w:t>
      </w:r>
    </w:p>
  </w:footnote>
  <w:footnote w:id="91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 van besluit nr. 94-666 van 27 juli 1994 betreffende medische informatiesystemen en de analyse van de activiteiten van de openbare en private verzorgingsinstellingen en ter wijziging van de </w:t>
      </w:r>
      <w:r w:rsidRPr="00426625">
        <w:rPr>
          <w:rFonts w:ascii="Times New Roman" w:hAnsi="Times New Roman"/>
          <w:i/>
        </w:rPr>
        <w:t>code de la santé publique</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180, 5 augustus 1994); VERRY, E.; ROCHON, C.; ‘Présence et action d’un service départemental d’ar</w:t>
      </w:r>
      <w:r>
        <w:rPr>
          <w:rFonts w:ascii="Times New Roman" w:hAnsi="Times New Roman"/>
        </w:rPr>
        <w:t>-</w:t>
      </w:r>
      <w:r w:rsidRPr="00426625">
        <w:rPr>
          <w:rFonts w:ascii="Times New Roman" w:hAnsi="Times New Roman"/>
        </w:rPr>
        <w:t xml:space="preserve">chives en milieu hospitalier: l’expérience du Maine-et-Loire’, </w:t>
      </w:r>
      <w:r w:rsidRPr="00426625">
        <w:rPr>
          <w:rFonts w:ascii="Times New Roman" w:hAnsi="Times New Roman"/>
          <w:i/>
        </w:rPr>
        <w:t>G.A.N.S.</w:t>
      </w:r>
      <w:r w:rsidRPr="00426625">
        <w:rPr>
          <w:rFonts w:ascii="Times New Roman" w:hAnsi="Times New Roman"/>
        </w:rPr>
        <w:t xml:space="preserve">, </w:t>
      </w:r>
      <w:r w:rsidRPr="00E333B6">
        <w:rPr>
          <w:rFonts w:ascii="Times New Roman" w:hAnsi="Times New Roman"/>
        </w:rPr>
        <w:t>205 (2007), p. 19-20</w:t>
      </w:r>
      <w:r w:rsidRPr="00426625">
        <w:rPr>
          <w:rFonts w:ascii="Times New Roman" w:hAnsi="Times New Roman"/>
        </w:rPr>
        <w:t>.</w:t>
      </w:r>
    </w:p>
  </w:footnote>
  <w:footnote w:id="91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infra.</w:t>
      </w:r>
    </w:p>
  </w:footnote>
  <w:footnote w:id="91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14 en art. 15 van het reglement van ziekenhuisarchieven.</w:t>
      </w:r>
    </w:p>
  </w:footnote>
  <w:footnote w:id="91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 van het besluit van 11 maart 1968; </w:t>
      </w:r>
      <w:r w:rsidRPr="00426625">
        <w:rPr>
          <w:rFonts w:ascii="Times New Roman" w:eastAsia="Times New Roman" w:hAnsi="Times New Roman"/>
          <w:lang w:eastAsia="nl-BE"/>
        </w:rPr>
        <w:t xml:space="preserve">art. 5 </w:t>
      </w:r>
      <w:r w:rsidRPr="00426625">
        <w:rPr>
          <w:rFonts w:ascii="Times New Roman" w:hAnsi="Times New Roman"/>
        </w:rPr>
        <w:t>van het reglement van ziekenhuisarchieven;</w:t>
      </w:r>
      <w:r w:rsidRPr="00E333B6">
        <w:rPr>
          <w:rFonts w:ascii="Times New Roman" w:hAnsi="Times New Roman"/>
        </w:rPr>
        <w:t xml:space="preserve"> MARTIN, C.; RODRIGUEZ, S.; ‘Gestion et conservation des archives hospitalières’, </w:t>
      </w:r>
      <w:r w:rsidRPr="00E333B6">
        <w:rPr>
          <w:rFonts w:ascii="Times New Roman" w:hAnsi="Times New Roman"/>
          <w:i/>
        </w:rPr>
        <w:t>A.J.S.</w:t>
      </w:r>
      <w:r w:rsidRPr="00E333B6">
        <w:rPr>
          <w:rFonts w:ascii="Times New Roman" w:hAnsi="Times New Roman"/>
        </w:rPr>
        <w:t>, 69 (2010), p. 22-2</w:t>
      </w:r>
      <w:r w:rsidRPr="00426625">
        <w:rPr>
          <w:rFonts w:ascii="Times New Roman" w:hAnsi="Times New Roman"/>
        </w:rPr>
        <w:t>7.</w:t>
      </w:r>
    </w:p>
  </w:footnote>
  <w:footnote w:id="91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Rondzendbrief van 2 november 2001 betreffende het beheer van archieven in diensten en openbare instel</w:t>
      </w:r>
      <w:r>
        <w:rPr>
          <w:rFonts w:ascii="Times New Roman" w:hAnsi="Times New Roman"/>
        </w:rPr>
        <w:t>-</w:t>
      </w:r>
      <w:r w:rsidRPr="00426625">
        <w:rPr>
          <w:rFonts w:ascii="Times New Roman" w:hAnsi="Times New Roman"/>
        </w:rPr>
        <w:t>lingen van de Staat (</w:t>
      </w:r>
      <w:r w:rsidRPr="00426625">
        <w:rPr>
          <w:rFonts w:ascii="Times New Roman" w:hAnsi="Times New Roman"/>
          <w:i/>
        </w:rPr>
        <w:t>JORF</w:t>
      </w:r>
      <w:r w:rsidRPr="00426625">
        <w:rPr>
          <w:rFonts w:ascii="Times New Roman" w:hAnsi="Times New Roman"/>
        </w:rPr>
        <w:t xml:space="preserve"> 256, 4 november 2001). </w:t>
      </w:r>
    </w:p>
  </w:footnote>
  <w:footnote w:id="92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6 van het reglement van ziekenhuisarchieven; POINSOTTE, V., ‘A propos de la réglementation des ar</w:t>
      </w:r>
      <w:r>
        <w:rPr>
          <w:rFonts w:ascii="Times New Roman" w:hAnsi="Times New Roman"/>
          <w:lang w:val="fr-BE"/>
        </w:rPr>
        <w:t>-</w:t>
      </w:r>
      <w:r w:rsidRPr="00E333B6">
        <w:rPr>
          <w:rFonts w:ascii="Times New Roman" w:hAnsi="Times New Roman"/>
          <w:lang w:val="fr-BE"/>
        </w:rPr>
        <w:t xml:space="preserve">chives médicales hospitalières’, </w:t>
      </w:r>
      <w:r w:rsidRPr="00E333B6">
        <w:rPr>
          <w:rFonts w:ascii="Times New Roman" w:hAnsi="Times New Roman"/>
          <w:i/>
          <w:lang w:val="fr-BE"/>
        </w:rPr>
        <w:t>G.A.N.S.</w:t>
      </w:r>
      <w:r w:rsidRPr="00E333B6">
        <w:rPr>
          <w:rFonts w:ascii="Times New Roman" w:hAnsi="Times New Roman"/>
          <w:lang w:val="fr-BE"/>
        </w:rPr>
        <w:t>, 167 (1994), p. 384-385.</w:t>
      </w:r>
    </w:p>
  </w:footnote>
  <w:footnote w:id="92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710-2-9 § 2 CSP, ingevoerd door art. 1 van besluit nr. 92-329 van 30 maart 1992 betreffende het me</w:t>
      </w:r>
      <w:r>
        <w:rPr>
          <w:rFonts w:ascii="Times New Roman" w:hAnsi="Times New Roman"/>
        </w:rPr>
        <w:t>-</w:t>
      </w:r>
      <w:r w:rsidRPr="00426625">
        <w:rPr>
          <w:rFonts w:ascii="Times New Roman" w:hAnsi="Times New Roman"/>
        </w:rPr>
        <w:t xml:space="preserve">disch dossier en de informatie van personen die in publiek- en privaatrechtelijke verzorgingsinstellingen worden ontvangen en ter wijziging van de </w:t>
      </w:r>
      <w:r w:rsidRPr="00426625">
        <w:rPr>
          <w:rFonts w:ascii="Times New Roman" w:hAnsi="Times New Roman"/>
          <w:i/>
        </w:rPr>
        <w:t>code de la santé publique</w:t>
      </w:r>
      <w:r w:rsidRPr="00426625">
        <w:rPr>
          <w:rFonts w:ascii="Times New Roman" w:hAnsi="Times New Roman"/>
        </w:rPr>
        <w:t xml:space="preserve"> (</w:t>
      </w:r>
      <w:r w:rsidRPr="00426625">
        <w:rPr>
          <w:rFonts w:ascii="Times New Roman" w:hAnsi="Times New Roman"/>
          <w:i/>
        </w:rPr>
        <w:t xml:space="preserve">JORF </w:t>
      </w:r>
      <w:r w:rsidRPr="00426625">
        <w:rPr>
          <w:rFonts w:ascii="Times New Roman" w:hAnsi="Times New Roman"/>
        </w:rPr>
        <w:t>78, 1 april 1992). Deze bepaling werd opge</w:t>
      </w:r>
      <w:r>
        <w:rPr>
          <w:rFonts w:ascii="Times New Roman" w:hAnsi="Times New Roman"/>
        </w:rPr>
        <w:t>-</w:t>
      </w:r>
      <w:r w:rsidRPr="00426625">
        <w:rPr>
          <w:rFonts w:ascii="Times New Roman" w:hAnsi="Times New Roman"/>
        </w:rPr>
        <w:t xml:space="preserve">heven door art. 9 van besluit nr. 2002-637 van 29 april 2002 betreffende de toegang tot persoonsgegevens die door beroepsbeoefenaars en verzorgingsinstellingen wordt bewaard en ter uitvoering van art. </w:t>
      </w:r>
      <w:r w:rsidRPr="00E333B6">
        <w:rPr>
          <w:rFonts w:ascii="Times New Roman" w:hAnsi="Times New Roman"/>
          <w:lang w:val="fr-BE"/>
        </w:rPr>
        <w:t xml:space="preserve">L. 1111-7 en art. L. 1112-1 </w:t>
      </w:r>
      <w:r w:rsidRPr="00E333B6">
        <w:rPr>
          <w:rFonts w:ascii="Times New Roman" w:hAnsi="Times New Roman"/>
          <w:i/>
          <w:lang w:val="fr-BE"/>
        </w:rPr>
        <w:t>code de la santé publique</w:t>
      </w:r>
      <w:r w:rsidRPr="00E333B6">
        <w:rPr>
          <w:rFonts w:ascii="Times New Roman" w:hAnsi="Times New Roman"/>
          <w:lang w:val="fr-BE"/>
        </w:rPr>
        <w:t xml:space="preserve"> (</w:t>
      </w:r>
      <w:r w:rsidRPr="00E333B6">
        <w:rPr>
          <w:rFonts w:ascii="Times New Roman" w:hAnsi="Times New Roman"/>
          <w:i/>
          <w:lang w:val="fr-BE"/>
        </w:rPr>
        <w:t>JORF</w:t>
      </w:r>
      <w:r w:rsidRPr="00E333B6">
        <w:rPr>
          <w:rFonts w:ascii="Times New Roman" w:hAnsi="Times New Roman"/>
          <w:lang w:val="fr-BE"/>
        </w:rPr>
        <w:t xml:space="preserve"> 101, 30 april 2002). </w:t>
      </w:r>
      <w:r w:rsidRPr="00426625">
        <w:rPr>
          <w:rFonts w:ascii="Times New Roman" w:hAnsi="Times New Roman"/>
        </w:rPr>
        <w:t xml:space="preserve">Later werd dit artikel integraal afgeschaft door art. 4, 2° van besluit nr. 2003-462 van 21 mei 2003 betreffende de reglementaire bepalingen van delen I, II en III van de </w:t>
      </w:r>
      <w:r w:rsidRPr="00426625">
        <w:rPr>
          <w:rFonts w:ascii="Times New Roman" w:hAnsi="Times New Roman"/>
          <w:i/>
        </w:rPr>
        <w:t xml:space="preserve">code de la santé publique </w:t>
      </w:r>
      <w:r w:rsidRPr="00426625">
        <w:rPr>
          <w:rFonts w:ascii="Times New Roman" w:hAnsi="Times New Roman"/>
        </w:rPr>
        <w:t>(</w:t>
      </w:r>
      <w:r w:rsidRPr="00426625">
        <w:rPr>
          <w:rFonts w:ascii="Times New Roman" w:hAnsi="Times New Roman"/>
          <w:i/>
        </w:rPr>
        <w:t>JORF</w:t>
      </w:r>
      <w:r w:rsidRPr="00426625">
        <w:rPr>
          <w:rFonts w:ascii="Times New Roman" w:hAnsi="Times New Roman"/>
        </w:rPr>
        <w:t xml:space="preserve"> 122, 27 mei 2003).</w:t>
      </w:r>
    </w:p>
  </w:footnote>
  <w:footnote w:id="922">
    <w:p w:rsidR="00E82D16" w:rsidRPr="00426625" w:rsidRDefault="00E82D16" w:rsidP="00426625">
      <w:pPr>
        <w:pStyle w:val="Geenafstand"/>
        <w:jc w:val="both"/>
        <w:rPr>
          <w:rFonts w:ascii="Times New Roman" w:hAnsi="Times New Roman" w:cs="Times New Roman"/>
          <w:sz w:val="20"/>
          <w:szCs w:val="20"/>
        </w:rPr>
      </w:pPr>
      <w:r w:rsidRPr="00426625">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GENOT-POK, I., ‘Des archives publiques aux archives hospitalières: points de droit’, </w:t>
      </w:r>
      <w:r w:rsidRPr="00E333B6">
        <w:rPr>
          <w:rFonts w:ascii="Times New Roman" w:hAnsi="Times New Roman" w:cs="Times New Roman"/>
          <w:i/>
          <w:sz w:val="20"/>
          <w:szCs w:val="20"/>
          <w:lang w:val="fr-BE"/>
        </w:rPr>
        <w:t>A.J.S.</w:t>
      </w:r>
      <w:r w:rsidRPr="00E333B6">
        <w:rPr>
          <w:rFonts w:ascii="Times New Roman" w:hAnsi="Times New Roman" w:cs="Times New Roman"/>
          <w:sz w:val="20"/>
          <w:szCs w:val="20"/>
          <w:lang w:val="fr-BE"/>
        </w:rPr>
        <w:t xml:space="preserve">, 69 (2010), p. 7-8; LOUVET, B., ‘Données de santé: les conditions de leur hébergement’, </w:t>
      </w:r>
      <w:r w:rsidRPr="00E333B6">
        <w:rPr>
          <w:rFonts w:ascii="Times New Roman" w:hAnsi="Times New Roman" w:cs="Times New Roman"/>
          <w:i/>
          <w:sz w:val="20"/>
          <w:szCs w:val="20"/>
          <w:lang w:val="fr-BE"/>
        </w:rPr>
        <w:t>Le Journal du Net</w:t>
      </w:r>
      <w:r w:rsidRPr="00E333B6">
        <w:rPr>
          <w:rFonts w:ascii="Times New Roman" w:hAnsi="Times New Roman" w:cs="Times New Roman"/>
          <w:sz w:val="20"/>
          <w:szCs w:val="20"/>
          <w:lang w:val="fr-BE"/>
        </w:rPr>
        <w:t xml:space="preserve">, Parijs, 2006; MARTIN, C.; RODRIGUEZ, S.; ‘Gestion et conservation des archives hospitalières’, </w:t>
      </w:r>
      <w:r w:rsidRPr="00E333B6">
        <w:rPr>
          <w:rFonts w:ascii="Times New Roman" w:hAnsi="Times New Roman" w:cs="Times New Roman"/>
          <w:i/>
          <w:sz w:val="20"/>
          <w:szCs w:val="20"/>
          <w:lang w:val="fr-BE"/>
        </w:rPr>
        <w:t>A.J.S.</w:t>
      </w:r>
      <w:r w:rsidRPr="00E333B6">
        <w:rPr>
          <w:rFonts w:ascii="Times New Roman" w:hAnsi="Times New Roman" w:cs="Times New Roman"/>
          <w:sz w:val="20"/>
          <w:szCs w:val="20"/>
          <w:lang w:val="fr-BE"/>
        </w:rPr>
        <w:t xml:space="preserve">, 69 (2010), p. 26-27; MAURIER, B., ‘L’externalisation des archives’, </w:t>
      </w:r>
      <w:r w:rsidRPr="00E333B6">
        <w:rPr>
          <w:rFonts w:ascii="Times New Roman" w:hAnsi="Times New Roman" w:cs="Times New Roman"/>
          <w:i/>
          <w:sz w:val="20"/>
          <w:szCs w:val="20"/>
          <w:lang w:val="fr-BE"/>
        </w:rPr>
        <w:t xml:space="preserve">Guide des archives hospitalières. </w:t>
      </w:r>
      <w:r w:rsidRPr="00426625">
        <w:rPr>
          <w:rFonts w:ascii="Times New Roman" w:hAnsi="Times New Roman" w:cs="Times New Roman"/>
          <w:i/>
          <w:sz w:val="20"/>
          <w:szCs w:val="20"/>
        </w:rPr>
        <w:t>Volume 1: méthodologie et procédures</w:t>
      </w:r>
      <w:r w:rsidRPr="00426625">
        <w:rPr>
          <w:rFonts w:ascii="Times New Roman" w:hAnsi="Times New Roman" w:cs="Times New Roman"/>
          <w:sz w:val="20"/>
          <w:szCs w:val="20"/>
        </w:rPr>
        <w:t>, 2009, p. 1-3.</w:t>
      </w:r>
    </w:p>
  </w:footnote>
  <w:footnote w:id="92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Resp. art. 12, art. 13 en art. 14 van besluit nr. 79-1037 van 3 december 1979. </w:t>
      </w:r>
    </w:p>
  </w:footnote>
  <w:footnote w:id="924">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lang w:eastAsia="nl-BE"/>
        </w:rPr>
        <w:t xml:space="preserve">Art. 7 </w:t>
      </w:r>
      <w:r w:rsidRPr="00426625">
        <w:rPr>
          <w:rFonts w:ascii="Times New Roman" w:hAnsi="Times New Roman"/>
        </w:rPr>
        <w:t>van het reglement van ziekenhuisarchieven, toegevoegd aan het besluit van 11 maart 1968 (</w:t>
      </w:r>
      <w:r w:rsidRPr="00426625">
        <w:rPr>
          <w:rFonts w:ascii="Times New Roman" w:hAnsi="Times New Roman"/>
          <w:i/>
          <w:iCs/>
        </w:rPr>
        <w:t>JORF</w:t>
      </w:r>
      <w:r w:rsidRPr="00426625">
        <w:rPr>
          <w:rFonts w:ascii="Times New Roman" w:hAnsi="Times New Roman"/>
        </w:rPr>
        <w:t xml:space="preserve">, 25 oktober 1968); DELESALLE, H., ‘Le régime juridique de la conservation des archives hospitalières’, </w:t>
      </w:r>
      <w:r w:rsidRPr="00426625">
        <w:rPr>
          <w:rFonts w:ascii="Times New Roman" w:hAnsi="Times New Roman"/>
          <w:i/>
        </w:rPr>
        <w:t>R.H.F.</w:t>
      </w:r>
      <w:r w:rsidRPr="00426625">
        <w:rPr>
          <w:rFonts w:ascii="Times New Roman" w:hAnsi="Times New Roman"/>
        </w:rPr>
        <w:t>, 489 (2002), p. 43.</w:t>
      </w:r>
    </w:p>
  </w:footnote>
  <w:footnote w:id="925">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 </w:t>
      </w:r>
      <w:r w:rsidRPr="00E333B6">
        <w:rPr>
          <w:rFonts w:ascii="Times New Roman" w:hAnsi="Times New Roman"/>
          <w:i/>
          <w:lang w:val="fr-BE"/>
        </w:rPr>
        <w:t>A.J.S.</w:t>
      </w:r>
      <w:r w:rsidRPr="00E333B6">
        <w:rPr>
          <w:rFonts w:ascii="Times New Roman" w:hAnsi="Times New Roman"/>
          <w:lang w:val="fr-BE"/>
        </w:rPr>
        <w:t>, 69 (2010), p. 7 (voetnoot 22).</w:t>
      </w:r>
    </w:p>
  </w:footnote>
  <w:footnote w:id="92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De nieuwe archiefwet kwam er pas in 2008. Wet nr. 2008-696 van 15 juli 2008 betreffende de archieven I (</w:t>
      </w:r>
      <w:r w:rsidRPr="00426625">
        <w:rPr>
          <w:rFonts w:ascii="Times New Roman" w:hAnsi="Times New Roman"/>
          <w:i/>
        </w:rPr>
        <w:t>JORF</w:t>
      </w:r>
      <w:r w:rsidRPr="00426625">
        <w:rPr>
          <w:rFonts w:ascii="Times New Roman" w:hAnsi="Times New Roman"/>
        </w:rPr>
        <w:t xml:space="preserve"> 164, 16 juli 2008).</w:t>
      </w:r>
    </w:p>
  </w:footnote>
  <w:footnote w:id="927">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426625">
        <w:rPr>
          <w:rFonts w:ascii="Times New Roman" w:hAnsi="Times New Roman"/>
        </w:rPr>
        <w:t xml:space="preserve"> Art. 11 van wet nr. 2002-303 van 4 maart 2002 betreffende de rechten van patiënten en de kwaliteit van ge</w:t>
      </w:r>
      <w:r>
        <w:rPr>
          <w:rFonts w:ascii="Times New Roman" w:hAnsi="Times New Roman"/>
        </w:rPr>
        <w:t>-</w:t>
      </w:r>
      <w:r w:rsidRPr="00426625">
        <w:rPr>
          <w:rFonts w:ascii="Times New Roman" w:hAnsi="Times New Roman"/>
        </w:rPr>
        <w:t>zondheidszorgsystemen I (</w:t>
      </w:r>
      <w:r w:rsidRPr="00426625">
        <w:rPr>
          <w:rFonts w:ascii="Times New Roman" w:hAnsi="Times New Roman"/>
          <w:i/>
          <w:iCs/>
        </w:rPr>
        <w:t>JORF</w:t>
      </w:r>
      <w:r w:rsidRPr="00426625">
        <w:rPr>
          <w:rFonts w:ascii="Times New Roman" w:hAnsi="Times New Roman"/>
        </w:rPr>
        <w:t xml:space="preserve"> 54, 5 maart 2002) wijzigde art. L. 1111-8 CSP en art. 2 van besluit nr. 2006-6 van 4 januari 2006 betreffende de bewaring van gezondheidsgegevens en ter wijziging van de reglementaire be</w:t>
      </w:r>
      <w:r>
        <w:rPr>
          <w:rFonts w:ascii="Times New Roman" w:hAnsi="Times New Roman"/>
        </w:rPr>
        <w:t>-</w:t>
      </w:r>
      <w:r w:rsidRPr="00426625">
        <w:rPr>
          <w:rFonts w:ascii="Times New Roman" w:hAnsi="Times New Roman"/>
        </w:rPr>
        <w:t xml:space="preserve">palingen van de </w:t>
      </w:r>
      <w:r w:rsidRPr="00426625">
        <w:rPr>
          <w:rFonts w:ascii="Times New Roman" w:hAnsi="Times New Roman"/>
          <w:iCs/>
        </w:rPr>
        <w:t>CSP</w:t>
      </w:r>
      <w:r w:rsidRPr="00426625">
        <w:rPr>
          <w:rFonts w:ascii="Times New Roman" w:hAnsi="Times New Roman"/>
          <w:i/>
          <w:iCs/>
        </w:rPr>
        <w:t xml:space="preserve"> </w:t>
      </w:r>
      <w:r w:rsidRPr="00426625">
        <w:rPr>
          <w:rFonts w:ascii="Times New Roman" w:hAnsi="Times New Roman"/>
        </w:rPr>
        <w:t>(</w:t>
      </w:r>
      <w:r w:rsidRPr="00426625">
        <w:rPr>
          <w:rFonts w:ascii="Times New Roman" w:hAnsi="Times New Roman"/>
          <w:i/>
          <w:iCs/>
        </w:rPr>
        <w:t xml:space="preserve">JORF </w:t>
      </w:r>
      <w:r w:rsidRPr="00426625">
        <w:rPr>
          <w:rFonts w:ascii="Times New Roman" w:hAnsi="Times New Roman"/>
        </w:rPr>
        <w:t xml:space="preserve">4, 5 januari 2006) wijzigde art. </w:t>
      </w:r>
      <w:r w:rsidRPr="00E333B6">
        <w:rPr>
          <w:rFonts w:ascii="Times New Roman" w:hAnsi="Times New Roman"/>
          <w:lang w:val="fr-BE"/>
        </w:rPr>
        <w:t xml:space="preserve">R. 1112-7 CSP. Zie: CHICHE, P., ‘Hébergement et conservation des données de santé’, </w:t>
      </w:r>
      <w:r w:rsidRPr="00E333B6">
        <w:rPr>
          <w:rFonts w:ascii="Times New Roman" w:hAnsi="Times New Roman"/>
          <w:i/>
          <w:lang w:val="fr-BE"/>
        </w:rPr>
        <w:t>B.J.S.P.</w:t>
      </w:r>
      <w:r w:rsidRPr="00E333B6">
        <w:rPr>
          <w:rFonts w:ascii="Times New Roman" w:hAnsi="Times New Roman"/>
          <w:lang w:val="fr-BE"/>
        </w:rPr>
        <w:t xml:space="preserve">, 93 (2006), p. 9-11; MARZOUG, S.; DE LARD, B.; BOSSI, J.; RODRIGUEZ, S.; ‘L’hébergement des données personnelles de santé: principes et limites’, </w:t>
      </w:r>
      <w:r w:rsidRPr="00E333B6">
        <w:rPr>
          <w:rFonts w:ascii="Times New Roman" w:hAnsi="Times New Roman"/>
          <w:i/>
          <w:lang w:val="fr-BE"/>
        </w:rPr>
        <w:t>A.J.S.</w:t>
      </w:r>
      <w:r w:rsidRPr="00E333B6">
        <w:rPr>
          <w:rFonts w:ascii="Times New Roman" w:hAnsi="Times New Roman"/>
          <w:lang w:val="fr-BE"/>
        </w:rPr>
        <w:t>, 74 (2011), p. 3-15; PREVOT, M.; PINAY, M.; DECHENAUD, T.; MARESCAUX, C.; ‘Externalisation des archives médi</w:t>
      </w:r>
      <w:r>
        <w:rPr>
          <w:rFonts w:ascii="Times New Roman" w:hAnsi="Times New Roman"/>
          <w:lang w:val="fr-BE"/>
        </w:rPr>
        <w:t>-</w:t>
      </w:r>
      <w:r w:rsidRPr="00E333B6">
        <w:rPr>
          <w:rFonts w:ascii="Times New Roman" w:hAnsi="Times New Roman"/>
          <w:lang w:val="fr-BE"/>
        </w:rPr>
        <w:t xml:space="preserve">cales définitives. Retour d’expérience d’un centre hospitalier en psychiatrie’, </w:t>
      </w:r>
      <w:r w:rsidRPr="00E333B6">
        <w:rPr>
          <w:rFonts w:ascii="Times New Roman" w:hAnsi="Times New Roman"/>
          <w:i/>
          <w:lang w:val="fr-BE"/>
        </w:rPr>
        <w:t>R.H.F.</w:t>
      </w:r>
      <w:r w:rsidRPr="00E333B6">
        <w:rPr>
          <w:rFonts w:ascii="Times New Roman" w:hAnsi="Times New Roman"/>
          <w:lang w:val="fr-BE"/>
        </w:rPr>
        <w:t xml:space="preserve">, 535 (2010), p. 32-36; REBEECQ, G., ‘L’information médicale du patient à la lumière de la loi du 4 mars 2002. 1re partie: Le point de vue du juriste’, </w:t>
      </w:r>
      <w:r w:rsidRPr="00E333B6">
        <w:rPr>
          <w:rFonts w:ascii="Times New Roman" w:hAnsi="Times New Roman"/>
          <w:i/>
          <w:lang w:val="fr-BE"/>
        </w:rPr>
        <w:t>J.M.L.</w:t>
      </w:r>
      <w:r w:rsidRPr="00E333B6">
        <w:rPr>
          <w:rFonts w:ascii="Times New Roman" w:hAnsi="Times New Roman"/>
          <w:lang w:val="fr-BE"/>
        </w:rPr>
        <w:t>, 47/4 (2004), p. 83-93; SEGUI-SAULNIER, S., ‘Les nouvelles règles d’archivage du dos</w:t>
      </w:r>
      <w:r>
        <w:rPr>
          <w:rFonts w:ascii="Times New Roman" w:hAnsi="Times New Roman"/>
          <w:lang w:val="fr-BE"/>
        </w:rPr>
        <w:t>-</w:t>
      </w:r>
      <w:r w:rsidRPr="00E333B6">
        <w:rPr>
          <w:rFonts w:ascii="Times New Roman" w:hAnsi="Times New Roman"/>
          <w:lang w:val="fr-BE"/>
        </w:rPr>
        <w:t xml:space="preserve">sier médical. Entre clair et obscure’, </w:t>
      </w:r>
      <w:r w:rsidRPr="00E333B6">
        <w:rPr>
          <w:rFonts w:ascii="Times New Roman" w:hAnsi="Times New Roman"/>
          <w:i/>
          <w:lang w:val="fr-BE"/>
        </w:rPr>
        <w:t>G.H.</w:t>
      </w:r>
      <w:r w:rsidRPr="00E333B6">
        <w:rPr>
          <w:rFonts w:ascii="Times New Roman" w:hAnsi="Times New Roman"/>
          <w:lang w:val="fr-BE"/>
        </w:rPr>
        <w:t>, 460 (2006), p. 653-656.</w:t>
      </w:r>
    </w:p>
  </w:footnote>
  <w:footnote w:id="92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COUDREAU, D., ‘Hébergeur de données médicales, un nouvel acteur de la régulation des soins’, </w:t>
      </w:r>
      <w:r w:rsidRPr="00E333B6">
        <w:rPr>
          <w:rFonts w:ascii="Times New Roman" w:hAnsi="Times New Roman"/>
          <w:i/>
          <w:lang w:val="fr-BE"/>
        </w:rPr>
        <w:t>Sève</w:t>
      </w:r>
      <w:r w:rsidRPr="00E333B6">
        <w:rPr>
          <w:rFonts w:ascii="Times New Roman" w:hAnsi="Times New Roman"/>
          <w:lang w:val="fr-BE"/>
        </w:rPr>
        <w:t>, 10 (2006), p. 51-57.</w:t>
      </w:r>
    </w:p>
  </w:footnote>
  <w:footnote w:id="92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Cf. art. L. 1111-8 CSP en art. </w:t>
      </w:r>
      <w:r w:rsidRPr="00E333B6">
        <w:rPr>
          <w:rFonts w:ascii="Times New Roman" w:hAnsi="Times New Roman"/>
          <w:lang w:val="fr-BE"/>
        </w:rPr>
        <w:t xml:space="preserve">R. 1111-9 tot art. R. 1111-16 CSP. Zie ook: SEGUI-SAULNIER, S., ‘Le décret du 4 janvier 2006 relatif à l’hébergement des données de santé à caractère personnel. </w:t>
      </w:r>
      <w:r w:rsidRPr="00426625">
        <w:rPr>
          <w:rFonts w:ascii="Times New Roman" w:hAnsi="Times New Roman"/>
        </w:rPr>
        <w:t xml:space="preserve">Fiche de synthèse’, </w:t>
      </w:r>
      <w:r w:rsidRPr="00426625">
        <w:rPr>
          <w:rFonts w:ascii="Times New Roman" w:hAnsi="Times New Roman"/>
          <w:i/>
        </w:rPr>
        <w:t>A.J.S.</w:t>
      </w:r>
      <w:r w:rsidRPr="00426625">
        <w:rPr>
          <w:rFonts w:ascii="Times New Roman" w:hAnsi="Times New Roman"/>
        </w:rPr>
        <w:t xml:space="preserve">, 53 (2006), p. 20. Een lijst van de erkende bewaarnemers op 12 maart 2012, valt te raadplegen op: </w:t>
      </w:r>
      <w:hyperlink w:history="1">
        <w:r w:rsidRPr="00EA26DD">
          <w:rPr>
            <w:rStyle w:val="Hyperlink"/>
            <w:rFonts w:ascii="Times New Roman" w:hAnsi="Times New Roman"/>
          </w:rPr>
          <w:t>http://esante. gouv.fr/services/referentiels/securite/hebergeurs-agrees</w:t>
        </w:r>
      </w:hyperlink>
      <w:r w:rsidRPr="00426625">
        <w:rPr>
          <w:rStyle w:val="Hyperlink"/>
          <w:rFonts w:ascii="Times New Roman" w:hAnsi="Times New Roman"/>
        </w:rPr>
        <w:t>.</w:t>
      </w:r>
    </w:p>
  </w:footnote>
  <w:footnote w:id="93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R. 1112-7 CSP, ingevoerd door bijlage van besluit nr. 2003-462 van 21 mei 2003 en gewijzigd door art. 2 van besluit nr. 2006-6 van 4 januari 2006.</w:t>
      </w:r>
    </w:p>
  </w:footnote>
  <w:footnote w:id="93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art. L. 4113-6 CSP, ingevoerd door wet nr. 2002-303 van 4 maart 2002 betreffende de rechten van patiënt</w:t>
      </w:r>
      <w:r>
        <w:rPr>
          <w:rFonts w:ascii="Times New Roman" w:hAnsi="Times New Roman"/>
        </w:rPr>
        <w:t>-</w:t>
      </w:r>
      <w:r w:rsidRPr="00426625">
        <w:rPr>
          <w:rFonts w:ascii="Times New Roman" w:hAnsi="Times New Roman"/>
        </w:rPr>
        <w:t>en en de kwaliteit van gezondheidszorgsystemen I (</w:t>
      </w:r>
      <w:r w:rsidRPr="00426625">
        <w:rPr>
          <w:rFonts w:ascii="Times New Roman" w:hAnsi="Times New Roman"/>
          <w:i/>
          <w:iCs/>
        </w:rPr>
        <w:t>JORF</w:t>
      </w:r>
      <w:r w:rsidRPr="00426625">
        <w:rPr>
          <w:rFonts w:ascii="Times New Roman" w:hAnsi="Times New Roman"/>
        </w:rPr>
        <w:t xml:space="preserve"> 54, 5 maart 2002) en gewijzigd door art. 2 van wet nr. 2011-2012 van 29 december 2011 betreffende de versterking van de veiligheid van geneesmiddelen en gezond</w:t>
      </w:r>
      <w:r>
        <w:rPr>
          <w:rFonts w:ascii="Times New Roman" w:hAnsi="Times New Roman"/>
        </w:rPr>
        <w:t>-</w:t>
      </w:r>
      <w:r w:rsidRPr="00426625">
        <w:rPr>
          <w:rFonts w:ascii="Times New Roman" w:hAnsi="Times New Roman"/>
        </w:rPr>
        <w:t>heidsproducten I (</w:t>
      </w:r>
      <w:r w:rsidRPr="00426625">
        <w:rPr>
          <w:rFonts w:ascii="Times New Roman" w:hAnsi="Times New Roman"/>
          <w:i/>
        </w:rPr>
        <w:t xml:space="preserve">JORF </w:t>
      </w:r>
      <w:r w:rsidRPr="00426625">
        <w:rPr>
          <w:rFonts w:ascii="Times New Roman" w:hAnsi="Times New Roman"/>
        </w:rPr>
        <w:t>302, 30 december 2011).</w:t>
      </w:r>
    </w:p>
  </w:footnote>
  <w:footnote w:id="93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Cf. art. 29 van wet nr. 78-17 van 6 januari 1978 betreffende de informatica, bestanden en vrijheden I (</w:t>
      </w:r>
      <w:r w:rsidRPr="00426625">
        <w:rPr>
          <w:rFonts w:ascii="Times New Roman" w:hAnsi="Times New Roman"/>
          <w:i/>
        </w:rPr>
        <w:t>JORF</w:t>
      </w:r>
      <w:r w:rsidRPr="00426625">
        <w:rPr>
          <w:rFonts w:ascii="Times New Roman" w:hAnsi="Times New Roman"/>
        </w:rPr>
        <w:t xml:space="preserve"> 182, 7 augsutus 2004); art. L. 1110-4 CSP, gewijzigd door art. 2 van wet nr. 2011-940 van 10 augustus 2011 ter wijziging van enkele bepalingen van wet nr. 2009-879 van 21 juli 2009 (</w:t>
      </w:r>
      <w:r w:rsidRPr="00426625">
        <w:rPr>
          <w:rFonts w:ascii="Times New Roman" w:hAnsi="Times New Roman"/>
          <w:i/>
        </w:rPr>
        <w:t xml:space="preserve">JORF </w:t>
      </w:r>
      <w:r w:rsidRPr="00426625">
        <w:rPr>
          <w:rFonts w:ascii="Times New Roman" w:hAnsi="Times New Roman"/>
        </w:rPr>
        <w:t>185, 11 augustus 2011); art. L. 1111-7 CSP, gewijzigd door art. 9 van wet nr. 2011-803 van 5 juli 2011 betreffende de rechten en de bescher</w:t>
      </w:r>
      <w:r>
        <w:rPr>
          <w:rFonts w:ascii="Times New Roman" w:hAnsi="Times New Roman"/>
        </w:rPr>
        <w:t>-</w:t>
      </w:r>
      <w:r w:rsidRPr="00426625">
        <w:rPr>
          <w:rFonts w:ascii="Times New Roman" w:hAnsi="Times New Roman"/>
        </w:rPr>
        <w:t>ming van personen aan wie psychiatrische zorg verleend wordt en de modaliteiten van hun behandeling I (</w:t>
      </w:r>
      <w:r w:rsidRPr="00426625">
        <w:rPr>
          <w:rFonts w:ascii="Times New Roman" w:hAnsi="Times New Roman"/>
          <w:i/>
        </w:rPr>
        <w:t>JORF</w:t>
      </w:r>
      <w:r w:rsidRPr="00426625">
        <w:rPr>
          <w:rFonts w:ascii="Times New Roman" w:hAnsi="Times New Roman"/>
        </w:rPr>
        <w:t xml:space="preserve"> 155, 6 juli 2011).</w:t>
      </w:r>
    </w:p>
  </w:footnote>
  <w:footnote w:id="933">
    <w:p w:rsidR="00E82D16" w:rsidRPr="00E333B6"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lang w:val="en-US"/>
        </w:rPr>
        <w:t xml:space="preserve"> Cf. art. L. 1421-1 tot art. </w:t>
      </w:r>
      <w:r w:rsidRPr="00426625">
        <w:rPr>
          <w:rFonts w:ascii="Times New Roman" w:hAnsi="Times New Roman"/>
        </w:rPr>
        <w:t xml:space="preserve">L. 1421-3 en </w:t>
      </w:r>
      <w:r w:rsidRPr="00426625">
        <w:rPr>
          <w:rFonts w:ascii="Times New Roman" w:hAnsi="Times New Roman"/>
          <w:color w:val="000000"/>
          <w:shd w:val="clear" w:color="auto" w:fill="FFFFFF"/>
        </w:rPr>
        <w:t xml:space="preserve">art. L. 1435-7 </w:t>
      </w:r>
      <w:r w:rsidRPr="00426625">
        <w:rPr>
          <w:rFonts w:ascii="Times New Roman" w:hAnsi="Times New Roman"/>
        </w:rPr>
        <w:t xml:space="preserve">CSP, gewijzigd door art. 19 van beschikking nr. 2010-177 van 23 februari 2010 </w:t>
      </w:r>
      <w:r w:rsidRPr="00E333B6">
        <w:rPr>
          <w:rFonts w:ascii="Times New Roman" w:hAnsi="Times New Roman"/>
        </w:rPr>
        <w:t xml:space="preserve">ter afstemming op wet nr. 2009-879 </w:t>
      </w:r>
      <w:r w:rsidRPr="00426625">
        <w:rPr>
          <w:rFonts w:ascii="Times New Roman" w:hAnsi="Times New Roman"/>
        </w:rPr>
        <w:t>houdende ziekenhuishervorming en betreffende patiënten, gezondheid en verzorgingsgebieden</w:t>
      </w:r>
      <w:r w:rsidRPr="00E333B6">
        <w:rPr>
          <w:rFonts w:ascii="Times New Roman" w:hAnsi="Times New Roman"/>
        </w:rPr>
        <w:t xml:space="preserve"> (</w:t>
      </w:r>
      <w:r w:rsidRPr="00E333B6">
        <w:rPr>
          <w:rFonts w:ascii="Times New Roman" w:hAnsi="Times New Roman"/>
          <w:i/>
        </w:rPr>
        <w:t xml:space="preserve">JORF </w:t>
      </w:r>
      <w:r w:rsidRPr="00E333B6">
        <w:rPr>
          <w:rFonts w:ascii="Times New Roman" w:hAnsi="Times New Roman"/>
        </w:rPr>
        <w:t>47, 25 februari 2010)</w:t>
      </w:r>
      <w:r w:rsidRPr="00426625">
        <w:rPr>
          <w:rFonts w:ascii="Times New Roman" w:hAnsi="Times New Roman"/>
          <w:color w:val="000000"/>
          <w:shd w:val="clear" w:color="auto" w:fill="FFFFFF"/>
        </w:rPr>
        <w:t>.</w:t>
      </w:r>
    </w:p>
  </w:footnote>
  <w:footnote w:id="93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24 van wet nr. 2000-321 van 12 april 2000 inzake de rechten van burgers in hun betrekkingen met de overheid (</w:t>
      </w:r>
      <w:r w:rsidRPr="00426625">
        <w:rPr>
          <w:rFonts w:ascii="Times New Roman" w:hAnsi="Times New Roman"/>
          <w:i/>
        </w:rPr>
        <w:t xml:space="preserve">JORF </w:t>
      </w:r>
      <w:r w:rsidRPr="00426625">
        <w:rPr>
          <w:rFonts w:ascii="Times New Roman" w:hAnsi="Times New Roman"/>
        </w:rPr>
        <w:t>88, 13 april 2000).</w:t>
      </w:r>
    </w:p>
  </w:footnote>
  <w:footnote w:id="93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226-13 CP, ingevoerd door de bijlage van wet nr. 92-684 van 22 juli 1992 houdende hervorming van de bepalingen van de </w:t>
      </w:r>
      <w:r w:rsidRPr="00426625">
        <w:rPr>
          <w:rFonts w:ascii="Times New Roman" w:hAnsi="Times New Roman"/>
          <w:i/>
        </w:rPr>
        <w:t xml:space="preserve">code pénal </w:t>
      </w:r>
      <w:r w:rsidRPr="00426625">
        <w:rPr>
          <w:rFonts w:ascii="Times New Roman" w:hAnsi="Times New Roman"/>
        </w:rPr>
        <w:t>met betrekking tot onderdrukking van misdaden en delicten tegen personen I (</w:t>
      </w:r>
      <w:r w:rsidRPr="00426625">
        <w:rPr>
          <w:rFonts w:ascii="Times New Roman" w:hAnsi="Times New Roman"/>
          <w:i/>
        </w:rPr>
        <w:t>JORF</w:t>
      </w:r>
      <w:r w:rsidRPr="00426625">
        <w:rPr>
          <w:rFonts w:ascii="Times New Roman" w:hAnsi="Times New Roman"/>
        </w:rPr>
        <w:t xml:space="preserve"> 169, 23 juli 1992), gewijzigd door art. 3 van beschikking nr. 2000-916 van 19 september 2000 houdende aanpassing van de waarde van de in wetteksten uitgedrukte bedragen in franken aan de euro (</w:t>
      </w:r>
      <w:r w:rsidRPr="00426625">
        <w:rPr>
          <w:rFonts w:ascii="Times New Roman" w:hAnsi="Times New Roman"/>
          <w:i/>
        </w:rPr>
        <w:t>JORF</w:t>
      </w:r>
      <w:r w:rsidRPr="00426625">
        <w:rPr>
          <w:rFonts w:ascii="Times New Roman" w:hAnsi="Times New Roman"/>
        </w:rPr>
        <w:t xml:space="preserve"> 220, 22 sep</w:t>
      </w:r>
      <w:r>
        <w:rPr>
          <w:rFonts w:ascii="Times New Roman" w:hAnsi="Times New Roman"/>
        </w:rPr>
        <w:t>-</w:t>
      </w:r>
      <w:r w:rsidRPr="00426625">
        <w:rPr>
          <w:rFonts w:ascii="Times New Roman" w:hAnsi="Times New Roman"/>
        </w:rPr>
        <w:t xml:space="preserve">tember 2000). </w:t>
      </w:r>
    </w:p>
  </w:footnote>
  <w:footnote w:id="93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5 van wet nr. 2008-696 van 15 juli 2008 betreffende de archieven I (</w:t>
      </w:r>
      <w:r w:rsidRPr="00426625">
        <w:rPr>
          <w:rFonts w:ascii="Times New Roman" w:hAnsi="Times New Roman"/>
          <w:i/>
        </w:rPr>
        <w:t>JORF</w:t>
      </w:r>
      <w:r w:rsidRPr="00426625">
        <w:rPr>
          <w:rFonts w:ascii="Times New Roman" w:hAnsi="Times New Roman"/>
        </w:rPr>
        <w:t xml:space="preserve"> 164, 16 juli 2008).</w:t>
      </w:r>
    </w:p>
  </w:footnote>
  <w:footnote w:id="937">
    <w:p w:rsidR="00E82D16" w:rsidRPr="00426625" w:rsidRDefault="00E82D16" w:rsidP="00426625">
      <w:pPr>
        <w:pStyle w:val="Voetnoottekst"/>
        <w:ind w:firstLine="1"/>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21 van wet nr. 2009-879 van 21 juli 2009 houdende ziekenhuishervorming en betreffende patiënten, ge</w:t>
      </w:r>
      <w:r>
        <w:rPr>
          <w:rFonts w:ascii="Times New Roman" w:hAnsi="Times New Roman"/>
        </w:rPr>
        <w:t>-</w:t>
      </w:r>
      <w:r w:rsidRPr="00426625">
        <w:rPr>
          <w:rFonts w:ascii="Times New Roman" w:hAnsi="Times New Roman"/>
        </w:rPr>
        <w:t>zondheid en verzorgingsgebieden (</w:t>
      </w:r>
      <w:r w:rsidRPr="00426625">
        <w:rPr>
          <w:rFonts w:ascii="Times New Roman" w:hAnsi="Times New Roman"/>
          <w:i/>
          <w:iCs/>
        </w:rPr>
        <w:t xml:space="preserve">JORF </w:t>
      </w:r>
      <w:r w:rsidRPr="00426625">
        <w:rPr>
          <w:rFonts w:ascii="Times New Roman" w:hAnsi="Times New Roman"/>
        </w:rPr>
        <w:t>77, 1 april 2010), dat art. L. 1111-8 CSP wijzigt.</w:t>
      </w:r>
    </w:p>
  </w:footnote>
  <w:footnote w:id="938">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20 van wet nr. 2009-879 van 21 juli 2009 houdende ziekenhuishervorming en betreffende patiënten, ge</w:t>
      </w:r>
      <w:r>
        <w:rPr>
          <w:rFonts w:ascii="Times New Roman" w:hAnsi="Times New Roman"/>
        </w:rPr>
        <w:t>-</w:t>
      </w:r>
      <w:r w:rsidRPr="00426625">
        <w:rPr>
          <w:rFonts w:ascii="Times New Roman" w:hAnsi="Times New Roman"/>
        </w:rPr>
        <w:t>zondheid en verzorgingsgebieden (</w:t>
      </w:r>
      <w:r w:rsidRPr="00426625">
        <w:rPr>
          <w:rFonts w:ascii="Times New Roman" w:hAnsi="Times New Roman"/>
          <w:i/>
          <w:iCs/>
        </w:rPr>
        <w:t xml:space="preserve">JORF </w:t>
      </w:r>
      <w:r w:rsidRPr="00426625">
        <w:rPr>
          <w:rFonts w:ascii="Times New Roman" w:hAnsi="Times New Roman"/>
        </w:rPr>
        <w:t>77, 1 april 2010).</w:t>
      </w:r>
    </w:p>
  </w:footnote>
  <w:footnote w:id="93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Serie R van het classificatieschema dat aan het besluit van 11 maart 1968 werd toegevoegd.</w:t>
      </w:r>
    </w:p>
  </w:footnote>
  <w:footnote w:id="940">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SEGUI-SAULNIER, ‘Le décret du 4 janvier 2006 relatif à l’hébergement des données de santé à caractère personnel – Fiche de synthèse’, </w:t>
      </w:r>
      <w:r w:rsidRPr="00E333B6">
        <w:rPr>
          <w:rFonts w:ascii="Times New Roman" w:hAnsi="Times New Roman"/>
          <w:i/>
          <w:lang w:val="fr-BE"/>
        </w:rPr>
        <w:t>A.J.S.</w:t>
      </w:r>
      <w:r w:rsidRPr="00E333B6">
        <w:rPr>
          <w:rFonts w:ascii="Times New Roman" w:hAnsi="Times New Roman"/>
          <w:lang w:val="fr-BE"/>
        </w:rPr>
        <w:t>, 53 (2006), p. 22.</w:t>
      </w:r>
    </w:p>
  </w:footnote>
  <w:footnote w:id="941">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POINSOTTE, V., ‘A propos de la réglementation des archives médicales hospitalières’, p. 383.</w:t>
      </w:r>
    </w:p>
  </w:footnote>
  <w:footnote w:id="94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2232 CC, gewijzigd door art. 1 van wet nr. 2008-561 van 17 juni 2008 houdende hervorming van verja</w:t>
      </w:r>
      <w:r>
        <w:rPr>
          <w:rFonts w:ascii="Times New Roman" w:hAnsi="Times New Roman"/>
        </w:rPr>
        <w:t>-</w:t>
      </w:r>
      <w:r w:rsidRPr="00426625">
        <w:rPr>
          <w:rFonts w:ascii="Times New Roman" w:hAnsi="Times New Roman"/>
        </w:rPr>
        <w:t>ring in burgerlijke zaken I (</w:t>
      </w:r>
      <w:r w:rsidRPr="00426625">
        <w:rPr>
          <w:rFonts w:ascii="Times New Roman" w:hAnsi="Times New Roman"/>
          <w:i/>
        </w:rPr>
        <w:t>JORF</w:t>
      </w:r>
      <w:r w:rsidRPr="00426625">
        <w:rPr>
          <w:rFonts w:ascii="Times New Roman" w:hAnsi="Times New Roman"/>
        </w:rPr>
        <w:t xml:space="preserve"> 141, 18 juni 2008).</w:t>
      </w:r>
    </w:p>
  </w:footnote>
  <w:footnote w:id="94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6148-1 CSP, ingevoerd door artikel 92 van wet nr. 2002-303 van 4 maart 2002 en gewijzigd door art. 3 van beschikking nr. 2006-460 van 21 april 2006 met betrekking tot het wettelijk gedeelte van de </w:t>
      </w:r>
      <w:r w:rsidRPr="00426625">
        <w:rPr>
          <w:rFonts w:ascii="Times New Roman" w:hAnsi="Times New Roman"/>
          <w:i/>
        </w:rPr>
        <w:t>code général de la propriété des personnes publiques</w:t>
      </w:r>
      <w:r w:rsidRPr="00426625">
        <w:rPr>
          <w:rFonts w:ascii="Times New Roman" w:hAnsi="Times New Roman"/>
        </w:rPr>
        <w:t xml:space="preserve"> (</w:t>
      </w:r>
      <w:r w:rsidRPr="00426625">
        <w:rPr>
          <w:rFonts w:ascii="Times New Roman" w:hAnsi="Times New Roman"/>
          <w:i/>
        </w:rPr>
        <w:t>JORF</w:t>
      </w:r>
      <w:r w:rsidRPr="00426625">
        <w:rPr>
          <w:rFonts w:ascii="Times New Roman" w:hAnsi="Times New Roman"/>
        </w:rPr>
        <w:t xml:space="preserve"> 95, 22 april 2006); L. 212-1 CDP, ingevoerd door art. 5 van wet nr. 2008-696 van 15 juli 2008. Ook in de eerste Archiefwet werd deze bepaling opgenomen. Art. 3 § 2 van wet nr. 79-18 van 3 januari 1979.</w:t>
      </w:r>
    </w:p>
  </w:footnote>
  <w:footnote w:id="944">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Zie deel 1.</w:t>
      </w:r>
    </w:p>
  </w:footnote>
  <w:footnote w:id="945">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Zie supra.</w:t>
      </w:r>
    </w:p>
  </w:footnote>
  <w:footnote w:id="946">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Art. R. 1112-7 § 3 CSP, gewijzigd door art. 2 van besluit nr. 2006-6 van 4 januari 2006; </w:t>
      </w:r>
      <w:r w:rsidRPr="00426625">
        <w:rPr>
          <w:rFonts w:ascii="Times New Roman" w:hAnsi="Times New Roman"/>
          <w:lang w:val="fr-BE"/>
        </w:rPr>
        <w:t xml:space="preserve">DUPONT, M., ‘L’évolution du droit hospitalier et ses incidences sur les archives’, p. 7-8; </w:t>
      </w:r>
      <w:r w:rsidRPr="00E333B6">
        <w:rPr>
          <w:rFonts w:ascii="Times New Roman" w:hAnsi="Times New Roman"/>
          <w:lang w:val="fr-BE"/>
        </w:rPr>
        <w:t>L’HEUREUX, R., ‘La gestion des ar</w:t>
      </w:r>
      <w:r>
        <w:rPr>
          <w:rFonts w:ascii="Times New Roman" w:hAnsi="Times New Roman"/>
          <w:lang w:val="fr-BE"/>
        </w:rPr>
        <w:t>-</w:t>
      </w:r>
      <w:r w:rsidRPr="00E333B6">
        <w:rPr>
          <w:rFonts w:ascii="Times New Roman" w:hAnsi="Times New Roman"/>
          <w:lang w:val="fr-BE"/>
        </w:rPr>
        <w:t>chives hospitalières en France: l’exemple de l'Assistance publique – Hôpitaux de Paris’, p. 16.</w:t>
      </w:r>
    </w:p>
  </w:footnote>
  <w:footnote w:id="94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Art. L. 1142-28 CSP, ingevoerd door art. 98 van wet nr. 2002-303 van 4 maart 2002 en aangevuld door art. 20 van wet nr. 2008-561 van 17 juni 2008; SEGUI, S., ‘Le délai de conservation de certaines archives hospita</w:t>
      </w:r>
      <w:r>
        <w:rPr>
          <w:rFonts w:ascii="Times New Roman" w:hAnsi="Times New Roman"/>
        </w:rPr>
        <w:t>-</w:t>
      </w:r>
      <w:r w:rsidRPr="00426625">
        <w:rPr>
          <w:rFonts w:ascii="Times New Roman" w:hAnsi="Times New Roman"/>
        </w:rPr>
        <w:t xml:space="preserve">lières’, </w:t>
      </w:r>
      <w:r w:rsidRPr="00426625">
        <w:rPr>
          <w:rFonts w:ascii="Times New Roman" w:hAnsi="Times New Roman"/>
          <w:i/>
        </w:rPr>
        <w:t>R.H.F.</w:t>
      </w:r>
      <w:r w:rsidRPr="00426625">
        <w:rPr>
          <w:rFonts w:ascii="Times New Roman" w:hAnsi="Times New Roman"/>
        </w:rPr>
        <w:t>, 496 (2004), p. 62-66.</w:t>
      </w:r>
    </w:p>
  </w:footnote>
  <w:footnote w:id="94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L’HEUREUX, ‘La gestion des archives hospitalières en France’, p. 16.</w:t>
      </w:r>
    </w:p>
  </w:footnote>
  <w:footnote w:id="949">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FORLIVESI, O., ‘Le controle scientifique et technique au CHU de Tours’, </w:t>
      </w:r>
      <w:r w:rsidRPr="00E333B6">
        <w:rPr>
          <w:rFonts w:ascii="Times New Roman" w:hAnsi="Times New Roman"/>
          <w:i/>
          <w:lang w:val="fr-BE"/>
        </w:rPr>
        <w:t>La Gazette des Archives</w:t>
      </w:r>
      <w:r w:rsidRPr="00E333B6">
        <w:rPr>
          <w:rFonts w:ascii="Times New Roman" w:hAnsi="Times New Roman"/>
          <w:lang w:val="fr-BE"/>
        </w:rPr>
        <w:t xml:space="preserve"> </w:t>
      </w:r>
      <w:r w:rsidRPr="00E333B6">
        <w:rPr>
          <w:rFonts w:ascii="Times New Roman" w:hAnsi="Times New Roman"/>
          <w:i/>
          <w:lang w:val="fr-BE"/>
        </w:rPr>
        <w:t>– Nouvel</w:t>
      </w:r>
      <w:r>
        <w:rPr>
          <w:rFonts w:ascii="Times New Roman" w:hAnsi="Times New Roman"/>
          <w:i/>
          <w:lang w:val="fr-BE"/>
        </w:rPr>
        <w:t>-</w:t>
      </w:r>
      <w:r w:rsidRPr="00E333B6">
        <w:rPr>
          <w:rFonts w:ascii="Times New Roman" w:hAnsi="Times New Roman"/>
          <w:i/>
          <w:lang w:val="fr-BE"/>
        </w:rPr>
        <w:t>le série</w:t>
      </w:r>
      <w:r w:rsidRPr="00E333B6">
        <w:rPr>
          <w:rFonts w:ascii="Times New Roman" w:hAnsi="Times New Roman"/>
          <w:lang w:val="fr-BE"/>
        </w:rPr>
        <w:t>, 205 (2007), p. 16.</w:t>
      </w:r>
    </w:p>
  </w:footnote>
  <w:footnote w:id="950">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supra.</w:t>
      </w:r>
    </w:p>
  </w:footnote>
  <w:footnote w:id="951">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Richtlijn 2005/61/EG van de Commissie van 30 september 2005 ter uitvoering van Richtlijn 2002/98/EG van het Europees Parlement en de Raad wat betreft de traceerbaarheidsvoorschriften en de melding van ernstige on</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gewenste bijwerkingen en voorvallen (</w:t>
      </w:r>
      <w:r w:rsidRPr="00426625">
        <w:rPr>
          <w:rFonts w:ascii="Times New Roman" w:eastAsia="Times New Roman" w:hAnsi="Times New Roman"/>
          <w:i/>
          <w:lang w:eastAsia="nl-BE"/>
        </w:rPr>
        <w:t xml:space="preserve">Pb.EG L. </w:t>
      </w:r>
      <w:r w:rsidRPr="00426625">
        <w:rPr>
          <w:rFonts w:ascii="Times New Roman" w:eastAsia="Times New Roman" w:hAnsi="Times New Roman"/>
          <w:lang w:eastAsia="nl-BE"/>
        </w:rPr>
        <w:t>256, 1 oktober</w:t>
      </w:r>
      <w:r w:rsidRPr="00426625">
        <w:rPr>
          <w:rFonts w:ascii="Times New Roman" w:eastAsia="Times New Roman" w:hAnsi="Times New Roman"/>
          <w:i/>
          <w:lang w:eastAsia="nl-BE"/>
        </w:rPr>
        <w:t xml:space="preserve"> </w:t>
      </w:r>
      <w:r w:rsidRPr="00426625">
        <w:rPr>
          <w:rFonts w:ascii="Times New Roman" w:eastAsia="Times New Roman" w:hAnsi="Times New Roman"/>
          <w:lang w:eastAsia="nl-BE"/>
        </w:rPr>
        <w:t>2005</w:t>
      </w:r>
      <w:r w:rsidRPr="00426625">
        <w:rPr>
          <w:rFonts w:ascii="Times New Roman" w:eastAsia="Times New Roman" w:hAnsi="Times New Roman"/>
          <w:color w:val="000000"/>
          <w:lang w:eastAsia="nl-BE"/>
        </w:rPr>
        <w:t>), omgezet in het Franse recht door de be</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slissing van 7 mei 2007 tot vaststelling van de vorm, de inhoud en op de modaliteiten voor de afgifte van het for</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mulier van een ernstig incident (</w:t>
      </w:r>
      <w:r w:rsidRPr="00426625">
        <w:rPr>
          <w:rFonts w:ascii="Times New Roman" w:eastAsia="Times New Roman" w:hAnsi="Times New Roman"/>
          <w:i/>
          <w:color w:val="000000"/>
          <w:lang w:eastAsia="nl-BE"/>
        </w:rPr>
        <w:t>JORF</w:t>
      </w:r>
      <w:r w:rsidRPr="00426625">
        <w:rPr>
          <w:rFonts w:ascii="Times New Roman" w:eastAsia="Times New Roman" w:hAnsi="Times New Roman"/>
          <w:color w:val="000000"/>
          <w:lang w:eastAsia="nl-BE"/>
        </w:rPr>
        <w:t xml:space="preserve"> 108, 10 mei 2007).</w:t>
      </w:r>
    </w:p>
  </w:footnote>
  <w:footnote w:id="952">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 xml:space="preserve">Interministeriële instructie nr. DHOS/DAF van 14 augustus 2007 betreffende de bewaring van het medisch dossier. </w:t>
      </w:r>
    </w:p>
  </w:footnote>
  <w:footnote w:id="953">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Besluit van 11 april 2008 betreffende de regels van goede klinische en biologische praktijken tijdens de me</w:t>
      </w:r>
      <w:r>
        <w:rPr>
          <w:rFonts w:ascii="Times New Roman" w:eastAsia="Times New Roman" w:hAnsi="Times New Roman"/>
          <w:color w:val="000000"/>
          <w:lang w:eastAsia="nl-BE"/>
        </w:rPr>
        <w:t>-</w:t>
      </w:r>
      <w:r w:rsidRPr="00426625">
        <w:rPr>
          <w:rFonts w:ascii="Times New Roman" w:eastAsia="Times New Roman" w:hAnsi="Times New Roman"/>
          <w:color w:val="000000"/>
          <w:lang w:eastAsia="nl-BE"/>
        </w:rPr>
        <w:t>dische hulpverlening bij de voortplanting (</w:t>
      </w:r>
      <w:r w:rsidRPr="00426625">
        <w:rPr>
          <w:rFonts w:ascii="Times New Roman" w:eastAsia="Times New Roman" w:hAnsi="Times New Roman"/>
          <w:i/>
          <w:color w:val="000000"/>
          <w:lang w:eastAsia="nl-BE"/>
        </w:rPr>
        <w:t>JORF</w:t>
      </w:r>
      <w:r w:rsidRPr="00426625">
        <w:rPr>
          <w:rFonts w:ascii="Times New Roman" w:eastAsia="Times New Roman" w:hAnsi="Times New Roman"/>
          <w:color w:val="000000"/>
          <w:lang w:eastAsia="nl-BE"/>
        </w:rPr>
        <w:t xml:space="preserve"> 119, 23 mei 2008).</w:t>
      </w:r>
    </w:p>
  </w:footnote>
  <w:footnote w:id="954">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lang w:eastAsia="nl-BE"/>
        </w:rPr>
        <w:t>Rondzendbrief van 2 augustus 1960 inzake de uitreiking van röntgenfoto's aan patiënten van openbare zieken</w:t>
      </w:r>
      <w:r>
        <w:rPr>
          <w:rFonts w:ascii="Times New Roman" w:eastAsia="Times New Roman" w:hAnsi="Times New Roman"/>
          <w:lang w:eastAsia="nl-BE"/>
        </w:rPr>
        <w:t>-</w:t>
      </w:r>
      <w:r w:rsidRPr="00426625">
        <w:rPr>
          <w:rFonts w:ascii="Times New Roman" w:eastAsia="Times New Roman" w:hAnsi="Times New Roman"/>
          <w:lang w:eastAsia="nl-BE"/>
        </w:rPr>
        <w:t>huizen en verplegingscentra</w:t>
      </w:r>
      <w:r w:rsidRPr="00426625">
        <w:rPr>
          <w:rFonts w:ascii="Times New Roman" w:hAnsi="Times New Roman"/>
        </w:rPr>
        <w:t>.</w:t>
      </w:r>
    </w:p>
  </w:footnote>
  <w:footnote w:id="955">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Rondzendbrief AD 94-11 van 20 oktober 1994. Selectie en bewaring van documenten die na 1968 geprodu</w:t>
      </w:r>
      <w:r>
        <w:rPr>
          <w:rFonts w:ascii="Times New Roman" w:hAnsi="Times New Roman"/>
        </w:rPr>
        <w:t>-</w:t>
      </w:r>
      <w:r w:rsidRPr="00426625">
        <w:rPr>
          <w:rFonts w:ascii="Times New Roman" w:hAnsi="Times New Roman"/>
        </w:rPr>
        <w:t xml:space="preserve">ceerd werden door openbare verzorgingsinstellingen: archieven van de algemene administratie van de instelling. </w:t>
      </w:r>
    </w:p>
  </w:footnote>
  <w:footnote w:id="956">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Besluit van 8 november 2006 tot vaststelling van de bewaartermijn door de promotor en de onderzoeker van de documenten en gegevens betreffende een biomedisch onderzoek naar geneesmiddelen voor menselijk gebruik (</w:t>
      </w:r>
      <w:r w:rsidRPr="00426625">
        <w:rPr>
          <w:rFonts w:ascii="Times New Roman" w:eastAsia="Times New Roman" w:hAnsi="Times New Roman"/>
          <w:i/>
          <w:color w:val="000000"/>
          <w:lang w:eastAsia="nl-BE"/>
        </w:rPr>
        <w:t>JORF</w:t>
      </w:r>
      <w:r w:rsidRPr="00426625">
        <w:rPr>
          <w:rFonts w:ascii="Times New Roman" w:eastAsia="Times New Roman" w:hAnsi="Times New Roman"/>
          <w:color w:val="000000"/>
          <w:lang w:eastAsia="nl-BE"/>
        </w:rPr>
        <w:t xml:space="preserve"> 270, 22 november 2006).</w:t>
      </w:r>
    </w:p>
  </w:footnote>
  <w:footnote w:id="957">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w:t>
      </w:r>
      <w:r w:rsidRPr="00426625">
        <w:rPr>
          <w:rFonts w:ascii="Times New Roman" w:eastAsia="Times New Roman" w:hAnsi="Times New Roman"/>
          <w:color w:val="000000"/>
          <w:lang w:eastAsia="nl-BE"/>
        </w:rPr>
        <w:t>Besluit van 11 augustus 2008 tot vaststelling van de bewaartermijn door de promotor en de onderzoeker van de documenten en gegevens betreffende een biomedisch onderzoek naar andere zaken dan geneesmiddelen voor menselijk gebruik (</w:t>
      </w:r>
      <w:r w:rsidRPr="00426625">
        <w:rPr>
          <w:rFonts w:ascii="Times New Roman" w:eastAsia="Times New Roman" w:hAnsi="Times New Roman"/>
          <w:i/>
          <w:color w:val="000000"/>
          <w:lang w:eastAsia="nl-BE"/>
        </w:rPr>
        <w:t>JORF</w:t>
      </w:r>
      <w:r w:rsidRPr="00426625">
        <w:rPr>
          <w:rFonts w:ascii="Times New Roman" w:eastAsia="Times New Roman" w:hAnsi="Times New Roman"/>
          <w:color w:val="000000"/>
          <w:lang w:eastAsia="nl-BE"/>
        </w:rPr>
        <w:t xml:space="preserve"> 200, 28 augustus 2008).</w:t>
      </w:r>
    </w:p>
  </w:footnote>
  <w:footnote w:id="958">
    <w:p w:rsidR="00E82D16" w:rsidRPr="00E333B6" w:rsidRDefault="00E82D16" w:rsidP="00426625">
      <w:pPr>
        <w:pStyle w:val="Voetnoottekst"/>
        <w:jc w:val="both"/>
        <w:rPr>
          <w:rFonts w:ascii="Times New Roman" w:hAnsi="Times New Roman"/>
          <w:lang w:val="fr-BE"/>
        </w:rPr>
      </w:pPr>
      <w:r w:rsidRPr="00426625">
        <w:rPr>
          <w:rStyle w:val="Voetnootmarkering"/>
          <w:rFonts w:ascii="Times New Roman" w:hAnsi="Times New Roman"/>
        </w:rPr>
        <w:footnoteRef/>
      </w:r>
      <w:r w:rsidRPr="00E333B6">
        <w:rPr>
          <w:rFonts w:ascii="Times New Roman" w:hAnsi="Times New Roman"/>
          <w:lang w:val="fr-BE"/>
        </w:rPr>
        <w:t xml:space="preserve"> Deze tabel is ontleend aan GENOT-POK, I., ‘Délais de conservation des principales archives hospitalières’, </w:t>
      </w:r>
      <w:r w:rsidRPr="00E333B6">
        <w:rPr>
          <w:rFonts w:ascii="Times New Roman" w:hAnsi="Times New Roman"/>
          <w:i/>
          <w:lang w:val="fr-BE"/>
        </w:rPr>
        <w:t>A.J.S.</w:t>
      </w:r>
      <w:r w:rsidRPr="00E333B6">
        <w:rPr>
          <w:rFonts w:ascii="Times New Roman" w:hAnsi="Times New Roman"/>
          <w:lang w:val="fr-BE"/>
        </w:rPr>
        <w:t xml:space="preserve">, 69 (2010), p. 17-19. Zie ook: SEGUI, S., ‘Le délai de conservation de certaines archives hospitalières’, </w:t>
      </w:r>
      <w:r w:rsidRPr="00E333B6">
        <w:rPr>
          <w:rFonts w:ascii="Times New Roman" w:hAnsi="Times New Roman"/>
          <w:i/>
          <w:lang w:val="fr-BE"/>
        </w:rPr>
        <w:t>R.H.F.</w:t>
      </w:r>
      <w:r w:rsidRPr="00E333B6">
        <w:rPr>
          <w:rFonts w:ascii="Times New Roman" w:hAnsi="Times New Roman"/>
          <w:lang w:val="fr-BE"/>
        </w:rPr>
        <w:t xml:space="preserve">, 496 (2004), p. 62-66; Id., ‘Le délai de conservation de certaines archives hospitalières. Les dossiers des consultations externes’, </w:t>
      </w:r>
      <w:r w:rsidRPr="00E333B6">
        <w:rPr>
          <w:rFonts w:ascii="Times New Roman" w:hAnsi="Times New Roman"/>
          <w:i/>
          <w:lang w:val="fr-BE"/>
        </w:rPr>
        <w:t>R.H.F.</w:t>
      </w:r>
      <w:r w:rsidRPr="00E333B6">
        <w:rPr>
          <w:rFonts w:ascii="Times New Roman" w:hAnsi="Times New Roman"/>
          <w:lang w:val="fr-BE"/>
        </w:rPr>
        <w:t>, 497 (2004), p. 53-57; Id., ‘Le délai de conservation de certaines archives hospi</w:t>
      </w:r>
      <w:r>
        <w:rPr>
          <w:rFonts w:ascii="Times New Roman" w:hAnsi="Times New Roman"/>
          <w:lang w:val="fr-BE"/>
        </w:rPr>
        <w:t>-</w:t>
      </w:r>
      <w:r w:rsidRPr="00E333B6">
        <w:rPr>
          <w:rFonts w:ascii="Times New Roman" w:hAnsi="Times New Roman"/>
          <w:lang w:val="fr-BE"/>
        </w:rPr>
        <w:t xml:space="preserve">talières. Les documents de service et enregistrements d’appel’, </w:t>
      </w:r>
      <w:r w:rsidRPr="00E333B6">
        <w:rPr>
          <w:rFonts w:ascii="Times New Roman" w:hAnsi="Times New Roman"/>
          <w:i/>
          <w:lang w:val="fr-BE"/>
        </w:rPr>
        <w:t>R.H.F.</w:t>
      </w:r>
      <w:r w:rsidRPr="00E333B6">
        <w:rPr>
          <w:rFonts w:ascii="Times New Roman" w:hAnsi="Times New Roman"/>
          <w:lang w:val="fr-BE"/>
        </w:rPr>
        <w:t xml:space="preserve">, 499 (2004), p. 46-54; Id., </w:t>
      </w:r>
      <w:r w:rsidRPr="00E333B6">
        <w:rPr>
          <w:rFonts w:ascii="Times New Roman" w:hAnsi="Times New Roman"/>
          <w:i/>
          <w:lang w:val="fr-BE"/>
        </w:rPr>
        <w:t>Le délai de con</w:t>
      </w:r>
      <w:r>
        <w:rPr>
          <w:rFonts w:ascii="Times New Roman" w:hAnsi="Times New Roman"/>
          <w:i/>
          <w:lang w:val="fr-BE"/>
        </w:rPr>
        <w:t>-</w:t>
      </w:r>
      <w:r w:rsidRPr="00E333B6">
        <w:rPr>
          <w:rFonts w:ascii="Times New Roman" w:hAnsi="Times New Roman"/>
          <w:i/>
          <w:lang w:val="fr-BE"/>
        </w:rPr>
        <w:t>servation de certaines archives hospitalières</w:t>
      </w:r>
      <w:r w:rsidRPr="00E333B6">
        <w:rPr>
          <w:rFonts w:ascii="Times New Roman" w:hAnsi="Times New Roman"/>
          <w:lang w:val="fr-BE"/>
        </w:rPr>
        <w:t>, s.l.n.d.</w:t>
      </w:r>
    </w:p>
  </w:footnote>
  <w:footnote w:id="959">
    <w:p w:rsidR="00E82D16" w:rsidRPr="00426625" w:rsidRDefault="00E82D16" w:rsidP="00426625">
      <w:pPr>
        <w:pStyle w:val="Voetnoottekst"/>
        <w:jc w:val="both"/>
        <w:rPr>
          <w:rFonts w:ascii="Times New Roman" w:hAnsi="Times New Roman"/>
        </w:rPr>
      </w:pPr>
      <w:r w:rsidRPr="00426625">
        <w:rPr>
          <w:rStyle w:val="Voetnootmarkering"/>
          <w:rFonts w:ascii="Times New Roman" w:hAnsi="Times New Roman"/>
        </w:rPr>
        <w:footnoteRef/>
      </w:r>
      <w:r w:rsidRPr="00426625">
        <w:rPr>
          <w:rFonts w:ascii="Times New Roman" w:hAnsi="Times New Roman"/>
        </w:rPr>
        <w:t xml:space="preserve"> Zie: </w:t>
      </w:r>
      <w:hyperlink r:id="rId177" w:history="1">
        <w:r w:rsidRPr="00426625">
          <w:rPr>
            <w:rStyle w:val="Hyperlink"/>
            <w:rFonts w:ascii="Times New Roman" w:hAnsi="Times New Roman"/>
          </w:rPr>
          <w:t>http://www.riziv.be/care/nl/nomenclature/chapters.htm</w:t>
        </w:r>
      </w:hyperlink>
      <w:r w:rsidRPr="00426625">
        <w:rPr>
          <w:rFonts w:ascii="Times New Roman" w:hAnsi="Times New Roman"/>
        </w:rPr>
        <w:t xml:space="preserve"> (laatst geraadpleegd op 23 juli 2012).</w:t>
      </w:r>
    </w:p>
  </w:footnote>
  <w:footnote w:id="960">
    <w:p w:rsidR="00E82D16" w:rsidRPr="007709A8" w:rsidRDefault="00E82D16" w:rsidP="000F560E">
      <w:pPr>
        <w:pStyle w:val="Geenafstand"/>
        <w:jc w:val="both"/>
        <w:rPr>
          <w:rFonts w:ascii="Times New Roman" w:hAnsi="Times New Roman" w:cs="Times New Roman"/>
          <w:sz w:val="20"/>
          <w:szCs w:val="20"/>
          <w:lang w:val="en-US"/>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lang w:val="en-US"/>
        </w:rPr>
        <w:t xml:space="preserve"> Zie o.a.: MEANEY, M.E., ‘Data mining, Dataveillance and Medical Information Privacy’, HUMBER, J.M.; ALMEDER, R.F. (reds.); </w:t>
      </w:r>
      <w:r w:rsidRPr="007709A8">
        <w:rPr>
          <w:rFonts w:ascii="Times New Roman" w:hAnsi="Times New Roman" w:cs="Times New Roman"/>
          <w:i/>
          <w:sz w:val="20"/>
          <w:szCs w:val="20"/>
          <w:lang w:val="en-US"/>
        </w:rPr>
        <w:t>Privacy and Health Care, Biomedical Ethics Reviews</w:t>
      </w:r>
      <w:r w:rsidRPr="007709A8">
        <w:rPr>
          <w:rFonts w:ascii="Times New Roman" w:hAnsi="Times New Roman" w:cs="Times New Roman"/>
          <w:sz w:val="20"/>
          <w:szCs w:val="20"/>
          <w:lang w:val="en-US"/>
        </w:rPr>
        <w:t>, Totowa, Humana press, 2001, p. 148.</w:t>
      </w:r>
    </w:p>
  </w:footnote>
  <w:footnote w:id="961">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Art. 15 Gw; art. 12 NGW; art. 102 CC; DELAEY, S., ‘Appartementsrecht en het recht op privacy’, </w:t>
      </w:r>
      <w:r w:rsidRPr="007709A8">
        <w:rPr>
          <w:rFonts w:ascii="Times New Roman" w:hAnsi="Times New Roman" w:cs="Times New Roman"/>
          <w:i/>
          <w:sz w:val="20"/>
          <w:szCs w:val="20"/>
        </w:rPr>
        <w:t>Jura Falc.</w:t>
      </w:r>
      <w:r w:rsidRPr="007709A8">
        <w:rPr>
          <w:rFonts w:ascii="Times New Roman" w:hAnsi="Times New Roman" w:cs="Times New Roman"/>
          <w:sz w:val="20"/>
          <w:szCs w:val="20"/>
        </w:rPr>
        <w:t>, 2001-2002, 4, p. 577-622; DOPPEGIETER, R.M.S., ‘Regelgeving aangaande informationele en ruimte</w:t>
      </w:r>
      <w:r>
        <w:rPr>
          <w:rFonts w:ascii="Times New Roman" w:hAnsi="Times New Roman" w:cs="Times New Roman"/>
          <w:sz w:val="20"/>
          <w:szCs w:val="20"/>
        </w:rPr>
        <w:t>-</w:t>
      </w:r>
      <w:r w:rsidRPr="007709A8">
        <w:rPr>
          <w:rFonts w:ascii="Times New Roman" w:hAnsi="Times New Roman" w:cs="Times New Roman"/>
          <w:sz w:val="20"/>
          <w:szCs w:val="20"/>
        </w:rPr>
        <w:t xml:space="preserve">lijke privacy’, </w:t>
      </w:r>
      <w:r w:rsidRPr="007709A8">
        <w:rPr>
          <w:rFonts w:ascii="Times New Roman" w:hAnsi="Times New Roman" w:cs="Times New Roman"/>
          <w:i/>
          <w:sz w:val="20"/>
          <w:szCs w:val="20"/>
        </w:rPr>
        <w:t>N.T.G.</w:t>
      </w:r>
      <w:r w:rsidRPr="007709A8">
        <w:rPr>
          <w:rFonts w:ascii="Times New Roman" w:hAnsi="Times New Roman" w:cs="Times New Roman"/>
          <w:sz w:val="20"/>
          <w:szCs w:val="20"/>
        </w:rPr>
        <w:t>, 137/10 (1993), p. 509-514; TIMMERMANS, R., ‘Het grondrecht op privacy in flatge</w:t>
      </w:r>
      <w:r>
        <w:rPr>
          <w:rFonts w:ascii="Times New Roman" w:hAnsi="Times New Roman" w:cs="Times New Roman"/>
          <w:sz w:val="20"/>
          <w:szCs w:val="20"/>
        </w:rPr>
        <w:t>-</w:t>
      </w:r>
      <w:r w:rsidRPr="007709A8">
        <w:rPr>
          <w:rFonts w:ascii="Times New Roman" w:hAnsi="Times New Roman" w:cs="Times New Roman"/>
          <w:sz w:val="20"/>
          <w:szCs w:val="20"/>
        </w:rPr>
        <w:t xml:space="preserve">bouwen’, </w:t>
      </w:r>
      <w:r w:rsidRPr="007709A8">
        <w:rPr>
          <w:rFonts w:ascii="Times New Roman" w:hAnsi="Times New Roman" w:cs="Times New Roman"/>
          <w:i/>
          <w:sz w:val="20"/>
          <w:szCs w:val="20"/>
        </w:rPr>
        <w:t>T.App.</w:t>
      </w:r>
      <w:r w:rsidRPr="007709A8">
        <w:rPr>
          <w:rFonts w:ascii="Times New Roman" w:hAnsi="Times New Roman" w:cs="Times New Roman"/>
          <w:sz w:val="20"/>
          <w:szCs w:val="20"/>
        </w:rPr>
        <w:t>, 2000, 3, p. 1-5.</w:t>
      </w:r>
    </w:p>
  </w:footnote>
  <w:footnote w:id="962">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Art. 22 en art. 22</w:t>
      </w:r>
      <w:r w:rsidRPr="007709A8">
        <w:rPr>
          <w:rFonts w:ascii="Times New Roman" w:hAnsi="Times New Roman" w:cs="Times New Roman"/>
          <w:i/>
          <w:sz w:val="20"/>
          <w:szCs w:val="20"/>
        </w:rPr>
        <w:t>bis</w:t>
      </w:r>
      <w:r w:rsidRPr="007709A8">
        <w:rPr>
          <w:rFonts w:ascii="Times New Roman" w:hAnsi="Times New Roman" w:cs="Times New Roman"/>
          <w:sz w:val="20"/>
          <w:szCs w:val="20"/>
        </w:rPr>
        <w:t xml:space="preserve"> Gw; art. 11 NGW; art. 16 tot art. 16-9 CC; </w:t>
      </w:r>
      <w:r w:rsidRPr="007709A8">
        <w:rPr>
          <w:rFonts w:ascii="Times New Roman" w:hAnsi="Times New Roman" w:cs="Times New Roman"/>
          <w:i/>
          <w:sz w:val="20"/>
          <w:szCs w:val="20"/>
        </w:rPr>
        <w:t>Over zichzelf beschikken? Juridische en ethi</w:t>
      </w:r>
      <w:r>
        <w:rPr>
          <w:rFonts w:ascii="Times New Roman" w:hAnsi="Times New Roman" w:cs="Times New Roman"/>
          <w:i/>
          <w:sz w:val="20"/>
          <w:szCs w:val="20"/>
        </w:rPr>
        <w:t>-</w:t>
      </w:r>
      <w:r w:rsidRPr="007709A8">
        <w:rPr>
          <w:rFonts w:ascii="Times New Roman" w:hAnsi="Times New Roman" w:cs="Times New Roman"/>
          <w:i/>
          <w:sz w:val="20"/>
          <w:szCs w:val="20"/>
        </w:rPr>
        <w:t>sche bijdragen over het leven, het lichaam en de dood</w:t>
      </w:r>
      <w:r w:rsidRPr="007709A8">
        <w:rPr>
          <w:rFonts w:ascii="Times New Roman" w:hAnsi="Times New Roman" w:cs="Times New Roman"/>
          <w:sz w:val="20"/>
          <w:szCs w:val="20"/>
        </w:rPr>
        <w:t xml:space="preserve">, Het recht in de samenleving, Antwerpen, Maklu, 1996, 628p.; LEMMENS, P., ‘Het verbod van onderwerping aan een lichamelijk of geestesonderzoek’, </w:t>
      </w:r>
      <w:r w:rsidRPr="007709A8">
        <w:rPr>
          <w:rFonts w:ascii="Times New Roman" w:hAnsi="Times New Roman" w:cs="Times New Roman"/>
          <w:i/>
          <w:sz w:val="20"/>
          <w:szCs w:val="20"/>
        </w:rPr>
        <w:t>Liber Amico</w:t>
      </w:r>
      <w:r>
        <w:rPr>
          <w:rFonts w:ascii="Times New Roman" w:hAnsi="Times New Roman" w:cs="Times New Roman"/>
          <w:i/>
          <w:sz w:val="20"/>
          <w:szCs w:val="20"/>
        </w:rPr>
        <w:t>-</w:t>
      </w:r>
      <w:r w:rsidRPr="007709A8">
        <w:rPr>
          <w:rFonts w:ascii="Times New Roman" w:hAnsi="Times New Roman" w:cs="Times New Roman"/>
          <w:i/>
          <w:sz w:val="20"/>
          <w:szCs w:val="20"/>
        </w:rPr>
        <w:t>rum E. Krings</w:t>
      </w:r>
      <w:r w:rsidRPr="007709A8">
        <w:rPr>
          <w:rFonts w:ascii="Times New Roman" w:hAnsi="Times New Roman" w:cs="Times New Roman"/>
          <w:sz w:val="20"/>
          <w:szCs w:val="20"/>
        </w:rPr>
        <w:t>, Brussel, Story-Scientia, 1991, p. 659-669; ROMAN, D., ‘Libre disposition de son corps et pro</w:t>
      </w:r>
      <w:r>
        <w:rPr>
          <w:rFonts w:ascii="Times New Roman" w:hAnsi="Times New Roman" w:cs="Times New Roman"/>
          <w:sz w:val="20"/>
          <w:szCs w:val="20"/>
        </w:rPr>
        <w:t>-</w:t>
      </w:r>
      <w:r w:rsidRPr="007709A8">
        <w:rPr>
          <w:rFonts w:ascii="Times New Roman" w:hAnsi="Times New Roman" w:cs="Times New Roman"/>
          <w:sz w:val="20"/>
          <w:szCs w:val="20"/>
        </w:rPr>
        <w:t xml:space="preserve">tection de la santé [en droit français]’, LARRALDE, J., </w:t>
      </w:r>
      <w:r w:rsidRPr="007709A8">
        <w:rPr>
          <w:rFonts w:ascii="Times New Roman" w:hAnsi="Times New Roman" w:cs="Times New Roman"/>
          <w:i/>
          <w:sz w:val="20"/>
          <w:szCs w:val="20"/>
        </w:rPr>
        <w:t>La libre disposition de son corps</w:t>
      </w:r>
      <w:r w:rsidRPr="007709A8">
        <w:rPr>
          <w:rFonts w:ascii="Times New Roman" w:hAnsi="Times New Roman" w:cs="Times New Roman"/>
          <w:sz w:val="20"/>
          <w:szCs w:val="20"/>
        </w:rPr>
        <w:t>, Droit et Justice, 88, Brussel, Bruylant, 2009, p. 199-236; ROSCAM ABBING, H.</w:t>
      </w:r>
      <w:r>
        <w:rPr>
          <w:rFonts w:ascii="Times New Roman" w:hAnsi="Times New Roman" w:cs="Times New Roman"/>
          <w:sz w:val="20"/>
          <w:szCs w:val="20"/>
        </w:rPr>
        <w:t>D.C.</w:t>
      </w:r>
      <w:r w:rsidRPr="007709A8">
        <w:rPr>
          <w:rFonts w:ascii="Times New Roman" w:hAnsi="Times New Roman" w:cs="Times New Roman"/>
          <w:sz w:val="20"/>
          <w:szCs w:val="20"/>
        </w:rPr>
        <w:t xml:space="preserve">, ‘Zelfbeschikkingsrecht en recht op integriteit van het menselijk lichaam’, </w:t>
      </w:r>
      <w:r w:rsidRPr="007709A8">
        <w:rPr>
          <w:rFonts w:ascii="Times New Roman" w:hAnsi="Times New Roman" w:cs="Times New Roman"/>
          <w:i/>
          <w:sz w:val="20"/>
          <w:szCs w:val="20"/>
        </w:rPr>
        <w:t>A.Hosp.</w:t>
      </w:r>
      <w:r w:rsidRPr="007709A8">
        <w:rPr>
          <w:rFonts w:ascii="Times New Roman" w:hAnsi="Times New Roman" w:cs="Times New Roman"/>
          <w:sz w:val="20"/>
          <w:szCs w:val="20"/>
        </w:rPr>
        <w:t>, 1983, 2, p. 5-13.</w:t>
      </w:r>
    </w:p>
  </w:footnote>
  <w:footnote w:id="963">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lang w:val="en-US"/>
        </w:rPr>
        <w:t xml:space="preserve"> Art. 29 Gw.; art. 13 NGW; art. 116-15 en art. 432-9 CP en art. </w:t>
      </w:r>
      <w:r w:rsidRPr="00E333B6">
        <w:rPr>
          <w:rFonts w:ascii="Times New Roman" w:hAnsi="Times New Roman" w:cs="Times New Roman"/>
          <w:sz w:val="20"/>
          <w:szCs w:val="20"/>
          <w:lang w:val="fr-BE"/>
        </w:rPr>
        <w:t>L. 33-1 CPCE; FLICHY, P., ‘Les communi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cations de l’intimité: Les nouvelles frontières de la vie privée’, </w:t>
      </w:r>
      <w:r w:rsidRPr="00E333B6">
        <w:rPr>
          <w:rFonts w:ascii="Times New Roman" w:hAnsi="Times New Roman" w:cs="Times New Roman"/>
          <w:i/>
          <w:sz w:val="20"/>
          <w:szCs w:val="20"/>
          <w:lang w:val="fr-BE"/>
        </w:rPr>
        <w:t>Sciences humaine</w:t>
      </w:r>
      <w:r w:rsidRPr="00E333B6">
        <w:rPr>
          <w:rFonts w:ascii="Times New Roman" w:hAnsi="Times New Roman" w:cs="Times New Roman"/>
          <w:sz w:val="20"/>
          <w:szCs w:val="20"/>
          <w:lang w:val="fr-BE"/>
        </w:rPr>
        <w:t xml:space="preserve">, 140 (2003), p. 36-39; MAISL, H., ‘Communications mobiles secret des correspondences et protection des données personnelles’, </w:t>
      </w:r>
      <w:r w:rsidRPr="00E333B6">
        <w:rPr>
          <w:rFonts w:ascii="Times New Roman" w:hAnsi="Times New Roman" w:cs="Times New Roman"/>
          <w:i/>
          <w:sz w:val="20"/>
          <w:szCs w:val="20"/>
          <w:lang w:val="fr-BE"/>
        </w:rPr>
        <w:t>D.I.T.</w:t>
      </w:r>
      <w:r w:rsidRPr="00E333B6">
        <w:rPr>
          <w:rFonts w:ascii="Times New Roman" w:hAnsi="Times New Roman" w:cs="Times New Roman"/>
          <w:sz w:val="20"/>
          <w:szCs w:val="20"/>
          <w:lang w:val="fr-BE"/>
        </w:rPr>
        <w:t xml:space="preserve">, 1995, 2, p. 13-20; WALRAVE, M., </w:t>
      </w:r>
      <w:r w:rsidRPr="00E333B6">
        <w:rPr>
          <w:rFonts w:ascii="Times New Roman" w:hAnsi="Times New Roman" w:cs="Times New Roman"/>
          <w:i/>
          <w:sz w:val="20"/>
          <w:szCs w:val="20"/>
          <w:lang w:val="fr-BE"/>
        </w:rPr>
        <w:t>Direct marketing en privacy: de verhouding tussen direct marketingcommunicatie en de bescherming van de informationele en de relationele privacy van consumenten</w:t>
      </w:r>
      <w:r w:rsidRPr="00E333B6">
        <w:rPr>
          <w:rFonts w:ascii="Times New Roman" w:hAnsi="Times New Roman" w:cs="Times New Roman"/>
          <w:sz w:val="20"/>
          <w:szCs w:val="20"/>
          <w:lang w:val="fr-BE"/>
        </w:rPr>
        <w:t xml:space="preserve">, KULeuven. </w:t>
      </w:r>
      <w:r w:rsidRPr="007709A8">
        <w:rPr>
          <w:rFonts w:ascii="Times New Roman" w:hAnsi="Times New Roman" w:cs="Times New Roman"/>
          <w:sz w:val="20"/>
          <w:szCs w:val="20"/>
        </w:rPr>
        <w:t>Nieuwe reeks van doctoraten in de sociale wetenschappen, 38, Leuven, 1999, 512p.</w:t>
      </w:r>
    </w:p>
  </w:footnote>
  <w:footnote w:id="964">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Art. 22 Gw.; art. 10 NGW; art. 9 CC; OVERKLEEFT-VERBURG, G., ‘Eenheid en verscheidenheid van recht in de informatiemaatschappij. De Europese dimensie van het (grond)recht op privacy en gegevensbescher</w:t>
      </w:r>
      <w:r>
        <w:rPr>
          <w:rFonts w:ascii="Times New Roman" w:hAnsi="Times New Roman" w:cs="Times New Roman"/>
          <w:sz w:val="20"/>
          <w:szCs w:val="20"/>
        </w:rPr>
        <w:t>-</w:t>
      </w:r>
      <w:r w:rsidRPr="007709A8">
        <w:rPr>
          <w:rFonts w:ascii="Times New Roman" w:hAnsi="Times New Roman" w:cs="Times New Roman"/>
          <w:sz w:val="20"/>
          <w:szCs w:val="20"/>
        </w:rPr>
        <w:t xml:space="preserve">ming’, GAAKEER, A.M.P.; LOTH, M.A. (reds.); </w:t>
      </w:r>
      <w:r w:rsidRPr="007709A8">
        <w:rPr>
          <w:rFonts w:ascii="Times New Roman" w:hAnsi="Times New Roman" w:cs="Times New Roman"/>
          <w:i/>
          <w:sz w:val="20"/>
          <w:szCs w:val="20"/>
        </w:rPr>
        <w:t>Eenheid en verscheidenheid in recht en rechtswetenschap</w:t>
      </w:r>
      <w:r w:rsidRPr="007709A8">
        <w:rPr>
          <w:rFonts w:ascii="Times New Roman" w:hAnsi="Times New Roman" w:cs="Times New Roman"/>
          <w:sz w:val="20"/>
          <w:szCs w:val="20"/>
        </w:rPr>
        <w:t xml:space="preserve">, Rotterdam, 2002, p. 139-169; SCHRODER, P., ‘Het rijk alleen. Bescherming van persoonsgegevens, de relatie tussen informationele en maatschappelijk bewegingsvrijheid’, </w:t>
      </w:r>
      <w:r w:rsidRPr="007709A8">
        <w:rPr>
          <w:rFonts w:ascii="Times New Roman" w:hAnsi="Times New Roman" w:cs="Times New Roman"/>
          <w:i/>
          <w:sz w:val="20"/>
          <w:szCs w:val="20"/>
        </w:rPr>
        <w:t>Privacy geregistreerd. Visies op de maatschappe</w:t>
      </w:r>
      <w:r>
        <w:rPr>
          <w:rFonts w:ascii="Times New Roman" w:hAnsi="Times New Roman" w:cs="Times New Roman"/>
          <w:i/>
          <w:sz w:val="20"/>
          <w:szCs w:val="20"/>
        </w:rPr>
        <w:t>-</w:t>
      </w:r>
      <w:r w:rsidRPr="007709A8">
        <w:rPr>
          <w:rFonts w:ascii="Times New Roman" w:hAnsi="Times New Roman" w:cs="Times New Roman"/>
          <w:i/>
          <w:sz w:val="20"/>
          <w:szCs w:val="20"/>
        </w:rPr>
        <w:t>lijke betekenis van privacy</w:t>
      </w:r>
      <w:r w:rsidRPr="007709A8">
        <w:rPr>
          <w:rFonts w:ascii="Times New Roman" w:hAnsi="Times New Roman" w:cs="Times New Roman"/>
          <w:sz w:val="20"/>
          <w:szCs w:val="20"/>
        </w:rPr>
        <w:t>, 1998, p. 247-279.</w:t>
      </w:r>
    </w:p>
  </w:footnote>
  <w:footnote w:id="965">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BLOK, P.H., </w:t>
      </w:r>
      <w:r w:rsidRPr="007709A8">
        <w:rPr>
          <w:rFonts w:ascii="Times New Roman" w:hAnsi="Times New Roman" w:cs="Times New Roman"/>
          <w:i/>
          <w:sz w:val="20"/>
          <w:szCs w:val="20"/>
        </w:rPr>
        <w:t>Het recht op privacy</w:t>
      </w:r>
      <w:r>
        <w:rPr>
          <w:rFonts w:ascii="Times New Roman" w:hAnsi="Times New Roman" w:cs="Times New Roman"/>
          <w:i/>
          <w:sz w:val="20"/>
          <w:szCs w:val="20"/>
        </w:rPr>
        <w:t>: een onderzoek naar de betekenis van het begrip ‘privacy’ in het Neder-landse en Amerikaanse recht</w:t>
      </w:r>
      <w:r w:rsidRPr="007709A8">
        <w:rPr>
          <w:rFonts w:ascii="Times New Roman" w:hAnsi="Times New Roman" w:cs="Times New Roman"/>
          <w:sz w:val="20"/>
          <w:szCs w:val="20"/>
        </w:rPr>
        <w:t xml:space="preserve">, Den Haag, Boom Juridische Uitgevers, 2002,  p. 321; KRANENBORG, H.R., </w:t>
      </w:r>
      <w:r w:rsidRPr="007709A8">
        <w:rPr>
          <w:rFonts w:ascii="Times New Roman" w:hAnsi="Times New Roman" w:cs="Times New Roman"/>
          <w:i/>
          <w:sz w:val="20"/>
          <w:szCs w:val="20"/>
        </w:rPr>
        <w:t>Toegang tot documenten en bescherming van persoonsgegevens in de Europese Unie</w:t>
      </w:r>
      <w:r w:rsidRPr="007709A8">
        <w:rPr>
          <w:rFonts w:ascii="Times New Roman" w:hAnsi="Times New Roman" w:cs="Times New Roman"/>
          <w:sz w:val="20"/>
          <w:szCs w:val="20"/>
        </w:rPr>
        <w:t xml:space="preserve">, p. 110; NABBEN, P.F.P.; VAN DE LUYTGAARDEN, H.J.L.M.; </w:t>
      </w:r>
      <w:r w:rsidRPr="007709A8">
        <w:rPr>
          <w:rFonts w:ascii="Times New Roman" w:hAnsi="Times New Roman" w:cs="Times New Roman"/>
          <w:i/>
          <w:sz w:val="20"/>
          <w:szCs w:val="20"/>
        </w:rPr>
        <w:t>De ultieme vrijheid. Een rechtstheoretische analyse van het recht op pri</w:t>
      </w:r>
      <w:r>
        <w:rPr>
          <w:rFonts w:ascii="Times New Roman" w:hAnsi="Times New Roman" w:cs="Times New Roman"/>
          <w:i/>
          <w:sz w:val="20"/>
          <w:szCs w:val="20"/>
        </w:rPr>
        <w:t>-</w:t>
      </w:r>
      <w:r w:rsidRPr="007709A8">
        <w:rPr>
          <w:rFonts w:ascii="Times New Roman" w:hAnsi="Times New Roman" w:cs="Times New Roman"/>
          <w:i/>
          <w:sz w:val="20"/>
          <w:szCs w:val="20"/>
        </w:rPr>
        <w:t>vacy</w:t>
      </w:r>
      <w:r w:rsidRPr="007709A8">
        <w:rPr>
          <w:rFonts w:ascii="Times New Roman" w:hAnsi="Times New Roman" w:cs="Times New Roman"/>
          <w:sz w:val="20"/>
          <w:szCs w:val="20"/>
        </w:rPr>
        <w:t xml:space="preserve">, Utrecht, Kluwer, 1996, p. 66; VEDDER, A.H., ‘Privacy na Babel: de vermeende ongrijpbaarheid van het privacybegrip’, </w:t>
      </w:r>
      <w:r w:rsidRPr="007709A8">
        <w:rPr>
          <w:rFonts w:ascii="Times New Roman" w:hAnsi="Times New Roman" w:cs="Times New Roman"/>
          <w:i/>
          <w:sz w:val="20"/>
          <w:szCs w:val="20"/>
        </w:rPr>
        <w:t>P&amp;I</w:t>
      </w:r>
      <w:r w:rsidRPr="007709A8">
        <w:rPr>
          <w:rFonts w:ascii="Times New Roman" w:hAnsi="Times New Roman" w:cs="Times New Roman"/>
          <w:sz w:val="20"/>
          <w:szCs w:val="20"/>
        </w:rPr>
        <w:t xml:space="preserve">, 1998, 1, p. 216-220. </w:t>
      </w:r>
    </w:p>
  </w:footnote>
  <w:footnote w:id="966">
    <w:p w:rsidR="00E82D16" w:rsidRPr="007709A8" w:rsidRDefault="00E82D16" w:rsidP="000F560E">
      <w:pPr>
        <w:pStyle w:val="Geenafstand"/>
        <w:jc w:val="both"/>
        <w:rPr>
          <w:rFonts w:ascii="Times New Roman" w:hAnsi="Times New Roman" w:cs="Times New Roman"/>
          <w:sz w:val="20"/>
          <w:szCs w:val="20"/>
          <w:lang w:val="en-US"/>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lang w:val="en-US"/>
        </w:rPr>
        <w:t xml:space="preserve"> COOLEY, T.M., </w:t>
      </w:r>
      <w:r w:rsidRPr="007709A8">
        <w:rPr>
          <w:rFonts w:ascii="Times New Roman" w:hAnsi="Times New Roman" w:cs="Times New Roman"/>
          <w:i/>
          <w:sz w:val="20"/>
          <w:szCs w:val="20"/>
          <w:lang w:val="en-US"/>
        </w:rPr>
        <w:t>A Treatise on the Law of Torts or the Wrongs Which Arise Independently of Contract</w:t>
      </w:r>
      <w:r w:rsidRPr="007709A8">
        <w:rPr>
          <w:rFonts w:ascii="Times New Roman" w:hAnsi="Times New Roman" w:cs="Times New Roman"/>
          <w:sz w:val="20"/>
          <w:szCs w:val="20"/>
          <w:lang w:val="en-US"/>
        </w:rPr>
        <w:t xml:space="preserve">, Chicago, Callaghan and Company, 1880, p. 29, geciteerd door WARREN, S.D.; BRANDEIS, L.D.; ‘The Right to Privacy’, </w:t>
      </w:r>
      <w:r w:rsidRPr="007709A8">
        <w:rPr>
          <w:rFonts w:ascii="Times New Roman" w:hAnsi="Times New Roman" w:cs="Times New Roman"/>
          <w:i/>
          <w:sz w:val="20"/>
          <w:szCs w:val="20"/>
          <w:lang w:val="en-US"/>
        </w:rPr>
        <w:t>Harvard Law Review</w:t>
      </w:r>
      <w:r w:rsidRPr="007709A8">
        <w:rPr>
          <w:rFonts w:ascii="Times New Roman" w:hAnsi="Times New Roman" w:cs="Times New Roman"/>
          <w:sz w:val="20"/>
          <w:szCs w:val="20"/>
          <w:lang w:val="en-US"/>
        </w:rPr>
        <w:t>, 4/5 (1890), p. 195 (voetnoot 4).</w:t>
      </w:r>
    </w:p>
  </w:footnote>
  <w:footnote w:id="967">
    <w:p w:rsidR="00E82D16" w:rsidRPr="007709A8" w:rsidRDefault="00E82D16" w:rsidP="000F560E">
      <w:pPr>
        <w:pStyle w:val="Geenafstand"/>
        <w:jc w:val="both"/>
        <w:rPr>
          <w:rFonts w:ascii="Times New Roman" w:hAnsi="Times New Roman" w:cs="Times New Roman"/>
          <w:sz w:val="20"/>
          <w:szCs w:val="20"/>
          <w:lang w:val="en-US"/>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lang w:val="en-US"/>
        </w:rPr>
        <w:t xml:space="preserve"> KLUITENBROUWER, F., </w:t>
      </w:r>
      <w:r w:rsidRPr="007709A8">
        <w:rPr>
          <w:rFonts w:ascii="Times New Roman" w:hAnsi="Times New Roman" w:cs="Times New Roman"/>
          <w:i/>
          <w:sz w:val="20"/>
          <w:szCs w:val="20"/>
          <w:lang w:val="en-US"/>
        </w:rPr>
        <w:t>Het recht om met rust gelaten te worden: over privacy</w:t>
      </w:r>
      <w:r w:rsidRPr="007709A8">
        <w:rPr>
          <w:rFonts w:ascii="Times New Roman" w:hAnsi="Times New Roman" w:cs="Times New Roman"/>
          <w:sz w:val="20"/>
          <w:szCs w:val="20"/>
          <w:lang w:val="en-US"/>
        </w:rPr>
        <w:t xml:space="preserve">, Amsterdam, Balans, 1991, 197p.; PARENT, W.A., ‘A New Definition of Privacy for the Law’, </w:t>
      </w:r>
      <w:r w:rsidRPr="007709A8">
        <w:rPr>
          <w:rFonts w:ascii="Times New Roman" w:hAnsi="Times New Roman" w:cs="Times New Roman"/>
          <w:i/>
          <w:sz w:val="20"/>
          <w:szCs w:val="20"/>
          <w:lang w:val="en-US"/>
        </w:rPr>
        <w:t>Law and Philosophy</w:t>
      </w:r>
      <w:r w:rsidRPr="007709A8">
        <w:rPr>
          <w:rFonts w:ascii="Times New Roman" w:hAnsi="Times New Roman" w:cs="Times New Roman"/>
          <w:sz w:val="20"/>
          <w:szCs w:val="20"/>
          <w:lang w:val="en-US"/>
        </w:rPr>
        <w:t xml:space="preserve">, 2/3 (1983), p. 305-338; PARKER, R.B., ‘A Definition of Privacy’, </w:t>
      </w:r>
      <w:r w:rsidRPr="007709A8">
        <w:rPr>
          <w:rFonts w:ascii="Times New Roman" w:hAnsi="Times New Roman" w:cs="Times New Roman"/>
          <w:i/>
          <w:sz w:val="20"/>
          <w:szCs w:val="20"/>
          <w:lang w:val="en-US"/>
        </w:rPr>
        <w:t>Rutgers Law Review</w:t>
      </w:r>
      <w:r w:rsidRPr="007709A8">
        <w:rPr>
          <w:rFonts w:ascii="Times New Roman" w:hAnsi="Times New Roman" w:cs="Times New Roman"/>
          <w:sz w:val="20"/>
          <w:szCs w:val="20"/>
          <w:lang w:val="en-US"/>
        </w:rPr>
        <w:t>, 27 (1973), p. 275-296; PASS, R.; GEHRKE, J.; LUI, E.; ‘Towards Privacy for Social Networks: A Zero-Knowledge Based Definition for Priva</w:t>
      </w:r>
      <w:r>
        <w:rPr>
          <w:rFonts w:ascii="Times New Roman" w:hAnsi="Times New Roman" w:cs="Times New Roman"/>
          <w:sz w:val="20"/>
          <w:szCs w:val="20"/>
          <w:lang w:val="en-US"/>
        </w:rPr>
        <w:t>-</w:t>
      </w:r>
      <w:r w:rsidRPr="007709A8">
        <w:rPr>
          <w:rFonts w:ascii="Times New Roman" w:hAnsi="Times New Roman" w:cs="Times New Roman"/>
          <w:sz w:val="20"/>
          <w:szCs w:val="20"/>
          <w:lang w:val="en-US"/>
        </w:rPr>
        <w:t xml:space="preserve">cy’, </w:t>
      </w:r>
      <w:r w:rsidRPr="007709A8">
        <w:rPr>
          <w:rFonts w:ascii="Times New Roman" w:hAnsi="Times New Roman" w:cs="Times New Roman"/>
          <w:i/>
          <w:sz w:val="20"/>
          <w:szCs w:val="20"/>
          <w:lang w:val="en-US"/>
        </w:rPr>
        <w:t>Theory of Cryptography</w:t>
      </w:r>
      <w:r w:rsidRPr="007709A8">
        <w:rPr>
          <w:rFonts w:ascii="Times New Roman" w:hAnsi="Times New Roman" w:cs="Times New Roman"/>
          <w:sz w:val="20"/>
          <w:szCs w:val="20"/>
          <w:lang w:val="en-US"/>
        </w:rPr>
        <w:t>, 54/2 (2011), p. 432-449.</w:t>
      </w:r>
    </w:p>
  </w:footnote>
  <w:footnote w:id="968">
    <w:p w:rsidR="00E82D16" w:rsidRPr="00E333B6" w:rsidRDefault="00E82D16" w:rsidP="000F560E">
      <w:pPr>
        <w:pStyle w:val="Geenafstand"/>
        <w:jc w:val="both"/>
        <w:rPr>
          <w:rFonts w:ascii="Times New Roman" w:hAnsi="Times New Roman" w:cs="Times New Roman"/>
          <w:sz w:val="20"/>
          <w:szCs w:val="20"/>
          <w:lang w:val="fr-BE"/>
        </w:rPr>
      </w:pPr>
      <w:r w:rsidRPr="007709A8">
        <w:rPr>
          <w:rStyle w:val="Voetnootmarkering"/>
          <w:rFonts w:ascii="Times New Roman" w:hAnsi="Times New Roman" w:cs="Times New Roman"/>
          <w:sz w:val="20"/>
          <w:szCs w:val="20"/>
        </w:rPr>
        <w:footnoteRef/>
      </w:r>
      <w:r w:rsidRPr="00D147A7">
        <w:rPr>
          <w:rFonts w:ascii="Times New Roman" w:hAnsi="Times New Roman" w:cs="Times New Roman"/>
          <w:sz w:val="20"/>
          <w:szCs w:val="20"/>
        </w:rPr>
        <w:t xml:space="preserve"> DE BECKER, P., ‘Internationale en nationale initiatieven ter bescherming van de privacy van de patiënt: en</w:t>
      </w:r>
      <w:r>
        <w:rPr>
          <w:rFonts w:ascii="Times New Roman" w:hAnsi="Times New Roman" w:cs="Times New Roman"/>
          <w:sz w:val="20"/>
          <w:szCs w:val="20"/>
        </w:rPr>
        <w:t>-</w:t>
      </w:r>
      <w:r w:rsidRPr="00D147A7">
        <w:rPr>
          <w:rFonts w:ascii="Times New Roman" w:hAnsi="Times New Roman" w:cs="Times New Roman"/>
          <w:sz w:val="20"/>
          <w:szCs w:val="20"/>
        </w:rPr>
        <w:t xml:space="preserve">kele beschouwingen’, </w:t>
      </w:r>
      <w:r w:rsidRPr="00D147A7">
        <w:rPr>
          <w:rFonts w:ascii="Times New Roman" w:hAnsi="Times New Roman" w:cs="Times New Roman"/>
          <w:i/>
          <w:sz w:val="20"/>
          <w:szCs w:val="20"/>
        </w:rPr>
        <w:t>Vl.T.Gez.</w:t>
      </w:r>
      <w:r w:rsidRPr="00D147A7">
        <w:rPr>
          <w:rFonts w:ascii="Times New Roman" w:hAnsi="Times New Roman" w:cs="Times New Roman"/>
          <w:sz w:val="20"/>
          <w:szCs w:val="20"/>
        </w:rPr>
        <w:t xml:space="preserve">, 1985-1986, p. 103-116; FERRAUD-CIANDET, N., ‘Sécurité et confidentialité des données de santé dans l’Union européenne. </w:t>
      </w:r>
      <w:r w:rsidRPr="00E333B6">
        <w:rPr>
          <w:rFonts w:ascii="Times New Roman" w:hAnsi="Times New Roman" w:cs="Times New Roman"/>
          <w:sz w:val="20"/>
          <w:szCs w:val="20"/>
          <w:lang w:val="fr-BE"/>
        </w:rPr>
        <w:t xml:space="preserve">Le cadre légal applicable aux dossiers médicaux électroniques nationaux’, </w:t>
      </w:r>
      <w:r w:rsidRPr="00E333B6">
        <w:rPr>
          <w:rFonts w:ascii="Times New Roman" w:hAnsi="Times New Roman" w:cs="Times New Roman"/>
          <w:i/>
          <w:sz w:val="20"/>
          <w:szCs w:val="20"/>
          <w:lang w:val="fr-BE"/>
        </w:rPr>
        <w:t>J.D.E.</w:t>
      </w:r>
      <w:r w:rsidRPr="00E333B6">
        <w:rPr>
          <w:rFonts w:ascii="Times New Roman" w:hAnsi="Times New Roman" w:cs="Times New Roman"/>
          <w:sz w:val="20"/>
          <w:szCs w:val="20"/>
          <w:lang w:val="fr-BE"/>
        </w:rPr>
        <w:t>, 155 (2009), p. 12-14.</w:t>
      </w:r>
    </w:p>
  </w:footnote>
  <w:footnote w:id="96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CALLENS, S., ‘Naar een bescherming van de informationele privacy in de gezondheidszorg?’, </w:t>
      </w:r>
      <w:r w:rsidRPr="007709A8">
        <w:rPr>
          <w:rFonts w:ascii="Times New Roman" w:hAnsi="Times New Roman" w:cs="Times New Roman"/>
          <w:i/>
          <w:sz w:val="20"/>
          <w:szCs w:val="20"/>
        </w:rPr>
        <w:t>A.Hosp.</w:t>
      </w:r>
      <w:r w:rsidRPr="007709A8">
        <w:rPr>
          <w:rFonts w:ascii="Times New Roman" w:hAnsi="Times New Roman" w:cs="Times New Roman"/>
          <w:sz w:val="20"/>
          <w:szCs w:val="20"/>
        </w:rPr>
        <w:t>, 1992, 2, p. 19-37; NABBEN, P.F.P.; VAN</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DE</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LUYTGAARDEN, H.J.L.M.;</w:t>
      </w:r>
      <w:r w:rsidRPr="007709A8">
        <w:rPr>
          <w:rFonts w:ascii="MS Mincho" w:eastAsia="MS Mincho" w:hAnsi="MS Mincho" w:cs="MS Mincho" w:hint="eastAsia"/>
          <w:sz w:val="20"/>
          <w:szCs w:val="20"/>
        </w:rPr>
        <w:t> </w:t>
      </w:r>
      <w:r w:rsidRPr="007709A8">
        <w:rPr>
          <w:rFonts w:ascii="Times New Roman" w:hAnsi="Times New Roman" w:cs="Times New Roman"/>
          <w:i/>
          <w:sz w:val="20"/>
          <w:szCs w:val="20"/>
        </w:rPr>
        <w:t>De</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ultieme</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vrijheid.</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Een</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rechtstheoretische</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analyse</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van</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het</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recht</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op</w:t>
      </w:r>
      <w:r w:rsidRPr="007709A8">
        <w:rPr>
          <w:rFonts w:ascii="MS Mincho" w:eastAsia="MS Mincho" w:hAnsi="MS Mincho" w:cs="MS Mincho" w:hint="eastAsia"/>
          <w:i/>
          <w:sz w:val="20"/>
          <w:szCs w:val="20"/>
        </w:rPr>
        <w:t> </w:t>
      </w:r>
      <w:r w:rsidRPr="007709A8">
        <w:rPr>
          <w:rFonts w:ascii="Times New Roman" w:hAnsi="Times New Roman" w:cs="Times New Roman"/>
          <w:i/>
          <w:sz w:val="20"/>
          <w:szCs w:val="20"/>
        </w:rPr>
        <w:t>privacy</w:t>
      </w:r>
      <w:r w:rsidRPr="007709A8">
        <w:rPr>
          <w:rFonts w:ascii="Times New Roman" w:hAnsi="Times New Roman" w:cs="Times New Roman"/>
          <w:sz w:val="20"/>
          <w:szCs w:val="20"/>
        </w:rPr>
        <w:t>,</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Utrecht,</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Kluwer,</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1996,</w:t>
      </w:r>
      <w:r w:rsidRPr="007709A8">
        <w:rPr>
          <w:rFonts w:ascii="MS Mincho" w:eastAsia="MS Mincho" w:hAnsi="MS Mincho" w:cs="MS Mincho" w:hint="eastAsia"/>
          <w:sz w:val="20"/>
          <w:szCs w:val="20"/>
        </w:rPr>
        <w:t> </w:t>
      </w:r>
      <w:r w:rsidRPr="007709A8">
        <w:rPr>
          <w:rFonts w:ascii="Times New Roman" w:hAnsi="Times New Roman" w:cs="Times New Roman"/>
          <w:sz w:val="20"/>
          <w:szCs w:val="20"/>
        </w:rPr>
        <w:t>p. 52</w:t>
      </w:r>
      <w:r w:rsidRPr="007709A8">
        <w:rPr>
          <w:rFonts w:ascii="Cambria Math" w:hAnsi="Cambria Math" w:cs="Cambria Math"/>
          <w:sz w:val="20"/>
          <w:szCs w:val="20"/>
        </w:rPr>
        <w:t>‐</w:t>
      </w:r>
      <w:r w:rsidRPr="007709A8">
        <w:rPr>
          <w:rFonts w:ascii="Times New Roman" w:hAnsi="Times New Roman" w:cs="Times New Roman"/>
          <w:sz w:val="20"/>
          <w:szCs w:val="20"/>
        </w:rPr>
        <w:t xml:space="preserve">64; NOUWT, S., </w:t>
      </w:r>
      <w:r w:rsidRPr="007709A8">
        <w:rPr>
          <w:rFonts w:ascii="Times New Roman" w:hAnsi="Times New Roman" w:cs="Times New Roman"/>
          <w:i/>
          <w:sz w:val="20"/>
          <w:szCs w:val="20"/>
        </w:rPr>
        <w:t>Zorg voor privacy. Informatietechnologie en informationele privacy in de gezondheidszorg</w:t>
      </w:r>
      <w:r w:rsidRPr="007709A8">
        <w:rPr>
          <w:rFonts w:ascii="Times New Roman" w:hAnsi="Times New Roman" w:cs="Times New Roman"/>
          <w:sz w:val="20"/>
          <w:szCs w:val="20"/>
        </w:rPr>
        <w:t xml:space="preserve">, Den Haag, Sdu, 1997, 435p.; PLOEM, M.C., ‘Informationele privacy in de gezondheidszorg: algemene privacywetgeving overbodig?’, </w:t>
      </w:r>
      <w:r w:rsidRPr="007709A8">
        <w:rPr>
          <w:rFonts w:ascii="Times New Roman" w:hAnsi="Times New Roman" w:cs="Times New Roman"/>
          <w:i/>
          <w:sz w:val="20"/>
          <w:szCs w:val="20"/>
        </w:rPr>
        <w:t>P&amp;I</w:t>
      </w:r>
      <w:r w:rsidRPr="007709A8">
        <w:rPr>
          <w:rFonts w:ascii="Times New Roman" w:hAnsi="Times New Roman" w:cs="Times New Roman"/>
          <w:sz w:val="20"/>
          <w:szCs w:val="20"/>
        </w:rPr>
        <w:t xml:space="preserve">, 2/2 (1999), p. 52-59; SAELENS, R.; DE HERT, P.; ‘Openbaarmaking van gezondheidsgegevens en het recht op privacy. De toepassing van de bescherming van persoonsgegevens blijft een moeilijke drempel’, </w:t>
      </w:r>
      <w:r w:rsidRPr="007709A8">
        <w:rPr>
          <w:rFonts w:ascii="Times New Roman" w:hAnsi="Times New Roman" w:cs="Times New Roman"/>
          <w:i/>
          <w:sz w:val="20"/>
          <w:szCs w:val="20"/>
        </w:rPr>
        <w:t>T.Gez.</w:t>
      </w:r>
      <w:r w:rsidRPr="007709A8">
        <w:rPr>
          <w:rFonts w:ascii="Times New Roman" w:hAnsi="Times New Roman" w:cs="Times New Roman"/>
          <w:sz w:val="20"/>
          <w:szCs w:val="20"/>
        </w:rPr>
        <w:t>, 2010-2011, 3, p. 280-284.</w:t>
      </w:r>
    </w:p>
  </w:footnote>
  <w:footnote w:id="970">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OOSTERLINCK, ‘Het belang van de wet van 8 december 1992 tot bescherming van de persoonlijke levens</w:t>
      </w:r>
      <w:r>
        <w:rPr>
          <w:rFonts w:ascii="Times New Roman" w:hAnsi="Times New Roman" w:cs="Times New Roman"/>
          <w:sz w:val="20"/>
          <w:szCs w:val="20"/>
        </w:rPr>
        <w:t>-</w:t>
      </w:r>
      <w:r w:rsidRPr="007709A8">
        <w:rPr>
          <w:rFonts w:ascii="Times New Roman" w:hAnsi="Times New Roman" w:cs="Times New Roman"/>
          <w:sz w:val="20"/>
          <w:szCs w:val="20"/>
        </w:rPr>
        <w:t>sfeer ten opzichte van de verwerking van persoonsgegevens’, p. 87.</w:t>
      </w:r>
    </w:p>
  </w:footnote>
  <w:footnote w:id="97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DE HERT, P.; SAELENS, R.; ‘Ontwikkelingen in de bescherming van persoonsgegevens. Wat is de weerslag op de bibliotheek- en archiefsector?’, </w:t>
      </w:r>
      <w:r w:rsidRPr="007709A8">
        <w:rPr>
          <w:rFonts w:ascii="Times New Roman" w:hAnsi="Times New Roman"/>
          <w:i/>
        </w:rPr>
        <w:t>Meta</w:t>
      </w:r>
      <w:r w:rsidRPr="007709A8">
        <w:rPr>
          <w:rFonts w:ascii="Times New Roman" w:hAnsi="Times New Roman"/>
        </w:rPr>
        <w:t xml:space="preserve">, 2011, 7, p. 32; </w:t>
      </w:r>
      <w:r>
        <w:rPr>
          <w:rFonts w:ascii="Times New Roman" w:hAnsi="Times New Roman"/>
        </w:rPr>
        <w:t xml:space="preserve">ID.; ‘Openbaarmaking van gezondheidsgegevens en het recht op privacy. De toepassing van de bescherming van persoonsgegevens blijft een moeilijke drempel’, </w:t>
      </w:r>
      <w:r>
        <w:rPr>
          <w:rFonts w:ascii="Times New Roman" w:hAnsi="Times New Roman"/>
          <w:i/>
        </w:rPr>
        <w:t>T.Gez.</w:t>
      </w:r>
      <w:r>
        <w:rPr>
          <w:rFonts w:ascii="Times New Roman" w:hAnsi="Times New Roman"/>
        </w:rPr>
        <w:t xml:space="preserve">, 2010-2011, p. 280-284; </w:t>
      </w:r>
      <w:r w:rsidRPr="007709A8">
        <w:rPr>
          <w:rFonts w:ascii="Times New Roman" w:hAnsi="Times New Roman"/>
        </w:rPr>
        <w:t xml:space="preserve">NOORDAM, C., ‘Privacybescherming als hinderpaal’, </w:t>
      </w:r>
      <w:r w:rsidRPr="007709A8">
        <w:rPr>
          <w:rFonts w:ascii="Times New Roman" w:hAnsi="Times New Roman"/>
          <w:i/>
        </w:rPr>
        <w:t>Archievenblad</w:t>
      </w:r>
      <w:r w:rsidRPr="007709A8">
        <w:rPr>
          <w:rFonts w:ascii="Times New Roman" w:hAnsi="Times New Roman"/>
        </w:rPr>
        <w:t>, 101/4 (1997), p. 8; OOSTERLINCK, K., ‘Het belang van de wet van 8 december 1992 tot bescherming van de per</w:t>
      </w:r>
      <w:r>
        <w:rPr>
          <w:rFonts w:ascii="Times New Roman" w:hAnsi="Times New Roman"/>
        </w:rPr>
        <w:t>-</w:t>
      </w:r>
      <w:r w:rsidRPr="007709A8">
        <w:rPr>
          <w:rFonts w:ascii="Times New Roman" w:hAnsi="Times New Roman"/>
        </w:rPr>
        <w:t xml:space="preserve">soonlijke levenssfeer ten opzichte van de verwerking van persoonsgegevens’, STOCKMAN, R. (red.), </w:t>
      </w:r>
      <w:r w:rsidRPr="007709A8">
        <w:rPr>
          <w:rFonts w:ascii="Times New Roman" w:hAnsi="Times New Roman"/>
          <w:i/>
        </w:rPr>
        <w:t>Het be</w:t>
      </w:r>
      <w:r>
        <w:rPr>
          <w:rFonts w:ascii="Times New Roman" w:hAnsi="Times New Roman"/>
          <w:i/>
        </w:rPr>
        <w:t>-</w:t>
      </w:r>
      <w:r w:rsidRPr="007709A8">
        <w:rPr>
          <w:rFonts w:ascii="Times New Roman" w:hAnsi="Times New Roman"/>
          <w:i/>
        </w:rPr>
        <w:t>roepsgeheim in de zorgverleningssector. Een confrontatie tussen recht en praktijk</w:t>
      </w:r>
      <w:r w:rsidRPr="007709A8">
        <w:rPr>
          <w:rFonts w:ascii="Times New Roman" w:hAnsi="Times New Roman"/>
        </w:rPr>
        <w:t>, Recht en Geneeskunde, Ant</w:t>
      </w:r>
      <w:r>
        <w:rPr>
          <w:rFonts w:ascii="Times New Roman" w:hAnsi="Times New Roman"/>
        </w:rPr>
        <w:t>-</w:t>
      </w:r>
      <w:r w:rsidRPr="007709A8">
        <w:rPr>
          <w:rFonts w:ascii="Times New Roman" w:hAnsi="Times New Roman"/>
        </w:rPr>
        <w:t>werpen, Intersentia, p. 93</w:t>
      </w:r>
      <w:r>
        <w:rPr>
          <w:rFonts w:ascii="Times New Roman" w:hAnsi="Times New Roman"/>
        </w:rPr>
        <w:t xml:space="preserve">; SOTTIAUX, S. ‘Het conflict tussen de vrijheid van meningsuiting en het recht op pri-vacy’, </w:t>
      </w:r>
      <w:r>
        <w:rPr>
          <w:rFonts w:ascii="Times New Roman" w:hAnsi="Times New Roman"/>
          <w:i/>
        </w:rPr>
        <w:t>T.B.B.R.</w:t>
      </w:r>
      <w:r>
        <w:rPr>
          <w:rFonts w:ascii="Times New Roman" w:hAnsi="Times New Roman"/>
        </w:rPr>
        <w:t>, 2003, 5, p. 308-311</w:t>
      </w:r>
      <w:r w:rsidRPr="007709A8">
        <w:rPr>
          <w:rFonts w:ascii="Times New Roman" w:hAnsi="Times New Roman"/>
        </w:rPr>
        <w:t>.</w:t>
      </w:r>
    </w:p>
  </w:footnote>
  <w:footnote w:id="972">
    <w:p w:rsidR="00E82D16" w:rsidRPr="00E333B6" w:rsidRDefault="00E82D16" w:rsidP="000F560E">
      <w:pPr>
        <w:pStyle w:val="Voetnoottekst"/>
        <w:jc w:val="both"/>
        <w:rPr>
          <w:rFonts w:ascii="Times New Roman" w:hAnsi="Times New Roman"/>
          <w:lang w:val="fr-BE"/>
        </w:rPr>
      </w:pPr>
      <w:r w:rsidRPr="00C93F19">
        <w:rPr>
          <w:rStyle w:val="Voetnootmarkering"/>
          <w:rFonts w:ascii="Times New Roman" w:hAnsi="Times New Roman"/>
        </w:rPr>
        <w:footnoteRef/>
      </w:r>
      <w:r w:rsidRPr="00C93F19">
        <w:rPr>
          <w:rFonts w:ascii="Times New Roman" w:hAnsi="Times New Roman"/>
        </w:rPr>
        <w:t xml:space="preserve"> Cf. de vijfdelige serie over de geschiedenis van de persoonlijke levenssfeer, een zeer omvangrijk onder</w:t>
      </w:r>
      <w:r>
        <w:rPr>
          <w:rFonts w:ascii="Times New Roman" w:hAnsi="Times New Roman"/>
        </w:rPr>
        <w:t>-</w:t>
      </w:r>
      <w:r w:rsidRPr="00C93F19">
        <w:rPr>
          <w:rFonts w:ascii="Times New Roman" w:hAnsi="Times New Roman"/>
        </w:rPr>
        <w:t xml:space="preserve">zoeksproject o.l.v. Philippe Ariès en Georges Duby. </w:t>
      </w:r>
      <w:r w:rsidRPr="00E333B6">
        <w:rPr>
          <w:rFonts w:ascii="Times New Roman" w:hAnsi="Times New Roman"/>
          <w:lang w:val="fr-BE"/>
        </w:rPr>
        <w:t xml:space="preserve">VEYNE, P. (red.), </w:t>
      </w:r>
      <w:r w:rsidRPr="00E333B6">
        <w:rPr>
          <w:rFonts w:ascii="Times New Roman" w:hAnsi="Times New Roman"/>
          <w:i/>
          <w:lang w:val="fr-BE"/>
        </w:rPr>
        <w:t>Histoire de la vie privée. 1: De l’empire romain à l’an mil</w:t>
      </w:r>
      <w:r w:rsidRPr="00E333B6">
        <w:rPr>
          <w:rFonts w:ascii="Times New Roman" w:hAnsi="Times New Roman"/>
          <w:lang w:val="fr-BE"/>
        </w:rPr>
        <w:t xml:space="preserve">, L’univers historique, Parijs, Seuil, 1985, 634p.; DUBY, G. (red.), </w:t>
      </w:r>
      <w:r w:rsidRPr="00E333B6">
        <w:rPr>
          <w:rFonts w:ascii="Times New Roman" w:hAnsi="Times New Roman"/>
          <w:i/>
          <w:lang w:val="fr-BE"/>
        </w:rPr>
        <w:t>Histoire de la vie privée. 2: De l’Europe féodale à la Renaissance</w:t>
      </w:r>
      <w:r w:rsidRPr="00E333B6">
        <w:rPr>
          <w:rFonts w:ascii="Times New Roman" w:hAnsi="Times New Roman"/>
          <w:lang w:val="fr-BE"/>
        </w:rPr>
        <w:t xml:space="preserve">, L’univers historique, Parijs, Seuil, 1985, 636p.; CHARTIER, R. (red.), </w:t>
      </w:r>
      <w:r w:rsidRPr="00E333B6">
        <w:rPr>
          <w:rFonts w:ascii="Times New Roman" w:hAnsi="Times New Roman"/>
          <w:i/>
          <w:lang w:val="fr-BE"/>
        </w:rPr>
        <w:t>Histoire de la vie privée. 3: De la Renaissance aux Lumières</w:t>
      </w:r>
      <w:r w:rsidRPr="00E333B6">
        <w:rPr>
          <w:rFonts w:ascii="Times New Roman" w:hAnsi="Times New Roman"/>
          <w:lang w:val="fr-BE"/>
        </w:rPr>
        <w:t xml:space="preserve">, L’univers historique, Parijs, Seuil, 1986, 634p.; PERROT, M. (red.), </w:t>
      </w:r>
      <w:r w:rsidRPr="00E333B6">
        <w:rPr>
          <w:rFonts w:ascii="Times New Roman" w:hAnsi="Times New Roman"/>
          <w:i/>
          <w:lang w:val="fr-BE"/>
        </w:rPr>
        <w:t>Histoire de la vie privée. 4: De la Révolution à la Grande guerre</w:t>
      </w:r>
      <w:r w:rsidRPr="00E333B6">
        <w:rPr>
          <w:rFonts w:ascii="Times New Roman" w:hAnsi="Times New Roman"/>
          <w:lang w:val="fr-BE"/>
        </w:rPr>
        <w:t xml:space="preserve">, L’univers historique, Parijs, Seuil, 1987, 636p.; PROST, A. (red.), </w:t>
      </w:r>
      <w:r w:rsidRPr="00E333B6">
        <w:rPr>
          <w:rFonts w:ascii="Times New Roman" w:hAnsi="Times New Roman"/>
          <w:i/>
          <w:lang w:val="fr-BE"/>
        </w:rPr>
        <w:t>Histoire de la vie privée. 5: De la première guerre mondiale à nos jours</w:t>
      </w:r>
      <w:r w:rsidRPr="00E333B6">
        <w:rPr>
          <w:rFonts w:ascii="Times New Roman" w:hAnsi="Times New Roman"/>
          <w:lang w:val="fr-BE"/>
        </w:rPr>
        <w:t>, L’univers historique, Parijs, Seuil, 1987, 634p.</w:t>
      </w:r>
    </w:p>
  </w:footnote>
  <w:footnote w:id="973">
    <w:p w:rsidR="00E82D16" w:rsidRPr="00E333B6" w:rsidRDefault="00E82D16" w:rsidP="000F560E">
      <w:pPr>
        <w:pStyle w:val="Voetnoottekst"/>
        <w:jc w:val="both"/>
        <w:rPr>
          <w:rFonts w:ascii="Times New Roman" w:hAnsi="Times New Roman"/>
          <w:lang w:val="fr-BE"/>
        </w:rPr>
      </w:pPr>
      <w:r w:rsidRPr="0076466C">
        <w:rPr>
          <w:rStyle w:val="Voetnootmarkering"/>
          <w:rFonts w:ascii="Times New Roman" w:hAnsi="Times New Roman"/>
        </w:rPr>
        <w:footnoteRef/>
      </w:r>
      <w:r w:rsidRPr="00E333B6">
        <w:rPr>
          <w:rFonts w:ascii="Times New Roman" w:hAnsi="Times New Roman"/>
          <w:lang w:val="fr-BE"/>
        </w:rPr>
        <w:t xml:space="preserve"> DUMORTIER, J., </w:t>
      </w:r>
      <w:r w:rsidRPr="00E333B6">
        <w:rPr>
          <w:rFonts w:ascii="Times New Roman" w:hAnsi="Times New Roman"/>
          <w:i/>
          <w:lang w:val="fr-BE"/>
        </w:rPr>
        <w:t>ICT-Recht</w:t>
      </w:r>
      <w:r w:rsidRPr="00E333B6">
        <w:rPr>
          <w:rFonts w:ascii="Times New Roman" w:hAnsi="Times New Roman"/>
          <w:lang w:val="fr-BE"/>
        </w:rPr>
        <w:t>, Leuven, Acco, 2012</w:t>
      </w:r>
      <w:r w:rsidRPr="00E333B6">
        <w:rPr>
          <w:rFonts w:ascii="Times New Roman" w:hAnsi="Times New Roman"/>
          <w:vertAlign w:val="superscript"/>
          <w:lang w:val="fr-BE"/>
        </w:rPr>
        <w:t>14</w:t>
      </w:r>
      <w:r w:rsidRPr="00E333B6">
        <w:rPr>
          <w:rFonts w:ascii="Times New Roman" w:hAnsi="Times New Roman"/>
          <w:lang w:val="fr-BE"/>
        </w:rPr>
        <w:t>, p. 79.</w:t>
      </w:r>
    </w:p>
  </w:footnote>
  <w:footnote w:id="974">
    <w:p w:rsidR="00E82D16" w:rsidRPr="00325E9A" w:rsidRDefault="00E82D16" w:rsidP="000F560E">
      <w:pPr>
        <w:pStyle w:val="Voetnoottekst"/>
        <w:rPr>
          <w:rFonts w:ascii="Times New Roman" w:hAnsi="Times New Roman"/>
          <w:lang w:val="en-US"/>
        </w:rPr>
      </w:pPr>
      <w:r w:rsidRPr="00325E9A">
        <w:rPr>
          <w:rStyle w:val="Voetnootmarkering"/>
          <w:rFonts w:ascii="Times New Roman" w:hAnsi="Times New Roman"/>
        </w:rPr>
        <w:footnoteRef/>
      </w:r>
      <w:r w:rsidRPr="00325E9A">
        <w:rPr>
          <w:rFonts w:ascii="Times New Roman" w:hAnsi="Times New Roman"/>
          <w:lang w:val="en-US"/>
        </w:rPr>
        <w:t xml:space="preserve"> Idem, p. 80.</w:t>
      </w:r>
    </w:p>
  </w:footnote>
  <w:footnote w:id="975">
    <w:p w:rsidR="00E82D16" w:rsidRPr="00EB600E" w:rsidRDefault="00E82D16" w:rsidP="000F560E">
      <w:pPr>
        <w:pStyle w:val="Voetnoottekst"/>
        <w:jc w:val="both"/>
        <w:rPr>
          <w:rFonts w:ascii="Times New Roman" w:hAnsi="Times New Roman"/>
        </w:rPr>
      </w:pPr>
      <w:r w:rsidRPr="0076466C">
        <w:rPr>
          <w:rStyle w:val="Voetnootmarkering"/>
          <w:rFonts w:ascii="Times New Roman" w:hAnsi="Times New Roman"/>
        </w:rPr>
        <w:footnoteRef/>
      </w:r>
      <w:r w:rsidRPr="0076466C">
        <w:rPr>
          <w:rFonts w:ascii="Times New Roman" w:hAnsi="Times New Roman"/>
          <w:lang w:val="en-US"/>
        </w:rPr>
        <w:t xml:space="preserve"> CAPORAL, S.; LUTHER, J.; VERNIER, O. (reds.); </w:t>
      </w:r>
      <w:r w:rsidRPr="0076466C">
        <w:rPr>
          <w:rFonts w:ascii="Times New Roman" w:hAnsi="Times New Roman"/>
          <w:i/>
          <w:lang w:val="en-US"/>
        </w:rPr>
        <w:t>Constitutional Documents of France, Corsica and Monaco 1789-1848</w:t>
      </w:r>
      <w:r w:rsidRPr="0076466C">
        <w:rPr>
          <w:rFonts w:ascii="Times New Roman" w:hAnsi="Times New Roman"/>
          <w:lang w:val="en-US"/>
        </w:rPr>
        <w:t xml:space="preserve">, DIPPEL, H. (red.), </w:t>
      </w:r>
      <w:r w:rsidRPr="0076466C">
        <w:rPr>
          <w:rFonts w:ascii="Times New Roman" w:hAnsi="Times New Roman"/>
          <w:i/>
          <w:lang w:val="en-US"/>
        </w:rPr>
        <w:t>Constitutions of the World from the late 18</w:t>
      </w:r>
      <w:r w:rsidRPr="0076466C">
        <w:rPr>
          <w:rFonts w:ascii="Times New Roman" w:hAnsi="Times New Roman"/>
          <w:i/>
          <w:vertAlign w:val="superscript"/>
          <w:lang w:val="en-US"/>
        </w:rPr>
        <w:t>th</w:t>
      </w:r>
      <w:r w:rsidRPr="0076466C">
        <w:rPr>
          <w:rFonts w:ascii="Times New Roman" w:hAnsi="Times New Roman"/>
          <w:i/>
          <w:lang w:val="en-US"/>
        </w:rPr>
        <w:t xml:space="preserve"> Century to the Middle of the 19</w:t>
      </w:r>
      <w:r w:rsidRPr="0076466C">
        <w:rPr>
          <w:rFonts w:ascii="Times New Roman" w:hAnsi="Times New Roman"/>
          <w:i/>
          <w:vertAlign w:val="superscript"/>
          <w:lang w:val="en-US"/>
        </w:rPr>
        <w:t>th</w:t>
      </w:r>
      <w:r w:rsidRPr="0076466C">
        <w:rPr>
          <w:rFonts w:ascii="Times New Roman" w:hAnsi="Times New Roman"/>
          <w:i/>
          <w:lang w:val="en-US"/>
        </w:rPr>
        <w:t xml:space="preserve"> Century: sources on the rise of modern constitutionalism. </w:t>
      </w:r>
      <w:r w:rsidRPr="00EB600E">
        <w:rPr>
          <w:rFonts w:ascii="Times New Roman" w:hAnsi="Times New Roman"/>
          <w:i/>
        </w:rPr>
        <w:t>Europe</w:t>
      </w:r>
      <w:r w:rsidRPr="00EB600E">
        <w:rPr>
          <w:rFonts w:ascii="Times New Roman" w:hAnsi="Times New Roman"/>
        </w:rPr>
        <w:t>, 11, Berlijn-New York, De Gruyter Saur,  2009, p. 31.</w:t>
      </w:r>
    </w:p>
  </w:footnote>
  <w:footnote w:id="976">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HENDRIKS, A., ‘De wisselwerking tussen de Europese mensenrechten en het gezondheidsrecht’, BARJHUYSEN, T.; VAN EMMERIK, M.; LOOF, J.</w:t>
      </w:r>
      <w:r>
        <w:rPr>
          <w:rFonts w:ascii="Times New Roman" w:hAnsi="Times New Roman" w:cs="Times New Roman"/>
          <w:sz w:val="20"/>
          <w:szCs w:val="20"/>
        </w:rPr>
        <w:t xml:space="preserve"> (reds.)</w:t>
      </w:r>
      <w:r w:rsidRPr="007709A8">
        <w:rPr>
          <w:rFonts w:ascii="Times New Roman" w:hAnsi="Times New Roman" w:cs="Times New Roman"/>
          <w:sz w:val="20"/>
          <w:szCs w:val="20"/>
        </w:rPr>
        <w:t xml:space="preserve">; </w:t>
      </w:r>
      <w:r w:rsidRPr="007709A8">
        <w:rPr>
          <w:rFonts w:ascii="Times New Roman" w:hAnsi="Times New Roman" w:cs="Times New Roman"/>
          <w:i/>
          <w:sz w:val="20"/>
          <w:szCs w:val="20"/>
        </w:rPr>
        <w:t>Geschakeld recht. Verdere studies over Europese grondrechten ter gelegenheid van de 70ste verjaardag van prof. mr. E.A. Alkema</w:t>
      </w:r>
      <w:r w:rsidRPr="007709A8">
        <w:rPr>
          <w:rFonts w:ascii="Times New Roman" w:hAnsi="Times New Roman" w:cs="Times New Roman"/>
          <w:sz w:val="20"/>
          <w:szCs w:val="20"/>
        </w:rPr>
        <w:t xml:space="preserve">, Deventer, Kluwer, </w:t>
      </w:r>
      <w:r>
        <w:rPr>
          <w:rFonts w:ascii="Times New Roman" w:hAnsi="Times New Roman" w:cs="Times New Roman"/>
          <w:sz w:val="20"/>
          <w:szCs w:val="20"/>
        </w:rPr>
        <w:t xml:space="preserve">2009, </w:t>
      </w:r>
      <w:r w:rsidRPr="007709A8">
        <w:rPr>
          <w:rFonts w:ascii="Times New Roman" w:hAnsi="Times New Roman" w:cs="Times New Roman"/>
          <w:sz w:val="20"/>
          <w:szCs w:val="20"/>
        </w:rPr>
        <w:t xml:space="preserve">p. 209-227. </w:t>
      </w:r>
    </w:p>
  </w:footnote>
  <w:footnote w:id="977">
    <w:p w:rsidR="00E82D16" w:rsidRPr="007709A8" w:rsidRDefault="00E82D16" w:rsidP="000F560E">
      <w:pPr>
        <w:pStyle w:val="Geenafstand"/>
        <w:jc w:val="both"/>
        <w:rPr>
          <w:rFonts w:ascii="Times New Roman" w:hAnsi="Times New Roman" w:cs="Times New Roman"/>
          <w:color w:val="00B0F0"/>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Universele Verklaring van de Rechten van de Mens, opgemaakt te Parijs op 10 december 1948; Universele Verklaring van de Rechten van de Mens van 10 december 1948 (</w:t>
      </w:r>
      <w:r w:rsidRPr="007709A8">
        <w:rPr>
          <w:rFonts w:ascii="Times New Roman" w:hAnsi="Times New Roman" w:cs="Times New Roman"/>
          <w:i/>
          <w:sz w:val="20"/>
          <w:szCs w:val="20"/>
        </w:rPr>
        <w:t>BS</w:t>
      </w:r>
      <w:r w:rsidRPr="007709A8">
        <w:rPr>
          <w:rFonts w:ascii="Times New Roman" w:hAnsi="Times New Roman" w:cs="Times New Roman"/>
          <w:sz w:val="20"/>
          <w:szCs w:val="20"/>
        </w:rPr>
        <w:t xml:space="preserve"> 31 maart 1949; </w:t>
      </w:r>
      <w:r w:rsidRPr="007709A8">
        <w:rPr>
          <w:rFonts w:ascii="Times New Roman" w:hAnsi="Times New Roman" w:cs="Times New Roman"/>
          <w:i/>
          <w:sz w:val="20"/>
          <w:szCs w:val="20"/>
        </w:rPr>
        <w:t>Trb.</w:t>
      </w:r>
      <w:r w:rsidRPr="007709A8">
        <w:rPr>
          <w:rFonts w:ascii="Times New Roman" w:hAnsi="Times New Roman" w:cs="Times New Roman"/>
          <w:sz w:val="20"/>
          <w:szCs w:val="20"/>
        </w:rPr>
        <w:t xml:space="preserve"> 154, 1951; </w:t>
      </w:r>
      <w:r w:rsidRPr="007709A8">
        <w:rPr>
          <w:rFonts w:ascii="Times New Roman" w:hAnsi="Times New Roman" w:cs="Times New Roman"/>
          <w:i/>
          <w:sz w:val="20"/>
          <w:szCs w:val="20"/>
        </w:rPr>
        <w:t>JORF</w:t>
      </w:r>
      <w:r w:rsidRPr="007709A8">
        <w:rPr>
          <w:rFonts w:ascii="Times New Roman" w:hAnsi="Times New Roman" w:cs="Times New Roman"/>
          <w:sz w:val="20"/>
          <w:szCs w:val="20"/>
        </w:rPr>
        <w:t>, 9 februari 1949). Zie ook: BREMS, E. (red.), ‘60 jaar universele verklaring van de rechten van de mens’,</w:t>
      </w:r>
      <w:r w:rsidRPr="007709A8">
        <w:rPr>
          <w:rFonts w:ascii="Times New Roman" w:hAnsi="Times New Roman" w:cs="Times New Roman"/>
          <w:i/>
          <w:sz w:val="20"/>
          <w:szCs w:val="20"/>
        </w:rPr>
        <w:t xml:space="preserve"> Tijd</w:t>
      </w:r>
      <w:r>
        <w:rPr>
          <w:rFonts w:ascii="Times New Roman" w:hAnsi="Times New Roman" w:cs="Times New Roman"/>
          <w:i/>
          <w:sz w:val="20"/>
          <w:szCs w:val="20"/>
        </w:rPr>
        <w:t>-</w:t>
      </w:r>
      <w:r w:rsidRPr="007709A8">
        <w:rPr>
          <w:rFonts w:ascii="Times New Roman" w:hAnsi="Times New Roman" w:cs="Times New Roman"/>
          <w:i/>
          <w:sz w:val="20"/>
          <w:szCs w:val="20"/>
        </w:rPr>
        <w:t>schrift voor mensenrechten</w:t>
      </w:r>
      <w:r w:rsidRPr="007709A8">
        <w:rPr>
          <w:rFonts w:ascii="Times New Roman" w:hAnsi="Times New Roman" w:cs="Times New Roman"/>
          <w:sz w:val="20"/>
          <w:szCs w:val="20"/>
        </w:rPr>
        <w:t xml:space="preserve">, Themanummer, 2008, 4, 133p.; DEWULF, S.; PACQUEE, D. (reds.); </w:t>
      </w:r>
      <w:r w:rsidRPr="007709A8">
        <w:rPr>
          <w:rFonts w:ascii="Times New Roman" w:hAnsi="Times New Roman" w:cs="Times New Roman"/>
          <w:i/>
          <w:sz w:val="20"/>
          <w:szCs w:val="20"/>
        </w:rPr>
        <w:t>60 jaar Uni</w:t>
      </w:r>
      <w:r>
        <w:rPr>
          <w:rFonts w:ascii="Times New Roman" w:hAnsi="Times New Roman" w:cs="Times New Roman"/>
          <w:i/>
          <w:sz w:val="20"/>
          <w:szCs w:val="20"/>
        </w:rPr>
        <w:t>-</w:t>
      </w:r>
      <w:r w:rsidRPr="007709A8">
        <w:rPr>
          <w:rFonts w:ascii="Times New Roman" w:hAnsi="Times New Roman" w:cs="Times New Roman"/>
          <w:i/>
          <w:sz w:val="20"/>
          <w:szCs w:val="20"/>
        </w:rPr>
        <w:t>versele Verklaring van de Rechten van de Mens. 1948-2008</w:t>
      </w:r>
      <w:r w:rsidRPr="007709A8">
        <w:rPr>
          <w:rFonts w:ascii="Times New Roman" w:hAnsi="Times New Roman" w:cs="Times New Roman"/>
          <w:sz w:val="20"/>
          <w:szCs w:val="20"/>
        </w:rPr>
        <w:t>, Antwerpen, Intersentia, 270p.</w:t>
      </w:r>
    </w:p>
  </w:footnote>
  <w:footnote w:id="978">
    <w:p w:rsidR="00E82D16" w:rsidRPr="00E333B6" w:rsidRDefault="00E82D16" w:rsidP="000F560E">
      <w:pPr>
        <w:pStyle w:val="Geenafstand"/>
        <w:jc w:val="both"/>
        <w:rPr>
          <w:rFonts w:ascii="Times New Roman" w:hAnsi="Times New Roman" w:cs="Times New Roman"/>
          <w:color w:val="00B0F0"/>
          <w:sz w:val="20"/>
          <w:szCs w:val="20"/>
          <w:lang w:val="fr-BE"/>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Verdrag </w:t>
      </w:r>
      <w:r>
        <w:rPr>
          <w:rFonts w:ascii="Times New Roman" w:hAnsi="Times New Roman" w:cs="Times New Roman"/>
          <w:sz w:val="20"/>
          <w:szCs w:val="20"/>
        </w:rPr>
        <w:t xml:space="preserve">van </w:t>
      </w:r>
      <w:r w:rsidRPr="007709A8">
        <w:rPr>
          <w:rFonts w:ascii="Times New Roman" w:hAnsi="Times New Roman" w:cs="Times New Roman"/>
          <w:sz w:val="20"/>
          <w:szCs w:val="20"/>
        </w:rPr>
        <w:t>4 november 1950 tot bescherming van de mens en de fundamentele vrijheden (</w:t>
      </w:r>
      <w:r w:rsidRPr="007709A8">
        <w:rPr>
          <w:rFonts w:ascii="Times New Roman" w:hAnsi="Times New Roman" w:cs="Times New Roman"/>
          <w:i/>
          <w:sz w:val="20"/>
          <w:szCs w:val="20"/>
        </w:rPr>
        <w:t xml:space="preserve">BS </w:t>
      </w:r>
      <w:r>
        <w:rPr>
          <w:rFonts w:ascii="Times New Roman" w:hAnsi="Times New Roman" w:cs="Times New Roman"/>
          <w:sz w:val="20"/>
          <w:szCs w:val="20"/>
        </w:rPr>
        <w:t>19 augustus 1955)</w:t>
      </w:r>
      <w:r w:rsidRPr="007709A8">
        <w:rPr>
          <w:rFonts w:ascii="Times New Roman" w:hAnsi="Times New Roman" w:cs="Times New Roman"/>
          <w:sz w:val="20"/>
          <w:szCs w:val="20"/>
        </w:rPr>
        <w:t xml:space="preserve">. </w:t>
      </w:r>
      <w:r w:rsidRPr="00E333B6">
        <w:rPr>
          <w:rFonts w:ascii="Times New Roman" w:hAnsi="Times New Roman" w:cs="Times New Roman"/>
          <w:sz w:val="20"/>
          <w:szCs w:val="20"/>
          <w:lang w:val="fr-BE"/>
        </w:rPr>
        <w:t xml:space="preserve">Zie ook: COUSSIRAT-COUSTERE, V., ‘Article 8, § 2’, PETTITI, L.E.; DECAUX, E.; IMBERT, P.H. (reds.); </w:t>
      </w:r>
      <w:r w:rsidRPr="00E333B6">
        <w:rPr>
          <w:rFonts w:ascii="Times New Roman" w:hAnsi="Times New Roman" w:cs="Times New Roman"/>
          <w:i/>
          <w:sz w:val="20"/>
          <w:szCs w:val="20"/>
          <w:lang w:val="fr-BE"/>
        </w:rPr>
        <w:t>La convention européenne des droits de l’homme: commentaire article par article</w:t>
      </w:r>
      <w:r w:rsidRPr="00E333B6">
        <w:rPr>
          <w:rFonts w:ascii="Times New Roman" w:hAnsi="Times New Roman" w:cs="Times New Roman"/>
          <w:sz w:val="20"/>
          <w:szCs w:val="20"/>
          <w:lang w:val="fr-BE"/>
        </w:rPr>
        <w:t xml:space="preserve">, Parijs, Economica, 1995, p. 323-351; DE HERT, P., </w:t>
      </w:r>
      <w:r w:rsidRPr="00E333B6">
        <w:rPr>
          <w:rFonts w:ascii="Times New Roman" w:hAnsi="Times New Roman" w:cs="Times New Roman"/>
          <w:i/>
          <w:sz w:val="20"/>
          <w:szCs w:val="20"/>
          <w:lang w:val="fr-BE"/>
        </w:rPr>
        <w:t>Artikel 8 EVRM en het Belgisch recht: de bescherming van privacy, gezin, woonst en communicatie</w:t>
      </w:r>
      <w:r w:rsidRPr="00E333B6">
        <w:rPr>
          <w:rFonts w:ascii="Times New Roman" w:hAnsi="Times New Roman" w:cs="Times New Roman"/>
          <w:sz w:val="20"/>
          <w:szCs w:val="20"/>
          <w:lang w:val="fr-BE"/>
        </w:rPr>
        <w:t xml:space="preserve">, CDPK libri, 4, Gent, Mys &amp; Breesch, 1998, 367p.; GOFFIN, T., </w:t>
      </w:r>
      <w:r w:rsidRPr="00E333B6">
        <w:rPr>
          <w:rFonts w:ascii="Times New Roman" w:hAnsi="Times New Roman" w:cs="Times New Roman"/>
          <w:i/>
          <w:sz w:val="20"/>
          <w:szCs w:val="20"/>
          <w:lang w:val="fr-BE"/>
        </w:rPr>
        <w:t>De professionele autonomie van de arts</w:t>
      </w:r>
      <w:r w:rsidRPr="00E333B6">
        <w:rPr>
          <w:rFonts w:ascii="Times New Roman" w:hAnsi="Times New Roman" w:cs="Times New Roman"/>
          <w:sz w:val="20"/>
          <w:szCs w:val="20"/>
          <w:lang w:val="fr-BE"/>
        </w:rPr>
        <w:t>, p. 432-434 (nrs. 986-989)</w:t>
      </w:r>
      <w:r w:rsidRPr="00E333B6">
        <w:rPr>
          <w:rFonts w:ascii="Times New Roman" w:hAnsi="Times New Roman" w:cs="Times New Roman"/>
          <w:smallCaps/>
          <w:sz w:val="20"/>
          <w:szCs w:val="20"/>
          <w:lang w:val="fr-BE"/>
        </w:rPr>
        <w:t xml:space="preserve">; </w:t>
      </w:r>
      <w:r w:rsidRPr="00E333B6">
        <w:rPr>
          <w:rFonts w:ascii="Times New Roman" w:hAnsi="Times New Roman" w:cs="Times New Roman"/>
          <w:sz w:val="20"/>
          <w:szCs w:val="20"/>
          <w:lang w:val="fr-BE"/>
        </w:rPr>
        <w:t xml:space="preserve">KILKELLY, U., </w:t>
      </w:r>
      <w:r w:rsidRPr="00E333B6">
        <w:rPr>
          <w:rFonts w:ascii="Times New Roman" w:hAnsi="Times New Roman" w:cs="Times New Roman"/>
          <w:i/>
          <w:sz w:val="20"/>
          <w:szCs w:val="20"/>
          <w:lang w:val="fr-BE"/>
        </w:rPr>
        <w:t>Le droit au respect de la vie privée et famili</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ale. Un guide sur la mise en œuvre de l’article 8 de la Convention européenne des Droits de l’Homme</w:t>
      </w:r>
      <w:r w:rsidRPr="00E333B6">
        <w:rPr>
          <w:rFonts w:ascii="Times New Roman" w:hAnsi="Times New Roman" w:cs="Times New Roman"/>
          <w:sz w:val="20"/>
          <w:szCs w:val="20"/>
          <w:lang w:val="fr-BE"/>
        </w:rPr>
        <w:t xml:space="preserve">, Précis sur les droits de l’homme, 1, Straatsburg, Conseil de l’Europe, 2003, 73p.; RUSSO, C., ‘Article 8, § 1’, PETTITI; DECAUX; IMBERT; </w:t>
      </w:r>
      <w:r w:rsidRPr="00E333B6">
        <w:rPr>
          <w:rFonts w:ascii="Times New Roman" w:hAnsi="Times New Roman" w:cs="Times New Roman"/>
          <w:i/>
          <w:sz w:val="20"/>
          <w:szCs w:val="20"/>
          <w:lang w:val="fr-BE"/>
        </w:rPr>
        <w:t>La convention européenne des droits de l’homme</w:t>
      </w:r>
      <w:r w:rsidRPr="00E333B6">
        <w:rPr>
          <w:rFonts w:ascii="Times New Roman" w:hAnsi="Times New Roman" w:cs="Times New Roman"/>
          <w:sz w:val="20"/>
          <w:szCs w:val="20"/>
          <w:lang w:val="fr-BE"/>
        </w:rPr>
        <w:t>, p. 305-324.</w:t>
      </w:r>
    </w:p>
  </w:footnote>
  <w:footnote w:id="97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BURGERS, J., ‘De ontstaansgeschiedenis van de Universele Verklaring voor de rechten van de Mens’, PARMENTIER, S., </w:t>
      </w:r>
      <w:r w:rsidRPr="007709A8">
        <w:rPr>
          <w:rFonts w:ascii="Times New Roman" w:hAnsi="Times New Roman" w:cs="Times New Roman"/>
          <w:i/>
          <w:sz w:val="20"/>
          <w:szCs w:val="20"/>
        </w:rPr>
        <w:t>Mensenrechten tussen retoriek en realiteit</w:t>
      </w:r>
      <w:r w:rsidRPr="007709A8">
        <w:rPr>
          <w:rFonts w:ascii="Times New Roman" w:hAnsi="Times New Roman" w:cs="Times New Roman"/>
          <w:sz w:val="20"/>
          <w:szCs w:val="20"/>
        </w:rPr>
        <w:t xml:space="preserve">, Tegenspraak, 14, Gent, Mys &amp; Breesch, 1994, p. 13-34; </w:t>
      </w:r>
      <w:r>
        <w:rPr>
          <w:rFonts w:ascii="Times New Roman" w:hAnsi="Times New Roman" w:cs="Times New Roman"/>
          <w:sz w:val="20"/>
          <w:szCs w:val="20"/>
        </w:rPr>
        <w:t xml:space="preserve">NOUWT, S., ‘De staat van de privacy-bescherming van patiënten en cliënten in de zorgsector’, </w:t>
      </w:r>
      <w:r>
        <w:rPr>
          <w:rFonts w:ascii="Times New Roman" w:hAnsi="Times New Roman" w:cs="Times New Roman"/>
          <w:i/>
          <w:sz w:val="20"/>
          <w:szCs w:val="20"/>
        </w:rPr>
        <w:t>P&amp;I</w:t>
      </w:r>
      <w:r>
        <w:rPr>
          <w:rFonts w:ascii="Times New Roman" w:hAnsi="Times New Roman" w:cs="Times New Roman"/>
          <w:sz w:val="20"/>
          <w:szCs w:val="20"/>
        </w:rPr>
        <w:t xml:space="preserve">, 2004, 6, p. 263-270; </w:t>
      </w:r>
      <w:r w:rsidRPr="007709A8">
        <w:rPr>
          <w:rFonts w:ascii="Times New Roman" w:hAnsi="Times New Roman" w:cs="Times New Roman"/>
          <w:sz w:val="20"/>
          <w:szCs w:val="20"/>
        </w:rPr>
        <w:t xml:space="preserve">ZWAAK, L., ‘De genese van het Europees Verdrag voor de Rechten van de Mens’, PARMENTIER, </w:t>
      </w:r>
      <w:r w:rsidRPr="007709A8">
        <w:rPr>
          <w:rFonts w:ascii="Times New Roman" w:hAnsi="Times New Roman" w:cs="Times New Roman"/>
          <w:i/>
          <w:sz w:val="20"/>
          <w:szCs w:val="20"/>
        </w:rPr>
        <w:t>Mensenrechten tussen retoriek en realiteit</w:t>
      </w:r>
      <w:r w:rsidRPr="007709A8">
        <w:rPr>
          <w:rFonts w:ascii="Times New Roman" w:hAnsi="Times New Roman" w:cs="Times New Roman"/>
          <w:sz w:val="20"/>
          <w:szCs w:val="20"/>
        </w:rPr>
        <w:t xml:space="preserve">, p. 35-54. Wat de verhouding met de verwerking van persoonsgegevens betreft, zie: LEMMENS, P., ‘Het recht op eerbiediging van de persoonlijke levenssfeer in het algemeen en ten opzichte van de verwerking van persoonsgegevens in het bijzonder’, </w:t>
      </w:r>
      <w:r w:rsidRPr="007709A8">
        <w:rPr>
          <w:rFonts w:ascii="Times New Roman" w:hAnsi="Times New Roman" w:cs="Times New Roman"/>
          <w:i/>
          <w:sz w:val="20"/>
          <w:szCs w:val="20"/>
        </w:rPr>
        <w:t>Liber Amicorum Armand Vandeplas</w:t>
      </w:r>
      <w:r w:rsidRPr="007709A8">
        <w:rPr>
          <w:rFonts w:ascii="Times New Roman" w:hAnsi="Times New Roman" w:cs="Times New Roman"/>
          <w:sz w:val="20"/>
          <w:szCs w:val="20"/>
        </w:rPr>
        <w:t>, Gent, Mys &amp; Breesch, 1994, p. 313-326.</w:t>
      </w:r>
    </w:p>
  </w:footnote>
  <w:footnote w:id="980">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BAETEMAN, G.; VAN VLASSELAER, M.J.; </w:t>
      </w:r>
      <w:r w:rsidRPr="007709A8">
        <w:rPr>
          <w:rFonts w:ascii="Times New Roman" w:hAnsi="Times New Roman" w:cs="Times New Roman"/>
          <w:i/>
          <w:sz w:val="20"/>
          <w:szCs w:val="20"/>
        </w:rPr>
        <w:t>De bescherming van het privé-leven ten aanzien van de gege</w:t>
      </w:r>
      <w:r>
        <w:rPr>
          <w:rFonts w:ascii="Times New Roman" w:hAnsi="Times New Roman" w:cs="Times New Roman"/>
          <w:i/>
          <w:sz w:val="20"/>
          <w:szCs w:val="20"/>
        </w:rPr>
        <w:t>-</w:t>
      </w:r>
      <w:r w:rsidRPr="007709A8">
        <w:rPr>
          <w:rFonts w:ascii="Times New Roman" w:hAnsi="Times New Roman" w:cs="Times New Roman"/>
          <w:i/>
          <w:sz w:val="20"/>
          <w:szCs w:val="20"/>
        </w:rPr>
        <w:t>vensverwerking. Eerste praktische commentaar op de Wet van 8 december 1992 tot bescherming van de per</w:t>
      </w:r>
      <w:r>
        <w:rPr>
          <w:rFonts w:ascii="Times New Roman" w:hAnsi="Times New Roman" w:cs="Times New Roman"/>
          <w:i/>
          <w:sz w:val="20"/>
          <w:szCs w:val="20"/>
        </w:rPr>
        <w:t>-</w:t>
      </w:r>
      <w:r w:rsidRPr="007709A8">
        <w:rPr>
          <w:rFonts w:ascii="Times New Roman" w:hAnsi="Times New Roman" w:cs="Times New Roman"/>
          <w:i/>
          <w:sz w:val="20"/>
          <w:szCs w:val="20"/>
        </w:rPr>
        <w:t>soonlijke levenssfeer ten opzichte van de verwerking van persoonsgegevens</w:t>
      </w:r>
      <w:r w:rsidRPr="007709A8">
        <w:rPr>
          <w:rFonts w:ascii="Times New Roman" w:hAnsi="Times New Roman" w:cs="Times New Roman"/>
          <w:sz w:val="20"/>
          <w:szCs w:val="20"/>
        </w:rPr>
        <w:t xml:space="preserve">, Antwerpen, Kluwer, 1993, p. 13-14. </w:t>
      </w:r>
    </w:p>
  </w:footnote>
  <w:footnote w:id="981">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BROCHIER, J., ‘Het medisch beroepsgeheim en de wetgeving betreffende gevoelige persoonsgegevens’, </w:t>
      </w:r>
      <w:r w:rsidRPr="007709A8">
        <w:rPr>
          <w:rFonts w:ascii="Times New Roman" w:hAnsi="Times New Roman" w:cs="Times New Roman"/>
          <w:i/>
          <w:sz w:val="20"/>
          <w:szCs w:val="20"/>
        </w:rPr>
        <w:t>Con.M.</w:t>
      </w:r>
      <w:r w:rsidRPr="007709A8">
        <w:rPr>
          <w:rFonts w:ascii="Times New Roman" w:hAnsi="Times New Roman" w:cs="Times New Roman"/>
          <w:sz w:val="20"/>
          <w:szCs w:val="20"/>
        </w:rPr>
        <w:t xml:space="preserve">, 1995, 3, p. 53-62; DE NAUW, A., </w:t>
      </w:r>
      <w:r w:rsidRPr="007709A8">
        <w:rPr>
          <w:rFonts w:ascii="Times New Roman" w:hAnsi="Times New Roman" w:cs="Times New Roman"/>
          <w:i/>
          <w:sz w:val="20"/>
          <w:szCs w:val="20"/>
        </w:rPr>
        <w:t>Initiation au droit pénal spécial</w:t>
      </w:r>
      <w:r w:rsidRPr="007709A8">
        <w:rPr>
          <w:rFonts w:ascii="Times New Roman" w:hAnsi="Times New Roman" w:cs="Times New Roman"/>
          <w:sz w:val="20"/>
          <w:szCs w:val="20"/>
        </w:rPr>
        <w:t>, Waterloo, Kluwer, 2008, p. 377; KASTELEIN, W.R., ‘Toenemende druk op artsen om te spreken of te zwijgen; recente juridische ontwikkeling</w:t>
      </w:r>
      <w:r>
        <w:rPr>
          <w:rFonts w:ascii="Times New Roman" w:hAnsi="Times New Roman" w:cs="Times New Roman"/>
          <w:sz w:val="20"/>
          <w:szCs w:val="20"/>
        </w:rPr>
        <w:t>-</w:t>
      </w:r>
      <w:r w:rsidRPr="007709A8">
        <w:rPr>
          <w:rFonts w:ascii="Times New Roman" w:hAnsi="Times New Roman" w:cs="Times New Roman"/>
          <w:sz w:val="20"/>
          <w:szCs w:val="20"/>
        </w:rPr>
        <w:t xml:space="preserve">en rond beroepsgeheim en verschoningsrecht’, </w:t>
      </w:r>
      <w:r w:rsidRPr="007709A8">
        <w:rPr>
          <w:rFonts w:ascii="Times New Roman" w:hAnsi="Times New Roman" w:cs="Times New Roman"/>
          <w:i/>
          <w:sz w:val="20"/>
          <w:szCs w:val="20"/>
        </w:rPr>
        <w:t>N.T.G.</w:t>
      </w:r>
      <w:r w:rsidRPr="007709A8">
        <w:rPr>
          <w:rFonts w:ascii="Times New Roman" w:hAnsi="Times New Roman" w:cs="Times New Roman"/>
          <w:sz w:val="20"/>
          <w:szCs w:val="20"/>
        </w:rPr>
        <w:t xml:space="preserve">, 152/9 (2008), p. 478-482; ROSCAM ABBING, H.D.C., ‘Elektronisch patiëntendossier, beroepsgeheim en privacybescherming’, </w:t>
      </w:r>
      <w:r w:rsidRPr="007709A8">
        <w:rPr>
          <w:rFonts w:ascii="Times New Roman" w:hAnsi="Times New Roman" w:cs="Times New Roman"/>
          <w:i/>
          <w:sz w:val="20"/>
          <w:szCs w:val="20"/>
        </w:rPr>
        <w:t>N.T.G.</w:t>
      </w:r>
      <w:r w:rsidRPr="007709A8">
        <w:rPr>
          <w:rFonts w:ascii="Times New Roman" w:hAnsi="Times New Roman" w:cs="Times New Roman"/>
          <w:sz w:val="20"/>
          <w:szCs w:val="20"/>
        </w:rPr>
        <w:t xml:space="preserve">, 144/7 (2000), p. 334-337; VITENBERG, J., ‘Le secret médical à l’aune de l’article 8 de la Convention européenne des droits de l’homme’, </w:t>
      </w:r>
      <w:r w:rsidRPr="007709A8">
        <w:rPr>
          <w:rFonts w:ascii="Times New Roman" w:hAnsi="Times New Roman" w:cs="Times New Roman"/>
          <w:i/>
          <w:sz w:val="20"/>
          <w:szCs w:val="20"/>
        </w:rPr>
        <w:t>M.D.</w:t>
      </w:r>
      <w:r w:rsidRPr="007709A8">
        <w:rPr>
          <w:rFonts w:ascii="Times New Roman" w:hAnsi="Times New Roman" w:cs="Times New Roman"/>
          <w:sz w:val="20"/>
          <w:szCs w:val="20"/>
        </w:rPr>
        <w:t xml:space="preserve">, 88 (2008), p. 8-9; err. </w:t>
      </w:r>
      <w:r w:rsidRPr="007709A8">
        <w:rPr>
          <w:rFonts w:ascii="Times New Roman" w:hAnsi="Times New Roman" w:cs="Times New Roman"/>
          <w:i/>
          <w:sz w:val="20"/>
          <w:szCs w:val="20"/>
        </w:rPr>
        <w:t>M.D.</w:t>
      </w:r>
      <w:r w:rsidRPr="007709A8">
        <w:rPr>
          <w:rFonts w:ascii="Times New Roman" w:hAnsi="Times New Roman" w:cs="Times New Roman"/>
          <w:sz w:val="20"/>
          <w:szCs w:val="20"/>
        </w:rPr>
        <w:t>, 90 (2008), p. 94.</w:t>
      </w:r>
    </w:p>
  </w:footnote>
  <w:footnote w:id="982">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DE HERT, P., ‘Overzicht en geschiedenis Belgische wetgeving gegevensbescherming’, DE HERT, P. (red.), </w:t>
      </w:r>
      <w:r w:rsidRPr="007709A8">
        <w:rPr>
          <w:rFonts w:ascii="Times New Roman" w:hAnsi="Times New Roman"/>
          <w:i/>
        </w:rPr>
        <w:t>Handboek Privacy. Persoonsgegevens in België</w:t>
      </w:r>
      <w:r w:rsidRPr="007709A8">
        <w:rPr>
          <w:rFonts w:ascii="Times New Roman" w:hAnsi="Times New Roman"/>
        </w:rPr>
        <w:t>,</w:t>
      </w:r>
      <w:r>
        <w:rPr>
          <w:rFonts w:ascii="Times New Roman" w:hAnsi="Times New Roman"/>
        </w:rPr>
        <w:t xml:space="preserve"> Brussel, Politeia, 2003, p. 40.</w:t>
      </w:r>
    </w:p>
  </w:footnote>
  <w:footnote w:id="983">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DUBAELE, M.M., ‘Secret professionnel et archivage des dossiers hospitaliers’, </w:t>
      </w:r>
      <w:r>
        <w:rPr>
          <w:rFonts w:ascii="Times New Roman" w:hAnsi="Times New Roman" w:cs="Times New Roman"/>
          <w:i/>
          <w:sz w:val="20"/>
          <w:szCs w:val="20"/>
        </w:rPr>
        <w:t>J.M.L.</w:t>
      </w:r>
      <w:r w:rsidRPr="007709A8">
        <w:rPr>
          <w:rFonts w:ascii="Times New Roman" w:hAnsi="Times New Roman" w:cs="Times New Roman"/>
          <w:sz w:val="20"/>
          <w:szCs w:val="20"/>
        </w:rPr>
        <w:t>, 32/2 (1989), p. 69-71;</w:t>
      </w:r>
      <w:r w:rsidRPr="007709A8">
        <w:rPr>
          <w:rFonts w:ascii="Times New Roman" w:hAnsi="Times New Roman" w:cs="Times New Roman"/>
          <w:color w:val="00B0F0"/>
          <w:sz w:val="20"/>
          <w:szCs w:val="20"/>
        </w:rPr>
        <w:t xml:space="preserve"> </w:t>
      </w:r>
      <w:r w:rsidRPr="007709A8">
        <w:rPr>
          <w:rFonts w:ascii="Times New Roman" w:hAnsi="Times New Roman" w:cs="Times New Roman"/>
          <w:sz w:val="20"/>
          <w:szCs w:val="20"/>
        </w:rPr>
        <w:t xml:space="preserve">NORTIER, C.A., </w:t>
      </w:r>
      <w:r w:rsidRPr="007709A8">
        <w:rPr>
          <w:rFonts w:ascii="Times New Roman" w:hAnsi="Times New Roman" w:cs="Times New Roman"/>
          <w:i/>
          <w:sz w:val="20"/>
          <w:szCs w:val="20"/>
        </w:rPr>
        <w:t>Het medisch beroepsgeheim. Een leidraad door de doolhof</w:t>
      </w:r>
      <w:r w:rsidRPr="007709A8">
        <w:rPr>
          <w:rFonts w:ascii="Times New Roman" w:hAnsi="Times New Roman" w:cs="Times New Roman"/>
          <w:sz w:val="20"/>
          <w:szCs w:val="20"/>
        </w:rPr>
        <w:t>, onuitgeg. meesterproef, facul</w:t>
      </w:r>
      <w:r>
        <w:rPr>
          <w:rFonts w:ascii="Times New Roman" w:hAnsi="Times New Roman" w:cs="Times New Roman"/>
          <w:sz w:val="20"/>
          <w:szCs w:val="20"/>
        </w:rPr>
        <w:t>-</w:t>
      </w:r>
      <w:r w:rsidRPr="007709A8">
        <w:rPr>
          <w:rFonts w:ascii="Times New Roman" w:hAnsi="Times New Roman" w:cs="Times New Roman"/>
          <w:sz w:val="20"/>
          <w:szCs w:val="20"/>
        </w:rPr>
        <w:t>teit Rechtsgeleerdheid, Universiteit van Amsterdam, promotores prof. dr. M. Boerlage en prof. dr. E.P.R. Suto</w:t>
      </w:r>
      <w:r>
        <w:rPr>
          <w:rFonts w:ascii="Times New Roman" w:hAnsi="Times New Roman" w:cs="Times New Roman"/>
          <w:sz w:val="20"/>
          <w:szCs w:val="20"/>
        </w:rPr>
        <w:t>-</w:t>
      </w:r>
      <w:r w:rsidRPr="007709A8">
        <w:rPr>
          <w:rFonts w:ascii="Times New Roman" w:hAnsi="Times New Roman" w:cs="Times New Roman"/>
          <w:sz w:val="20"/>
          <w:szCs w:val="20"/>
        </w:rPr>
        <w:t>rius, 2006, 85p.;</w:t>
      </w:r>
      <w:r w:rsidRPr="007709A8">
        <w:rPr>
          <w:rFonts w:ascii="Times New Roman" w:hAnsi="Times New Roman" w:cs="Times New Roman"/>
          <w:color w:val="00B0F0"/>
          <w:sz w:val="20"/>
          <w:szCs w:val="20"/>
        </w:rPr>
        <w:t xml:space="preserve"> </w:t>
      </w:r>
      <w:r w:rsidRPr="007709A8">
        <w:rPr>
          <w:rFonts w:ascii="Times New Roman" w:hAnsi="Times New Roman" w:cs="Times New Roman"/>
          <w:sz w:val="20"/>
          <w:szCs w:val="20"/>
        </w:rPr>
        <w:t xml:space="preserve">NOUWT, </w:t>
      </w:r>
      <w:r>
        <w:rPr>
          <w:rFonts w:ascii="Times New Roman" w:hAnsi="Times New Roman" w:cs="Times New Roman"/>
          <w:sz w:val="20"/>
          <w:szCs w:val="20"/>
        </w:rPr>
        <w:t>S</w:t>
      </w:r>
      <w:r w:rsidRPr="007709A8">
        <w:rPr>
          <w:rFonts w:ascii="Times New Roman" w:hAnsi="Times New Roman" w:cs="Times New Roman"/>
          <w:sz w:val="20"/>
          <w:szCs w:val="20"/>
        </w:rPr>
        <w:t xml:space="preserve">., ‘Privacy en medische informatie’, PRINS, J.E.J.; BERKVENS, J.M.A. (reds.); </w:t>
      </w:r>
      <w:r w:rsidRPr="007709A8">
        <w:rPr>
          <w:rFonts w:ascii="Times New Roman" w:hAnsi="Times New Roman" w:cs="Times New Roman"/>
          <w:i/>
          <w:sz w:val="20"/>
          <w:szCs w:val="20"/>
        </w:rPr>
        <w:t>Privacyregulering in theorie en praktijk</w:t>
      </w:r>
      <w:r w:rsidRPr="007709A8">
        <w:rPr>
          <w:rFonts w:ascii="Times New Roman" w:hAnsi="Times New Roman" w:cs="Times New Roman"/>
          <w:sz w:val="20"/>
          <w:szCs w:val="20"/>
        </w:rPr>
        <w:t>, Deventer, Kluwer, 200</w:t>
      </w:r>
      <w:r>
        <w:rPr>
          <w:rFonts w:ascii="Times New Roman" w:hAnsi="Times New Roman" w:cs="Times New Roman"/>
          <w:sz w:val="20"/>
          <w:szCs w:val="20"/>
        </w:rPr>
        <w:t>7</w:t>
      </w:r>
      <w:r w:rsidRPr="00C75017">
        <w:rPr>
          <w:rFonts w:ascii="Times New Roman" w:hAnsi="Times New Roman" w:cs="Times New Roman"/>
          <w:sz w:val="20"/>
          <w:szCs w:val="20"/>
          <w:vertAlign w:val="superscript"/>
        </w:rPr>
        <w:t>4</w:t>
      </w:r>
      <w:r w:rsidRPr="007709A8">
        <w:rPr>
          <w:rFonts w:ascii="Times New Roman" w:hAnsi="Times New Roman" w:cs="Times New Roman"/>
          <w:sz w:val="20"/>
          <w:szCs w:val="20"/>
        </w:rPr>
        <w:t xml:space="preserve">, p. </w:t>
      </w:r>
      <w:r>
        <w:rPr>
          <w:rFonts w:ascii="Times New Roman" w:hAnsi="Times New Roman" w:cs="Times New Roman"/>
          <w:sz w:val="20"/>
          <w:szCs w:val="20"/>
        </w:rPr>
        <w:t>162</w:t>
      </w:r>
      <w:r w:rsidRPr="007709A8">
        <w:rPr>
          <w:rFonts w:ascii="Times New Roman" w:hAnsi="Times New Roman" w:cs="Times New Roman"/>
          <w:sz w:val="20"/>
          <w:szCs w:val="20"/>
        </w:rPr>
        <w:t>-</w:t>
      </w:r>
      <w:r>
        <w:rPr>
          <w:rFonts w:ascii="Times New Roman" w:hAnsi="Times New Roman" w:cs="Times New Roman"/>
          <w:sz w:val="20"/>
          <w:szCs w:val="20"/>
        </w:rPr>
        <w:t>167</w:t>
      </w:r>
      <w:r w:rsidRPr="007709A8">
        <w:rPr>
          <w:rFonts w:ascii="Times New Roman" w:hAnsi="Times New Roman" w:cs="Times New Roman"/>
          <w:sz w:val="20"/>
          <w:szCs w:val="20"/>
        </w:rPr>
        <w:t>.</w:t>
      </w:r>
    </w:p>
  </w:footnote>
  <w:footnote w:id="984">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lang w:val="en-US"/>
        </w:rPr>
        <w:t xml:space="preserve"> Art. 458 Sw.; art. 272 Sv.; art. 88 Wet BIG; art. 226-13 CP. </w:t>
      </w:r>
      <w:r w:rsidRPr="007709A8">
        <w:rPr>
          <w:rFonts w:ascii="Times New Roman" w:hAnsi="Times New Roman"/>
        </w:rPr>
        <w:t xml:space="preserve">Het medisch beroepsgeheim is daarnaast ook in de nationale deontologische codes opgenomen. Zie ook: art. 55 tot art. 70 C.G.P.; ‘Gedragsregels en richtlijnen’, KNMG, </w:t>
      </w:r>
      <w:r w:rsidRPr="007709A8">
        <w:rPr>
          <w:rFonts w:ascii="Times New Roman" w:hAnsi="Times New Roman"/>
          <w:i/>
        </w:rPr>
        <w:t>Vademecum</w:t>
      </w:r>
      <w:r w:rsidRPr="007709A8">
        <w:rPr>
          <w:rFonts w:ascii="Times New Roman" w:hAnsi="Times New Roman"/>
        </w:rPr>
        <w:t>, 2002³, p. 4 (II.15); art. 4 van de Franse C.G.P.</w:t>
      </w:r>
      <w:r w:rsidRPr="007709A8">
        <w:rPr>
          <w:rFonts w:ascii="Times New Roman" w:hAnsi="Times New Roman"/>
          <w:color w:val="0070C0"/>
        </w:rPr>
        <w:t xml:space="preserve"> </w:t>
      </w:r>
    </w:p>
  </w:footnote>
  <w:footnote w:id="985">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w:t>
      </w:r>
      <w:r w:rsidRPr="007709A8">
        <w:rPr>
          <w:rFonts w:ascii="Times New Roman" w:hAnsi="Times New Roman" w:cs="Times New Roman"/>
          <w:i/>
          <w:sz w:val="20"/>
          <w:szCs w:val="20"/>
        </w:rPr>
        <w:t>Ik zal, wat ik bij de uitoefening van mijn beroep ook zal horen of zien, of ook daarbuiten over het leven van mensen te weten kom aan dingen, die nooit bekend mogen worden, in stilzwijgen bewaren, en het beginsel hoog</w:t>
      </w:r>
      <w:r>
        <w:rPr>
          <w:rFonts w:ascii="Times New Roman" w:hAnsi="Times New Roman" w:cs="Times New Roman"/>
          <w:i/>
          <w:sz w:val="20"/>
          <w:szCs w:val="20"/>
        </w:rPr>
        <w:t>-</w:t>
      </w:r>
      <w:r w:rsidRPr="007709A8">
        <w:rPr>
          <w:rFonts w:ascii="Times New Roman" w:hAnsi="Times New Roman" w:cs="Times New Roman"/>
          <w:i/>
          <w:sz w:val="20"/>
          <w:szCs w:val="20"/>
        </w:rPr>
        <w:t>houden, dat dingen die mij zó bekend worden vallen onder de plicht van geheimhouding.</w:t>
      </w:r>
      <w:r w:rsidRPr="007709A8">
        <w:rPr>
          <w:rFonts w:ascii="Times New Roman" w:hAnsi="Times New Roman" w:cs="Times New Roman"/>
          <w:sz w:val="20"/>
          <w:szCs w:val="20"/>
        </w:rPr>
        <w:t xml:space="preserve"> Ontleend aan: </w:t>
      </w:r>
      <w:hyperlink r:id="rId178" w:history="1">
        <w:r w:rsidRPr="007709A8">
          <w:rPr>
            <w:rStyle w:val="Hyperlink"/>
            <w:rFonts w:ascii="Times New Roman" w:hAnsi="Times New Roman" w:cs="Times New Roman"/>
            <w:sz w:val="20"/>
            <w:szCs w:val="20"/>
          </w:rPr>
          <w:t>www.ordomedic.be/nl/orde/artseneed/eed-hippocrates/</w:t>
        </w:r>
      </w:hyperlink>
      <w:r w:rsidRPr="007709A8">
        <w:rPr>
          <w:rFonts w:ascii="Times New Roman" w:hAnsi="Times New Roman" w:cs="Times New Roman"/>
          <w:sz w:val="20"/>
          <w:szCs w:val="20"/>
        </w:rPr>
        <w:t>; HORSTMANSHOFF, H.F.J.; VAN HOOFF, A.; ‘Klas</w:t>
      </w:r>
      <w:r>
        <w:rPr>
          <w:rFonts w:ascii="Times New Roman" w:hAnsi="Times New Roman" w:cs="Times New Roman"/>
          <w:sz w:val="20"/>
          <w:szCs w:val="20"/>
        </w:rPr>
        <w:t>-</w:t>
      </w:r>
      <w:r w:rsidRPr="007709A8">
        <w:rPr>
          <w:rFonts w:ascii="Times New Roman" w:hAnsi="Times New Roman" w:cs="Times New Roman"/>
          <w:sz w:val="20"/>
          <w:szCs w:val="20"/>
        </w:rPr>
        <w:t xml:space="preserve">sieke eed van Hippocrates (± 400 jaar v.Chr.)’, ERKELENS, D.W.; BREETVELT, E.J.; BRIET, J.W.; HOUWAART, E.S. (reds.); </w:t>
      </w:r>
      <w:r w:rsidRPr="007709A8">
        <w:rPr>
          <w:rFonts w:ascii="Times New Roman" w:hAnsi="Times New Roman" w:cs="Times New Roman"/>
          <w:i/>
          <w:sz w:val="20"/>
          <w:szCs w:val="20"/>
        </w:rPr>
        <w:t>Nederlandse artseneed</w:t>
      </w:r>
      <w:r w:rsidRPr="007709A8">
        <w:rPr>
          <w:rFonts w:ascii="Times New Roman" w:hAnsi="Times New Roman" w:cs="Times New Roman"/>
          <w:sz w:val="20"/>
          <w:szCs w:val="20"/>
        </w:rPr>
        <w:t>, Houten, Badoux, 2010</w:t>
      </w:r>
      <w:r w:rsidRPr="007709A8">
        <w:rPr>
          <w:rFonts w:ascii="Times New Roman" w:hAnsi="Times New Roman" w:cs="Times New Roman"/>
          <w:sz w:val="20"/>
          <w:szCs w:val="20"/>
          <w:vertAlign w:val="superscript"/>
        </w:rPr>
        <w:t>5</w:t>
      </w:r>
      <w:r w:rsidRPr="007709A8">
        <w:rPr>
          <w:rFonts w:ascii="Times New Roman" w:hAnsi="Times New Roman" w:cs="Times New Roman"/>
          <w:sz w:val="20"/>
          <w:szCs w:val="20"/>
        </w:rPr>
        <w:t xml:space="preserve">, p. 14. </w:t>
      </w:r>
    </w:p>
  </w:footnote>
  <w:footnote w:id="986">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ALLEMEERSCH, B., ‘Het toepassingsgebied van art. 458 Strafwetboek. Over het succes van het beroeps</w:t>
      </w:r>
      <w:r>
        <w:rPr>
          <w:rFonts w:ascii="Times New Roman" w:hAnsi="Times New Roman"/>
        </w:rPr>
        <w:t>-</w:t>
      </w:r>
      <w:r w:rsidRPr="007709A8">
        <w:rPr>
          <w:rFonts w:ascii="Times New Roman" w:hAnsi="Times New Roman"/>
        </w:rPr>
        <w:t xml:space="preserve">geheim en het geheim van dat succes’, </w:t>
      </w:r>
      <w:r w:rsidRPr="007709A8">
        <w:rPr>
          <w:rFonts w:ascii="Times New Roman" w:hAnsi="Times New Roman"/>
          <w:i/>
        </w:rPr>
        <w:t>R.W.</w:t>
      </w:r>
      <w:r w:rsidRPr="007709A8">
        <w:rPr>
          <w:rFonts w:ascii="Times New Roman" w:hAnsi="Times New Roman"/>
        </w:rPr>
        <w:t xml:space="preserve">, 2003-2004, p. 1-19; NYS, H. (red.), </w:t>
      </w:r>
      <w:r w:rsidRPr="007709A8">
        <w:rPr>
          <w:rFonts w:ascii="Times New Roman" w:hAnsi="Times New Roman"/>
          <w:i/>
        </w:rPr>
        <w:t>Het beroepsgeheim in de zorg</w:t>
      </w:r>
      <w:r>
        <w:rPr>
          <w:rFonts w:ascii="Times New Roman" w:hAnsi="Times New Roman"/>
          <w:i/>
        </w:rPr>
        <w:t>-</w:t>
      </w:r>
      <w:r w:rsidRPr="007709A8">
        <w:rPr>
          <w:rFonts w:ascii="Times New Roman" w:hAnsi="Times New Roman"/>
          <w:i/>
        </w:rPr>
        <w:t>verleningssector. Een confrontatie tussen recht en praktijk</w:t>
      </w:r>
      <w:r w:rsidRPr="007709A8">
        <w:rPr>
          <w:rFonts w:ascii="Times New Roman" w:hAnsi="Times New Roman"/>
        </w:rPr>
        <w:t xml:space="preserve">, Recht en geneeskunde, Antwerpen, Intersentia, 1998, 135p.; STEVENS, J., ‘Het beroepsgeheim van de advocaat en dat van de geneesheer’, </w:t>
      </w:r>
      <w:r w:rsidRPr="007709A8">
        <w:rPr>
          <w:rFonts w:ascii="Times New Roman" w:hAnsi="Times New Roman"/>
          <w:i/>
        </w:rPr>
        <w:t>T.Gez.</w:t>
      </w:r>
      <w:r w:rsidRPr="007709A8">
        <w:rPr>
          <w:rFonts w:ascii="Times New Roman" w:hAnsi="Times New Roman"/>
        </w:rPr>
        <w:t xml:space="preserve">, 2002-2003, 1, p. 2-11; ID., ‘Deontologie en beroepsgeheim van advocaat en arts’, </w:t>
      </w:r>
      <w:r w:rsidRPr="007709A8">
        <w:rPr>
          <w:rFonts w:ascii="Times New Roman" w:hAnsi="Times New Roman"/>
          <w:i/>
        </w:rPr>
        <w:t>Jongeren &amp; Drugs</w:t>
      </w:r>
      <w:r w:rsidRPr="007709A8">
        <w:rPr>
          <w:rFonts w:ascii="Times New Roman" w:hAnsi="Times New Roman"/>
        </w:rPr>
        <w:t>, Antwerpen, Intersentia, 2005, p. 59-92.</w:t>
      </w:r>
    </w:p>
  </w:footnote>
  <w:footnote w:id="987">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ALLEMEERSCH, B., ‘Het begrip ‘geheimen’ bij de toepassing van art. 458 Sw. en art. 36 O.C.M.W.-wet [noot onder Gent 28 oktober 2004]’, </w:t>
      </w:r>
      <w:r w:rsidRPr="007709A8">
        <w:rPr>
          <w:rFonts w:ascii="Times New Roman" w:hAnsi="Times New Roman" w:cs="Times New Roman"/>
          <w:i/>
          <w:sz w:val="20"/>
          <w:szCs w:val="20"/>
        </w:rPr>
        <w:t>R.W.</w:t>
      </w:r>
      <w:r w:rsidRPr="007709A8">
        <w:rPr>
          <w:rFonts w:ascii="Times New Roman" w:hAnsi="Times New Roman" w:cs="Times New Roman"/>
          <w:sz w:val="20"/>
          <w:szCs w:val="20"/>
        </w:rPr>
        <w:t>, 2005-2006, k. 26</w:t>
      </w:r>
      <w:r>
        <w:rPr>
          <w:rFonts w:ascii="Times New Roman" w:hAnsi="Times New Roman" w:cs="Times New Roman"/>
          <w:sz w:val="20"/>
          <w:szCs w:val="20"/>
        </w:rPr>
        <w:t>3</w:t>
      </w:r>
      <w:r w:rsidRPr="007709A8">
        <w:rPr>
          <w:rFonts w:ascii="Times New Roman" w:hAnsi="Times New Roman" w:cs="Times New Roman"/>
          <w:sz w:val="20"/>
          <w:szCs w:val="20"/>
        </w:rPr>
        <w:t xml:space="preserve">; CALLENS, S., </w:t>
      </w:r>
      <w:r w:rsidRPr="007709A8">
        <w:rPr>
          <w:rFonts w:ascii="Times New Roman" w:hAnsi="Times New Roman" w:cs="Times New Roman"/>
          <w:i/>
          <w:sz w:val="20"/>
          <w:szCs w:val="20"/>
        </w:rPr>
        <w:t>Goed geregeld? Het gebruik van medische gegevens voor onderzoek</w:t>
      </w:r>
      <w:r w:rsidRPr="007709A8">
        <w:rPr>
          <w:rFonts w:ascii="Times New Roman" w:hAnsi="Times New Roman" w:cs="Times New Roman"/>
          <w:sz w:val="20"/>
          <w:szCs w:val="20"/>
        </w:rPr>
        <w:t>, Antwerpen, Maklu, 1995, p. 168 (nrs. 188-189); DIERKENS, R., ‘Beroeps</w:t>
      </w:r>
      <w:r>
        <w:rPr>
          <w:rFonts w:ascii="Times New Roman" w:hAnsi="Times New Roman" w:cs="Times New Roman"/>
          <w:sz w:val="20"/>
          <w:szCs w:val="20"/>
        </w:rPr>
        <w:t>-</w:t>
      </w:r>
      <w:r w:rsidRPr="007709A8">
        <w:rPr>
          <w:rFonts w:ascii="Times New Roman" w:hAnsi="Times New Roman" w:cs="Times New Roman"/>
          <w:sz w:val="20"/>
          <w:szCs w:val="20"/>
        </w:rPr>
        <w:t xml:space="preserve">geheim en recht’, </w:t>
      </w:r>
      <w:r w:rsidRPr="007709A8">
        <w:rPr>
          <w:rFonts w:ascii="Times New Roman" w:hAnsi="Times New Roman" w:cs="Times New Roman"/>
          <w:i/>
          <w:sz w:val="20"/>
          <w:szCs w:val="20"/>
        </w:rPr>
        <w:t>Vl.T.Gez.</w:t>
      </w:r>
      <w:r w:rsidRPr="007709A8">
        <w:rPr>
          <w:rFonts w:ascii="Times New Roman" w:hAnsi="Times New Roman" w:cs="Times New Roman"/>
          <w:sz w:val="20"/>
          <w:szCs w:val="20"/>
        </w:rPr>
        <w:t>, 1986-1987, p. 262; LAKBIRI, A.; BENYAICH, H.; EL KHALIL, M.; ‘Secret médi</w:t>
      </w:r>
      <w:r>
        <w:rPr>
          <w:rFonts w:ascii="Times New Roman" w:hAnsi="Times New Roman" w:cs="Times New Roman"/>
          <w:sz w:val="20"/>
          <w:szCs w:val="20"/>
        </w:rPr>
        <w:t>-</w:t>
      </w:r>
      <w:r w:rsidRPr="007709A8">
        <w:rPr>
          <w:rFonts w:ascii="Times New Roman" w:hAnsi="Times New Roman" w:cs="Times New Roman"/>
          <w:sz w:val="20"/>
          <w:szCs w:val="20"/>
        </w:rPr>
        <w:t xml:space="preserve">cal et certificats médicaux: les certificats médicaux’, </w:t>
      </w:r>
      <w:r w:rsidRPr="007709A8">
        <w:rPr>
          <w:rFonts w:ascii="Times New Roman" w:hAnsi="Times New Roman" w:cs="Times New Roman"/>
          <w:i/>
          <w:sz w:val="20"/>
          <w:szCs w:val="20"/>
        </w:rPr>
        <w:t>E.M.</w:t>
      </w:r>
      <w:r w:rsidRPr="007709A8">
        <w:rPr>
          <w:rFonts w:ascii="Times New Roman" w:hAnsi="Times New Roman" w:cs="Times New Roman"/>
          <w:sz w:val="20"/>
          <w:szCs w:val="20"/>
        </w:rPr>
        <w:t xml:space="preserve">, 104 (2004), p. 189-192; LAMBERT, P., </w:t>
      </w:r>
      <w:r w:rsidRPr="007709A8">
        <w:rPr>
          <w:rFonts w:ascii="Times New Roman" w:hAnsi="Times New Roman" w:cs="Times New Roman"/>
          <w:i/>
          <w:sz w:val="20"/>
          <w:szCs w:val="20"/>
        </w:rPr>
        <w:t>Le secret professionnel</w:t>
      </w:r>
      <w:r w:rsidRPr="007709A8">
        <w:rPr>
          <w:rFonts w:ascii="Times New Roman" w:hAnsi="Times New Roman" w:cs="Times New Roman"/>
          <w:sz w:val="20"/>
          <w:szCs w:val="20"/>
        </w:rPr>
        <w:t xml:space="preserve">, Brussel, Nemesis, 1985, </w:t>
      </w:r>
      <w:r>
        <w:rPr>
          <w:rFonts w:ascii="Times New Roman" w:hAnsi="Times New Roman" w:cs="Times New Roman"/>
          <w:sz w:val="20"/>
          <w:szCs w:val="20"/>
        </w:rPr>
        <w:t xml:space="preserve">p. </w:t>
      </w:r>
      <w:r w:rsidRPr="007709A8">
        <w:rPr>
          <w:rFonts w:ascii="Times New Roman" w:hAnsi="Times New Roman" w:cs="Times New Roman"/>
          <w:sz w:val="20"/>
          <w:szCs w:val="20"/>
        </w:rPr>
        <w:t xml:space="preserve">35-37; LEENEN, J.H.H., ‘Moderne ontwikkelingen rond het geheim in de gezondheidszorg’, </w:t>
      </w:r>
      <w:r w:rsidRPr="007709A8">
        <w:rPr>
          <w:rFonts w:ascii="Times New Roman" w:hAnsi="Times New Roman" w:cs="Times New Roman"/>
          <w:i/>
          <w:sz w:val="20"/>
          <w:szCs w:val="20"/>
        </w:rPr>
        <w:t>T.P.R.</w:t>
      </w:r>
      <w:r w:rsidRPr="007709A8">
        <w:rPr>
          <w:rFonts w:ascii="Times New Roman" w:hAnsi="Times New Roman" w:cs="Times New Roman"/>
          <w:sz w:val="20"/>
          <w:szCs w:val="20"/>
        </w:rPr>
        <w:t xml:space="preserve">, 1974, p. 329; LEENEN, H.J.J.; GEVERS, J.K.M.; LEGEMAATE, J.; </w:t>
      </w:r>
      <w:r w:rsidRPr="007709A8">
        <w:rPr>
          <w:rFonts w:ascii="Times New Roman" w:hAnsi="Times New Roman" w:cs="Times New Roman"/>
          <w:i/>
          <w:sz w:val="20"/>
          <w:szCs w:val="20"/>
        </w:rPr>
        <w:t>Handboek gezondheidsrecht. Deel 1: Rechten van mensen in de gezondheidszorg</w:t>
      </w:r>
      <w:r w:rsidRPr="007709A8">
        <w:rPr>
          <w:rFonts w:ascii="Times New Roman" w:hAnsi="Times New Roman" w:cs="Times New Roman"/>
          <w:sz w:val="20"/>
          <w:szCs w:val="20"/>
        </w:rPr>
        <w:t>, Houten, Bohn Stafleu Van Loghum, 2007</w:t>
      </w:r>
      <w:r w:rsidRPr="007709A8">
        <w:rPr>
          <w:rFonts w:ascii="Times New Roman" w:hAnsi="Times New Roman" w:cs="Times New Roman"/>
          <w:sz w:val="20"/>
          <w:szCs w:val="20"/>
          <w:vertAlign w:val="superscript"/>
        </w:rPr>
        <w:t>4</w:t>
      </w:r>
      <w:r w:rsidRPr="007709A8">
        <w:rPr>
          <w:rFonts w:ascii="Times New Roman" w:hAnsi="Times New Roman" w:cs="Times New Roman"/>
          <w:sz w:val="20"/>
          <w:szCs w:val="20"/>
        </w:rPr>
        <w:t xml:space="preserve">, p. 225; SAELENS, R.; DE HERT, P.; ‘Het patiëntendossier en de verwerking van persoonsgegevens’, DE HERT, P. (red.), </w:t>
      </w:r>
      <w:r w:rsidRPr="007709A8">
        <w:rPr>
          <w:rFonts w:ascii="Times New Roman" w:hAnsi="Times New Roman" w:cs="Times New Roman"/>
          <w:i/>
          <w:sz w:val="20"/>
          <w:szCs w:val="20"/>
        </w:rPr>
        <w:t>Privacy en persoonsgegevens</w:t>
      </w:r>
      <w:r w:rsidRPr="007709A8">
        <w:rPr>
          <w:rFonts w:ascii="Times New Roman" w:hAnsi="Times New Roman" w:cs="Times New Roman"/>
          <w:sz w:val="20"/>
          <w:szCs w:val="20"/>
        </w:rPr>
        <w:t xml:space="preserve">, vol. 2, titel VI: Persoonsgegevens en beroepsgeheim, 30 (2010), p. 295; VAN  NESTE, F., ‘Het medisch beroepsgeheim’, HEYVAERT, A.; KRUITHOF, R.; VANSWEEVELT, T. (eds.); </w:t>
      </w:r>
      <w:r w:rsidRPr="007709A8">
        <w:rPr>
          <w:rFonts w:ascii="Times New Roman" w:hAnsi="Times New Roman" w:cs="Times New Roman"/>
          <w:i/>
          <w:sz w:val="20"/>
          <w:szCs w:val="20"/>
        </w:rPr>
        <w:t>Juridische aspecten van de geneeskunde</w:t>
      </w:r>
      <w:r w:rsidRPr="007709A8">
        <w:rPr>
          <w:rFonts w:ascii="Times New Roman" w:hAnsi="Times New Roman" w:cs="Times New Roman"/>
          <w:sz w:val="20"/>
          <w:szCs w:val="20"/>
        </w:rPr>
        <w:t xml:space="preserve">, Antwerpen, Kluwer, 1989, p. 194. </w:t>
      </w:r>
      <w:r w:rsidRPr="007709A8">
        <w:rPr>
          <w:rFonts w:ascii="Times New Roman" w:hAnsi="Times New Roman" w:cs="Times New Roman"/>
          <w:i/>
          <w:sz w:val="20"/>
          <w:szCs w:val="20"/>
        </w:rPr>
        <w:t>Contra</w:t>
      </w:r>
      <w:r w:rsidRPr="007709A8">
        <w:rPr>
          <w:rFonts w:ascii="Times New Roman" w:hAnsi="Times New Roman" w:cs="Times New Roman"/>
          <w:sz w:val="20"/>
          <w:szCs w:val="20"/>
        </w:rPr>
        <w:t xml:space="preserve">: VAN EIJK, H.H.; VERSTEGEN, A.J.; </w:t>
      </w:r>
      <w:r w:rsidRPr="007709A8">
        <w:rPr>
          <w:rFonts w:ascii="Times New Roman" w:hAnsi="Times New Roman" w:cs="Times New Roman"/>
          <w:i/>
          <w:sz w:val="20"/>
          <w:szCs w:val="20"/>
        </w:rPr>
        <w:t>Arts en wet</w:t>
      </w:r>
      <w:r>
        <w:rPr>
          <w:rFonts w:ascii="Times New Roman" w:hAnsi="Times New Roman" w:cs="Times New Roman"/>
          <w:i/>
          <w:sz w:val="20"/>
          <w:szCs w:val="20"/>
        </w:rPr>
        <w:t>: rechtskundige handleiding voor geneeskundigen</w:t>
      </w:r>
      <w:r w:rsidRPr="007709A8">
        <w:rPr>
          <w:rFonts w:ascii="Times New Roman" w:hAnsi="Times New Roman" w:cs="Times New Roman"/>
          <w:sz w:val="20"/>
          <w:szCs w:val="20"/>
        </w:rPr>
        <w:t>,  Haarlem, Bohn, 1929</w:t>
      </w:r>
      <w:r>
        <w:rPr>
          <w:rFonts w:ascii="Times New Roman" w:hAnsi="Times New Roman" w:cs="Times New Roman"/>
          <w:sz w:val="20"/>
          <w:szCs w:val="20"/>
        </w:rPr>
        <w:t>²</w:t>
      </w:r>
      <w:r w:rsidRPr="007709A8">
        <w:rPr>
          <w:rFonts w:ascii="Times New Roman" w:hAnsi="Times New Roman" w:cs="Times New Roman"/>
          <w:sz w:val="20"/>
          <w:szCs w:val="20"/>
        </w:rPr>
        <w:t>, p. 69.</w:t>
      </w:r>
    </w:p>
  </w:footnote>
  <w:footnote w:id="988">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Als geen bijstand wordt verleend aan een naaste in nood, wordt dat als schuldig verzuim bestraft: art. 422</w:t>
      </w:r>
      <w:r w:rsidRPr="007709A8">
        <w:rPr>
          <w:rFonts w:ascii="Times New Roman" w:hAnsi="Times New Roman" w:cs="Times New Roman"/>
          <w:i/>
          <w:sz w:val="20"/>
          <w:szCs w:val="20"/>
        </w:rPr>
        <w:t xml:space="preserve">bis </w:t>
      </w:r>
      <w:r w:rsidRPr="007709A8">
        <w:rPr>
          <w:rFonts w:ascii="Times New Roman" w:hAnsi="Times New Roman" w:cs="Times New Roman"/>
          <w:sz w:val="20"/>
          <w:szCs w:val="20"/>
        </w:rPr>
        <w:t>en art. 422</w:t>
      </w:r>
      <w:r w:rsidRPr="007709A8">
        <w:rPr>
          <w:rFonts w:ascii="Times New Roman" w:hAnsi="Times New Roman" w:cs="Times New Roman"/>
          <w:i/>
          <w:sz w:val="20"/>
          <w:szCs w:val="20"/>
        </w:rPr>
        <w:t>ter</w:t>
      </w:r>
      <w:r w:rsidRPr="007709A8">
        <w:rPr>
          <w:rFonts w:ascii="Times New Roman" w:hAnsi="Times New Roman" w:cs="Times New Roman"/>
          <w:sz w:val="20"/>
          <w:szCs w:val="20"/>
        </w:rPr>
        <w:t xml:space="preserve"> Sw; art. 450 WS; art. 223-6 CP. Ook zorgverleners moeten in principe iedereen helpen die zich tot hen wenden: art. 1 van de wet van 8 juli 1964 betreffende de dringende geneeskundige hulpverlening (</w:t>
      </w:r>
      <w:r w:rsidRPr="007709A8">
        <w:rPr>
          <w:rFonts w:ascii="Times New Roman" w:hAnsi="Times New Roman" w:cs="Times New Roman"/>
          <w:i/>
          <w:sz w:val="20"/>
          <w:szCs w:val="20"/>
        </w:rPr>
        <w:t>BS</w:t>
      </w:r>
      <w:r w:rsidRPr="007709A8">
        <w:rPr>
          <w:rFonts w:ascii="Times New Roman" w:hAnsi="Times New Roman" w:cs="Times New Roman"/>
          <w:sz w:val="20"/>
          <w:szCs w:val="20"/>
        </w:rPr>
        <w:t xml:space="preserve"> 25 juli 1964); art. 8 § 1 van KB nr. 78; art. 460 WGBO; art. 36, eerste lid </w:t>
      </w:r>
      <w:r w:rsidRPr="007709A8">
        <w:rPr>
          <w:rFonts w:ascii="Times New Roman" w:hAnsi="Times New Roman" w:cs="Times New Roman"/>
          <w:i/>
          <w:sz w:val="20"/>
          <w:szCs w:val="20"/>
        </w:rPr>
        <w:t>juncto</w:t>
      </w:r>
      <w:r w:rsidRPr="007709A8">
        <w:rPr>
          <w:rFonts w:ascii="Times New Roman" w:hAnsi="Times New Roman" w:cs="Times New Roman"/>
          <w:sz w:val="20"/>
          <w:szCs w:val="20"/>
        </w:rPr>
        <w:t xml:space="preserve"> art. 38, eerste lid Bopz; art. R. 4127-205, art. 4127-315, art. 4127-6, art. 4127-7 e</w:t>
      </w:r>
      <w:r>
        <w:rPr>
          <w:rFonts w:ascii="Times New Roman" w:hAnsi="Times New Roman" w:cs="Times New Roman"/>
          <w:sz w:val="20"/>
          <w:szCs w:val="20"/>
        </w:rPr>
        <w:t>n art. 4127-9 CDM. Zie ook: BLA</w:t>
      </w:r>
      <w:r w:rsidRPr="007709A8">
        <w:rPr>
          <w:rFonts w:ascii="Times New Roman" w:hAnsi="Times New Roman" w:cs="Times New Roman"/>
          <w:sz w:val="20"/>
          <w:szCs w:val="20"/>
        </w:rPr>
        <w:t>NPAIN, R., ‘Het medisch be</w:t>
      </w:r>
      <w:r>
        <w:rPr>
          <w:rFonts w:ascii="Times New Roman" w:hAnsi="Times New Roman" w:cs="Times New Roman"/>
          <w:sz w:val="20"/>
          <w:szCs w:val="20"/>
        </w:rPr>
        <w:t>-</w:t>
      </w:r>
      <w:r w:rsidRPr="007709A8">
        <w:rPr>
          <w:rFonts w:ascii="Times New Roman" w:hAnsi="Times New Roman" w:cs="Times New Roman"/>
          <w:sz w:val="20"/>
          <w:szCs w:val="20"/>
        </w:rPr>
        <w:t xml:space="preserve">roepsgeheim’, OVERSTEYNS, B. (red.), </w:t>
      </w:r>
      <w:r w:rsidRPr="007709A8">
        <w:rPr>
          <w:rFonts w:ascii="Times New Roman" w:hAnsi="Times New Roman" w:cs="Times New Roman"/>
          <w:i/>
          <w:sz w:val="20"/>
          <w:szCs w:val="20"/>
        </w:rPr>
        <w:t>Aids, Alcohol, drugs, roken</w:t>
      </w:r>
      <w:r w:rsidRPr="007709A8">
        <w:rPr>
          <w:rFonts w:ascii="Times New Roman" w:hAnsi="Times New Roman" w:cs="Times New Roman"/>
          <w:sz w:val="20"/>
          <w:szCs w:val="20"/>
        </w:rPr>
        <w:t xml:space="preserve">, Brugge, die Keure, 1989, p. 71; LEENEN, H.J.J., ‘Hulpverleningsplicht’, </w:t>
      </w:r>
      <w:r w:rsidRPr="007709A8">
        <w:rPr>
          <w:rFonts w:ascii="Times New Roman" w:hAnsi="Times New Roman" w:cs="Times New Roman"/>
          <w:i/>
          <w:sz w:val="20"/>
          <w:szCs w:val="20"/>
        </w:rPr>
        <w:t>N.T.G.</w:t>
      </w:r>
      <w:r w:rsidRPr="007709A8">
        <w:rPr>
          <w:rFonts w:ascii="Times New Roman" w:hAnsi="Times New Roman" w:cs="Times New Roman"/>
          <w:sz w:val="20"/>
          <w:szCs w:val="20"/>
        </w:rPr>
        <w:t>, 135</w:t>
      </w:r>
      <w:r>
        <w:rPr>
          <w:rFonts w:ascii="Times New Roman" w:hAnsi="Times New Roman" w:cs="Times New Roman"/>
          <w:sz w:val="20"/>
          <w:szCs w:val="20"/>
        </w:rPr>
        <w:t>/3</w:t>
      </w:r>
      <w:r w:rsidRPr="007709A8">
        <w:rPr>
          <w:rFonts w:ascii="Times New Roman" w:hAnsi="Times New Roman" w:cs="Times New Roman"/>
          <w:sz w:val="20"/>
          <w:szCs w:val="20"/>
        </w:rPr>
        <w:t xml:space="preserve"> (1991), p. 103-106; LEENEN, H.J.J.; DUTE, J.C.J.; KASTELEIN, W.R.; </w:t>
      </w:r>
      <w:r w:rsidRPr="007709A8">
        <w:rPr>
          <w:rFonts w:ascii="Times New Roman" w:hAnsi="Times New Roman" w:cs="Times New Roman"/>
          <w:i/>
          <w:sz w:val="20"/>
          <w:szCs w:val="20"/>
        </w:rPr>
        <w:t>Handboek Gezondheidsrecht. Deel II: Gezondheidszorg en recht</w:t>
      </w:r>
      <w:r w:rsidRPr="007709A8">
        <w:rPr>
          <w:rFonts w:ascii="Times New Roman" w:hAnsi="Times New Roman" w:cs="Times New Roman"/>
          <w:sz w:val="20"/>
          <w:szCs w:val="20"/>
        </w:rPr>
        <w:t>, Houten, Bohn Stafleu Van Loghum, 2005</w:t>
      </w:r>
      <w:r w:rsidRPr="007709A8">
        <w:rPr>
          <w:rFonts w:ascii="Times New Roman" w:hAnsi="Times New Roman" w:cs="Times New Roman"/>
          <w:sz w:val="20"/>
          <w:szCs w:val="20"/>
          <w:vertAlign w:val="superscript"/>
        </w:rPr>
        <w:t>5</w:t>
      </w:r>
      <w:r w:rsidRPr="007709A8">
        <w:rPr>
          <w:rFonts w:ascii="Times New Roman" w:hAnsi="Times New Roman" w:cs="Times New Roman"/>
          <w:sz w:val="20"/>
          <w:szCs w:val="20"/>
        </w:rPr>
        <w:t>,</w:t>
      </w:r>
      <w:r>
        <w:rPr>
          <w:rFonts w:ascii="Times New Roman" w:hAnsi="Times New Roman" w:cs="Times New Roman"/>
          <w:sz w:val="20"/>
          <w:szCs w:val="20"/>
        </w:rPr>
        <w:t xml:space="preserve"> </w:t>
      </w:r>
      <w:r w:rsidRPr="007709A8">
        <w:rPr>
          <w:rFonts w:ascii="Times New Roman" w:hAnsi="Times New Roman" w:cs="Times New Roman"/>
          <w:sz w:val="20"/>
          <w:szCs w:val="20"/>
        </w:rPr>
        <w:t xml:space="preserve">p. 44-52; NYS, H., </w:t>
      </w:r>
      <w:r w:rsidRPr="007709A8">
        <w:rPr>
          <w:rFonts w:ascii="Times New Roman" w:hAnsi="Times New Roman" w:cs="Times New Roman"/>
          <w:i/>
          <w:sz w:val="20"/>
          <w:szCs w:val="20"/>
        </w:rPr>
        <w:t>Geneeskunde – Recht en medisch handelen</w:t>
      </w:r>
      <w:r w:rsidRPr="007709A8">
        <w:rPr>
          <w:rFonts w:ascii="Times New Roman" w:hAnsi="Times New Roman" w:cs="Times New Roman"/>
          <w:sz w:val="20"/>
          <w:szCs w:val="20"/>
        </w:rPr>
        <w:t>, p.192-202 (nrs. 426-448); VERMEIREN, R., ‘Het moeilijk onderscheid tussen hulp weigeren en de soevereine beslissing van de arts om al dan niet te han</w:t>
      </w:r>
      <w:r>
        <w:rPr>
          <w:rFonts w:ascii="Times New Roman" w:hAnsi="Times New Roman" w:cs="Times New Roman"/>
          <w:sz w:val="20"/>
          <w:szCs w:val="20"/>
        </w:rPr>
        <w:t>-</w:t>
      </w:r>
      <w:r w:rsidRPr="007709A8">
        <w:rPr>
          <w:rFonts w:ascii="Times New Roman" w:hAnsi="Times New Roman" w:cs="Times New Roman"/>
          <w:sz w:val="20"/>
          <w:szCs w:val="20"/>
        </w:rPr>
        <w:t xml:space="preserve">delen’, </w:t>
      </w:r>
      <w:r w:rsidRPr="007709A8">
        <w:rPr>
          <w:rFonts w:ascii="Times New Roman" w:hAnsi="Times New Roman" w:cs="Times New Roman"/>
          <w:i/>
          <w:sz w:val="20"/>
          <w:szCs w:val="20"/>
        </w:rPr>
        <w:t>T.Gez.</w:t>
      </w:r>
      <w:r w:rsidRPr="007709A8">
        <w:rPr>
          <w:rFonts w:ascii="Times New Roman" w:hAnsi="Times New Roman" w:cs="Times New Roman"/>
          <w:sz w:val="20"/>
          <w:szCs w:val="20"/>
        </w:rPr>
        <w:t>, 1999-2000, p. 214-220.</w:t>
      </w:r>
    </w:p>
  </w:footnote>
  <w:footnote w:id="98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DALCQ, R., ‘Réflexions sur le sécret professionnel’, </w:t>
      </w:r>
      <w:r w:rsidRPr="007709A8">
        <w:rPr>
          <w:rFonts w:ascii="Times New Roman" w:hAnsi="Times New Roman" w:cs="Times New Roman"/>
          <w:i/>
          <w:sz w:val="20"/>
          <w:szCs w:val="20"/>
        </w:rPr>
        <w:t>R.G.A.R.</w:t>
      </w:r>
      <w:r>
        <w:rPr>
          <w:rFonts w:ascii="Times New Roman" w:hAnsi="Times New Roman" w:cs="Times New Roman"/>
          <w:sz w:val="20"/>
          <w:szCs w:val="20"/>
        </w:rPr>
        <w:t>, 1986, nr</w:t>
      </w:r>
      <w:r w:rsidRPr="007709A8">
        <w:rPr>
          <w:rFonts w:ascii="Times New Roman" w:hAnsi="Times New Roman" w:cs="Times New Roman"/>
          <w:sz w:val="20"/>
          <w:szCs w:val="20"/>
        </w:rPr>
        <w:t xml:space="preserve">. 11056; DE NAUW, A., </w:t>
      </w:r>
      <w:r w:rsidRPr="007709A8">
        <w:rPr>
          <w:rFonts w:ascii="Times New Roman" w:hAnsi="Times New Roman" w:cs="Times New Roman"/>
          <w:i/>
          <w:sz w:val="20"/>
          <w:szCs w:val="20"/>
        </w:rPr>
        <w:t>Initiation au droit pénal spécial</w:t>
      </w:r>
      <w:r w:rsidRPr="007709A8">
        <w:rPr>
          <w:rFonts w:ascii="Times New Roman" w:hAnsi="Times New Roman" w:cs="Times New Roman"/>
          <w:sz w:val="20"/>
          <w:szCs w:val="20"/>
        </w:rPr>
        <w:t>, Waterloo, Kluwer, 2008, p. 377; VAN  NESTE, F., ‘Het medisch beroepsgeheim’, p. 2.</w:t>
      </w:r>
    </w:p>
  </w:footnote>
  <w:footnote w:id="990">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CALLENS; GOOSSENS; CIERKENS; p. 295-296.</w:t>
      </w:r>
    </w:p>
  </w:footnote>
  <w:footnote w:id="99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NYS, H., ‘De ontwikkeling van het gezondheidsrecht in 2005 en 2006’, </w:t>
      </w:r>
      <w:r w:rsidRPr="007709A8">
        <w:rPr>
          <w:rFonts w:ascii="Times New Roman" w:hAnsi="Times New Roman"/>
          <w:i/>
        </w:rPr>
        <w:t>T.Gez.</w:t>
      </w:r>
      <w:r w:rsidRPr="007709A8">
        <w:rPr>
          <w:rFonts w:ascii="Times New Roman" w:hAnsi="Times New Roman"/>
        </w:rPr>
        <w:t>, 2007-2008, p. 113 (nr. 41).</w:t>
      </w:r>
    </w:p>
  </w:footnote>
  <w:footnote w:id="992">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LEENEN, H.J.J.; GEVERS, J.K.M.; LEGEMAATE, J.; </w:t>
      </w:r>
      <w:r w:rsidRPr="007709A8">
        <w:rPr>
          <w:rFonts w:ascii="Times New Roman" w:hAnsi="Times New Roman"/>
          <w:i/>
        </w:rPr>
        <w:t>Handboek gezondheidsrecht. Deel 1: Rechten van mensen in de gezondheidszorg</w:t>
      </w:r>
      <w:r w:rsidRPr="007709A8">
        <w:rPr>
          <w:rFonts w:ascii="Times New Roman" w:hAnsi="Times New Roman"/>
        </w:rPr>
        <w:t xml:space="preserve">, p. 235; NYS, </w:t>
      </w:r>
      <w:r w:rsidRPr="007709A8">
        <w:rPr>
          <w:rFonts w:ascii="Times New Roman" w:hAnsi="Times New Roman"/>
          <w:i/>
        </w:rPr>
        <w:t>Geneeskunde – Recht en medisch handelen</w:t>
      </w:r>
      <w:r w:rsidRPr="007709A8">
        <w:rPr>
          <w:rFonts w:ascii="Times New Roman" w:hAnsi="Times New Roman"/>
        </w:rPr>
        <w:t>, p. 534 (nr. 1243).</w:t>
      </w:r>
    </w:p>
  </w:footnote>
  <w:footnote w:id="993">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BANNIER, F.A.W.; DUIJST, W.L.J.M.; FANOY, N.A.M.E.C.; FANOY, A.P.H.; TEMPELAAR, J.M.; </w:t>
      </w:r>
      <w:r w:rsidRPr="007709A8">
        <w:rPr>
          <w:rFonts w:ascii="Times New Roman" w:hAnsi="Times New Roman" w:cs="Times New Roman"/>
          <w:i/>
          <w:sz w:val="20"/>
          <w:szCs w:val="20"/>
        </w:rPr>
        <w:t>Be</w:t>
      </w:r>
      <w:r>
        <w:rPr>
          <w:rFonts w:ascii="Times New Roman" w:hAnsi="Times New Roman" w:cs="Times New Roman"/>
          <w:i/>
          <w:sz w:val="20"/>
          <w:szCs w:val="20"/>
        </w:rPr>
        <w:t>-</w:t>
      </w:r>
      <w:r w:rsidRPr="007709A8">
        <w:rPr>
          <w:rFonts w:ascii="Times New Roman" w:hAnsi="Times New Roman" w:cs="Times New Roman"/>
          <w:i/>
          <w:sz w:val="20"/>
          <w:szCs w:val="20"/>
        </w:rPr>
        <w:t>roepsgeheim en verschoningsrecht. Hanboek voor de advocaat, medisch hulpverlener, notaris en geestelijke</w:t>
      </w:r>
      <w:r w:rsidRPr="007709A8">
        <w:rPr>
          <w:rFonts w:ascii="Times New Roman" w:hAnsi="Times New Roman" w:cs="Times New Roman"/>
          <w:sz w:val="20"/>
          <w:szCs w:val="20"/>
        </w:rPr>
        <w:t>, Den Haag, Sdu, 2008, p. 76-77; BLOCKX, F., ‘Het beroepsgeheim in de deontologie en in het strafrecht: een be</w:t>
      </w:r>
      <w:r>
        <w:rPr>
          <w:rFonts w:ascii="Times New Roman" w:hAnsi="Times New Roman" w:cs="Times New Roman"/>
          <w:sz w:val="20"/>
          <w:szCs w:val="20"/>
        </w:rPr>
        <w:t>-</w:t>
      </w:r>
      <w:r w:rsidRPr="007709A8">
        <w:rPr>
          <w:rFonts w:ascii="Times New Roman" w:hAnsi="Times New Roman" w:cs="Times New Roman"/>
          <w:sz w:val="20"/>
          <w:szCs w:val="20"/>
        </w:rPr>
        <w:t xml:space="preserve">grippenanalyse’, </w:t>
      </w:r>
      <w:r w:rsidRPr="007709A8">
        <w:rPr>
          <w:rFonts w:ascii="Times New Roman" w:hAnsi="Times New Roman" w:cs="Times New Roman"/>
          <w:i/>
          <w:sz w:val="20"/>
          <w:szCs w:val="20"/>
        </w:rPr>
        <w:t>D&amp;T</w:t>
      </w:r>
      <w:r w:rsidRPr="007709A8">
        <w:rPr>
          <w:rFonts w:ascii="Times New Roman" w:hAnsi="Times New Roman" w:cs="Times New Roman"/>
          <w:sz w:val="20"/>
          <w:szCs w:val="20"/>
        </w:rPr>
        <w:t xml:space="preserve">, 2011, 2, p. 321-337; ID., ‘Het medisch beroepsgeheim. Overzicht van rechtspraak (1985-2002)’, </w:t>
      </w:r>
      <w:r w:rsidRPr="007709A8">
        <w:rPr>
          <w:rFonts w:ascii="Times New Roman" w:hAnsi="Times New Roman" w:cs="Times New Roman"/>
          <w:i/>
          <w:sz w:val="20"/>
          <w:szCs w:val="20"/>
        </w:rPr>
        <w:t>T.Gez.</w:t>
      </w:r>
      <w:r w:rsidRPr="007709A8">
        <w:rPr>
          <w:rFonts w:ascii="Times New Roman" w:hAnsi="Times New Roman" w:cs="Times New Roman"/>
          <w:sz w:val="20"/>
          <w:szCs w:val="20"/>
        </w:rPr>
        <w:t xml:space="preserve">, 2004-2005, 1, p. 2-19; HIRECHE, H.; EL MOHTARIM, B.; ‘Le secret médical’, </w:t>
      </w:r>
      <w:r w:rsidRPr="007709A8">
        <w:rPr>
          <w:rFonts w:ascii="Times New Roman" w:hAnsi="Times New Roman" w:cs="Times New Roman"/>
          <w:i/>
          <w:sz w:val="20"/>
          <w:szCs w:val="20"/>
        </w:rPr>
        <w:t>E.M.</w:t>
      </w:r>
      <w:r w:rsidRPr="007709A8">
        <w:rPr>
          <w:rFonts w:ascii="Times New Roman" w:hAnsi="Times New Roman" w:cs="Times New Roman"/>
          <w:sz w:val="20"/>
          <w:szCs w:val="20"/>
        </w:rPr>
        <w:t>, 90 (2003), p. 12-16</w:t>
      </w:r>
      <w:r>
        <w:rPr>
          <w:rFonts w:ascii="Times New Roman" w:hAnsi="Times New Roman" w:cs="Times New Roman"/>
          <w:sz w:val="20"/>
          <w:szCs w:val="20"/>
        </w:rPr>
        <w:t xml:space="preserve">; LIEGOIS, Y., ‘De bescherming van de persoonlijke levenssfeer ten opzichte van de verwer-king van persoonsgegevens en het strafprocesrecht, van een schijnhuwelijk naar een schijnscheiding?’, </w:t>
      </w:r>
      <w:r>
        <w:rPr>
          <w:rFonts w:ascii="Times New Roman" w:hAnsi="Times New Roman" w:cs="Times New Roman"/>
          <w:i/>
          <w:sz w:val="20"/>
          <w:szCs w:val="20"/>
        </w:rPr>
        <w:t>N.C.</w:t>
      </w:r>
      <w:r>
        <w:rPr>
          <w:rFonts w:ascii="Times New Roman" w:hAnsi="Times New Roman" w:cs="Times New Roman"/>
          <w:sz w:val="20"/>
          <w:szCs w:val="20"/>
        </w:rPr>
        <w:t>, 2007, 5, p. 303-329</w:t>
      </w:r>
      <w:r w:rsidRPr="007709A8">
        <w:rPr>
          <w:rFonts w:ascii="Times New Roman" w:hAnsi="Times New Roman" w:cs="Times New Roman"/>
          <w:sz w:val="20"/>
          <w:szCs w:val="20"/>
        </w:rPr>
        <w:t>.</w:t>
      </w:r>
    </w:p>
  </w:footnote>
  <w:footnote w:id="994">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Art. 455 § 2 WSV; art. 42 WS; art. 359a Sv.; art. 11 § 2 Wcz; art. 259-2 CC; art. 39 § 2 van wet nr. 78-17 van 6 januari 1978, gewijzigd door art. 5 van wet nr. 2004-801 van 6 augustus 2004; ALLEMEERSCH, B., ‘Me</w:t>
      </w:r>
      <w:r>
        <w:rPr>
          <w:rFonts w:ascii="Times New Roman" w:hAnsi="Times New Roman" w:cs="Times New Roman"/>
          <w:sz w:val="20"/>
          <w:szCs w:val="20"/>
        </w:rPr>
        <w:t>-</w:t>
      </w:r>
      <w:r w:rsidRPr="007709A8">
        <w:rPr>
          <w:rFonts w:ascii="Times New Roman" w:hAnsi="Times New Roman" w:cs="Times New Roman"/>
          <w:sz w:val="20"/>
          <w:szCs w:val="20"/>
        </w:rPr>
        <w:t xml:space="preserve">dische attesten gebruiken als bewijs in rechte. Hoe relatief is het beroepsgeheim?’, </w:t>
      </w:r>
      <w:r w:rsidRPr="007709A8">
        <w:rPr>
          <w:rFonts w:ascii="Times New Roman" w:hAnsi="Times New Roman" w:cs="Times New Roman"/>
          <w:i/>
          <w:sz w:val="20"/>
          <w:szCs w:val="20"/>
        </w:rPr>
        <w:t>T.B.B.R.</w:t>
      </w:r>
      <w:r w:rsidRPr="007709A8">
        <w:rPr>
          <w:rFonts w:ascii="Times New Roman" w:hAnsi="Times New Roman" w:cs="Times New Roman"/>
          <w:sz w:val="20"/>
          <w:szCs w:val="20"/>
        </w:rPr>
        <w:t>, 2003, 1, p. 64; BLOCKX, F., ‘De rechtbank kan uw gezondheid ernstige schade toebrengen; over de invloed van het beroeps</w:t>
      </w:r>
      <w:r>
        <w:rPr>
          <w:rFonts w:ascii="Times New Roman" w:hAnsi="Times New Roman" w:cs="Times New Roman"/>
          <w:sz w:val="20"/>
          <w:szCs w:val="20"/>
        </w:rPr>
        <w:t>-</w:t>
      </w:r>
      <w:r w:rsidRPr="007709A8">
        <w:rPr>
          <w:rFonts w:ascii="Times New Roman" w:hAnsi="Times New Roman" w:cs="Times New Roman"/>
          <w:sz w:val="20"/>
          <w:szCs w:val="20"/>
        </w:rPr>
        <w:t xml:space="preserve">geheim op de overlegging van medische dossierstukken in rechte na het overlijden van de patiënt’, </w:t>
      </w:r>
      <w:r w:rsidRPr="007709A8">
        <w:rPr>
          <w:rFonts w:ascii="Times New Roman" w:hAnsi="Times New Roman" w:cs="Times New Roman"/>
          <w:i/>
          <w:sz w:val="20"/>
          <w:szCs w:val="20"/>
        </w:rPr>
        <w:t>T.Gez.</w:t>
      </w:r>
      <w:r w:rsidRPr="007709A8">
        <w:rPr>
          <w:rFonts w:ascii="Times New Roman" w:hAnsi="Times New Roman" w:cs="Times New Roman"/>
          <w:sz w:val="20"/>
          <w:szCs w:val="20"/>
        </w:rPr>
        <w:t xml:space="preserve">, 2008-2009, 4, p. 307; COOPMAN, B.; DAUGINET, V., ‘Beroepsgeheim en onrechtmatige bewijsverkrijging’, </w:t>
      </w:r>
      <w:r w:rsidRPr="007709A8">
        <w:rPr>
          <w:rFonts w:ascii="Times New Roman" w:hAnsi="Times New Roman" w:cs="Times New Roman"/>
          <w:i/>
          <w:sz w:val="20"/>
          <w:szCs w:val="20"/>
        </w:rPr>
        <w:t>P&amp;B</w:t>
      </w:r>
      <w:r>
        <w:rPr>
          <w:rFonts w:ascii="Times New Roman" w:hAnsi="Times New Roman" w:cs="Times New Roman"/>
          <w:sz w:val="20"/>
          <w:szCs w:val="20"/>
        </w:rPr>
        <w:t>, 1997, p. 127</w:t>
      </w:r>
      <w:r w:rsidRPr="007709A8">
        <w:rPr>
          <w:rFonts w:ascii="Times New Roman" w:hAnsi="Times New Roman" w:cs="Times New Roman"/>
          <w:sz w:val="20"/>
          <w:szCs w:val="20"/>
        </w:rPr>
        <w:t>.</w:t>
      </w:r>
    </w:p>
  </w:footnote>
  <w:footnote w:id="995">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ALLEMEERSCH, ‘Medische attesten gebruiken als bewijs in rechte. Hoe relatief is het beroepsgeheim?’, p. 58-64; BALTHAZAR, T., ‘Het gedeeld beroepsgeheim is geen uitgesmeerd beroepsgeheim’, </w:t>
      </w:r>
      <w:r w:rsidRPr="007709A8">
        <w:rPr>
          <w:rFonts w:ascii="Times New Roman" w:hAnsi="Times New Roman" w:cs="Times New Roman"/>
          <w:i/>
          <w:sz w:val="20"/>
          <w:szCs w:val="20"/>
        </w:rPr>
        <w:t>T.Gez.</w:t>
      </w:r>
      <w:r w:rsidRPr="007709A8">
        <w:rPr>
          <w:rFonts w:ascii="Times New Roman" w:hAnsi="Times New Roman" w:cs="Times New Roman"/>
          <w:sz w:val="20"/>
          <w:szCs w:val="20"/>
        </w:rPr>
        <w:t xml:space="preserve">, 2004-2005, 2, p. 139-146; BANNIER, F.A.W.; DUIJST, W.L.J.M.; FANOY, N.A.M.E.C.; MEIJERS, A.P.H.; TEMPELAAR, J.M.; </w:t>
      </w:r>
      <w:r w:rsidRPr="007709A8">
        <w:rPr>
          <w:rFonts w:ascii="Times New Roman" w:hAnsi="Times New Roman" w:cs="Times New Roman"/>
          <w:i/>
          <w:sz w:val="20"/>
          <w:szCs w:val="20"/>
        </w:rPr>
        <w:t>Beroepsgeheim en verschoningsrecht: handboek voor de advocaat, medisch</w:t>
      </w:r>
      <w:r w:rsidRPr="007709A8">
        <w:rPr>
          <w:rFonts w:ascii="Times New Roman" w:hAnsi="Times New Roman" w:cs="Times New Roman"/>
          <w:sz w:val="20"/>
          <w:szCs w:val="20"/>
        </w:rPr>
        <w:t xml:space="preserve"> </w:t>
      </w:r>
      <w:r w:rsidRPr="007709A8">
        <w:rPr>
          <w:rFonts w:ascii="Times New Roman" w:hAnsi="Times New Roman" w:cs="Times New Roman"/>
          <w:i/>
          <w:sz w:val="20"/>
          <w:szCs w:val="20"/>
        </w:rPr>
        <w:t>hulpverlener, notaris en geestelijke</w:t>
      </w:r>
      <w:r w:rsidRPr="007709A8">
        <w:rPr>
          <w:rFonts w:ascii="Times New Roman" w:hAnsi="Times New Roman" w:cs="Times New Roman"/>
          <w:sz w:val="20"/>
          <w:szCs w:val="20"/>
        </w:rPr>
        <w:t xml:space="preserve">, Den Haag, Sdu, 2008, p. 15-16; BRISSET-VIGNEAU, F., ‘Le dossier médical: le secret ne doit pas cacher la vérité’, </w:t>
      </w:r>
      <w:r w:rsidRPr="007709A8">
        <w:rPr>
          <w:rFonts w:ascii="Times New Roman" w:hAnsi="Times New Roman" w:cs="Times New Roman"/>
          <w:i/>
          <w:sz w:val="20"/>
          <w:szCs w:val="20"/>
        </w:rPr>
        <w:t>La santé de l’homme</w:t>
      </w:r>
      <w:r w:rsidRPr="007709A8">
        <w:rPr>
          <w:rFonts w:ascii="Times New Roman" w:hAnsi="Times New Roman" w:cs="Times New Roman"/>
          <w:sz w:val="20"/>
          <w:szCs w:val="20"/>
        </w:rPr>
        <w:t xml:space="preserve">, 285 (1990), p. 38-39; CLEIREN, C.P.M.; NIJBOER, J.F. (reds.); </w:t>
      </w:r>
      <w:r w:rsidRPr="007709A8">
        <w:rPr>
          <w:rFonts w:ascii="Times New Roman" w:hAnsi="Times New Roman" w:cs="Times New Roman"/>
          <w:i/>
          <w:sz w:val="20"/>
          <w:szCs w:val="20"/>
        </w:rPr>
        <w:t>Strafrecht: Tekst en</w:t>
      </w:r>
      <w:r w:rsidRPr="007709A8">
        <w:rPr>
          <w:rFonts w:ascii="Times New Roman" w:hAnsi="Times New Roman" w:cs="Times New Roman"/>
          <w:sz w:val="20"/>
          <w:szCs w:val="20"/>
        </w:rPr>
        <w:t xml:space="preserve"> </w:t>
      </w:r>
      <w:r w:rsidRPr="007709A8">
        <w:rPr>
          <w:rFonts w:ascii="Times New Roman" w:hAnsi="Times New Roman" w:cs="Times New Roman"/>
          <w:i/>
          <w:sz w:val="20"/>
          <w:szCs w:val="20"/>
        </w:rPr>
        <w:t>commentaar</w:t>
      </w:r>
      <w:r w:rsidRPr="007709A8">
        <w:rPr>
          <w:rFonts w:ascii="Times New Roman" w:hAnsi="Times New Roman" w:cs="Times New Roman"/>
          <w:sz w:val="20"/>
          <w:szCs w:val="20"/>
        </w:rPr>
        <w:t>, Deventer, Kluwer, 2008</w:t>
      </w:r>
      <w:r w:rsidRPr="007709A8">
        <w:rPr>
          <w:rFonts w:ascii="Times New Roman" w:hAnsi="Times New Roman" w:cs="Times New Roman"/>
          <w:sz w:val="20"/>
          <w:szCs w:val="20"/>
          <w:vertAlign w:val="superscript"/>
        </w:rPr>
        <w:t>7</w:t>
      </w:r>
      <w:r w:rsidRPr="007709A8">
        <w:rPr>
          <w:rFonts w:ascii="Times New Roman" w:hAnsi="Times New Roman" w:cs="Times New Roman"/>
          <w:sz w:val="20"/>
          <w:szCs w:val="20"/>
        </w:rPr>
        <w:t xml:space="preserve">, p. 1162; DUIJST, W.L.J.M., </w:t>
      </w:r>
      <w:r w:rsidRPr="007709A8">
        <w:rPr>
          <w:rFonts w:ascii="Times New Roman" w:hAnsi="Times New Roman" w:cs="Times New Roman"/>
          <w:i/>
          <w:sz w:val="20"/>
          <w:szCs w:val="20"/>
        </w:rPr>
        <w:t>Praktijkboek beroepsgeheim en informatieverstrekking in de zorg</w:t>
      </w:r>
      <w:r w:rsidRPr="007709A8">
        <w:rPr>
          <w:rFonts w:ascii="Times New Roman" w:hAnsi="Times New Roman" w:cs="Times New Roman"/>
          <w:sz w:val="20"/>
          <w:szCs w:val="20"/>
        </w:rPr>
        <w:t xml:space="preserve">, p. 15-16; KNMG, ‘Beroepsgeheim niet absoluut’, </w:t>
      </w:r>
      <w:r w:rsidRPr="007709A8">
        <w:rPr>
          <w:rFonts w:ascii="Times New Roman" w:hAnsi="Times New Roman" w:cs="Times New Roman"/>
          <w:i/>
          <w:sz w:val="20"/>
          <w:szCs w:val="20"/>
        </w:rPr>
        <w:t>N.J.B.</w:t>
      </w:r>
      <w:r w:rsidRPr="007709A8">
        <w:rPr>
          <w:rFonts w:ascii="Times New Roman" w:hAnsi="Times New Roman" w:cs="Times New Roman"/>
          <w:sz w:val="20"/>
          <w:szCs w:val="20"/>
        </w:rPr>
        <w:t xml:space="preserve">, 2012, 8, p. 571-572; LEENEN; GEVERS; LEGEMAATE; </w:t>
      </w:r>
      <w:r w:rsidRPr="007709A8">
        <w:rPr>
          <w:rFonts w:ascii="Times New Roman" w:hAnsi="Times New Roman" w:cs="Times New Roman"/>
          <w:i/>
          <w:sz w:val="20"/>
          <w:szCs w:val="20"/>
        </w:rPr>
        <w:t>Handboek gezondheidsrecht. Deel 1</w:t>
      </w:r>
      <w:r w:rsidRPr="007709A8">
        <w:rPr>
          <w:rFonts w:ascii="Times New Roman" w:hAnsi="Times New Roman" w:cs="Times New Roman"/>
          <w:sz w:val="20"/>
          <w:szCs w:val="20"/>
        </w:rPr>
        <w:t xml:space="preserve">,  p. 238-242; TEN HAVE,  H.A.M.J.; TER MEULEN, R.H.J.; VAN LEEUWEN, H.A.M.J.; </w:t>
      </w:r>
      <w:r w:rsidRPr="007709A8">
        <w:rPr>
          <w:rFonts w:ascii="Times New Roman" w:hAnsi="Times New Roman" w:cs="Times New Roman"/>
          <w:i/>
          <w:sz w:val="20"/>
          <w:szCs w:val="20"/>
        </w:rPr>
        <w:t>Medische ethiek</w:t>
      </w:r>
      <w:r w:rsidRPr="007709A8">
        <w:rPr>
          <w:rFonts w:ascii="Times New Roman" w:hAnsi="Times New Roman" w:cs="Times New Roman"/>
          <w:sz w:val="20"/>
          <w:szCs w:val="20"/>
        </w:rPr>
        <w:t>, Houten, Bohn St</w:t>
      </w:r>
      <w:r>
        <w:rPr>
          <w:rFonts w:ascii="Times New Roman" w:hAnsi="Times New Roman" w:cs="Times New Roman"/>
          <w:sz w:val="20"/>
          <w:szCs w:val="20"/>
        </w:rPr>
        <w:t>afleu van Loghum, 2009³, p. 167</w:t>
      </w:r>
      <w:r w:rsidRPr="007709A8">
        <w:rPr>
          <w:rFonts w:ascii="Times New Roman" w:hAnsi="Times New Roman" w:cs="Times New Roman"/>
          <w:sz w:val="20"/>
          <w:szCs w:val="20"/>
        </w:rPr>
        <w:t>; VANDEPUTTE, F., ‘‘Algemeen be</w:t>
      </w:r>
      <w:r>
        <w:rPr>
          <w:rFonts w:ascii="Times New Roman" w:hAnsi="Times New Roman" w:cs="Times New Roman"/>
          <w:sz w:val="20"/>
          <w:szCs w:val="20"/>
        </w:rPr>
        <w:t>lang gaat boven beroepsgeheim.’</w:t>
      </w:r>
      <w:r w:rsidRPr="007709A8">
        <w:rPr>
          <w:rFonts w:ascii="Times New Roman" w:hAnsi="Times New Roman" w:cs="Times New Roman"/>
          <w:sz w:val="20"/>
          <w:szCs w:val="20"/>
        </w:rPr>
        <w:t xml:space="preserve"> Ge</w:t>
      </w:r>
      <w:r>
        <w:rPr>
          <w:rFonts w:ascii="Times New Roman" w:hAnsi="Times New Roman" w:cs="Times New Roman"/>
          <w:sz w:val="20"/>
          <w:szCs w:val="20"/>
        </w:rPr>
        <w:t>-</w:t>
      </w:r>
      <w:r w:rsidRPr="007709A8">
        <w:rPr>
          <w:rFonts w:ascii="Times New Roman" w:hAnsi="Times New Roman" w:cs="Times New Roman"/>
          <w:sz w:val="20"/>
          <w:szCs w:val="20"/>
        </w:rPr>
        <w:t xml:space="preserve">rechtelijke inbeslagnemingen medische dossiers in de lift’, </w:t>
      </w:r>
      <w:r w:rsidRPr="007709A8">
        <w:rPr>
          <w:rFonts w:ascii="Times New Roman" w:hAnsi="Times New Roman" w:cs="Times New Roman"/>
          <w:i/>
          <w:sz w:val="20"/>
          <w:szCs w:val="20"/>
        </w:rPr>
        <w:t>De Standaard</w:t>
      </w:r>
      <w:r w:rsidRPr="007709A8">
        <w:rPr>
          <w:rFonts w:ascii="Times New Roman" w:hAnsi="Times New Roman" w:cs="Times New Roman"/>
          <w:sz w:val="20"/>
          <w:szCs w:val="20"/>
        </w:rPr>
        <w:t xml:space="preserve">, 8 december 2001; VAN NESTE, F., ‘Kan het beroepsgeheim absoluut genoemd worden?’, </w:t>
      </w:r>
      <w:r w:rsidRPr="007709A8">
        <w:rPr>
          <w:rFonts w:ascii="Times New Roman" w:hAnsi="Times New Roman" w:cs="Times New Roman"/>
          <w:i/>
          <w:sz w:val="20"/>
          <w:szCs w:val="20"/>
        </w:rPr>
        <w:t>R.W.</w:t>
      </w:r>
      <w:r w:rsidRPr="007709A8">
        <w:rPr>
          <w:rFonts w:ascii="Times New Roman" w:hAnsi="Times New Roman" w:cs="Times New Roman"/>
          <w:sz w:val="20"/>
          <w:szCs w:val="20"/>
        </w:rPr>
        <w:t xml:space="preserve">, 1977-1978, k. 1281-1304. </w:t>
      </w:r>
    </w:p>
  </w:footnote>
  <w:footnote w:id="996">
    <w:p w:rsidR="00E82D16" w:rsidRPr="009D616E"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Art. 458 Sw; art. 273 § 2 WS; art. 2, e Wbp; art. 39c § 3 van de wet van 7 november 2002 tot wijziging van de regels betreffende de verwerking van justitiële gegevens en het stellen van regels met betrekking tot de ver</w:t>
      </w:r>
      <w:r>
        <w:rPr>
          <w:rFonts w:ascii="Times New Roman" w:hAnsi="Times New Roman"/>
        </w:rPr>
        <w:t>-</w:t>
      </w:r>
      <w:r w:rsidRPr="007709A8">
        <w:rPr>
          <w:rFonts w:ascii="Times New Roman" w:hAnsi="Times New Roman"/>
        </w:rPr>
        <w:t>werking van persoonsgegevens in persoonsdossiers (</w:t>
      </w:r>
      <w:r w:rsidRPr="007709A8">
        <w:rPr>
          <w:rFonts w:ascii="Times New Roman" w:hAnsi="Times New Roman"/>
          <w:i/>
        </w:rPr>
        <w:t xml:space="preserve">Stb. </w:t>
      </w:r>
      <w:r w:rsidRPr="007709A8">
        <w:rPr>
          <w:rFonts w:ascii="Times New Roman" w:hAnsi="Times New Roman"/>
        </w:rPr>
        <w:t>552, 19 november 2002); art. 226-14 CP; DE GHEL</w:t>
      </w:r>
      <w:r>
        <w:rPr>
          <w:rFonts w:ascii="Times New Roman" w:hAnsi="Times New Roman"/>
        </w:rPr>
        <w:t>-</w:t>
      </w:r>
      <w:r w:rsidRPr="007709A8">
        <w:rPr>
          <w:rFonts w:ascii="Times New Roman" w:hAnsi="Times New Roman"/>
        </w:rPr>
        <w:t xml:space="preserve">LINCK-DE MEESTER, M., ‘Het medisch beroepsgeheim en het hinderen van het toezicht’, </w:t>
      </w:r>
      <w:r w:rsidRPr="007709A8">
        <w:rPr>
          <w:rFonts w:ascii="Times New Roman" w:hAnsi="Times New Roman"/>
          <w:i/>
        </w:rPr>
        <w:t>Inf.RIZIV</w:t>
      </w:r>
      <w:r w:rsidRPr="007709A8">
        <w:rPr>
          <w:rFonts w:ascii="Times New Roman" w:hAnsi="Times New Roman"/>
        </w:rPr>
        <w:t>, 1997, p. 447-460.</w:t>
      </w:r>
      <w:r>
        <w:rPr>
          <w:rFonts w:ascii="Times New Roman" w:hAnsi="Times New Roman"/>
        </w:rPr>
        <w:t xml:space="preserve"> Voor een volledig overzicht van deze uitzonderingen in België, zie: NYS, </w:t>
      </w:r>
      <w:r>
        <w:rPr>
          <w:rFonts w:ascii="Times New Roman" w:hAnsi="Times New Roman"/>
          <w:i/>
        </w:rPr>
        <w:t>Geneeskunde – Recht en me-disch handelen</w:t>
      </w:r>
      <w:r>
        <w:rPr>
          <w:rFonts w:ascii="Times New Roman" w:hAnsi="Times New Roman"/>
        </w:rPr>
        <w:t>, p. 536-568 (nrs. 1246-1324).</w:t>
      </w:r>
    </w:p>
  </w:footnote>
  <w:footnote w:id="997">
    <w:p w:rsidR="00E82D16" w:rsidRPr="00743441"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Art. 458 Sw; BLOCKX, F., ‘Arts, Orde en onderzoeksrechter: huiszoekingen en inbeslagnames van medische stukken’, </w:t>
      </w:r>
      <w:r w:rsidRPr="007709A8">
        <w:rPr>
          <w:rFonts w:ascii="Times New Roman" w:hAnsi="Times New Roman" w:cs="Times New Roman"/>
          <w:i/>
          <w:sz w:val="20"/>
          <w:szCs w:val="20"/>
        </w:rPr>
        <w:t>T.Gez.</w:t>
      </w:r>
      <w:r w:rsidRPr="007709A8">
        <w:rPr>
          <w:rFonts w:ascii="Times New Roman" w:hAnsi="Times New Roman" w:cs="Times New Roman"/>
          <w:sz w:val="20"/>
          <w:szCs w:val="20"/>
        </w:rPr>
        <w:t xml:space="preserve">, 2006-2007, p. 176-179; DECLOEDT, W.; ‘Overhandiging van medische gegevens op verzoek van een burgerlijke rechtbank’, WOSTYN, L.; SCHOCKAERT, F.; BOUCQUEY, K. (reds.); </w:t>
      </w:r>
      <w:r w:rsidRPr="007709A8">
        <w:rPr>
          <w:rFonts w:ascii="Times New Roman" w:hAnsi="Times New Roman" w:cs="Times New Roman"/>
          <w:i/>
          <w:sz w:val="20"/>
          <w:szCs w:val="20"/>
        </w:rPr>
        <w:t>Overhandigen me</w:t>
      </w:r>
      <w:r>
        <w:rPr>
          <w:rFonts w:ascii="Times New Roman" w:hAnsi="Times New Roman" w:cs="Times New Roman"/>
          <w:i/>
          <w:sz w:val="20"/>
          <w:szCs w:val="20"/>
        </w:rPr>
        <w:t>-</w:t>
      </w:r>
      <w:r w:rsidRPr="007709A8">
        <w:rPr>
          <w:rFonts w:ascii="Times New Roman" w:hAnsi="Times New Roman" w:cs="Times New Roman"/>
          <w:i/>
          <w:sz w:val="20"/>
          <w:szCs w:val="20"/>
        </w:rPr>
        <w:t>dische gegevens</w:t>
      </w:r>
      <w:r w:rsidRPr="007709A8">
        <w:rPr>
          <w:rFonts w:ascii="Times New Roman" w:hAnsi="Times New Roman" w:cs="Times New Roman"/>
          <w:sz w:val="20"/>
          <w:szCs w:val="20"/>
        </w:rPr>
        <w:t xml:space="preserve">, p. 47-55; DUIJST-HEESTER, W.L.J.M., </w:t>
      </w:r>
      <w:r w:rsidRPr="007709A8">
        <w:rPr>
          <w:rFonts w:ascii="Times New Roman" w:hAnsi="Times New Roman" w:cs="Times New Roman"/>
          <w:i/>
          <w:sz w:val="20"/>
          <w:szCs w:val="20"/>
        </w:rPr>
        <w:t>Gezondheids</w:t>
      </w:r>
      <w:r>
        <w:rPr>
          <w:rFonts w:ascii="Times New Roman" w:hAnsi="Times New Roman" w:cs="Times New Roman"/>
          <w:i/>
          <w:sz w:val="20"/>
          <w:szCs w:val="20"/>
        </w:rPr>
        <w:t xml:space="preserve">recht en </w:t>
      </w:r>
      <w:r w:rsidRPr="007709A8">
        <w:rPr>
          <w:rFonts w:ascii="Times New Roman" w:hAnsi="Times New Roman" w:cs="Times New Roman"/>
          <w:i/>
          <w:sz w:val="20"/>
          <w:szCs w:val="20"/>
        </w:rPr>
        <w:t>strafrecht</w:t>
      </w:r>
      <w:r w:rsidRPr="007709A8">
        <w:rPr>
          <w:rFonts w:ascii="Times New Roman" w:hAnsi="Times New Roman" w:cs="Times New Roman"/>
          <w:sz w:val="20"/>
          <w:szCs w:val="20"/>
        </w:rPr>
        <w:t>, Studiepockets Straf</w:t>
      </w:r>
      <w:r>
        <w:rPr>
          <w:rFonts w:ascii="Times New Roman" w:hAnsi="Times New Roman" w:cs="Times New Roman"/>
          <w:sz w:val="20"/>
          <w:szCs w:val="20"/>
        </w:rPr>
        <w:t>-</w:t>
      </w:r>
      <w:r w:rsidRPr="007709A8">
        <w:rPr>
          <w:rFonts w:ascii="Times New Roman" w:hAnsi="Times New Roman" w:cs="Times New Roman"/>
          <w:sz w:val="20"/>
          <w:szCs w:val="20"/>
        </w:rPr>
        <w:t>recht, 40, Deven</w:t>
      </w:r>
      <w:r>
        <w:rPr>
          <w:rFonts w:ascii="Times New Roman" w:hAnsi="Times New Roman" w:cs="Times New Roman"/>
          <w:sz w:val="20"/>
          <w:szCs w:val="20"/>
        </w:rPr>
        <w:t xml:space="preserve">ter, Kluwer, 2009, p. 115-126; ENGBERTS, D.P.; </w:t>
      </w:r>
      <w:r w:rsidRPr="007709A8">
        <w:rPr>
          <w:rFonts w:ascii="Times New Roman" w:hAnsi="Times New Roman" w:cs="Times New Roman"/>
          <w:sz w:val="20"/>
          <w:szCs w:val="20"/>
        </w:rPr>
        <w:t xml:space="preserve">KALKMAN-BOGERD, L.E. (reds.); </w:t>
      </w:r>
      <w:r w:rsidRPr="007709A8">
        <w:rPr>
          <w:rFonts w:ascii="Times New Roman" w:hAnsi="Times New Roman" w:cs="Times New Roman"/>
          <w:i/>
          <w:sz w:val="20"/>
          <w:szCs w:val="20"/>
        </w:rPr>
        <w:t>Ge</w:t>
      </w:r>
      <w:r>
        <w:rPr>
          <w:rFonts w:ascii="Times New Roman" w:hAnsi="Times New Roman" w:cs="Times New Roman"/>
          <w:i/>
          <w:sz w:val="20"/>
          <w:szCs w:val="20"/>
        </w:rPr>
        <w:t>-</w:t>
      </w:r>
      <w:r w:rsidRPr="007709A8">
        <w:rPr>
          <w:rFonts w:ascii="Times New Roman" w:hAnsi="Times New Roman" w:cs="Times New Roman"/>
          <w:i/>
          <w:sz w:val="20"/>
          <w:szCs w:val="20"/>
        </w:rPr>
        <w:t>zondheidsrecht</w:t>
      </w:r>
      <w:r w:rsidRPr="007709A8">
        <w:rPr>
          <w:rFonts w:ascii="Times New Roman" w:hAnsi="Times New Roman" w:cs="Times New Roman"/>
          <w:sz w:val="20"/>
          <w:szCs w:val="20"/>
        </w:rPr>
        <w:t xml:space="preserve">, Houten, Bohn Stafleu van Loghum, 2009², p. 223 (voetnoot 176); </w:t>
      </w:r>
      <w:r w:rsidRPr="008F66CD">
        <w:rPr>
          <w:rFonts w:ascii="Times New Roman" w:hAnsi="Times New Roman" w:cs="Times New Roman"/>
          <w:sz w:val="20"/>
          <w:szCs w:val="20"/>
        </w:rPr>
        <w:t>GALY, M.; SEGUI-SAUL</w:t>
      </w:r>
      <w:r>
        <w:rPr>
          <w:rFonts w:ascii="Times New Roman" w:hAnsi="Times New Roman" w:cs="Times New Roman"/>
          <w:sz w:val="20"/>
          <w:szCs w:val="20"/>
        </w:rPr>
        <w:t>-</w:t>
      </w:r>
      <w:r w:rsidRPr="008F66CD">
        <w:rPr>
          <w:rFonts w:ascii="Times New Roman" w:hAnsi="Times New Roman" w:cs="Times New Roman"/>
          <w:sz w:val="20"/>
          <w:szCs w:val="20"/>
        </w:rPr>
        <w:t xml:space="preserve">NIER, S.; ‘Les relations entre l'hôpital, la police et la justice: éléments de base. Le secret et les dérogations légales’, </w:t>
      </w:r>
      <w:r w:rsidRPr="008F66CD">
        <w:rPr>
          <w:rFonts w:ascii="Times New Roman" w:hAnsi="Times New Roman" w:cs="Times New Roman"/>
          <w:i/>
          <w:sz w:val="20"/>
          <w:szCs w:val="20"/>
        </w:rPr>
        <w:t>A.J.S.</w:t>
      </w:r>
      <w:r w:rsidRPr="008F66CD">
        <w:rPr>
          <w:rFonts w:ascii="Times New Roman" w:hAnsi="Times New Roman" w:cs="Times New Roman"/>
          <w:sz w:val="20"/>
          <w:szCs w:val="20"/>
        </w:rPr>
        <w:t xml:space="preserve">, 48 (2004), p. 18-22; </w:t>
      </w:r>
      <w:r w:rsidRPr="007709A8">
        <w:rPr>
          <w:rFonts w:ascii="Times New Roman" w:hAnsi="Times New Roman" w:cs="Times New Roman"/>
          <w:sz w:val="20"/>
          <w:szCs w:val="20"/>
        </w:rPr>
        <w:t xml:space="preserve">GEVAERT, P.; WOSTYN, L.; ‘Inbeslagname medische dossiers en verhoor door de onderzoeksrechter’, WOSTYN; SCHOCKAERT; BOUCQUEY; </w:t>
      </w:r>
      <w:r w:rsidRPr="007709A8">
        <w:rPr>
          <w:rFonts w:ascii="Times New Roman" w:hAnsi="Times New Roman" w:cs="Times New Roman"/>
          <w:i/>
          <w:sz w:val="20"/>
          <w:szCs w:val="20"/>
        </w:rPr>
        <w:t>Overhandigen medische gegevens</w:t>
      </w:r>
      <w:r w:rsidRPr="007709A8">
        <w:rPr>
          <w:rFonts w:ascii="Times New Roman" w:hAnsi="Times New Roman" w:cs="Times New Roman"/>
          <w:sz w:val="20"/>
          <w:szCs w:val="20"/>
        </w:rPr>
        <w:t xml:space="preserve">, p. 19-34; LANDUYT, R., ‘Beroepsgeheim is geen alibi om misdrijven te verzwijgen’, </w:t>
      </w:r>
      <w:r w:rsidRPr="007709A8">
        <w:rPr>
          <w:rFonts w:ascii="Times New Roman" w:hAnsi="Times New Roman" w:cs="Times New Roman"/>
          <w:i/>
          <w:sz w:val="20"/>
          <w:szCs w:val="20"/>
        </w:rPr>
        <w:t>Antenne</w:t>
      </w:r>
      <w:r w:rsidRPr="007709A8">
        <w:rPr>
          <w:rFonts w:ascii="Times New Roman" w:hAnsi="Times New Roman" w:cs="Times New Roman"/>
          <w:sz w:val="20"/>
          <w:szCs w:val="20"/>
        </w:rPr>
        <w:t>, 29/4 (2011), p. 51-54</w:t>
      </w:r>
      <w:r w:rsidRPr="006A58E2">
        <w:rPr>
          <w:rStyle w:val="Hyperlink"/>
          <w:rFonts w:ascii="Times New Roman" w:hAnsi="Times New Roman" w:cs="Times New Roman"/>
          <w:color w:val="auto"/>
          <w:sz w:val="20"/>
          <w:szCs w:val="20"/>
          <w:u w:val="none"/>
        </w:rPr>
        <w:t xml:space="preserve">; </w:t>
      </w:r>
      <w:r w:rsidRPr="007709A8">
        <w:rPr>
          <w:rFonts w:ascii="Times New Roman" w:hAnsi="Times New Roman" w:cs="Times New Roman"/>
          <w:sz w:val="20"/>
          <w:szCs w:val="20"/>
        </w:rPr>
        <w:t xml:space="preserve">NYS, H., </w:t>
      </w:r>
      <w:r w:rsidRPr="007709A8">
        <w:rPr>
          <w:rFonts w:ascii="Times New Roman" w:hAnsi="Times New Roman" w:cs="Times New Roman"/>
          <w:i/>
          <w:sz w:val="20"/>
          <w:szCs w:val="20"/>
        </w:rPr>
        <w:t>Geneeskunde – Recht en Medisch Handelen</w:t>
      </w:r>
      <w:r w:rsidRPr="007709A8">
        <w:rPr>
          <w:rFonts w:ascii="Times New Roman" w:hAnsi="Times New Roman" w:cs="Times New Roman"/>
          <w:sz w:val="20"/>
          <w:szCs w:val="20"/>
        </w:rPr>
        <w:t xml:space="preserve">, p. 563-564 (nr. 1317) en p. 566-567 (nr. 1322); SAINT-PIERRE, F., ‘Le secret médical face à la justice pénale’, </w:t>
      </w:r>
      <w:r w:rsidRPr="007709A8">
        <w:rPr>
          <w:rFonts w:ascii="Times New Roman" w:hAnsi="Times New Roman" w:cs="Times New Roman"/>
          <w:i/>
          <w:sz w:val="20"/>
          <w:szCs w:val="20"/>
        </w:rPr>
        <w:t>Droit déontologie soin</w:t>
      </w:r>
      <w:r w:rsidRPr="007709A8">
        <w:rPr>
          <w:rFonts w:ascii="Times New Roman" w:hAnsi="Times New Roman" w:cs="Times New Roman"/>
          <w:sz w:val="20"/>
          <w:szCs w:val="20"/>
        </w:rPr>
        <w:t xml:space="preserve">, 2/2 (2002), p. 148-151; SPEECKAERT, M.; VERHULST, S.; ‘Medische gegevens en privacy’, VERMEULEN, G. (red.), </w:t>
      </w:r>
      <w:r>
        <w:rPr>
          <w:rFonts w:ascii="Times New Roman" w:hAnsi="Times New Roman" w:cs="Times New Roman"/>
          <w:i/>
          <w:sz w:val="20"/>
          <w:szCs w:val="20"/>
        </w:rPr>
        <w:t>Pri</w:t>
      </w:r>
      <w:r w:rsidRPr="007709A8">
        <w:rPr>
          <w:rFonts w:ascii="Times New Roman" w:hAnsi="Times New Roman" w:cs="Times New Roman"/>
          <w:i/>
          <w:sz w:val="20"/>
          <w:szCs w:val="20"/>
        </w:rPr>
        <w:t>vacy en strafrecht: nieuwe en grensoverschrijdende verkenningen</w:t>
      </w:r>
      <w:r w:rsidRPr="007709A8">
        <w:rPr>
          <w:rFonts w:ascii="Times New Roman" w:hAnsi="Times New Roman" w:cs="Times New Roman"/>
          <w:sz w:val="20"/>
          <w:szCs w:val="20"/>
        </w:rPr>
        <w:t>, Nieuwe en gren</w:t>
      </w:r>
      <w:r>
        <w:rPr>
          <w:rFonts w:ascii="Times New Roman" w:hAnsi="Times New Roman" w:cs="Times New Roman"/>
          <w:sz w:val="20"/>
          <w:szCs w:val="20"/>
        </w:rPr>
        <w:t>s</w:t>
      </w:r>
      <w:r w:rsidRPr="007709A8">
        <w:rPr>
          <w:rFonts w:ascii="Times New Roman" w:hAnsi="Times New Roman" w:cs="Times New Roman"/>
          <w:sz w:val="20"/>
          <w:szCs w:val="20"/>
        </w:rPr>
        <w:t>overschrijdende verkenningen, Ant</w:t>
      </w:r>
      <w:r>
        <w:rPr>
          <w:rFonts w:ascii="Times New Roman" w:hAnsi="Times New Roman" w:cs="Times New Roman"/>
          <w:sz w:val="20"/>
          <w:szCs w:val="20"/>
        </w:rPr>
        <w:t>-</w:t>
      </w:r>
      <w:r w:rsidRPr="007709A8">
        <w:rPr>
          <w:rFonts w:ascii="Times New Roman" w:hAnsi="Times New Roman" w:cs="Times New Roman"/>
          <w:sz w:val="20"/>
          <w:szCs w:val="20"/>
        </w:rPr>
        <w:t xml:space="preserve">werpen-Apeldoorn, Maklu,  2007, p. 167-168; STUIVE-HUISMAN, L.M.L., </w:t>
      </w:r>
      <w:r w:rsidRPr="007709A8">
        <w:rPr>
          <w:rFonts w:ascii="Times New Roman" w:hAnsi="Times New Roman" w:cs="Times New Roman"/>
          <w:i/>
          <w:sz w:val="20"/>
          <w:szCs w:val="20"/>
        </w:rPr>
        <w:t>Het medisch beroepsge</w:t>
      </w:r>
      <w:r>
        <w:rPr>
          <w:rFonts w:ascii="Times New Roman" w:hAnsi="Times New Roman" w:cs="Times New Roman"/>
          <w:i/>
          <w:sz w:val="20"/>
          <w:szCs w:val="20"/>
        </w:rPr>
        <w:t>-</w:t>
      </w:r>
      <w:r w:rsidRPr="007709A8">
        <w:rPr>
          <w:rFonts w:ascii="Times New Roman" w:hAnsi="Times New Roman" w:cs="Times New Roman"/>
          <w:i/>
          <w:sz w:val="20"/>
          <w:szCs w:val="20"/>
        </w:rPr>
        <w:t>heim in re</w:t>
      </w:r>
      <w:r>
        <w:rPr>
          <w:rFonts w:ascii="Times New Roman" w:hAnsi="Times New Roman" w:cs="Times New Roman"/>
          <w:i/>
          <w:sz w:val="20"/>
          <w:szCs w:val="20"/>
        </w:rPr>
        <w:t>-</w:t>
      </w:r>
      <w:r w:rsidRPr="007709A8">
        <w:rPr>
          <w:rFonts w:ascii="Times New Roman" w:hAnsi="Times New Roman" w:cs="Times New Roman"/>
          <w:i/>
          <w:sz w:val="20"/>
          <w:szCs w:val="20"/>
        </w:rPr>
        <w:t>latie tot de opsporing van strafbare feiten</w:t>
      </w:r>
      <w:r w:rsidRPr="007709A8">
        <w:rPr>
          <w:rFonts w:ascii="Times New Roman" w:hAnsi="Times New Roman" w:cs="Times New Roman"/>
          <w:sz w:val="20"/>
          <w:szCs w:val="20"/>
        </w:rPr>
        <w:t>, Amsterdam, 2010, 53p.; THIELEN, S., ‘Le droit de disposi</w:t>
      </w:r>
      <w:r>
        <w:rPr>
          <w:rFonts w:ascii="Times New Roman" w:hAnsi="Times New Roman" w:cs="Times New Roman"/>
          <w:sz w:val="20"/>
          <w:szCs w:val="20"/>
        </w:rPr>
        <w:t>-</w:t>
      </w:r>
      <w:r w:rsidRPr="007709A8">
        <w:rPr>
          <w:rFonts w:ascii="Times New Roman" w:hAnsi="Times New Roman" w:cs="Times New Roman"/>
          <w:sz w:val="20"/>
          <w:szCs w:val="20"/>
        </w:rPr>
        <w:t xml:space="preserve">tion du patient sur les données médicales le concernant et l’administration de la preuve en justice’, </w:t>
      </w:r>
      <w:r w:rsidRPr="007709A8">
        <w:rPr>
          <w:rFonts w:ascii="Times New Roman" w:hAnsi="Times New Roman" w:cs="Times New Roman"/>
          <w:i/>
          <w:sz w:val="20"/>
          <w:szCs w:val="20"/>
        </w:rPr>
        <w:t>J.L.M.B.</w:t>
      </w:r>
      <w:r w:rsidRPr="007709A8">
        <w:rPr>
          <w:rFonts w:ascii="Times New Roman" w:hAnsi="Times New Roman" w:cs="Times New Roman"/>
          <w:sz w:val="20"/>
          <w:szCs w:val="20"/>
        </w:rPr>
        <w:t xml:space="preserve">, 2002, 15, p. 630-636; VANDER LAENEN, F., ‘The end of the affair? Het beroepsgeheim in de samenwerking tussen justitie en de hulpverlening’, </w:t>
      </w:r>
      <w:r w:rsidRPr="007709A8">
        <w:rPr>
          <w:rFonts w:ascii="Times New Roman" w:hAnsi="Times New Roman" w:cs="Times New Roman"/>
          <w:i/>
          <w:sz w:val="20"/>
          <w:szCs w:val="20"/>
        </w:rPr>
        <w:t>Panopticon</w:t>
      </w:r>
      <w:r w:rsidRPr="007709A8">
        <w:rPr>
          <w:rFonts w:ascii="Times New Roman" w:hAnsi="Times New Roman" w:cs="Times New Roman"/>
          <w:sz w:val="20"/>
          <w:szCs w:val="20"/>
        </w:rPr>
        <w:t>, 2011, 4, p. 1-11; VAN VEEN, E.B.; DE JONG, E.J.C.; KASTELEIN, W.R., ‘Het beroepsgeheim in rechte. Zwijgen: recht of plicht?’, Vereniging voor Gezondheids</w:t>
      </w:r>
      <w:r>
        <w:rPr>
          <w:rFonts w:ascii="Times New Roman" w:hAnsi="Times New Roman" w:cs="Times New Roman"/>
          <w:sz w:val="20"/>
          <w:szCs w:val="20"/>
        </w:rPr>
        <w:t>-</w:t>
      </w:r>
      <w:r w:rsidRPr="007709A8">
        <w:rPr>
          <w:rFonts w:ascii="Times New Roman" w:hAnsi="Times New Roman" w:cs="Times New Roman"/>
          <w:sz w:val="20"/>
          <w:szCs w:val="20"/>
        </w:rPr>
        <w:t xml:space="preserve">recht, </w:t>
      </w:r>
      <w:r w:rsidRPr="007709A8">
        <w:rPr>
          <w:rFonts w:ascii="Times New Roman" w:hAnsi="Times New Roman" w:cs="Times New Roman"/>
          <w:i/>
          <w:sz w:val="20"/>
          <w:szCs w:val="20"/>
        </w:rPr>
        <w:t>Het beroepsge</w:t>
      </w:r>
      <w:r>
        <w:rPr>
          <w:rFonts w:ascii="Times New Roman" w:hAnsi="Times New Roman" w:cs="Times New Roman"/>
          <w:i/>
          <w:sz w:val="20"/>
          <w:szCs w:val="20"/>
        </w:rPr>
        <w:t>-</w:t>
      </w:r>
      <w:r w:rsidRPr="007709A8">
        <w:rPr>
          <w:rFonts w:ascii="Times New Roman" w:hAnsi="Times New Roman" w:cs="Times New Roman"/>
          <w:i/>
          <w:sz w:val="20"/>
          <w:szCs w:val="20"/>
        </w:rPr>
        <w:t>heim. Continuïteit en verandering</w:t>
      </w:r>
      <w:r w:rsidRPr="007709A8">
        <w:rPr>
          <w:rFonts w:ascii="Times New Roman" w:hAnsi="Times New Roman" w:cs="Times New Roman"/>
          <w:sz w:val="20"/>
          <w:szCs w:val="20"/>
        </w:rPr>
        <w:t>, Den Haag, Sdu</w:t>
      </w:r>
      <w:r>
        <w:rPr>
          <w:rFonts w:ascii="Times New Roman" w:hAnsi="Times New Roman" w:cs="Times New Roman"/>
          <w:sz w:val="20"/>
          <w:szCs w:val="20"/>
        </w:rPr>
        <w:t xml:space="preserve"> uitgevers</w:t>
      </w:r>
      <w:r w:rsidRPr="007709A8">
        <w:rPr>
          <w:rFonts w:ascii="Times New Roman" w:hAnsi="Times New Roman" w:cs="Times New Roman"/>
          <w:sz w:val="20"/>
          <w:szCs w:val="20"/>
        </w:rPr>
        <w:t xml:space="preserve">, 2004, p. 145-195; WOSTYN, L., </w:t>
      </w:r>
      <w:r w:rsidRPr="007709A8">
        <w:rPr>
          <w:rFonts w:ascii="Times New Roman" w:hAnsi="Times New Roman" w:cs="Times New Roman"/>
          <w:i/>
          <w:sz w:val="20"/>
          <w:szCs w:val="20"/>
        </w:rPr>
        <w:t>Het overmaken van medische gegevens na het overlijden van de patiënt</w:t>
      </w:r>
      <w:r w:rsidRPr="007709A8">
        <w:rPr>
          <w:rFonts w:ascii="Times New Roman" w:hAnsi="Times New Roman" w:cs="Times New Roman"/>
          <w:sz w:val="20"/>
          <w:szCs w:val="20"/>
        </w:rPr>
        <w:t>, Gent, Story Publishers, 2011, p. 36-40.</w:t>
      </w:r>
    </w:p>
  </w:footnote>
  <w:footnote w:id="998">
    <w:p w:rsidR="00E82D16" w:rsidRPr="00EE7FDA" w:rsidRDefault="00E82D16" w:rsidP="000F560E">
      <w:pPr>
        <w:pStyle w:val="Voetnoottekst"/>
        <w:jc w:val="both"/>
        <w:rPr>
          <w:rFonts w:ascii="Times New Roman" w:hAnsi="Times New Roman"/>
        </w:rPr>
      </w:pPr>
      <w:r w:rsidRPr="00EE7FDA">
        <w:rPr>
          <w:rStyle w:val="Voetnootmarkering"/>
          <w:rFonts w:ascii="Times New Roman" w:hAnsi="Times New Roman"/>
        </w:rPr>
        <w:footnoteRef/>
      </w:r>
      <w:r w:rsidRPr="00EE7FDA">
        <w:rPr>
          <w:rFonts w:ascii="Times New Roman" w:hAnsi="Times New Roman"/>
        </w:rPr>
        <w:t xml:space="preserve"> DUIJST, W.L.J.M.; </w:t>
      </w:r>
      <w:r w:rsidRPr="00EE7FDA">
        <w:rPr>
          <w:rFonts w:ascii="Times New Roman" w:hAnsi="Times New Roman"/>
          <w:i/>
        </w:rPr>
        <w:t>Praktijkboek beroepsgeheim en informatieverstrekking in de zorg</w:t>
      </w:r>
      <w:r w:rsidRPr="00EE7FDA">
        <w:rPr>
          <w:rFonts w:ascii="Times New Roman" w:hAnsi="Times New Roman"/>
        </w:rPr>
        <w:t>, Apeldoorn-Antwer</w:t>
      </w:r>
      <w:r>
        <w:rPr>
          <w:rFonts w:ascii="Times New Roman" w:hAnsi="Times New Roman"/>
        </w:rPr>
        <w:t>-</w:t>
      </w:r>
      <w:r w:rsidRPr="00EE7FDA">
        <w:rPr>
          <w:rFonts w:ascii="Times New Roman" w:hAnsi="Times New Roman"/>
        </w:rPr>
        <w:t xml:space="preserve">pen, Maklu, 2009, p. 16-17; </w:t>
      </w:r>
      <w:r>
        <w:rPr>
          <w:rFonts w:ascii="Times New Roman" w:hAnsi="Times New Roman"/>
        </w:rPr>
        <w:t xml:space="preserve">NYS, </w:t>
      </w:r>
      <w:r>
        <w:rPr>
          <w:rFonts w:ascii="Times New Roman" w:hAnsi="Times New Roman"/>
          <w:i/>
        </w:rPr>
        <w:t xml:space="preserve">Geneeskunde – Recht en medisch </w:t>
      </w:r>
      <w:r w:rsidRPr="009D616E">
        <w:rPr>
          <w:rFonts w:ascii="Times New Roman" w:hAnsi="Times New Roman"/>
          <w:i/>
        </w:rPr>
        <w:t>handelen</w:t>
      </w:r>
      <w:r>
        <w:rPr>
          <w:rFonts w:ascii="Times New Roman" w:hAnsi="Times New Roman"/>
        </w:rPr>
        <w:t xml:space="preserve">, p. 536-539 (nrs. 1246-1254); </w:t>
      </w:r>
      <w:r w:rsidRPr="00D03198">
        <w:rPr>
          <w:rFonts w:ascii="Times New Roman" w:hAnsi="Times New Roman"/>
        </w:rPr>
        <w:t xml:space="preserve">SCHUIND, G.; VANDEPLAS, A. (red.); </w:t>
      </w:r>
      <w:r w:rsidRPr="00D03198">
        <w:rPr>
          <w:rFonts w:ascii="Times New Roman" w:hAnsi="Times New Roman"/>
          <w:i/>
        </w:rPr>
        <w:t>Traité pratique de droit criminel</w:t>
      </w:r>
      <w:r w:rsidRPr="00D03198">
        <w:rPr>
          <w:rFonts w:ascii="Times New Roman" w:hAnsi="Times New Roman"/>
        </w:rPr>
        <w:t>, I, Brussel, Swinnen, 1980</w:t>
      </w:r>
      <w:r w:rsidRPr="00D03198">
        <w:rPr>
          <w:rFonts w:ascii="Times New Roman" w:hAnsi="Times New Roman"/>
          <w:vertAlign w:val="superscript"/>
        </w:rPr>
        <w:t>4</w:t>
      </w:r>
      <w:r w:rsidRPr="00EE7FDA">
        <w:rPr>
          <w:rFonts w:ascii="Times New Roman" w:hAnsi="Times New Roman"/>
        </w:rPr>
        <w:t>, p. 416.</w:t>
      </w:r>
    </w:p>
  </w:footnote>
  <w:footnote w:id="999">
    <w:p w:rsidR="00E82D16" w:rsidRPr="007709A8" w:rsidRDefault="00E82D16" w:rsidP="000F560E">
      <w:pPr>
        <w:pStyle w:val="Voetnoottekst"/>
        <w:jc w:val="both"/>
        <w:rPr>
          <w:rFonts w:ascii="Times New Roman" w:hAnsi="Times New Roman"/>
        </w:rPr>
      </w:pPr>
      <w:r w:rsidRPr="00EE7FDA">
        <w:rPr>
          <w:rStyle w:val="Voetnootmarkering"/>
          <w:rFonts w:ascii="Times New Roman" w:hAnsi="Times New Roman"/>
        </w:rPr>
        <w:footnoteRef/>
      </w:r>
      <w:r w:rsidRPr="00EE7FDA">
        <w:rPr>
          <w:rFonts w:ascii="Times New Roman" w:hAnsi="Times New Roman"/>
        </w:rPr>
        <w:t xml:space="preserve"> Art. 4.4 van aanbeveling nr. R(2002)9 van het Comité van Ministers aan de Lidstaten van 18 september 2002 over de bescherming van persoonsgegevens die verzameld en verwerkt worden voor verzekeringsdoeleinden; art. 150 van de wet betreffende de verplichte verzekering voor geneeskundige verzorging en uitkeringen gecoördi</w:t>
      </w:r>
      <w:r>
        <w:rPr>
          <w:rFonts w:ascii="Times New Roman" w:hAnsi="Times New Roman"/>
        </w:rPr>
        <w:t>-</w:t>
      </w:r>
      <w:r w:rsidRPr="00EE7FDA">
        <w:rPr>
          <w:rFonts w:ascii="Times New Roman" w:hAnsi="Times New Roman"/>
        </w:rPr>
        <w:t>neerd op 14 juli 1994 (</w:t>
      </w:r>
      <w:r w:rsidRPr="00EE7FDA">
        <w:rPr>
          <w:rFonts w:ascii="Times New Roman" w:hAnsi="Times New Roman"/>
          <w:i/>
        </w:rPr>
        <w:t>BS</w:t>
      </w:r>
      <w:r w:rsidRPr="00EE7FDA">
        <w:rPr>
          <w:rFonts w:ascii="Times New Roman" w:hAnsi="Times New Roman"/>
        </w:rPr>
        <w:t xml:space="preserve"> 27 augustus 1994); art. 21, vijfde lid Wbp; regeling inrichting en gebruik van een in</w:t>
      </w:r>
      <w:r>
        <w:rPr>
          <w:rFonts w:ascii="Times New Roman" w:hAnsi="Times New Roman"/>
        </w:rPr>
        <w:t>-</w:t>
      </w:r>
      <w:r w:rsidRPr="00EE7FDA">
        <w:rPr>
          <w:rFonts w:ascii="Times New Roman" w:hAnsi="Times New Roman"/>
        </w:rPr>
        <w:t>frastructuur voor elektronische informatie-uitwisseling ter uitvoering van de Zorgverzekeringswet (</w:t>
      </w:r>
      <w:r w:rsidRPr="00EE7FDA">
        <w:rPr>
          <w:rFonts w:ascii="Times New Roman" w:hAnsi="Times New Roman"/>
          <w:i/>
        </w:rPr>
        <w:t>Stcrt.</w:t>
      </w:r>
      <w:r w:rsidRPr="00EE7FDA">
        <w:rPr>
          <w:rFonts w:ascii="Times New Roman" w:hAnsi="Times New Roman"/>
        </w:rPr>
        <w:t xml:space="preserve"> 2, 3 ja</w:t>
      </w:r>
      <w:r>
        <w:rPr>
          <w:rFonts w:ascii="Times New Roman" w:hAnsi="Times New Roman"/>
        </w:rPr>
        <w:t>-</w:t>
      </w:r>
      <w:r w:rsidRPr="00EE7FDA">
        <w:rPr>
          <w:rFonts w:ascii="Times New Roman" w:hAnsi="Times New Roman"/>
        </w:rPr>
        <w:t>nuari 2008); regeling van de Staatssecretaris van Volksgezondheid, Welzijn en Sport van 6 juni 2011, kenmerk MC U 3052251, houdende regels in verband met de verwerking van persoonsgegevens door zorgverzekeraars bij de uitvoering van de AWBZ (</w:t>
      </w:r>
      <w:r w:rsidRPr="00EE7FDA">
        <w:rPr>
          <w:rFonts w:ascii="Times New Roman" w:hAnsi="Times New Roman"/>
          <w:i/>
        </w:rPr>
        <w:t>Stcrt.</w:t>
      </w:r>
      <w:r w:rsidRPr="00EE7FDA">
        <w:rPr>
          <w:rFonts w:ascii="Times New Roman" w:hAnsi="Times New Roman"/>
        </w:rPr>
        <w:t xml:space="preserve"> 10301, 15 juni 2011); art. L. 1435-6 CSP, ingevoerd door art. 118 van wet nr. 2009-879 van 21 juli 2009; ALMERAS, J.P., ‘La communication de données médicales aux compagnes d’assurance’, </w:t>
      </w:r>
      <w:r>
        <w:rPr>
          <w:rFonts w:ascii="Times New Roman" w:hAnsi="Times New Roman"/>
          <w:i/>
        </w:rPr>
        <w:t>C.M.</w:t>
      </w:r>
      <w:r w:rsidRPr="00EE7FDA">
        <w:rPr>
          <w:rFonts w:ascii="Times New Roman" w:hAnsi="Times New Roman"/>
        </w:rPr>
        <w:t>, 116/27 (1994), p. 2281-2282; ANDRE-DUMONT, J.; VAN</w:t>
      </w:r>
      <w:r w:rsidRPr="007709A8">
        <w:rPr>
          <w:rFonts w:ascii="Times New Roman" w:hAnsi="Times New Roman"/>
        </w:rPr>
        <w:t xml:space="preserve"> GYSEGHEM, J.; ‘Droit mé</w:t>
      </w:r>
      <w:r>
        <w:rPr>
          <w:rFonts w:ascii="Times New Roman" w:hAnsi="Times New Roman"/>
        </w:rPr>
        <w:t>-</w:t>
      </w:r>
      <w:r w:rsidRPr="007709A8">
        <w:rPr>
          <w:rFonts w:ascii="Times New Roman" w:hAnsi="Times New Roman"/>
        </w:rPr>
        <w:t xml:space="preserve">dical et assurance-vie’, </w:t>
      </w:r>
      <w:r w:rsidRPr="007709A8">
        <w:rPr>
          <w:rFonts w:ascii="Times New Roman" w:hAnsi="Times New Roman"/>
          <w:i/>
        </w:rPr>
        <w:t>T.Verz.</w:t>
      </w:r>
      <w:r w:rsidRPr="007709A8">
        <w:rPr>
          <w:rFonts w:ascii="Times New Roman" w:hAnsi="Times New Roman"/>
        </w:rPr>
        <w:t xml:space="preserve">, 2001, p. 409-441; ANDRE-DUMONT, J., ‘L’assurance vie face à la protection de la vie privée et aux droits du patients’, </w:t>
      </w:r>
      <w:r w:rsidRPr="007709A8">
        <w:rPr>
          <w:rFonts w:ascii="Times New Roman" w:hAnsi="Times New Roman"/>
          <w:i/>
        </w:rPr>
        <w:t>T.Verz.</w:t>
      </w:r>
      <w:r w:rsidRPr="007709A8">
        <w:rPr>
          <w:rFonts w:ascii="Times New Roman" w:hAnsi="Times New Roman"/>
        </w:rPr>
        <w:t>, 2009, 4, p. 355-377; MATTHYS, J., ‘Overzicht van de wetge</w:t>
      </w:r>
      <w:r>
        <w:rPr>
          <w:rFonts w:ascii="Times New Roman" w:hAnsi="Times New Roman"/>
        </w:rPr>
        <w:t>-</w:t>
      </w:r>
      <w:r w:rsidRPr="007709A8">
        <w:rPr>
          <w:rFonts w:ascii="Times New Roman" w:hAnsi="Times New Roman"/>
        </w:rPr>
        <w:t xml:space="preserve">ving betreffende de bescherming van de medische gegevens in het kader van de verzekeringen’, </w:t>
      </w:r>
      <w:r w:rsidRPr="007709A8">
        <w:rPr>
          <w:rFonts w:ascii="Times New Roman" w:hAnsi="Times New Roman"/>
          <w:i/>
        </w:rPr>
        <w:t>Cons.M.</w:t>
      </w:r>
      <w:r w:rsidRPr="007709A8">
        <w:rPr>
          <w:rFonts w:ascii="Times New Roman" w:hAnsi="Times New Roman"/>
        </w:rPr>
        <w:t>, 2008, 4, p. 10-26; VERERTBRUGGEN, M.; WAUTERS, E.; WATHIONG, G.; ‘Bescherming van de persoonlijke le</w:t>
      </w:r>
      <w:r>
        <w:rPr>
          <w:rFonts w:ascii="Times New Roman" w:hAnsi="Times New Roman"/>
        </w:rPr>
        <w:t>-</w:t>
      </w:r>
      <w:r w:rsidRPr="007709A8">
        <w:rPr>
          <w:rFonts w:ascii="Times New Roman" w:hAnsi="Times New Roman"/>
        </w:rPr>
        <w:t xml:space="preserve">venssfeer bij de verwerking van medische persoonsgegevens in ziekenfondsen’, </w:t>
      </w:r>
      <w:r w:rsidRPr="007709A8">
        <w:rPr>
          <w:rFonts w:ascii="Times New Roman" w:hAnsi="Times New Roman"/>
          <w:i/>
        </w:rPr>
        <w:t>A.Hosp.</w:t>
      </w:r>
      <w:r w:rsidRPr="007709A8">
        <w:rPr>
          <w:rFonts w:ascii="Times New Roman" w:hAnsi="Times New Roman"/>
        </w:rPr>
        <w:t>, 1994, 1, p. 55-73</w:t>
      </w:r>
      <w:r>
        <w:rPr>
          <w:rFonts w:ascii="Times New Roman" w:hAnsi="Times New Roman"/>
        </w:rPr>
        <w:t>.</w:t>
      </w:r>
    </w:p>
  </w:footnote>
  <w:footnote w:id="1000">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Verslag aan de koning bij het PrivacyKB; MB van 19 juni 2009 tot bepaling van de lijst van infecties die ge</w:t>
      </w:r>
      <w:r>
        <w:rPr>
          <w:rFonts w:ascii="Times New Roman" w:hAnsi="Times New Roman"/>
        </w:rPr>
        <w:t>-</w:t>
      </w:r>
      <w:r w:rsidRPr="007709A8">
        <w:rPr>
          <w:rFonts w:ascii="Times New Roman" w:hAnsi="Times New Roman"/>
        </w:rPr>
        <w:t>meld moeten worden en tot delegatie van de bevoegdheid om ambtenaren-artsen en ambtenaren aan te wijzen (</w:t>
      </w:r>
      <w:r w:rsidRPr="007709A8">
        <w:rPr>
          <w:rFonts w:ascii="Times New Roman" w:hAnsi="Times New Roman"/>
          <w:i/>
        </w:rPr>
        <w:t>BS</w:t>
      </w:r>
      <w:r w:rsidRPr="007709A8">
        <w:rPr>
          <w:rFonts w:ascii="Times New Roman" w:hAnsi="Times New Roman"/>
        </w:rPr>
        <w:t xml:space="preserve"> 20 juli 2009); art. 21-29 van de wet van 9 oktober 2008 houdende bepaling over de zorg voor de publieke gezondheid (</w:t>
      </w:r>
      <w:r w:rsidRPr="007709A8">
        <w:rPr>
          <w:rFonts w:ascii="Times New Roman" w:hAnsi="Times New Roman"/>
          <w:i/>
        </w:rPr>
        <w:t>Stb.</w:t>
      </w:r>
      <w:r w:rsidRPr="007709A8">
        <w:rPr>
          <w:rFonts w:ascii="Times New Roman" w:hAnsi="Times New Roman"/>
        </w:rPr>
        <w:t xml:space="preserve"> 460, 18 november 2008); besluit nr. 2001-437 van 16 mei 2001 houdende regeling van de wijze waarop individuele gegevens met betrekking tot de ziekten als bedoeld in artikel L. 3113-1 van de </w:t>
      </w:r>
      <w:r w:rsidRPr="007709A8">
        <w:rPr>
          <w:rFonts w:ascii="Times New Roman" w:hAnsi="Times New Roman"/>
          <w:i/>
        </w:rPr>
        <w:t xml:space="preserve">Code de la santé publique </w:t>
      </w:r>
      <w:r w:rsidRPr="007709A8">
        <w:rPr>
          <w:rFonts w:ascii="Times New Roman" w:hAnsi="Times New Roman"/>
        </w:rPr>
        <w:t>aan het Ministerie van Volksgezondheid moeten worden meegedeeld en ter wijziging van art</w:t>
      </w:r>
      <w:r>
        <w:rPr>
          <w:rFonts w:ascii="Times New Roman" w:hAnsi="Times New Roman"/>
        </w:rPr>
        <w:t>.</w:t>
      </w:r>
      <w:r w:rsidRPr="007709A8">
        <w:rPr>
          <w:rFonts w:ascii="Times New Roman" w:hAnsi="Times New Roman"/>
        </w:rPr>
        <w:t xml:space="preserve"> R. 11-2 en </w:t>
      </w:r>
      <w:r>
        <w:rPr>
          <w:rFonts w:ascii="Times New Roman" w:hAnsi="Times New Roman"/>
        </w:rPr>
        <w:t xml:space="preserve">art. </w:t>
      </w:r>
      <w:r w:rsidRPr="007709A8">
        <w:rPr>
          <w:rFonts w:ascii="Times New Roman" w:hAnsi="Times New Roman"/>
        </w:rPr>
        <w:t xml:space="preserve">R 11-2 van de </w:t>
      </w:r>
      <w:r w:rsidRPr="007709A8">
        <w:rPr>
          <w:rFonts w:ascii="Times New Roman" w:hAnsi="Times New Roman"/>
          <w:i/>
        </w:rPr>
        <w:t xml:space="preserve">Code de la santé publique </w:t>
      </w:r>
      <w:r w:rsidRPr="007709A8">
        <w:rPr>
          <w:rFonts w:ascii="Times New Roman" w:hAnsi="Times New Roman"/>
        </w:rPr>
        <w:t>(</w:t>
      </w:r>
      <w:r w:rsidRPr="007709A8">
        <w:rPr>
          <w:rFonts w:ascii="Times New Roman" w:hAnsi="Times New Roman"/>
          <w:i/>
        </w:rPr>
        <w:t xml:space="preserve">JORF </w:t>
      </w:r>
      <w:r w:rsidRPr="007709A8">
        <w:rPr>
          <w:rFonts w:ascii="Times New Roman" w:hAnsi="Times New Roman"/>
        </w:rPr>
        <w:t>119, 23 mei 2001); besluit nr. 2001-910 van 5 ok</w:t>
      </w:r>
      <w:r>
        <w:rPr>
          <w:rFonts w:ascii="Times New Roman" w:hAnsi="Times New Roman"/>
        </w:rPr>
        <w:t>-</w:t>
      </w:r>
      <w:r w:rsidRPr="007709A8">
        <w:rPr>
          <w:rFonts w:ascii="Times New Roman" w:hAnsi="Times New Roman"/>
        </w:rPr>
        <w:t xml:space="preserve">tober 2001 ter wijziging van de lijst van ziekten die verplicht aan het Ministerie van Volksgezondheid moeten worden meegedeeld en ter wijziging van de </w:t>
      </w:r>
      <w:r w:rsidRPr="007709A8">
        <w:rPr>
          <w:rFonts w:ascii="Times New Roman" w:hAnsi="Times New Roman"/>
          <w:i/>
        </w:rPr>
        <w:t>Code de la santé publique</w:t>
      </w:r>
      <w:r w:rsidRPr="007709A8">
        <w:rPr>
          <w:rFonts w:ascii="Times New Roman" w:hAnsi="Times New Roman"/>
        </w:rPr>
        <w:t xml:space="preserve"> (</w:t>
      </w:r>
      <w:r w:rsidRPr="007709A8">
        <w:rPr>
          <w:rFonts w:ascii="Times New Roman" w:hAnsi="Times New Roman"/>
          <w:i/>
        </w:rPr>
        <w:t xml:space="preserve">JORF </w:t>
      </w:r>
      <w:r w:rsidRPr="007709A8">
        <w:rPr>
          <w:rFonts w:ascii="Times New Roman" w:hAnsi="Times New Roman"/>
        </w:rPr>
        <w:t xml:space="preserve">232, 6 oktober 2001); ‘Vlaamse artsen moeten alle gevallen van bof melden, </w:t>
      </w:r>
      <w:r w:rsidRPr="007709A8">
        <w:rPr>
          <w:rFonts w:ascii="Times New Roman" w:hAnsi="Times New Roman"/>
          <w:i/>
        </w:rPr>
        <w:t>De Standaard</w:t>
      </w:r>
      <w:r w:rsidRPr="007709A8">
        <w:rPr>
          <w:rFonts w:ascii="Times New Roman" w:hAnsi="Times New Roman"/>
        </w:rPr>
        <w:t>, dinsdag 14 juni 2012; ANTONIOTTI, S.; PELLIS</w:t>
      </w:r>
      <w:r>
        <w:rPr>
          <w:rFonts w:ascii="Times New Roman" w:hAnsi="Times New Roman"/>
        </w:rPr>
        <w:t>-</w:t>
      </w:r>
      <w:r w:rsidRPr="007709A8">
        <w:rPr>
          <w:rFonts w:ascii="Times New Roman" w:hAnsi="Times New Roman"/>
        </w:rPr>
        <w:t xml:space="preserve">SIER, V.; SIMEONI, M.C.; MANUELL, C.; ‘Déclaration obligatoire des maladies infectueuses’, </w:t>
      </w:r>
      <w:r w:rsidRPr="007709A8">
        <w:rPr>
          <w:rFonts w:ascii="Times New Roman" w:hAnsi="Times New Roman"/>
          <w:i/>
        </w:rPr>
        <w:t>Santé Publi</w:t>
      </w:r>
      <w:r>
        <w:rPr>
          <w:rFonts w:ascii="Times New Roman" w:hAnsi="Times New Roman"/>
          <w:i/>
        </w:rPr>
        <w:t>-</w:t>
      </w:r>
      <w:r w:rsidRPr="007709A8">
        <w:rPr>
          <w:rFonts w:ascii="Times New Roman" w:hAnsi="Times New Roman"/>
          <w:i/>
        </w:rPr>
        <w:t>que</w:t>
      </w:r>
      <w:r w:rsidRPr="007709A8">
        <w:rPr>
          <w:rFonts w:ascii="Times New Roman" w:hAnsi="Times New Roman"/>
        </w:rPr>
        <w:t>, 14/2 (2002), p. 165-178. Voor de meldingsplicht</w:t>
      </w:r>
      <w:r>
        <w:rPr>
          <w:rFonts w:ascii="Times New Roman" w:hAnsi="Times New Roman"/>
        </w:rPr>
        <w:t xml:space="preserve">ige ziekten in Vlaanderen, zie: </w:t>
      </w:r>
      <w:hyperlink r:id="rId179" w:history="1">
        <w:r w:rsidRPr="00FD343F">
          <w:rPr>
            <w:rStyle w:val="Hyperlink"/>
            <w:rFonts w:ascii="Times New Roman" w:hAnsi="Times New Roman"/>
          </w:rPr>
          <w:t>http://www.zorg-en-gezondheid.be/v2_default.aspx?id=22990&amp;terms=meldingsplichtige</w:t>
        </w:r>
      </w:hyperlink>
      <w:r w:rsidRPr="007709A8">
        <w:rPr>
          <w:rFonts w:ascii="Times New Roman" w:hAnsi="Times New Roman"/>
        </w:rPr>
        <w:t>.</w:t>
      </w:r>
    </w:p>
  </w:footnote>
  <w:footnote w:id="100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KB van 12 oktober 2011 tot vaststelling van de regelen betreffende de organisatie en de werking van het Fonds voor de medische ongevallen (</w:t>
      </w:r>
      <w:r w:rsidRPr="007709A8">
        <w:rPr>
          <w:rFonts w:ascii="Times New Roman" w:hAnsi="Times New Roman"/>
          <w:i/>
        </w:rPr>
        <w:t xml:space="preserve">BS </w:t>
      </w:r>
      <w:r w:rsidRPr="007709A8">
        <w:rPr>
          <w:rFonts w:ascii="Times New Roman" w:hAnsi="Times New Roman"/>
        </w:rPr>
        <w:t>17 oktober 2010)</w:t>
      </w:r>
    </w:p>
  </w:footnote>
  <w:footnote w:id="1002">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E333B6">
        <w:rPr>
          <w:rFonts w:ascii="Times New Roman" w:hAnsi="Times New Roman"/>
          <w:lang w:val="fr-BE"/>
        </w:rPr>
        <w:t xml:space="preserve"> Art. 458</w:t>
      </w:r>
      <w:r w:rsidRPr="00E333B6">
        <w:rPr>
          <w:rFonts w:ascii="Times New Roman" w:hAnsi="Times New Roman"/>
          <w:i/>
          <w:lang w:val="fr-BE"/>
        </w:rPr>
        <w:t xml:space="preserve">bis </w:t>
      </w:r>
      <w:r w:rsidRPr="00E333B6">
        <w:rPr>
          <w:rFonts w:ascii="Times New Roman" w:hAnsi="Times New Roman"/>
          <w:lang w:val="fr-BE"/>
        </w:rPr>
        <w:t>Sw; art. 21 § 1, d) Wbp en art. 53, derde lid van de wet op de jeugdzorg; art. 226-14 § 1 en art. 434-3 CP; ALLAIX, M., ‘Signalement et secret professionnel’, Association Française d’Information et de Re</w:t>
      </w:r>
      <w:r>
        <w:rPr>
          <w:rFonts w:ascii="Times New Roman" w:hAnsi="Times New Roman"/>
          <w:lang w:val="fr-BE"/>
        </w:rPr>
        <w:t>-</w:t>
      </w:r>
      <w:r w:rsidRPr="00E333B6">
        <w:rPr>
          <w:rFonts w:ascii="Times New Roman" w:hAnsi="Times New Roman"/>
          <w:lang w:val="fr-BE"/>
        </w:rPr>
        <w:t xml:space="preserve">cherche sur l’Enfance Maltraitée (AFIREM), </w:t>
      </w:r>
      <w:r w:rsidRPr="00E333B6">
        <w:rPr>
          <w:rFonts w:ascii="Times New Roman" w:hAnsi="Times New Roman"/>
          <w:i/>
          <w:lang w:val="fr-BE"/>
        </w:rPr>
        <w:t>Secret maintenu; secret dévoilé. A propos de la maltraitance</w:t>
      </w:r>
      <w:r w:rsidRPr="00E333B6">
        <w:rPr>
          <w:rFonts w:ascii="Times New Roman" w:hAnsi="Times New Roman"/>
          <w:lang w:val="fr-BE"/>
        </w:rPr>
        <w:t>, Pa</w:t>
      </w:r>
      <w:r>
        <w:rPr>
          <w:rFonts w:ascii="Times New Roman" w:hAnsi="Times New Roman"/>
          <w:lang w:val="fr-BE"/>
        </w:rPr>
        <w:t>-</w:t>
      </w:r>
      <w:r w:rsidRPr="00E333B6">
        <w:rPr>
          <w:rFonts w:ascii="Times New Roman" w:hAnsi="Times New Roman"/>
          <w:lang w:val="fr-BE"/>
        </w:rPr>
        <w:t>rijs, Karthala, 1994, p. 171-182;  COLETTE-BASECQZ, N., ‘Le secret professionnel face à l’enfance maltrai</w:t>
      </w:r>
      <w:r>
        <w:rPr>
          <w:rFonts w:ascii="Times New Roman" w:hAnsi="Times New Roman"/>
          <w:lang w:val="fr-BE"/>
        </w:rPr>
        <w:t>-</w:t>
      </w:r>
      <w:r w:rsidRPr="00E333B6">
        <w:rPr>
          <w:rFonts w:ascii="Times New Roman" w:hAnsi="Times New Roman"/>
          <w:lang w:val="fr-BE"/>
        </w:rPr>
        <w:t xml:space="preserve">tée’, </w:t>
      </w:r>
      <w:r w:rsidRPr="00E333B6">
        <w:rPr>
          <w:rFonts w:ascii="Times New Roman" w:hAnsi="Times New Roman"/>
          <w:i/>
          <w:lang w:val="fr-BE"/>
        </w:rPr>
        <w:t>Annales de Droit de Louvain</w:t>
      </w:r>
      <w:r w:rsidRPr="00E333B6">
        <w:rPr>
          <w:rFonts w:ascii="Times New Roman" w:hAnsi="Times New Roman"/>
          <w:lang w:val="fr-BE"/>
        </w:rPr>
        <w:t xml:space="preserve">, 2002, 1-2, p. 24; DE ROODE, R.; MEULMEESTER, J.; ‘Spreek voor het kind’, </w:t>
      </w:r>
      <w:r w:rsidRPr="00E333B6">
        <w:rPr>
          <w:rFonts w:ascii="Times New Roman" w:hAnsi="Times New Roman"/>
          <w:i/>
          <w:lang w:val="fr-BE"/>
        </w:rPr>
        <w:t>M.C.</w:t>
      </w:r>
      <w:r w:rsidRPr="00E333B6">
        <w:rPr>
          <w:rFonts w:ascii="Times New Roman" w:hAnsi="Times New Roman"/>
          <w:lang w:val="fr-BE"/>
        </w:rPr>
        <w:t xml:space="preserve">, 64/36 (2008),  p. 1444-1446; LHERBIER-MALBRANQUE, B., </w:t>
      </w:r>
      <w:r w:rsidRPr="00E333B6">
        <w:rPr>
          <w:rFonts w:ascii="Times New Roman" w:hAnsi="Times New Roman"/>
          <w:i/>
          <w:lang w:val="fr-BE"/>
        </w:rPr>
        <w:t>La protection de l’enfant maltraité: protéger, aider, punir et collaborer</w:t>
      </w:r>
      <w:r w:rsidRPr="00E333B6">
        <w:rPr>
          <w:rFonts w:ascii="Times New Roman" w:hAnsi="Times New Roman"/>
          <w:lang w:val="fr-BE"/>
        </w:rPr>
        <w:t>, Parijs, l’Harmattan, 2000, p. 64-77; NYS, H., ‘Kindermishandeling en me</w:t>
      </w:r>
      <w:r>
        <w:rPr>
          <w:rFonts w:ascii="Times New Roman" w:hAnsi="Times New Roman"/>
          <w:lang w:val="fr-BE"/>
        </w:rPr>
        <w:t>-</w:t>
      </w:r>
      <w:r w:rsidRPr="00E333B6">
        <w:rPr>
          <w:rFonts w:ascii="Times New Roman" w:hAnsi="Times New Roman"/>
          <w:lang w:val="fr-BE"/>
        </w:rPr>
        <w:t xml:space="preserve">disch beroepsgeheim’, EGGERMONT, E.; ADRIAENSSENS, P.; </w:t>
      </w:r>
      <w:r w:rsidRPr="00E333B6">
        <w:rPr>
          <w:rFonts w:ascii="Times New Roman" w:hAnsi="Times New Roman"/>
          <w:i/>
          <w:lang w:val="fr-BE"/>
        </w:rPr>
        <w:t xml:space="preserve">Kindermishandeling. </w:t>
      </w:r>
      <w:r w:rsidRPr="007709A8">
        <w:rPr>
          <w:rFonts w:ascii="Times New Roman" w:hAnsi="Times New Roman"/>
          <w:i/>
        </w:rPr>
        <w:t>Perspectief in interac</w:t>
      </w:r>
      <w:r>
        <w:rPr>
          <w:rFonts w:ascii="Times New Roman" w:hAnsi="Times New Roman"/>
          <w:i/>
        </w:rPr>
        <w:t>-</w:t>
      </w:r>
      <w:r w:rsidRPr="007709A8">
        <w:rPr>
          <w:rFonts w:ascii="Times New Roman" w:hAnsi="Times New Roman"/>
          <w:i/>
        </w:rPr>
        <w:t>ties</w:t>
      </w:r>
      <w:r w:rsidRPr="007709A8">
        <w:rPr>
          <w:rFonts w:ascii="Times New Roman" w:hAnsi="Times New Roman"/>
        </w:rPr>
        <w:t xml:space="preserve">, Leuven, Garant, 1992, p. 167-173; ROLAND-GOSSELIN, A., ‘Droits de l’enfant et hospitalisation’, DOUCHAIN, F. (red.), </w:t>
      </w:r>
      <w:r w:rsidRPr="007709A8">
        <w:rPr>
          <w:rFonts w:ascii="Times New Roman" w:hAnsi="Times New Roman"/>
          <w:i/>
        </w:rPr>
        <w:t>Pédiatrie hospitalière</w:t>
      </w:r>
      <w:r w:rsidRPr="007709A8">
        <w:rPr>
          <w:rFonts w:ascii="Times New Roman" w:hAnsi="Times New Roman"/>
        </w:rPr>
        <w:t xml:space="preserve">, Progrès en pédiatrie, 8, Parijs, Doin, 2001, p. 12-13; MEIJS, M., </w:t>
      </w:r>
      <w:r w:rsidRPr="007709A8">
        <w:rPr>
          <w:rFonts w:ascii="Times New Roman" w:hAnsi="Times New Roman"/>
          <w:i/>
        </w:rPr>
        <w:t>Doorbreken van het medisch beroepsgeheim: zorg of zegen?</w:t>
      </w:r>
      <w:r w:rsidRPr="007709A8">
        <w:rPr>
          <w:rFonts w:ascii="Times New Roman" w:hAnsi="Times New Roman"/>
        </w:rPr>
        <w:t>, onuitgeg. meesterproef, faculteit Rechtsgeleerd</w:t>
      </w:r>
      <w:r>
        <w:rPr>
          <w:rFonts w:ascii="Times New Roman" w:hAnsi="Times New Roman"/>
        </w:rPr>
        <w:t>-</w:t>
      </w:r>
      <w:r w:rsidRPr="007709A8">
        <w:rPr>
          <w:rFonts w:ascii="Times New Roman" w:hAnsi="Times New Roman"/>
        </w:rPr>
        <w:t>heid, Universiteit van Tilburg, promotor, prof. dr. P. Vlaardingerbroek, 2009, 58p.; VERGOTE, R.; WOSTYN, L.; ‘Mededeling van medische gegevens in situaties van (vermoeden van) kindermishandeling’, p. 139-144</w:t>
      </w:r>
      <w:r w:rsidR="00E514B2">
        <w:rPr>
          <w:rFonts w:ascii="Times New Roman" w:hAnsi="Times New Roman"/>
        </w:rPr>
        <w:t>.</w:t>
      </w:r>
    </w:p>
  </w:footnote>
  <w:footnote w:id="1003">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ALLEMEERSCH, B., ‘Het toepassingsgebied van art. 458 Strafwetboek. Over het succes van het beroeps</w:t>
      </w:r>
      <w:r>
        <w:rPr>
          <w:rFonts w:ascii="Times New Roman" w:hAnsi="Times New Roman"/>
        </w:rPr>
        <w:t>-</w:t>
      </w:r>
      <w:r w:rsidRPr="007709A8">
        <w:rPr>
          <w:rFonts w:ascii="Times New Roman" w:hAnsi="Times New Roman"/>
        </w:rPr>
        <w:t xml:space="preserve">geheim en het geheim van dat succes’, </w:t>
      </w:r>
      <w:r w:rsidRPr="007709A8">
        <w:rPr>
          <w:rFonts w:ascii="Times New Roman" w:hAnsi="Times New Roman"/>
          <w:i/>
        </w:rPr>
        <w:t>R.W.</w:t>
      </w:r>
      <w:r w:rsidRPr="007709A8">
        <w:rPr>
          <w:rFonts w:ascii="Times New Roman" w:hAnsi="Times New Roman"/>
        </w:rPr>
        <w:t>, 2003-2004, 1, k. 1-19; BOULANGER, M., ‘[Le droit de communi</w:t>
      </w:r>
      <w:r>
        <w:rPr>
          <w:rFonts w:ascii="Times New Roman" w:hAnsi="Times New Roman"/>
        </w:rPr>
        <w:t>-</w:t>
      </w:r>
      <w:r w:rsidRPr="007709A8">
        <w:rPr>
          <w:rFonts w:ascii="Times New Roman" w:hAnsi="Times New Roman"/>
        </w:rPr>
        <w:t xml:space="preserve">cation du dossier médical face au secret médical]’, </w:t>
      </w:r>
      <w:r w:rsidRPr="007709A8">
        <w:rPr>
          <w:rFonts w:ascii="Times New Roman" w:hAnsi="Times New Roman"/>
          <w:i/>
        </w:rPr>
        <w:t>T.Gez.</w:t>
      </w:r>
      <w:r w:rsidRPr="007709A8">
        <w:rPr>
          <w:rFonts w:ascii="Times New Roman" w:hAnsi="Times New Roman"/>
        </w:rPr>
        <w:t xml:space="preserve">, 1999-2000, p. 355-359; DE DIE, A.C.; DEN OUDEN, W.; ‘Getob met de WOB? De werking van de WOB op het terrein van de gezondheidszorg’, </w:t>
      </w:r>
      <w:r w:rsidRPr="007709A8">
        <w:rPr>
          <w:rFonts w:ascii="Times New Roman" w:hAnsi="Times New Roman"/>
          <w:i/>
        </w:rPr>
        <w:t>T.G.</w:t>
      </w:r>
      <w:r w:rsidRPr="007709A8">
        <w:rPr>
          <w:rFonts w:ascii="Times New Roman" w:hAnsi="Times New Roman"/>
        </w:rPr>
        <w:t xml:space="preserve">, 25/3 (2001), p. 69-80; DESERNO, I., </w:t>
      </w:r>
      <w:r>
        <w:rPr>
          <w:rFonts w:ascii="Times New Roman" w:hAnsi="Times New Roman"/>
        </w:rPr>
        <w:t>‘</w:t>
      </w:r>
      <w:r w:rsidRPr="007709A8">
        <w:rPr>
          <w:rFonts w:ascii="Times New Roman" w:hAnsi="Times New Roman"/>
        </w:rPr>
        <w:t>Een delicaat evenwicht. Toegang tot documenten en het recht op bescherming van per</w:t>
      </w:r>
      <w:r>
        <w:rPr>
          <w:rFonts w:ascii="Times New Roman" w:hAnsi="Times New Roman"/>
        </w:rPr>
        <w:t>soonsgegevens’</w:t>
      </w:r>
      <w:r w:rsidRPr="007709A8">
        <w:rPr>
          <w:rFonts w:ascii="Times New Roman" w:hAnsi="Times New Roman"/>
        </w:rPr>
        <w:t xml:space="preserve">, </w:t>
      </w:r>
      <w:r w:rsidRPr="007709A8">
        <w:rPr>
          <w:rFonts w:ascii="Times New Roman" w:hAnsi="Times New Roman"/>
          <w:i/>
        </w:rPr>
        <w:t>Archievenblad</w:t>
      </w:r>
      <w:r w:rsidRPr="007709A8">
        <w:rPr>
          <w:rFonts w:ascii="Times New Roman" w:hAnsi="Times New Roman"/>
        </w:rPr>
        <w:t xml:space="preserve">, 113/4 (2009), p. 18-21; HACHE, R., ‘Beroepsgeheim vanuit medisch-ethisch perspectief: tussen privacy en vertrouwelijkheid’, NYS, H. (red.), </w:t>
      </w:r>
      <w:r w:rsidRPr="007709A8">
        <w:rPr>
          <w:rFonts w:ascii="Times New Roman" w:hAnsi="Times New Roman"/>
          <w:i/>
        </w:rPr>
        <w:t>Het beroepsgeheim in de zorgverle</w:t>
      </w:r>
      <w:r>
        <w:rPr>
          <w:rFonts w:ascii="Times New Roman" w:hAnsi="Times New Roman"/>
          <w:i/>
        </w:rPr>
        <w:t>-</w:t>
      </w:r>
      <w:r w:rsidRPr="007709A8">
        <w:rPr>
          <w:rFonts w:ascii="Times New Roman" w:hAnsi="Times New Roman"/>
          <w:i/>
        </w:rPr>
        <w:t>ningssector. Een confrontatie tussen recht en praktijk, Recht en Geneeskunde</w:t>
      </w:r>
      <w:r w:rsidRPr="007709A8">
        <w:rPr>
          <w:rFonts w:ascii="Times New Roman" w:hAnsi="Times New Roman"/>
        </w:rPr>
        <w:t xml:space="preserve">, Antwerpen, Intersentia, 1998, p. 51-60; MAHEU, E., ‘Secret er transparence: un enjeu démocratique’, </w:t>
      </w:r>
      <w:r w:rsidRPr="007709A8">
        <w:rPr>
          <w:rFonts w:ascii="Times New Roman" w:hAnsi="Times New Roman"/>
          <w:i/>
        </w:rPr>
        <w:t>Agora</w:t>
      </w:r>
      <w:r w:rsidRPr="007709A8">
        <w:rPr>
          <w:rFonts w:ascii="Times New Roman" w:hAnsi="Times New Roman"/>
        </w:rPr>
        <w:t>, 37 (1996), p. 3-8; PARISSE, M.; VERBRUGGEN, V.; ‘Secret professionnel et vie privée: les traitements de données à caractère personnel (rela</w:t>
      </w:r>
      <w:r>
        <w:rPr>
          <w:rFonts w:ascii="Times New Roman" w:hAnsi="Times New Roman"/>
        </w:rPr>
        <w:t>-</w:t>
      </w:r>
      <w:r w:rsidRPr="007709A8">
        <w:rPr>
          <w:rFonts w:ascii="Times New Roman" w:hAnsi="Times New Roman"/>
        </w:rPr>
        <w:t xml:space="preserve">tives à la santé) couvertes par le secret professionnel’, </w:t>
      </w:r>
      <w:r w:rsidRPr="007709A8">
        <w:rPr>
          <w:rFonts w:ascii="Times New Roman" w:hAnsi="Times New Roman"/>
          <w:i/>
        </w:rPr>
        <w:t>R.D.T.I.</w:t>
      </w:r>
      <w:r w:rsidRPr="007709A8">
        <w:rPr>
          <w:rFonts w:ascii="Times New Roman" w:hAnsi="Times New Roman"/>
        </w:rPr>
        <w:t>, 24 (2006), p.</w:t>
      </w:r>
      <w:r>
        <w:rPr>
          <w:rFonts w:ascii="Times New Roman" w:hAnsi="Times New Roman"/>
        </w:rPr>
        <w:t xml:space="preserve"> 15-68; SAELENS; DE HERT</w:t>
      </w:r>
      <w:r w:rsidRPr="007709A8">
        <w:rPr>
          <w:rFonts w:ascii="Times New Roman" w:hAnsi="Times New Roman"/>
        </w:rPr>
        <w:t>; ‘Openbaarmaking van gezondheidsgegevens en het recht op privacy. De toepassing van de bescherming van per</w:t>
      </w:r>
      <w:r>
        <w:rPr>
          <w:rFonts w:ascii="Times New Roman" w:hAnsi="Times New Roman"/>
        </w:rPr>
        <w:t>-</w:t>
      </w:r>
      <w:r w:rsidRPr="007709A8">
        <w:rPr>
          <w:rFonts w:ascii="Times New Roman" w:hAnsi="Times New Roman"/>
        </w:rPr>
        <w:t>soonsgegevens blijft een moeilijke drempel’, p. 280-284;</w:t>
      </w:r>
    </w:p>
    <w:p w:rsidR="00E82D16" w:rsidRPr="007709A8" w:rsidRDefault="00E82D16" w:rsidP="000F560E">
      <w:pPr>
        <w:pStyle w:val="Voetnoottekst"/>
        <w:jc w:val="both"/>
        <w:rPr>
          <w:rFonts w:ascii="Times New Roman" w:hAnsi="Times New Roman"/>
        </w:rPr>
      </w:pPr>
      <w:r w:rsidRPr="007709A8">
        <w:rPr>
          <w:rFonts w:ascii="Times New Roman" w:hAnsi="Times New Roman"/>
        </w:rPr>
        <w:t>VERHAERT, J., ‘[Nederland] Beperkingen aan de WOB [Wet openbaarheid van bestuur] van door toezicht ver</w:t>
      </w:r>
      <w:r>
        <w:rPr>
          <w:rFonts w:ascii="Times New Roman" w:hAnsi="Times New Roman"/>
        </w:rPr>
        <w:t>-</w:t>
      </w:r>
      <w:r w:rsidRPr="007709A8">
        <w:rPr>
          <w:rFonts w:ascii="Times New Roman" w:hAnsi="Times New Roman"/>
        </w:rPr>
        <w:t xml:space="preserve">kregen medische gegevens’, </w:t>
      </w:r>
      <w:r w:rsidRPr="007709A8">
        <w:rPr>
          <w:rFonts w:ascii="Times New Roman" w:hAnsi="Times New Roman"/>
          <w:i/>
        </w:rPr>
        <w:t>N.J.B.</w:t>
      </w:r>
      <w:r w:rsidRPr="007709A8">
        <w:rPr>
          <w:rFonts w:ascii="Times New Roman" w:hAnsi="Times New Roman"/>
        </w:rPr>
        <w:t>, 2012, 5, p. 325-332.</w:t>
      </w:r>
    </w:p>
  </w:footnote>
  <w:footnote w:id="1004">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DE HOOG, P., ‘De reikwijdte van het medisch beroepsgeheim’, </w:t>
      </w:r>
      <w:r w:rsidRPr="007709A8">
        <w:rPr>
          <w:rFonts w:ascii="Times New Roman" w:hAnsi="Times New Roman"/>
          <w:i/>
        </w:rPr>
        <w:t>Adv.</w:t>
      </w:r>
      <w:r w:rsidRPr="007709A8">
        <w:rPr>
          <w:rFonts w:ascii="Times New Roman" w:hAnsi="Times New Roman"/>
        </w:rPr>
        <w:t xml:space="preserve">, 1989, p. 97-100; HENNAU-HUBLET, C., ‘Le secret médical et ses limites. La dynamique du secret tend-elle vers son occultation?’, </w:t>
      </w:r>
      <w:r w:rsidRPr="007709A8">
        <w:rPr>
          <w:rFonts w:ascii="Times New Roman" w:hAnsi="Times New Roman"/>
          <w:i/>
        </w:rPr>
        <w:t>Louvain Médical</w:t>
      </w:r>
      <w:r w:rsidRPr="007709A8">
        <w:rPr>
          <w:rFonts w:ascii="Times New Roman" w:hAnsi="Times New Roman"/>
        </w:rPr>
        <w:t>, 117/5 (1998), p. 182; LEENAERTS, E.; PUT, J.; VAN DER STRAETE, I.; ‘Het beschikkingsrecht over het be</w:t>
      </w:r>
      <w:r>
        <w:rPr>
          <w:rFonts w:ascii="Times New Roman" w:hAnsi="Times New Roman"/>
        </w:rPr>
        <w:t>-</w:t>
      </w:r>
      <w:r w:rsidRPr="007709A8">
        <w:rPr>
          <w:rFonts w:ascii="Times New Roman" w:hAnsi="Times New Roman"/>
        </w:rPr>
        <w:t xml:space="preserve">roepsgeheim. De hulpverlener wikt, de cliënt beschikt’, </w:t>
      </w:r>
      <w:r w:rsidRPr="007709A8">
        <w:rPr>
          <w:rFonts w:ascii="Times New Roman" w:hAnsi="Times New Roman"/>
          <w:i/>
        </w:rPr>
        <w:t>T.P.R.</w:t>
      </w:r>
      <w:r w:rsidRPr="007709A8">
        <w:rPr>
          <w:rFonts w:ascii="Times New Roman" w:hAnsi="Times New Roman"/>
        </w:rPr>
        <w:t xml:space="preserve">, 2003, 3, p. 1093-1131; LEENEN; GEVERS; LEGEMAATE; </w:t>
      </w:r>
      <w:r w:rsidRPr="007709A8">
        <w:rPr>
          <w:rFonts w:ascii="Times New Roman" w:hAnsi="Times New Roman"/>
          <w:i/>
        </w:rPr>
        <w:t xml:space="preserve">Handboek gezondheidsrecht. </w:t>
      </w:r>
      <w:r w:rsidRPr="00E333B6">
        <w:rPr>
          <w:rFonts w:ascii="Times New Roman" w:hAnsi="Times New Roman"/>
          <w:i/>
          <w:lang w:val="fr-BE"/>
        </w:rPr>
        <w:t>Deel 1</w:t>
      </w:r>
      <w:r w:rsidRPr="00E333B6">
        <w:rPr>
          <w:rFonts w:ascii="Times New Roman" w:hAnsi="Times New Roman"/>
          <w:lang w:val="fr-BE"/>
        </w:rPr>
        <w:t>, p. 225; SAINT MARTIN, A., ‘Le secret médical et le pa</w:t>
      </w:r>
      <w:r>
        <w:rPr>
          <w:rFonts w:ascii="Times New Roman" w:hAnsi="Times New Roman"/>
          <w:lang w:val="fr-BE"/>
        </w:rPr>
        <w:t>-</w:t>
      </w:r>
      <w:r w:rsidRPr="00E333B6">
        <w:rPr>
          <w:rFonts w:ascii="Times New Roman" w:hAnsi="Times New Roman"/>
          <w:lang w:val="fr-BE"/>
        </w:rPr>
        <w:t xml:space="preserve">tient: le patient (a priori) maître du secret professionnel médical’, </w:t>
      </w:r>
      <w:r w:rsidRPr="00E333B6">
        <w:rPr>
          <w:rFonts w:ascii="Times New Roman" w:hAnsi="Times New Roman"/>
          <w:i/>
          <w:lang w:val="fr-BE"/>
        </w:rPr>
        <w:t>Revue droit et santé</w:t>
      </w:r>
      <w:r w:rsidRPr="00E333B6">
        <w:rPr>
          <w:rFonts w:ascii="Times New Roman" w:hAnsi="Times New Roman"/>
          <w:lang w:val="fr-BE"/>
        </w:rPr>
        <w:t xml:space="preserve">, 34 (2010), p. 108-112 en 36 (2010), p. 326-330; VAN DER LEER, O., ‘Gegevensbescherming in Nederland. </w:t>
      </w:r>
      <w:r w:rsidRPr="007709A8">
        <w:rPr>
          <w:rFonts w:ascii="Times New Roman" w:hAnsi="Times New Roman"/>
        </w:rPr>
        <w:t>Waarborgen voor privacy</w:t>
      </w:r>
      <w:r>
        <w:rPr>
          <w:rFonts w:ascii="Times New Roman" w:hAnsi="Times New Roman"/>
        </w:rPr>
        <w:t>-</w:t>
      </w:r>
      <w:r w:rsidRPr="007709A8">
        <w:rPr>
          <w:rFonts w:ascii="Times New Roman" w:hAnsi="Times New Roman"/>
        </w:rPr>
        <w:t xml:space="preserve">bescherming en vertrouwelijkheid van medische gegevens als onderdeel van zelfregulering’, </w:t>
      </w:r>
      <w:r w:rsidRPr="007709A8">
        <w:rPr>
          <w:rFonts w:ascii="Times New Roman" w:hAnsi="Times New Roman"/>
          <w:i/>
        </w:rPr>
        <w:t>A.Hosp.</w:t>
      </w:r>
      <w:r w:rsidRPr="007709A8">
        <w:rPr>
          <w:rFonts w:ascii="Times New Roman" w:hAnsi="Times New Roman"/>
        </w:rPr>
        <w:t>, 1994, 1, p. 93-101.</w:t>
      </w:r>
    </w:p>
  </w:footnote>
  <w:footnote w:id="1005">
    <w:p w:rsidR="00E82D16" w:rsidRPr="00E333B6" w:rsidRDefault="00E82D16" w:rsidP="000F560E">
      <w:pPr>
        <w:pStyle w:val="Voetnoottekst"/>
        <w:jc w:val="both"/>
        <w:rPr>
          <w:rFonts w:ascii="Times New Roman" w:hAnsi="Times New Roman"/>
          <w:lang w:val="fr-BE"/>
        </w:rPr>
      </w:pPr>
      <w:r w:rsidRPr="007709A8">
        <w:rPr>
          <w:rStyle w:val="Voetnootmarkering"/>
          <w:rFonts w:ascii="Times New Roman" w:hAnsi="Times New Roman"/>
        </w:rPr>
        <w:footnoteRef/>
      </w:r>
      <w:r w:rsidRPr="00E333B6">
        <w:rPr>
          <w:rFonts w:ascii="Times New Roman" w:hAnsi="Times New Roman"/>
          <w:lang w:val="fr-BE"/>
        </w:rPr>
        <w:t xml:space="preserve"> CALLENS, </w:t>
      </w:r>
      <w:r w:rsidRPr="00E333B6">
        <w:rPr>
          <w:rFonts w:ascii="Times New Roman" w:hAnsi="Times New Roman"/>
          <w:i/>
          <w:lang w:val="fr-BE"/>
        </w:rPr>
        <w:t>Goed geregeld?</w:t>
      </w:r>
      <w:r w:rsidRPr="00E333B6">
        <w:rPr>
          <w:rFonts w:ascii="Times New Roman" w:hAnsi="Times New Roman"/>
          <w:lang w:val="fr-BE"/>
        </w:rPr>
        <w:t>, p. 23.</w:t>
      </w:r>
    </w:p>
  </w:footnote>
  <w:footnote w:id="1006">
    <w:p w:rsidR="00E82D16" w:rsidRPr="00E333B6" w:rsidRDefault="00E82D16" w:rsidP="000F560E">
      <w:pPr>
        <w:pStyle w:val="Voetnoottekst"/>
        <w:jc w:val="both"/>
        <w:rPr>
          <w:rFonts w:ascii="Times New Roman" w:hAnsi="Times New Roman"/>
          <w:lang w:val="fr-BE"/>
        </w:rPr>
      </w:pPr>
      <w:r w:rsidRPr="007709A8">
        <w:rPr>
          <w:rStyle w:val="Voetnootmarkering"/>
          <w:rFonts w:ascii="Times New Roman" w:hAnsi="Times New Roman"/>
        </w:rPr>
        <w:footnoteRef/>
      </w:r>
      <w:r w:rsidRPr="00E333B6">
        <w:rPr>
          <w:rFonts w:ascii="Times New Roman" w:hAnsi="Times New Roman"/>
          <w:lang w:val="fr-BE"/>
        </w:rPr>
        <w:t xml:space="preserve"> DOURAKI, T., ‘Le secret médical en tant qu’un élément de la vie privée du malade, face aux progrès de l’in</w:t>
      </w:r>
      <w:r>
        <w:rPr>
          <w:rFonts w:ascii="Times New Roman" w:hAnsi="Times New Roman"/>
          <w:lang w:val="fr-BE"/>
        </w:rPr>
        <w:t>-</w:t>
      </w:r>
      <w:r w:rsidRPr="00E333B6">
        <w:rPr>
          <w:rFonts w:ascii="Times New Roman" w:hAnsi="Times New Roman"/>
          <w:lang w:val="fr-BE"/>
        </w:rPr>
        <w:t xml:space="preserve">formatique: l’approche juridique européenne’, </w:t>
      </w:r>
      <w:r w:rsidRPr="00E333B6">
        <w:rPr>
          <w:rFonts w:ascii="Times New Roman" w:hAnsi="Times New Roman"/>
          <w:i/>
          <w:lang w:val="fr-BE"/>
        </w:rPr>
        <w:t>R.M.C.</w:t>
      </w:r>
      <w:r w:rsidRPr="00E333B6">
        <w:rPr>
          <w:rFonts w:ascii="Times New Roman" w:hAnsi="Times New Roman"/>
          <w:lang w:val="fr-BE"/>
        </w:rPr>
        <w:t>, 467 (2003), p. 257-265; HERVEG, J.; VERHAEGEN, M.N.; POULLET, Y.; ‘Les droits du patient face au traitement informatisé de ses données dans une finalité thé</w:t>
      </w:r>
      <w:r>
        <w:rPr>
          <w:rFonts w:ascii="Times New Roman" w:hAnsi="Times New Roman"/>
          <w:lang w:val="fr-BE"/>
        </w:rPr>
        <w:t>-</w:t>
      </w:r>
      <w:r w:rsidRPr="00E333B6">
        <w:rPr>
          <w:rFonts w:ascii="Times New Roman" w:hAnsi="Times New Roman"/>
          <w:lang w:val="fr-BE"/>
        </w:rPr>
        <w:t xml:space="preserve">rapeutique: les conditions d’une alliance entre informatique, vie privée et santé’, </w:t>
      </w:r>
      <w:r w:rsidRPr="00E333B6">
        <w:rPr>
          <w:rFonts w:ascii="Times New Roman" w:hAnsi="Times New Roman"/>
          <w:i/>
          <w:lang w:val="fr-BE"/>
        </w:rPr>
        <w:t>T.Gez.</w:t>
      </w:r>
      <w:r w:rsidRPr="00E333B6">
        <w:rPr>
          <w:rFonts w:ascii="Times New Roman" w:hAnsi="Times New Roman"/>
          <w:lang w:val="fr-BE"/>
        </w:rPr>
        <w:t xml:space="preserve">, 2002-2003, p. 59-61 (nrs. 7-8); LE BIGOT, S.; GRIVEL, P.; ‘Le secret médical et l’informatisation des données de santé’, </w:t>
      </w:r>
      <w:r w:rsidRPr="00E333B6">
        <w:rPr>
          <w:rFonts w:ascii="Times New Roman" w:hAnsi="Times New Roman"/>
          <w:i/>
          <w:lang w:val="fr-BE"/>
        </w:rPr>
        <w:t>C.M.</w:t>
      </w:r>
      <w:r w:rsidRPr="00E333B6">
        <w:rPr>
          <w:rFonts w:ascii="Times New Roman" w:hAnsi="Times New Roman"/>
          <w:lang w:val="fr-BE"/>
        </w:rPr>
        <w:t>, 126/33 (2004), p. 1955-1966.</w:t>
      </w:r>
    </w:p>
  </w:footnote>
  <w:footnote w:id="1007">
    <w:p w:rsidR="00E82D16" w:rsidRPr="007C5640" w:rsidRDefault="00E82D16" w:rsidP="000F560E">
      <w:pPr>
        <w:pStyle w:val="Voetnoottekst"/>
        <w:jc w:val="both"/>
        <w:rPr>
          <w:rFonts w:ascii="Times New Roman" w:hAnsi="Times New Roman"/>
        </w:rPr>
      </w:pPr>
      <w:r w:rsidRPr="007C5640">
        <w:rPr>
          <w:rStyle w:val="Voetnootmarkering"/>
          <w:rFonts w:ascii="Times New Roman" w:hAnsi="Times New Roman"/>
        </w:rPr>
        <w:footnoteRef/>
      </w:r>
      <w:r w:rsidRPr="007C5640">
        <w:rPr>
          <w:rFonts w:ascii="Times New Roman" w:hAnsi="Times New Roman"/>
        </w:rPr>
        <w:t xml:space="preserve"> CROONEN, H., ‘Privacy EPD in handen van arts. Techniek kan patiënt niet beschermen tegen onterechte in</w:t>
      </w:r>
      <w:r>
        <w:rPr>
          <w:rFonts w:ascii="Times New Roman" w:hAnsi="Times New Roman"/>
        </w:rPr>
        <w:t>-</w:t>
      </w:r>
      <w:r w:rsidRPr="007C5640">
        <w:rPr>
          <w:rFonts w:ascii="Times New Roman" w:hAnsi="Times New Roman"/>
        </w:rPr>
        <w:t xml:space="preserve">zage’, </w:t>
      </w:r>
      <w:r w:rsidRPr="007C5640">
        <w:rPr>
          <w:rFonts w:ascii="Times New Roman" w:hAnsi="Times New Roman"/>
          <w:i/>
        </w:rPr>
        <w:t>M.C.</w:t>
      </w:r>
      <w:r w:rsidRPr="007C5640">
        <w:rPr>
          <w:rFonts w:ascii="Times New Roman" w:hAnsi="Times New Roman"/>
        </w:rPr>
        <w:t>, 65/5 (2010), p. 200-203.</w:t>
      </w:r>
    </w:p>
  </w:footnote>
  <w:footnote w:id="1008">
    <w:p w:rsidR="00E82D16" w:rsidRPr="007709A8" w:rsidRDefault="00E82D16" w:rsidP="000F560E">
      <w:pPr>
        <w:pStyle w:val="Voetnoottekst"/>
        <w:jc w:val="both"/>
        <w:rPr>
          <w:rFonts w:ascii="Times New Roman" w:hAnsi="Times New Roman"/>
          <w:lang w:val="en-US"/>
        </w:rPr>
      </w:pPr>
      <w:r w:rsidRPr="007709A8">
        <w:rPr>
          <w:rStyle w:val="Voetnootmarkering"/>
          <w:rFonts w:ascii="Times New Roman" w:hAnsi="Times New Roman"/>
        </w:rPr>
        <w:footnoteRef/>
      </w:r>
      <w:r w:rsidRPr="007709A8">
        <w:rPr>
          <w:rFonts w:ascii="Times New Roman" w:hAnsi="Times New Roman"/>
        </w:rPr>
        <w:t xml:space="preserve"> </w:t>
      </w:r>
      <w:r w:rsidRPr="007709A8">
        <w:rPr>
          <w:rFonts w:ascii="Times New Roman" w:eastAsia="SimSun" w:hAnsi="Times New Roman"/>
          <w:kern w:val="1"/>
          <w:lang w:eastAsia="hi-IN" w:bidi="hi-IN"/>
        </w:rPr>
        <w:t xml:space="preserve">KRANENBORG, H.R., </w:t>
      </w:r>
      <w:r w:rsidRPr="007709A8">
        <w:rPr>
          <w:rFonts w:ascii="Times New Roman" w:eastAsia="SimSun" w:hAnsi="Times New Roman"/>
          <w:i/>
          <w:kern w:val="1"/>
          <w:lang w:eastAsia="hi-IN" w:bidi="hi-IN"/>
        </w:rPr>
        <w:t>Toegang tot documenten en bescherming van persoonsgegevens in de Europese Unie. Over de openbaarheid van persoonsgegevens</w:t>
      </w:r>
      <w:r w:rsidRPr="007709A8">
        <w:rPr>
          <w:rFonts w:ascii="Times New Roman" w:eastAsia="SimSun" w:hAnsi="Times New Roman"/>
          <w:kern w:val="1"/>
          <w:lang w:eastAsia="hi-IN" w:bidi="hi-IN"/>
        </w:rPr>
        <w:t xml:space="preserve">, doctoraatsverhandeling (promotores prof. dr. R.A. Lawson en prof. mr. </w:t>
      </w:r>
      <w:r w:rsidRPr="007709A8">
        <w:rPr>
          <w:rFonts w:ascii="Times New Roman" w:eastAsia="SimSun" w:hAnsi="Times New Roman"/>
          <w:kern w:val="1"/>
          <w:lang w:val="en-US" w:eastAsia="hi-IN" w:bidi="hi-IN"/>
        </w:rPr>
        <w:t>P.J. Slot), Universiteit van Leiden, 2007, p. 65</w:t>
      </w:r>
      <w:r w:rsidRPr="007709A8">
        <w:rPr>
          <w:rFonts w:ascii="Times New Roman" w:hAnsi="Times New Roman"/>
          <w:lang w:val="en-US"/>
        </w:rPr>
        <w:t>; LATTANZI, R., ‘Protecting health care data: from me</w:t>
      </w:r>
      <w:r>
        <w:rPr>
          <w:rFonts w:ascii="Times New Roman" w:hAnsi="Times New Roman"/>
          <w:lang w:val="en-US"/>
        </w:rPr>
        <w:t>-</w:t>
      </w:r>
      <w:r w:rsidRPr="007709A8">
        <w:rPr>
          <w:rFonts w:ascii="Times New Roman" w:hAnsi="Times New Roman"/>
          <w:lang w:val="en-US"/>
        </w:rPr>
        <w:t xml:space="preserve">dical secrecy to personal data protection. Solution found?’, HERVEG, J. (red.), </w:t>
      </w:r>
      <w:r w:rsidRPr="007709A8">
        <w:rPr>
          <w:rFonts w:ascii="Times New Roman" w:hAnsi="Times New Roman"/>
          <w:i/>
          <w:lang w:val="en-US"/>
        </w:rPr>
        <w:t>The protection of medical data. Challenges of the 21</w:t>
      </w:r>
      <w:r w:rsidRPr="007709A8">
        <w:rPr>
          <w:rFonts w:ascii="Times New Roman" w:hAnsi="Times New Roman"/>
          <w:i/>
          <w:vertAlign w:val="superscript"/>
          <w:lang w:val="en-US"/>
        </w:rPr>
        <w:t>st</w:t>
      </w:r>
      <w:r w:rsidRPr="007709A8">
        <w:rPr>
          <w:rFonts w:ascii="Times New Roman" w:hAnsi="Times New Roman"/>
          <w:i/>
          <w:lang w:val="en-US"/>
        </w:rPr>
        <w:t xml:space="preserve"> century</w:t>
      </w:r>
      <w:r w:rsidRPr="007709A8">
        <w:rPr>
          <w:rFonts w:ascii="Times New Roman" w:hAnsi="Times New Roman"/>
          <w:lang w:val="en-US"/>
        </w:rPr>
        <w:t>, Louvain-la-Neuve, Anthemis, 2008, p. 21-36.</w:t>
      </w:r>
    </w:p>
  </w:footnote>
  <w:footnote w:id="100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SPEECKAERT, M.; VERHULST, S.; ‘Medische gegevens en privacy’, VERMEULEN, G. (red.), </w:t>
      </w:r>
      <w:r w:rsidRPr="007709A8">
        <w:rPr>
          <w:rFonts w:ascii="Times New Roman" w:hAnsi="Times New Roman" w:cs="Times New Roman"/>
          <w:i/>
          <w:sz w:val="20"/>
          <w:szCs w:val="20"/>
        </w:rPr>
        <w:t>Privacy en strafrecht: nieuwe en grensoverschrijdende verkenningen</w:t>
      </w:r>
      <w:r w:rsidRPr="007709A8">
        <w:rPr>
          <w:rFonts w:ascii="Times New Roman" w:hAnsi="Times New Roman" w:cs="Times New Roman"/>
          <w:sz w:val="20"/>
          <w:szCs w:val="20"/>
        </w:rPr>
        <w:t>, Nieuwe en gren</w:t>
      </w:r>
      <w:r>
        <w:rPr>
          <w:rFonts w:ascii="Times New Roman" w:hAnsi="Times New Roman" w:cs="Times New Roman"/>
          <w:sz w:val="20"/>
          <w:szCs w:val="20"/>
        </w:rPr>
        <w:t>s</w:t>
      </w:r>
      <w:r w:rsidRPr="007709A8">
        <w:rPr>
          <w:rFonts w:ascii="Times New Roman" w:hAnsi="Times New Roman" w:cs="Times New Roman"/>
          <w:sz w:val="20"/>
          <w:szCs w:val="20"/>
        </w:rPr>
        <w:t>overschrijdende verkenningen, Ant</w:t>
      </w:r>
      <w:r>
        <w:rPr>
          <w:rFonts w:ascii="Times New Roman" w:hAnsi="Times New Roman" w:cs="Times New Roman"/>
          <w:sz w:val="20"/>
          <w:szCs w:val="20"/>
        </w:rPr>
        <w:t>-</w:t>
      </w:r>
      <w:r w:rsidRPr="007709A8">
        <w:rPr>
          <w:rFonts w:ascii="Times New Roman" w:hAnsi="Times New Roman" w:cs="Times New Roman"/>
          <w:sz w:val="20"/>
          <w:szCs w:val="20"/>
        </w:rPr>
        <w:t>werpen-Apeldoorn, Maklu,  2007, p. 158; BROCHIER, J., ‘Het medisch beroepsgeheim en de wetgeving betref</w:t>
      </w:r>
      <w:r>
        <w:rPr>
          <w:rFonts w:ascii="Times New Roman" w:hAnsi="Times New Roman" w:cs="Times New Roman"/>
          <w:sz w:val="20"/>
          <w:szCs w:val="20"/>
        </w:rPr>
        <w:t>-</w:t>
      </w:r>
      <w:r w:rsidRPr="007709A8">
        <w:rPr>
          <w:rFonts w:ascii="Times New Roman" w:hAnsi="Times New Roman" w:cs="Times New Roman"/>
          <w:sz w:val="20"/>
          <w:szCs w:val="20"/>
        </w:rPr>
        <w:t xml:space="preserve">fende gevoelige persoonsgegevens’, </w:t>
      </w:r>
      <w:r w:rsidRPr="007709A8">
        <w:rPr>
          <w:rFonts w:ascii="Times New Roman" w:hAnsi="Times New Roman" w:cs="Times New Roman"/>
          <w:i/>
          <w:sz w:val="20"/>
          <w:szCs w:val="20"/>
        </w:rPr>
        <w:t>Con.M.</w:t>
      </w:r>
      <w:r w:rsidRPr="007709A8">
        <w:rPr>
          <w:rFonts w:ascii="Times New Roman" w:hAnsi="Times New Roman" w:cs="Times New Roman"/>
          <w:sz w:val="20"/>
          <w:szCs w:val="20"/>
        </w:rPr>
        <w:t>, 1995, 3, p. 53-62.</w:t>
      </w:r>
    </w:p>
  </w:footnote>
  <w:footnote w:id="1010">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Verdrag tot bescherming van personen ten opzichte van de geautomatiseerde verwerking van persoonsgege</w:t>
      </w:r>
      <w:r>
        <w:rPr>
          <w:rFonts w:ascii="Times New Roman" w:hAnsi="Times New Roman"/>
        </w:rPr>
        <w:t>-</w:t>
      </w:r>
      <w:r w:rsidRPr="007709A8">
        <w:rPr>
          <w:rFonts w:ascii="Times New Roman" w:hAnsi="Times New Roman"/>
        </w:rPr>
        <w:t>vens, opgemaakt te Straatsburg op 28 januari 1981; aanbeveling 81/679/EEG van de Commissie van 29 juli 1981 betreffende een overeenkomst van de Raad van Europa ter bescherming van de mens bij de automatische ver</w:t>
      </w:r>
      <w:r>
        <w:rPr>
          <w:rFonts w:ascii="Times New Roman" w:hAnsi="Times New Roman"/>
        </w:rPr>
        <w:t>-</w:t>
      </w:r>
      <w:r w:rsidRPr="007709A8">
        <w:rPr>
          <w:rFonts w:ascii="Times New Roman" w:hAnsi="Times New Roman"/>
        </w:rPr>
        <w:t>werking van op de persoon betrekking hebbende gegevens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L.</w:t>
      </w:r>
      <w:r w:rsidRPr="007709A8">
        <w:rPr>
          <w:rFonts w:ascii="Times New Roman" w:hAnsi="Times New Roman"/>
        </w:rPr>
        <w:t xml:space="preserve"> 246, 29 augustus 1981); KRANENBORG, H.R.; VERHEY, L.F.M.; </w:t>
      </w:r>
      <w:r w:rsidRPr="007709A8">
        <w:rPr>
          <w:rFonts w:ascii="Times New Roman" w:hAnsi="Times New Roman"/>
          <w:i/>
        </w:rPr>
        <w:t>Wet bescherming persoonsgegevens in Europees perspectief</w:t>
      </w:r>
      <w:r w:rsidRPr="007709A8">
        <w:rPr>
          <w:rFonts w:ascii="Times New Roman" w:hAnsi="Times New Roman"/>
        </w:rPr>
        <w:t xml:space="preserve">, p. 14-17; PLOEM, M.C., </w:t>
      </w:r>
      <w:r w:rsidRPr="007709A8">
        <w:rPr>
          <w:rFonts w:ascii="Times New Roman" w:hAnsi="Times New Roman"/>
          <w:i/>
        </w:rPr>
        <w:t>Tussen privacy en wetenschapsvrijheid. Regulering van gegevensverwerking voor medisch-wetenschappelijk on</w:t>
      </w:r>
      <w:r>
        <w:rPr>
          <w:rFonts w:ascii="Times New Roman" w:hAnsi="Times New Roman"/>
          <w:i/>
        </w:rPr>
        <w:t>-</w:t>
      </w:r>
      <w:r w:rsidRPr="007709A8">
        <w:rPr>
          <w:rFonts w:ascii="Times New Roman" w:hAnsi="Times New Roman"/>
          <w:i/>
        </w:rPr>
        <w:t>derzoek</w:t>
      </w:r>
      <w:r w:rsidRPr="007709A8">
        <w:rPr>
          <w:rFonts w:ascii="Times New Roman" w:hAnsi="Times New Roman"/>
        </w:rPr>
        <w:t>, Gezondheidsrecht, 24, Den Haag, Sdu Uitgevers, 2004, p. 68-69.</w:t>
      </w:r>
    </w:p>
  </w:footnote>
  <w:footnote w:id="101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KRANENBORG, H.R., </w:t>
      </w:r>
      <w:r w:rsidRPr="007709A8">
        <w:rPr>
          <w:rFonts w:ascii="Times New Roman" w:hAnsi="Times New Roman"/>
          <w:i/>
        </w:rPr>
        <w:t>Toegang tot documenten en bescherming van persoonsgegevens in de Europese Unie: over de openbaarheid van persoonsgegevens</w:t>
      </w:r>
      <w:r w:rsidRPr="007709A8">
        <w:rPr>
          <w:rFonts w:ascii="Times New Roman" w:hAnsi="Times New Roman"/>
        </w:rPr>
        <w:t xml:space="preserve">, doctoraatsthesis, Faculteit Rechtsgeleerdheid, Universiteit Leiden, promotores prof. dr. R.A. Lawson en prof. dr. P.J. Slot, 2007, p. 65-66 en p. 111; KRANENBORG, H.R.; VERHEY, L.F.M.; </w:t>
      </w:r>
      <w:r w:rsidRPr="007709A8">
        <w:rPr>
          <w:rFonts w:ascii="Times New Roman" w:hAnsi="Times New Roman"/>
          <w:i/>
        </w:rPr>
        <w:t>Wet bescherming persoonsgegevens in Europees perspectief</w:t>
      </w:r>
      <w:r w:rsidRPr="007709A8">
        <w:rPr>
          <w:rFonts w:ascii="Times New Roman" w:hAnsi="Times New Roman"/>
        </w:rPr>
        <w:t>, Deventer, Kluwer, 2011, p. 11; MALENGREAU, V., ‘De inbreng van de nieuwe informatie- en communicatietechnologieën in het do</w:t>
      </w:r>
      <w:r>
        <w:rPr>
          <w:rFonts w:ascii="Times New Roman" w:hAnsi="Times New Roman"/>
        </w:rPr>
        <w:t>-</w:t>
      </w:r>
      <w:r w:rsidRPr="007709A8">
        <w:rPr>
          <w:rFonts w:ascii="Times New Roman" w:hAnsi="Times New Roman"/>
        </w:rPr>
        <w:t xml:space="preserve">mein van de gezondheid. Inzet en perspectieven’, </w:t>
      </w:r>
      <w:r w:rsidRPr="007709A8">
        <w:rPr>
          <w:rFonts w:ascii="Times New Roman" w:hAnsi="Times New Roman"/>
          <w:i/>
        </w:rPr>
        <w:t>Inf.RIZIV</w:t>
      </w:r>
      <w:r w:rsidRPr="007709A8">
        <w:rPr>
          <w:rFonts w:ascii="Times New Roman" w:hAnsi="Times New Roman"/>
        </w:rPr>
        <w:t>, 2006</w:t>
      </w:r>
      <w:r>
        <w:rPr>
          <w:rFonts w:ascii="Times New Roman" w:hAnsi="Times New Roman"/>
        </w:rPr>
        <w:t>, 4, p. 429-465</w:t>
      </w:r>
      <w:r w:rsidRPr="007709A8">
        <w:rPr>
          <w:rFonts w:ascii="Times New Roman" w:hAnsi="Times New Roman"/>
        </w:rPr>
        <w:t>.</w:t>
      </w:r>
    </w:p>
  </w:footnote>
  <w:footnote w:id="1012">
    <w:p w:rsidR="00E82D16" w:rsidRPr="0047526E" w:rsidRDefault="00E82D16" w:rsidP="000F560E">
      <w:pPr>
        <w:pStyle w:val="Voetnoottekst"/>
        <w:jc w:val="both"/>
        <w:rPr>
          <w:rFonts w:ascii="Times New Roman" w:hAnsi="Times New Roman"/>
        </w:rPr>
      </w:pPr>
      <w:r w:rsidRPr="0047526E">
        <w:rPr>
          <w:rStyle w:val="Voetnootmarkering"/>
          <w:rFonts w:ascii="Times New Roman" w:hAnsi="Times New Roman"/>
        </w:rPr>
        <w:footnoteRef/>
      </w:r>
      <w:r w:rsidRPr="0047526E">
        <w:rPr>
          <w:rFonts w:ascii="Times New Roman" w:hAnsi="Times New Roman"/>
        </w:rPr>
        <w:t xml:space="preserve"> Zie figuur </w:t>
      </w:r>
      <w:r>
        <w:rPr>
          <w:rFonts w:ascii="Times New Roman" w:hAnsi="Times New Roman"/>
        </w:rPr>
        <w:t>21</w:t>
      </w:r>
      <w:r w:rsidRPr="0047526E">
        <w:rPr>
          <w:rFonts w:ascii="Times New Roman" w:hAnsi="Times New Roman"/>
        </w:rPr>
        <w:t xml:space="preserve">. Voor technische informatie over de eerste PC, zie: </w:t>
      </w:r>
      <w:hyperlink r:id="rId180" w:history="1">
        <w:r w:rsidRPr="00EA26DD">
          <w:rPr>
            <w:rStyle w:val="Hyperlink"/>
            <w:rFonts w:ascii="Times New Roman" w:hAnsi="Times New Roman"/>
          </w:rPr>
          <w:t>http://computermuseum.usask.ca/articles/ IBM-5150-Specifications.pdf</w:t>
        </w:r>
      </w:hyperlink>
      <w:r w:rsidRPr="0047526E">
        <w:rPr>
          <w:rFonts w:ascii="Times New Roman" w:hAnsi="Times New Roman"/>
        </w:rPr>
        <w:t xml:space="preserve"> en </w:t>
      </w:r>
      <w:hyperlink r:id="rId181" w:history="1">
        <w:r w:rsidRPr="0047526E">
          <w:rPr>
            <w:rStyle w:val="Hyperlink"/>
            <w:rFonts w:ascii="Times New Roman" w:hAnsi="Times New Roman"/>
          </w:rPr>
          <w:t>http://www.ibm-pc.org/</w:t>
        </w:r>
      </w:hyperlink>
      <w:r w:rsidRPr="0047526E">
        <w:rPr>
          <w:rFonts w:ascii="Times New Roman" w:hAnsi="Times New Roman"/>
        </w:rPr>
        <w:t>. Deze laatste website is tevens een treffende voorbeeld van emulatie.</w:t>
      </w:r>
    </w:p>
  </w:footnote>
  <w:footnote w:id="1013">
    <w:p w:rsidR="00E82D16" w:rsidRPr="00A64E66" w:rsidRDefault="00E82D16" w:rsidP="000F560E">
      <w:pPr>
        <w:pStyle w:val="Geenafstand"/>
        <w:jc w:val="both"/>
        <w:rPr>
          <w:rFonts w:ascii="Times New Roman" w:hAnsi="Times New Roman" w:cs="Times New Roman"/>
          <w:sz w:val="20"/>
          <w:szCs w:val="20"/>
        </w:rPr>
      </w:pPr>
      <w:r w:rsidRPr="00A64E66">
        <w:rPr>
          <w:rStyle w:val="Voetnootmarkering"/>
          <w:rFonts w:ascii="Times New Roman" w:hAnsi="Times New Roman" w:cs="Times New Roman"/>
          <w:sz w:val="20"/>
          <w:szCs w:val="20"/>
        </w:rPr>
        <w:footnoteRef/>
      </w:r>
      <w:r w:rsidRPr="00A64E66">
        <w:rPr>
          <w:rFonts w:ascii="Times New Roman" w:hAnsi="Times New Roman" w:cs="Times New Roman"/>
          <w:sz w:val="20"/>
          <w:szCs w:val="20"/>
        </w:rPr>
        <w:t xml:space="preserve"> HOET, H., ‘Elektronische overdracht van medische gegevens’, </w:t>
      </w:r>
      <w:r w:rsidRPr="00A64E66">
        <w:rPr>
          <w:rFonts w:ascii="Times New Roman" w:hAnsi="Times New Roman" w:cs="Times New Roman"/>
          <w:i/>
          <w:sz w:val="20"/>
          <w:szCs w:val="20"/>
        </w:rPr>
        <w:t>Het medisch dossier</w:t>
      </w:r>
      <w:r>
        <w:rPr>
          <w:rFonts w:ascii="Times New Roman" w:hAnsi="Times New Roman" w:cs="Times New Roman"/>
          <w:i/>
          <w:sz w:val="20"/>
          <w:szCs w:val="20"/>
        </w:rPr>
        <w:t>. Verslag symposium 4 mei 2002</w:t>
      </w:r>
      <w:r w:rsidRPr="00A64E66">
        <w:rPr>
          <w:rFonts w:ascii="Times New Roman" w:hAnsi="Times New Roman" w:cs="Times New Roman"/>
          <w:sz w:val="20"/>
          <w:szCs w:val="20"/>
        </w:rPr>
        <w:t>, Hippocrates, 42, Gent, Orde der geneesheren – Provinciale Raad van Oost-Vlaanderen, 2002, p. 22.</w:t>
      </w:r>
    </w:p>
  </w:footnote>
  <w:footnote w:id="1014">
    <w:p w:rsidR="00E82D16" w:rsidRPr="008F66CD" w:rsidRDefault="00E82D16" w:rsidP="000F560E">
      <w:pPr>
        <w:pStyle w:val="Voetnoottekst"/>
        <w:jc w:val="both"/>
        <w:rPr>
          <w:rFonts w:ascii="Times New Roman" w:hAnsi="Times New Roman"/>
        </w:rPr>
      </w:pPr>
      <w:r w:rsidRPr="008F66CD">
        <w:rPr>
          <w:rStyle w:val="Voetnootmarkering"/>
          <w:rFonts w:ascii="Times New Roman" w:hAnsi="Times New Roman"/>
        </w:rPr>
        <w:footnoteRef/>
      </w:r>
      <w:r w:rsidRPr="008F66CD">
        <w:rPr>
          <w:rFonts w:ascii="Times New Roman" w:hAnsi="Times New Roman"/>
        </w:rPr>
        <w:t xml:space="preserve"> Bron: </w:t>
      </w:r>
      <w:hyperlink r:id="rId182" w:history="1">
        <w:r w:rsidRPr="008F66CD">
          <w:rPr>
            <w:rStyle w:val="Hyperlink"/>
            <w:rFonts w:ascii="Times New Roman" w:hAnsi="Times New Roman"/>
          </w:rPr>
          <w:t>http://nl.wikipedia.org/wiki/IBM_Personal_Computer</w:t>
        </w:r>
      </w:hyperlink>
      <w:r w:rsidRPr="008F66CD">
        <w:rPr>
          <w:rFonts w:ascii="Times New Roman" w:hAnsi="Times New Roman"/>
        </w:rPr>
        <w:t xml:space="preserve">. </w:t>
      </w:r>
    </w:p>
  </w:footnote>
  <w:footnote w:id="1015">
    <w:p w:rsidR="00E82D16" w:rsidRPr="00E333B6" w:rsidRDefault="00E82D16" w:rsidP="000F560E">
      <w:pPr>
        <w:pStyle w:val="Geenafstand"/>
        <w:jc w:val="both"/>
        <w:rPr>
          <w:rFonts w:ascii="Times New Roman" w:hAnsi="Times New Roman" w:cs="Times New Roman"/>
          <w:sz w:val="20"/>
          <w:szCs w:val="20"/>
          <w:lang w:val="fr-BE"/>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Over de algemene beginselen van dit verdrag, zie: DUMORTIER, J.; ROBBEN, F.; ‘Inleiding’, DUMORTIER, J.; ROBBEN, F. (reds.); </w:t>
      </w:r>
      <w:r w:rsidRPr="007709A8">
        <w:rPr>
          <w:rFonts w:ascii="Times New Roman" w:hAnsi="Times New Roman" w:cs="Times New Roman"/>
          <w:i/>
          <w:sz w:val="20"/>
          <w:szCs w:val="20"/>
        </w:rPr>
        <w:t>Persoonsgegevens en privacybescherming. Commentaar op de wet tot bescherming van de persoonlijke levenssfeer</w:t>
      </w:r>
      <w:r w:rsidRPr="007709A8">
        <w:rPr>
          <w:rFonts w:ascii="Times New Roman" w:hAnsi="Times New Roman" w:cs="Times New Roman"/>
          <w:sz w:val="20"/>
          <w:szCs w:val="20"/>
        </w:rPr>
        <w:t xml:space="preserve">, Brugge, die Keure, 1995, p. 11-14. Voor andere aspecten, zoals de werkingssfeer, zie: BAETEMAN, G.; VAN VLASSELAER, M.J.; </w:t>
      </w:r>
      <w:r w:rsidRPr="007709A8">
        <w:rPr>
          <w:rFonts w:ascii="Times New Roman" w:hAnsi="Times New Roman" w:cs="Times New Roman"/>
          <w:i/>
          <w:sz w:val="20"/>
          <w:szCs w:val="20"/>
        </w:rPr>
        <w:t>De bescherming van het privé-leven ten aan</w:t>
      </w:r>
      <w:r>
        <w:rPr>
          <w:rFonts w:ascii="Times New Roman" w:hAnsi="Times New Roman" w:cs="Times New Roman"/>
          <w:i/>
          <w:sz w:val="20"/>
          <w:szCs w:val="20"/>
        </w:rPr>
        <w:t>-</w:t>
      </w:r>
      <w:r w:rsidRPr="007709A8">
        <w:rPr>
          <w:rFonts w:ascii="Times New Roman" w:hAnsi="Times New Roman" w:cs="Times New Roman"/>
          <w:i/>
          <w:sz w:val="20"/>
          <w:szCs w:val="20"/>
        </w:rPr>
        <w:t>zien van de gegevensverwerking (Eerste praktische commentaar op de Wet van 8 december 1992 tot bescher</w:t>
      </w:r>
      <w:r>
        <w:rPr>
          <w:rFonts w:ascii="Times New Roman" w:hAnsi="Times New Roman" w:cs="Times New Roman"/>
          <w:i/>
          <w:sz w:val="20"/>
          <w:szCs w:val="20"/>
        </w:rPr>
        <w:t>-</w:t>
      </w:r>
      <w:r w:rsidRPr="007709A8">
        <w:rPr>
          <w:rFonts w:ascii="Times New Roman" w:hAnsi="Times New Roman" w:cs="Times New Roman"/>
          <w:i/>
          <w:sz w:val="20"/>
          <w:szCs w:val="20"/>
        </w:rPr>
        <w:t>ming van de persoonlijke levenssfeer ten opzichte van de verwerking van persoonsgegevens)</w:t>
      </w:r>
      <w:r w:rsidRPr="007709A8">
        <w:rPr>
          <w:rFonts w:ascii="Times New Roman" w:hAnsi="Times New Roman" w:cs="Times New Roman"/>
          <w:sz w:val="20"/>
          <w:szCs w:val="20"/>
        </w:rPr>
        <w:t xml:space="preserve">, Antwerpen, Kluwer rechtswetenschappen, 1993, p. 92-96. </w:t>
      </w:r>
      <w:r w:rsidRPr="00E333B6">
        <w:rPr>
          <w:rFonts w:ascii="Times New Roman" w:hAnsi="Times New Roman" w:cs="Times New Roman"/>
          <w:sz w:val="20"/>
          <w:szCs w:val="20"/>
          <w:lang w:val="fr-BE"/>
        </w:rPr>
        <w:t xml:space="preserve">Voor een overzicht van de diverse aanbevelingen, zie: BOULANGER, M.H.; DE TERWAGNE, C.; LEONARD, T.; LOUVEAUX, S.; MOREAU, D.; POULLET, Y.; ‘La protection des données à caractère personnel en droit communautaire’, </w:t>
      </w:r>
      <w:r w:rsidRPr="00E333B6">
        <w:rPr>
          <w:rFonts w:ascii="Times New Roman" w:hAnsi="Times New Roman" w:cs="Times New Roman"/>
          <w:i/>
          <w:sz w:val="20"/>
          <w:szCs w:val="20"/>
          <w:lang w:val="fr-BE"/>
        </w:rPr>
        <w:t>J.T.D.E.</w:t>
      </w:r>
      <w:r w:rsidRPr="00E333B6">
        <w:rPr>
          <w:rFonts w:ascii="Times New Roman" w:hAnsi="Times New Roman" w:cs="Times New Roman"/>
          <w:sz w:val="20"/>
          <w:szCs w:val="20"/>
          <w:lang w:val="fr-BE"/>
        </w:rPr>
        <w:t>, 1997, p. 121-122 (nr. 2).</w:t>
      </w:r>
    </w:p>
  </w:footnote>
  <w:footnote w:id="1016">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Uitzondering hierop is artikel 12 van het verdrag. DUMORTIER, J.; ROBBEN, F.; ‘Inleiding’, DUMORTIER, J.; ROBBEN, F. (reds.); </w:t>
      </w:r>
      <w:r w:rsidRPr="007709A8">
        <w:rPr>
          <w:rFonts w:ascii="Times New Roman" w:hAnsi="Times New Roman" w:cs="Times New Roman"/>
          <w:i/>
          <w:sz w:val="20"/>
          <w:szCs w:val="20"/>
        </w:rPr>
        <w:t>Persoonsgegevens en privacybescherming. Commentaar op de wet tot bescherming van de persoonlijke levenssfeer</w:t>
      </w:r>
      <w:r w:rsidRPr="007709A8">
        <w:rPr>
          <w:rFonts w:ascii="Times New Roman" w:hAnsi="Times New Roman" w:cs="Times New Roman"/>
          <w:sz w:val="20"/>
          <w:szCs w:val="20"/>
        </w:rPr>
        <w:t>, Brugge, die Keure, 1995, p. 14.</w:t>
      </w:r>
    </w:p>
  </w:footnote>
  <w:footnote w:id="1017">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Wet van 13 mei 1955 houdende goedkeuring van het Verdrag tot bescherming van de rechten van de Mens en de fundamentele vrijheden, ondertekend op 4 november 1950, te Rome, en van het Additioneel Protocol bij dit Verdrag, ondertekend op 20 maart 1052, te Parijs (</w:t>
      </w:r>
      <w:r w:rsidRPr="007709A8">
        <w:rPr>
          <w:rFonts w:ascii="Times New Roman" w:hAnsi="Times New Roman"/>
          <w:i/>
        </w:rPr>
        <w:t>BS</w:t>
      </w:r>
      <w:r w:rsidRPr="007709A8">
        <w:rPr>
          <w:rFonts w:ascii="Times New Roman" w:hAnsi="Times New Roman"/>
        </w:rPr>
        <w:t xml:space="preserve"> 19 augustus 1955; err. </w:t>
      </w:r>
      <w:r w:rsidRPr="007709A8">
        <w:rPr>
          <w:rFonts w:ascii="Times New Roman" w:hAnsi="Times New Roman"/>
          <w:i/>
        </w:rPr>
        <w:t xml:space="preserve">BS </w:t>
      </w:r>
      <w:r w:rsidRPr="007709A8">
        <w:rPr>
          <w:rFonts w:ascii="Times New Roman" w:hAnsi="Times New Roman"/>
        </w:rPr>
        <w:t>29 juni 1961); Verdrag tot be</w:t>
      </w:r>
      <w:r>
        <w:rPr>
          <w:rFonts w:ascii="Times New Roman" w:hAnsi="Times New Roman"/>
        </w:rPr>
        <w:t>-</w:t>
      </w:r>
      <w:r w:rsidRPr="007709A8">
        <w:rPr>
          <w:rFonts w:ascii="Times New Roman" w:hAnsi="Times New Roman"/>
        </w:rPr>
        <w:t>scherming van de rechten van de mens en de fundamentele vrijheden; Rome, 4 november 1950 (</w:t>
      </w:r>
      <w:r w:rsidRPr="007709A8">
        <w:rPr>
          <w:rFonts w:ascii="Times New Roman" w:hAnsi="Times New Roman"/>
          <w:i/>
        </w:rPr>
        <w:t>Trb.</w:t>
      </w:r>
      <w:r w:rsidRPr="007709A8">
        <w:rPr>
          <w:rFonts w:ascii="Times New Roman" w:hAnsi="Times New Roman"/>
        </w:rPr>
        <w:t xml:space="preserve"> 154, 1951) en goedgekeurd door de wet van 28 juli 1954 (</w:t>
      </w:r>
      <w:r w:rsidRPr="007709A8">
        <w:rPr>
          <w:rFonts w:ascii="Times New Roman" w:hAnsi="Times New Roman"/>
          <w:i/>
        </w:rPr>
        <w:t>Stb</w:t>
      </w:r>
      <w:r w:rsidRPr="007709A8">
        <w:rPr>
          <w:rFonts w:ascii="Times New Roman" w:hAnsi="Times New Roman"/>
        </w:rPr>
        <w:t xml:space="preserve">. 335 en </w:t>
      </w:r>
      <w:r w:rsidRPr="007709A8">
        <w:rPr>
          <w:rFonts w:ascii="Times New Roman" w:hAnsi="Times New Roman"/>
          <w:i/>
        </w:rPr>
        <w:t>Trb</w:t>
      </w:r>
      <w:r w:rsidRPr="007709A8">
        <w:rPr>
          <w:rFonts w:ascii="Times New Roman" w:hAnsi="Times New Roman"/>
        </w:rPr>
        <w:t>. 151, 1954); Besluit nr. 74-360 van 3 mei 1974 houdende publicatie van het Europees Verdrag tot bescherming van de rechten van de mens en de fundamentele vrijheden, ondertekend te Rome op 4 november 1950 en de aanvullende protocollen (</w:t>
      </w:r>
      <w:r w:rsidRPr="007709A8">
        <w:rPr>
          <w:rFonts w:ascii="Times New Roman" w:hAnsi="Times New Roman"/>
          <w:i/>
        </w:rPr>
        <w:t>JORF</w:t>
      </w:r>
      <w:r w:rsidRPr="007709A8">
        <w:rPr>
          <w:rFonts w:ascii="Times New Roman" w:hAnsi="Times New Roman"/>
        </w:rPr>
        <w:t>, 4 mei 1974).</w:t>
      </w:r>
    </w:p>
  </w:footnote>
  <w:footnote w:id="1018">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Wet van 8 december 1992 betreffende de verwerking van persoonsgegevens ten opzichte van de bescherming van de persoonlijke levenssfeer (</w:t>
      </w:r>
      <w:r w:rsidRPr="007709A8">
        <w:rPr>
          <w:rFonts w:ascii="Times New Roman" w:hAnsi="Times New Roman"/>
          <w:i/>
        </w:rPr>
        <w:t>BS</w:t>
      </w:r>
      <w:r w:rsidRPr="007709A8">
        <w:rPr>
          <w:rFonts w:ascii="Times New Roman" w:hAnsi="Times New Roman"/>
        </w:rPr>
        <w:t xml:space="preserve"> </w:t>
      </w:r>
      <w:r>
        <w:rPr>
          <w:rFonts w:ascii="Times New Roman" w:hAnsi="Times New Roman"/>
        </w:rPr>
        <w:t xml:space="preserve">18 maart </w:t>
      </w:r>
      <w:r w:rsidRPr="007709A8">
        <w:rPr>
          <w:rFonts w:ascii="Times New Roman" w:hAnsi="Times New Roman"/>
        </w:rPr>
        <w:t>1993); wet van 28 december 1988 houdende regels ter bescher</w:t>
      </w:r>
      <w:r>
        <w:rPr>
          <w:rFonts w:ascii="Times New Roman" w:hAnsi="Times New Roman"/>
        </w:rPr>
        <w:t>-</w:t>
      </w:r>
      <w:r w:rsidRPr="007709A8">
        <w:rPr>
          <w:rFonts w:ascii="Times New Roman" w:hAnsi="Times New Roman"/>
        </w:rPr>
        <w:t>ming van de persoonlijke levenssfeer in verband met persoonsregistratie (</w:t>
      </w:r>
      <w:r w:rsidRPr="007709A8">
        <w:rPr>
          <w:rFonts w:ascii="Times New Roman" w:hAnsi="Times New Roman"/>
          <w:i/>
        </w:rPr>
        <w:t>Stb.</w:t>
      </w:r>
      <w:r w:rsidRPr="007709A8">
        <w:rPr>
          <w:rFonts w:ascii="Times New Roman" w:hAnsi="Times New Roman"/>
        </w:rPr>
        <w:t xml:space="preserve"> 665, 1988); BERKVENS, J.M.A.; PRINS, J.E.J.; ‘De bescherming van persoonsgegevens</w:t>
      </w:r>
      <w:r>
        <w:rPr>
          <w:rFonts w:ascii="Times New Roman" w:hAnsi="Times New Roman"/>
        </w:rPr>
        <w:t>: van WPR naar Wbp</w:t>
      </w:r>
      <w:r w:rsidRPr="007709A8">
        <w:rPr>
          <w:rFonts w:ascii="Times New Roman" w:hAnsi="Times New Roman"/>
        </w:rPr>
        <w:t xml:space="preserve">’, FRANKEN, H.; KASPERSEN, H.W.K.; DE WILD, A.H. (reds.); </w:t>
      </w:r>
      <w:r w:rsidRPr="007709A8">
        <w:rPr>
          <w:rFonts w:ascii="Times New Roman" w:hAnsi="Times New Roman"/>
          <w:i/>
        </w:rPr>
        <w:t>Recht en computer</w:t>
      </w:r>
      <w:r w:rsidRPr="007709A8">
        <w:rPr>
          <w:rFonts w:ascii="Times New Roman" w:hAnsi="Times New Roman"/>
        </w:rPr>
        <w:t>, Recht en Praktijk, 36, Deventer, Kluwer, 2004</w:t>
      </w:r>
      <w:r w:rsidRPr="007709A8">
        <w:rPr>
          <w:rFonts w:ascii="Times New Roman" w:hAnsi="Times New Roman"/>
          <w:vertAlign w:val="superscript"/>
        </w:rPr>
        <w:t>5</w:t>
      </w:r>
      <w:r w:rsidRPr="007709A8">
        <w:rPr>
          <w:rFonts w:ascii="Times New Roman" w:hAnsi="Times New Roman"/>
        </w:rPr>
        <w:t xml:space="preserve">, p. 341-346; CUIJPERS, C., ‘Privacy in context’, BERKVENS, J.M.A.; PRINS, J.E.J. (reds.); </w:t>
      </w:r>
      <w:r w:rsidRPr="007709A8">
        <w:rPr>
          <w:rFonts w:ascii="Times New Roman" w:hAnsi="Times New Roman"/>
          <w:i/>
        </w:rPr>
        <w:t>Privacyregulering in theorie en praktijk</w:t>
      </w:r>
      <w:r w:rsidRPr="007709A8">
        <w:rPr>
          <w:rFonts w:ascii="Times New Roman" w:hAnsi="Times New Roman"/>
        </w:rPr>
        <w:t>, Recht en Praktijk, 75, Deventer, Kluwer, 2007</w:t>
      </w:r>
      <w:r w:rsidRPr="007709A8">
        <w:rPr>
          <w:rFonts w:ascii="Times New Roman" w:hAnsi="Times New Roman"/>
          <w:vertAlign w:val="superscript"/>
        </w:rPr>
        <w:t>4</w:t>
      </w:r>
      <w:r w:rsidRPr="007709A8">
        <w:rPr>
          <w:rFonts w:ascii="Times New Roman" w:hAnsi="Times New Roman"/>
        </w:rPr>
        <w:t>, p. 11-13; HUSTINX, P.J., ‘De Wet per</w:t>
      </w:r>
      <w:r>
        <w:rPr>
          <w:rFonts w:ascii="Times New Roman" w:hAnsi="Times New Roman"/>
        </w:rPr>
        <w:t>-</w:t>
      </w:r>
      <w:r w:rsidRPr="007709A8">
        <w:rPr>
          <w:rFonts w:ascii="Times New Roman" w:hAnsi="Times New Roman"/>
        </w:rPr>
        <w:t xml:space="preserve">soonsregistraties’, </w:t>
      </w:r>
      <w:r w:rsidRPr="007709A8">
        <w:rPr>
          <w:rFonts w:ascii="Times New Roman" w:hAnsi="Times New Roman"/>
          <w:i/>
        </w:rPr>
        <w:t>Ars Aequi</w:t>
      </w:r>
      <w:r w:rsidRPr="007709A8">
        <w:rPr>
          <w:rFonts w:ascii="Times New Roman" w:hAnsi="Times New Roman"/>
        </w:rPr>
        <w:t xml:space="preserve">, 1989, p. 669-; OVERKLEEFT-VERBURG, G., </w:t>
      </w:r>
      <w:r w:rsidRPr="007709A8">
        <w:rPr>
          <w:rFonts w:ascii="Times New Roman" w:hAnsi="Times New Roman"/>
          <w:i/>
        </w:rPr>
        <w:t>De Wet persoonsregistraties: norm, toepassing en evaluatie</w:t>
      </w:r>
      <w:r w:rsidRPr="007709A8">
        <w:rPr>
          <w:rFonts w:ascii="Times New Roman" w:hAnsi="Times New Roman"/>
        </w:rPr>
        <w:t>, doctoraatsverhandeling, Faculteit Rechtsgeleerdheid, Katholieke Universiteit Bra</w:t>
      </w:r>
      <w:r>
        <w:rPr>
          <w:rFonts w:ascii="Times New Roman" w:hAnsi="Times New Roman"/>
        </w:rPr>
        <w:t>-</w:t>
      </w:r>
      <w:r w:rsidRPr="007709A8">
        <w:rPr>
          <w:rFonts w:ascii="Times New Roman" w:hAnsi="Times New Roman"/>
        </w:rPr>
        <w:t>bant, promotor prof. dr. E.M.H. Hir</w:t>
      </w:r>
      <w:r>
        <w:rPr>
          <w:rFonts w:ascii="Times New Roman" w:hAnsi="Times New Roman"/>
        </w:rPr>
        <w:t>sch Ballin, Tilburg, 1995, 595p</w:t>
      </w:r>
      <w:r w:rsidRPr="007709A8">
        <w:rPr>
          <w:rFonts w:ascii="Times New Roman" w:hAnsi="Times New Roman"/>
        </w:rPr>
        <w:t xml:space="preserve">. Voor de vigerende Belgische Privacywet, met verwijzingen naar Europese wetgeving en rechtspraak, zie: </w:t>
      </w:r>
      <w:hyperlink r:id="rId183" w:history="1">
        <w:r w:rsidRPr="00EA26DD">
          <w:rPr>
            <w:rStyle w:val="Hyperlink"/>
            <w:rFonts w:ascii="Times New Roman" w:hAnsi="Times New Roman"/>
          </w:rPr>
          <w:t>http://www.privacycommission.be/sites/ privacycommission/files/documents/01.01.02-codex_nl.pdf</w:t>
        </w:r>
      </w:hyperlink>
      <w:r w:rsidRPr="007709A8">
        <w:rPr>
          <w:rFonts w:ascii="Times New Roman" w:hAnsi="Times New Roman"/>
        </w:rPr>
        <w:t xml:space="preserve"> en het gelijkaardige VERBRUGGEN, V., </w:t>
      </w:r>
      <w:r w:rsidRPr="007709A8">
        <w:rPr>
          <w:rFonts w:ascii="Times New Roman" w:hAnsi="Times New Roman"/>
          <w:i/>
        </w:rPr>
        <w:t>Wet ver</w:t>
      </w:r>
      <w:r>
        <w:rPr>
          <w:rFonts w:ascii="Times New Roman" w:hAnsi="Times New Roman"/>
          <w:i/>
        </w:rPr>
        <w:t>-</w:t>
      </w:r>
      <w:r w:rsidRPr="007709A8">
        <w:rPr>
          <w:rFonts w:ascii="Times New Roman" w:hAnsi="Times New Roman"/>
          <w:i/>
        </w:rPr>
        <w:t>werking persoonsgegevens: wet van 8 december 1992 tot bescherming van de persoonlijke levenssfeer ten op</w:t>
      </w:r>
      <w:r>
        <w:rPr>
          <w:rFonts w:ascii="Times New Roman" w:hAnsi="Times New Roman"/>
          <w:i/>
        </w:rPr>
        <w:t>-</w:t>
      </w:r>
      <w:r w:rsidRPr="007709A8">
        <w:rPr>
          <w:rFonts w:ascii="Times New Roman" w:hAnsi="Times New Roman"/>
          <w:i/>
        </w:rPr>
        <w:t>zichte van de verwerking van persoonsgegevens WVP</w:t>
      </w:r>
      <w:r w:rsidRPr="007709A8">
        <w:rPr>
          <w:rFonts w:ascii="Times New Roman" w:hAnsi="Times New Roman"/>
        </w:rPr>
        <w:t>, Larcier wet en duiding, Brussel, Larcier, 2011, 289p..</w:t>
      </w:r>
    </w:p>
  </w:footnote>
  <w:footnote w:id="1019">
    <w:p w:rsidR="00E82D16" w:rsidRPr="00E333B6" w:rsidRDefault="00E82D16" w:rsidP="000F560E">
      <w:pPr>
        <w:pStyle w:val="Voetnoottekst"/>
        <w:jc w:val="both"/>
        <w:rPr>
          <w:rFonts w:ascii="Times New Roman" w:hAnsi="Times New Roman"/>
          <w:i/>
          <w:lang w:val="fr-BE"/>
        </w:rPr>
      </w:pPr>
      <w:r w:rsidRPr="007709A8">
        <w:rPr>
          <w:rStyle w:val="Voetnootmarkering"/>
          <w:rFonts w:ascii="Times New Roman" w:hAnsi="Times New Roman"/>
        </w:rPr>
        <w:footnoteRef/>
      </w:r>
      <w:r w:rsidRPr="00E333B6">
        <w:rPr>
          <w:rFonts w:ascii="Times New Roman" w:hAnsi="Times New Roman"/>
          <w:lang w:val="fr-BE"/>
        </w:rPr>
        <w:t xml:space="preserve"> Wet nr. 78 -17 van 6 januari 1978; MAISL, H., ‘Les archives et la législation «informatique et libertés»’, </w:t>
      </w:r>
      <w:r w:rsidRPr="00E333B6">
        <w:rPr>
          <w:rFonts w:ascii="Times New Roman" w:hAnsi="Times New Roman"/>
          <w:i/>
          <w:lang w:val="fr-BE"/>
        </w:rPr>
        <w:t>Ga</w:t>
      </w:r>
      <w:r>
        <w:rPr>
          <w:rFonts w:ascii="Times New Roman" w:hAnsi="Times New Roman"/>
          <w:i/>
          <w:lang w:val="fr-BE"/>
        </w:rPr>
        <w:t>-</w:t>
      </w:r>
      <w:r w:rsidRPr="00E333B6">
        <w:rPr>
          <w:rFonts w:ascii="Times New Roman" w:hAnsi="Times New Roman"/>
          <w:i/>
          <w:lang w:val="fr-BE"/>
        </w:rPr>
        <w:t>zette des archives</w:t>
      </w:r>
      <w:r w:rsidRPr="00E333B6">
        <w:rPr>
          <w:rFonts w:ascii="Times New Roman" w:hAnsi="Times New Roman"/>
          <w:lang w:val="fr-BE"/>
        </w:rPr>
        <w:t xml:space="preserve">, 130-131 (1985), p. 225-229. </w:t>
      </w:r>
    </w:p>
  </w:footnote>
  <w:footnote w:id="1020">
    <w:p w:rsidR="00E82D16" w:rsidRPr="00E333B6" w:rsidRDefault="00E82D16" w:rsidP="000F560E">
      <w:pPr>
        <w:pStyle w:val="Voetnoottekst"/>
        <w:jc w:val="both"/>
        <w:rPr>
          <w:rFonts w:ascii="Times New Roman" w:hAnsi="Times New Roman"/>
          <w:lang w:val="fr-BE"/>
        </w:rPr>
      </w:pPr>
      <w:r w:rsidRPr="007709A8">
        <w:rPr>
          <w:rStyle w:val="Voetnootmarkering"/>
          <w:rFonts w:ascii="Times New Roman" w:hAnsi="Times New Roman"/>
        </w:rPr>
        <w:footnoteRef/>
      </w:r>
      <w:r w:rsidRPr="00E333B6">
        <w:rPr>
          <w:rFonts w:ascii="Times New Roman" w:hAnsi="Times New Roman"/>
          <w:lang w:val="fr-BE"/>
        </w:rPr>
        <w:t xml:space="preserve"> Wet nr. 94-548 van 1 juli 1994 betreffende de verwerking van persoonsgegevens voor medisch onderzoek en ter wijziging van wet nr. 78 -17 van 6 januari 1978 betreffende met betrekking tot de informatica, bestanden en vrijheden I (</w:t>
      </w:r>
      <w:r w:rsidRPr="00E333B6">
        <w:rPr>
          <w:rFonts w:ascii="Times New Roman" w:hAnsi="Times New Roman"/>
          <w:i/>
          <w:lang w:val="fr-BE"/>
        </w:rPr>
        <w:t>JORF</w:t>
      </w:r>
      <w:r w:rsidRPr="00E333B6">
        <w:rPr>
          <w:rFonts w:ascii="Times New Roman" w:hAnsi="Times New Roman"/>
          <w:lang w:val="fr-BE"/>
        </w:rPr>
        <w:t xml:space="preserve"> 152, 2 juli 1994); ‘Loi n° 94-548 du 1er juillet 1994 relative au traitement de données nomi</w:t>
      </w:r>
      <w:r>
        <w:rPr>
          <w:rFonts w:ascii="Times New Roman" w:hAnsi="Times New Roman"/>
          <w:lang w:val="fr-BE"/>
        </w:rPr>
        <w:t>-</w:t>
      </w:r>
      <w:r w:rsidRPr="00E333B6">
        <w:rPr>
          <w:rFonts w:ascii="Times New Roman" w:hAnsi="Times New Roman"/>
          <w:lang w:val="fr-BE"/>
        </w:rPr>
        <w:t>natives ayant pour fin la recherche dans le domaine de la santé et modifiant la loi n° 78-17 du 6 janvier 1978 re</w:t>
      </w:r>
      <w:r>
        <w:rPr>
          <w:rFonts w:ascii="Times New Roman" w:hAnsi="Times New Roman"/>
          <w:lang w:val="fr-BE"/>
        </w:rPr>
        <w:t>-</w:t>
      </w:r>
      <w:r w:rsidRPr="00E333B6">
        <w:rPr>
          <w:rFonts w:ascii="Times New Roman" w:hAnsi="Times New Roman"/>
          <w:lang w:val="fr-BE"/>
        </w:rPr>
        <w:t xml:space="preserve">lative à l’informatique, aux fichiers et aux libertés’, </w:t>
      </w:r>
      <w:r w:rsidRPr="00E333B6">
        <w:rPr>
          <w:rFonts w:ascii="Times New Roman" w:hAnsi="Times New Roman"/>
          <w:i/>
          <w:lang w:val="fr-BE"/>
        </w:rPr>
        <w:t>L.D.I.</w:t>
      </w:r>
      <w:r w:rsidRPr="00E333B6">
        <w:rPr>
          <w:rFonts w:ascii="Times New Roman" w:hAnsi="Times New Roman"/>
          <w:lang w:val="fr-BE"/>
        </w:rPr>
        <w:t xml:space="preserve">, 61 (1994), p. 14-15; MALLET-POUJOL, N., ‘La loi du 1er juillet 1994 relative au traitement de données nominatives ayant pour fin la recherche dans le domaine de la santé: contraindre ou convaincre?’, </w:t>
      </w:r>
      <w:r w:rsidRPr="00E333B6">
        <w:rPr>
          <w:rFonts w:ascii="Times New Roman" w:hAnsi="Times New Roman"/>
          <w:i/>
          <w:lang w:val="fr-BE"/>
        </w:rPr>
        <w:t>D.I.T.</w:t>
      </w:r>
      <w:r w:rsidRPr="00E333B6">
        <w:rPr>
          <w:rFonts w:ascii="Times New Roman" w:hAnsi="Times New Roman"/>
          <w:lang w:val="fr-BE"/>
        </w:rPr>
        <w:t>, 1995, 1, p. 17-26.</w:t>
      </w:r>
    </w:p>
  </w:footnote>
  <w:footnote w:id="102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België ondertekende het verdrag op 7 mei 1982 en ratificeerde het op 28 mei 1993, zie: wet van 17 juni 1991 houdende goedkeuring van het Verdrag tot bescherming van personen ten opzichte van de geautomatiseerde ver</w:t>
      </w:r>
      <w:r>
        <w:rPr>
          <w:rFonts w:ascii="Times New Roman" w:hAnsi="Times New Roman"/>
        </w:rPr>
        <w:t>-</w:t>
      </w:r>
      <w:r w:rsidRPr="007709A8">
        <w:rPr>
          <w:rFonts w:ascii="Times New Roman" w:hAnsi="Times New Roman"/>
        </w:rPr>
        <w:t>werking van persoonsgegevens, opgemaakt te Straatsburg op 28 januari 1981 (</w:t>
      </w:r>
      <w:r w:rsidRPr="007709A8">
        <w:rPr>
          <w:rFonts w:ascii="Times New Roman" w:hAnsi="Times New Roman"/>
          <w:i/>
        </w:rPr>
        <w:t>BS</w:t>
      </w:r>
      <w:r w:rsidRPr="007709A8">
        <w:rPr>
          <w:rFonts w:ascii="Times New Roman" w:hAnsi="Times New Roman"/>
        </w:rPr>
        <w:t xml:space="preserve"> 30 december 1993); Nederland ondertekende het verdrag op 21 januari 1981 en ratificeerde het op 24 augustus 1993, zie: wet van 20 juni 1990 tot goedkeuring van het op 28 januari 1981 te Straatsburg tot stand gekomen Verdrag tot bescherming van perso</w:t>
      </w:r>
      <w:r>
        <w:rPr>
          <w:rFonts w:ascii="Times New Roman" w:hAnsi="Times New Roman"/>
        </w:rPr>
        <w:t>-</w:t>
      </w:r>
      <w:r w:rsidRPr="007709A8">
        <w:rPr>
          <w:rFonts w:ascii="Times New Roman" w:hAnsi="Times New Roman"/>
        </w:rPr>
        <w:t>nen met betrekking tot de geautomatiseerde verwerking van persoonsgegevens (</w:t>
      </w:r>
      <w:r w:rsidRPr="007709A8">
        <w:rPr>
          <w:rFonts w:ascii="Times New Roman" w:hAnsi="Times New Roman"/>
          <w:i/>
        </w:rPr>
        <w:t>Trb.</w:t>
      </w:r>
      <w:r w:rsidRPr="007709A8">
        <w:rPr>
          <w:rFonts w:ascii="Times New Roman" w:hAnsi="Times New Roman"/>
        </w:rPr>
        <w:t xml:space="preserve"> 7, 1988 en </w:t>
      </w:r>
      <w:r w:rsidRPr="007709A8">
        <w:rPr>
          <w:rFonts w:ascii="Times New Roman" w:hAnsi="Times New Roman"/>
          <w:i/>
        </w:rPr>
        <w:t>Stb.</w:t>
      </w:r>
      <w:r w:rsidRPr="007709A8">
        <w:rPr>
          <w:rFonts w:ascii="Times New Roman" w:hAnsi="Times New Roman"/>
        </w:rPr>
        <w:t xml:space="preserve"> 351, 10 juli 1990); Frankrijk ondertekende het verdrag op 28 januari 1981 en ratificeerde het p 24 maart 1983, zie: wet nr. 82-890 van 19 oktober 1982 tot wettiging van de goedkeuring van het verdrag tot bescherming van personen ten opzichte van de automatische verwerking van persoonsgegevens, ondertekend te Straatsburg op 28-01-1981 (</w:t>
      </w:r>
      <w:r w:rsidRPr="007709A8">
        <w:rPr>
          <w:rFonts w:ascii="Times New Roman" w:hAnsi="Times New Roman"/>
          <w:i/>
        </w:rPr>
        <w:t>JORF</w:t>
      </w:r>
      <w:r w:rsidRPr="007709A8">
        <w:rPr>
          <w:rFonts w:ascii="Times New Roman" w:hAnsi="Times New Roman"/>
        </w:rPr>
        <w:t>, 20 oktober 1982).</w:t>
      </w:r>
    </w:p>
  </w:footnote>
  <w:footnote w:id="1022">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POULLET, Y., ‘Privacy Protection and Transborder Data Flow; Recent Legal Issues’, VANDENBERGHE, G., </w:t>
      </w:r>
      <w:r w:rsidRPr="007709A8">
        <w:rPr>
          <w:rFonts w:ascii="Times New Roman" w:hAnsi="Times New Roman"/>
          <w:i/>
        </w:rPr>
        <w:t>Advanc</w:t>
      </w:r>
      <w:r>
        <w:rPr>
          <w:rFonts w:ascii="Times New Roman" w:hAnsi="Times New Roman"/>
          <w:i/>
        </w:rPr>
        <w:t>ed Topics of La</w:t>
      </w:r>
      <w:r w:rsidRPr="007709A8">
        <w:rPr>
          <w:rFonts w:ascii="Times New Roman" w:hAnsi="Times New Roman"/>
          <w:i/>
        </w:rPr>
        <w:t>w</w:t>
      </w:r>
      <w:r>
        <w:rPr>
          <w:rFonts w:ascii="Times New Roman" w:hAnsi="Times New Roman"/>
          <w:i/>
        </w:rPr>
        <w:t xml:space="preserve"> </w:t>
      </w:r>
      <w:r w:rsidRPr="007709A8">
        <w:rPr>
          <w:rFonts w:ascii="Times New Roman" w:hAnsi="Times New Roman"/>
          <w:i/>
        </w:rPr>
        <w:t>and Information Technology</w:t>
      </w:r>
      <w:r w:rsidRPr="007709A8">
        <w:rPr>
          <w:rFonts w:ascii="Times New Roman" w:hAnsi="Times New Roman"/>
        </w:rPr>
        <w:t xml:space="preserve">, Computer Law Series, 3, Deventer, Kluwer, 1989, p. 29-41; ROBBEN, F., </w:t>
      </w:r>
      <w:r w:rsidRPr="007709A8">
        <w:rPr>
          <w:rFonts w:ascii="Times New Roman" w:hAnsi="Times New Roman"/>
          <w:i/>
        </w:rPr>
        <w:t>De bescherming van de persoonlijke levenssfeer bij de grensoverschrijdende uitwisseling van persoonsgegevens in het kader van de sociale zekerheid</w:t>
      </w:r>
      <w:r>
        <w:rPr>
          <w:rFonts w:ascii="Times New Roman" w:hAnsi="Times New Roman"/>
        </w:rPr>
        <w:t>, Leuven, 1988, 245p</w:t>
      </w:r>
      <w:r w:rsidRPr="007709A8">
        <w:rPr>
          <w:rFonts w:ascii="Times New Roman" w:hAnsi="Times New Roman"/>
        </w:rPr>
        <w:t>.</w:t>
      </w:r>
    </w:p>
  </w:footnote>
  <w:footnote w:id="1023">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Mededeling van de commissie aan het Europees Parlement en de Raad over de follow-up van het Werkpro</w:t>
      </w:r>
      <w:r>
        <w:rPr>
          <w:rFonts w:ascii="Times New Roman" w:hAnsi="Times New Roman"/>
        </w:rPr>
        <w:t>-</w:t>
      </w:r>
      <w:r w:rsidRPr="007709A8">
        <w:rPr>
          <w:rFonts w:ascii="Times New Roman" w:hAnsi="Times New Roman"/>
        </w:rPr>
        <w:t>gramma voor een betere toepassing van de Richtlijn gegevensbescherming, COM(2007)87, p. 7</w:t>
      </w:r>
    </w:p>
  </w:footnote>
  <w:footnote w:id="1024">
    <w:p w:rsidR="00E82D16" w:rsidRPr="007709A8" w:rsidRDefault="00E82D16" w:rsidP="000F560E">
      <w:pPr>
        <w:pStyle w:val="Voetnoottekst"/>
        <w:jc w:val="both"/>
        <w:rPr>
          <w:rFonts w:ascii="Times New Roman" w:hAnsi="Times New Roman"/>
        </w:rPr>
      </w:pPr>
      <w:r w:rsidRPr="0017742B">
        <w:rPr>
          <w:rStyle w:val="Voetnootmarkering"/>
          <w:rFonts w:ascii="Times New Roman" w:hAnsi="Times New Roman"/>
        </w:rPr>
        <w:footnoteRef/>
      </w:r>
      <w:r w:rsidRPr="0017742B">
        <w:rPr>
          <w:rFonts w:ascii="Times New Roman" w:hAnsi="Times New Roman"/>
        </w:rPr>
        <w:t xml:space="preserve"> Voor de meest recente (voorstellen tot) wijziging van dit Verdrag, zie: </w:t>
      </w:r>
      <w:hyperlink r:id="rId184" w:history="1">
        <w:r w:rsidRPr="00EA26DD">
          <w:rPr>
            <w:rStyle w:val="Hyperlink"/>
            <w:rFonts w:ascii="Times New Roman" w:hAnsi="Times New Roman"/>
          </w:rPr>
          <w:t>http://www.coe.int/t/dghl/ standardsetting/dataprotection/modernisation_en.asp</w:t>
        </w:r>
      </w:hyperlink>
      <w:r w:rsidRPr="007709A8">
        <w:rPr>
          <w:rFonts w:ascii="Times New Roman" w:hAnsi="Times New Roman"/>
        </w:rPr>
        <w:t>.</w:t>
      </w:r>
    </w:p>
  </w:footnote>
  <w:footnote w:id="1025">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Bescherming van personen in verband met de behandeling van persoonsgegevens in de gemeenschap en be</w:t>
      </w:r>
      <w:r>
        <w:rPr>
          <w:rFonts w:ascii="Times New Roman" w:hAnsi="Times New Roman"/>
        </w:rPr>
        <w:t>-</w:t>
      </w:r>
      <w:r w:rsidRPr="007709A8">
        <w:rPr>
          <w:rFonts w:ascii="Times New Roman" w:hAnsi="Times New Roman"/>
        </w:rPr>
        <w:t>treffende de beveiliging van informatiesystemen, COM(1990)314 def.</w:t>
      </w:r>
    </w:p>
  </w:footnote>
  <w:footnote w:id="1026">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Gewijzigd voorstel voor een Richtlijn van de Raad betreffende de bescherming van natuurlijke personen in verband met de behandeling van persoonsgegevens en betreffende het vrije verkeer van die gegevens, COM(92)422 def. </w:t>
      </w:r>
    </w:p>
  </w:footnote>
  <w:footnote w:id="1027">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Advies van de Commissie overeenkomstig artikel 189 B, lid 2, onder d) van het EG-verdrag, over de amen</w:t>
      </w:r>
      <w:r>
        <w:rPr>
          <w:rFonts w:ascii="Times New Roman" w:hAnsi="Times New Roman"/>
        </w:rPr>
        <w:t>-</w:t>
      </w:r>
      <w:r w:rsidRPr="007709A8">
        <w:rPr>
          <w:rFonts w:ascii="Times New Roman" w:hAnsi="Times New Roman"/>
        </w:rPr>
        <w:t>dementen van het Europees Parlement op het gemeenschappelijk standpunt van de Raad inzake het voorstel voor een richtlijn van het Europees Parlement en de Raad betreffende de bescherming van natuurlijke personen in ver</w:t>
      </w:r>
      <w:r>
        <w:rPr>
          <w:rFonts w:ascii="Times New Roman" w:hAnsi="Times New Roman"/>
        </w:rPr>
        <w:t>-</w:t>
      </w:r>
      <w:r w:rsidRPr="007709A8">
        <w:rPr>
          <w:rFonts w:ascii="Times New Roman" w:hAnsi="Times New Roman"/>
        </w:rPr>
        <w:t>band met de verwerking van persoonsgegevens en betreffende het vrije verkeer va</w:t>
      </w:r>
      <w:r>
        <w:rPr>
          <w:rFonts w:ascii="Times New Roman" w:hAnsi="Times New Roman"/>
        </w:rPr>
        <w:t>n die gegevens, COM(95)375 def.</w:t>
      </w:r>
    </w:p>
  </w:footnote>
  <w:footnote w:id="1028">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Richtlijn 95/46/EG van het Europese Parlement en de Raad van 24 oktober 1995 betreffende de bescherming van natuurlijke personen in verband met de verwerking van persoonsgegevens en betreffende het vrije verkeer van die gegevens (</w:t>
      </w:r>
      <w:r w:rsidRPr="007709A8">
        <w:rPr>
          <w:rFonts w:ascii="Times New Roman" w:hAnsi="Times New Roman" w:cs="Times New Roman"/>
          <w:i/>
          <w:sz w:val="20"/>
          <w:szCs w:val="20"/>
        </w:rPr>
        <w:t>Pb.</w:t>
      </w:r>
      <w:r>
        <w:rPr>
          <w:rFonts w:ascii="Times New Roman" w:hAnsi="Times New Roman" w:cs="Times New Roman"/>
          <w:i/>
          <w:sz w:val="20"/>
          <w:szCs w:val="20"/>
        </w:rPr>
        <w:t>EG</w:t>
      </w:r>
      <w:r w:rsidRPr="007709A8">
        <w:rPr>
          <w:rFonts w:ascii="Times New Roman" w:hAnsi="Times New Roman" w:cs="Times New Roman"/>
          <w:i/>
          <w:sz w:val="20"/>
          <w:szCs w:val="20"/>
        </w:rPr>
        <w:t xml:space="preserve"> L. 281</w:t>
      </w:r>
      <w:r w:rsidRPr="007709A8">
        <w:rPr>
          <w:rFonts w:ascii="Times New Roman" w:hAnsi="Times New Roman" w:cs="Times New Roman"/>
          <w:sz w:val="20"/>
          <w:szCs w:val="20"/>
        </w:rPr>
        <w:t xml:space="preserve">, 23 november 1995). De tekst van deze richtlijn kan ook teruggevonden worden in het Belgisch Staatsblad van 23 november 1995. Voor de geconsolideerde versie van Richtlijn 95/46/EG, zie: </w:t>
      </w:r>
      <w:hyperlink r:id="rId185" w:history="1">
        <w:r w:rsidRPr="00EA26DD">
          <w:rPr>
            <w:rStyle w:val="Hyperlink"/>
            <w:rFonts w:ascii="Times New Roman" w:hAnsi="Times New Roman" w:cs="Times New Roman"/>
            <w:sz w:val="20"/>
            <w:szCs w:val="20"/>
          </w:rPr>
          <w:t>http://eur-lex.europa.eu/LexUriServ/LexUriServ.do?uri=CONSLEG:1995L0046:20031120:NL:PDF</w:t>
        </w:r>
      </w:hyperlink>
      <w:r>
        <w:rPr>
          <w:rFonts w:ascii="Times New Roman" w:hAnsi="Times New Roman" w:cs="Times New Roman"/>
          <w:sz w:val="20"/>
          <w:szCs w:val="20"/>
        </w:rPr>
        <w:t xml:space="preserve">. Zie ook: CALLENS, S., ‘Het omgaan met gezondheidsgegevens, enkele bedenkingen bij de Privacyrichtlijn’, </w:t>
      </w:r>
      <w:r>
        <w:rPr>
          <w:rFonts w:ascii="Times New Roman" w:hAnsi="Times New Roman" w:cs="Times New Roman"/>
          <w:i/>
          <w:sz w:val="20"/>
          <w:szCs w:val="20"/>
        </w:rPr>
        <w:t>T.G.</w:t>
      </w:r>
      <w:r>
        <w:rPr>
          <w:rFonts w:ascii="Times New Roman" w:hAnsi="Times New Roman" w:cs="Times New Roman"/>
          <w:sz w:val="20"/>
          <w:szCs w:val="20"/>
        </w:rPr>
        <w:t>, 21/8 (1997), p. 149-157;</w:t>
      </w:r>
      <w:r w:rsidRPr="007709A8">
        <w:rPr>
          <w:rFonts w:ascii="Times New Roman" w:hAnsi="Times New Roman" w:cs="Times New Roman"/>
          <w:sz w:val="20"/>
          <w:szCs w:val="20"/>
        </w:rPr>
        <w:t xml:space="preserve"> PLOEM, M.C., </w:t>
      </w:r>
      <w:r w:rsidRPr="007709A8">
        <w:rPr>
          <w:rFonts w:ascii="Times New Roman" w:hAnsi="Times New Roman" w:cs="Times New Roman"/>
          <w:i/>
          <w:sz w:val="20"/>
          <w:szCs w:val="20"/>
        </w:rPr>
        <w:t>Tussen privacy en wetenschapsvrijheid. Regulering van gegevensverwerking voor medisch-wetenschappelijk onderzoek</w:t>
      </w:r>
      <w:r w:rsidRPr="007709A8">
        <w:rPr>
          <w:rFonts w:ascii="Times New Roman" w:hAnsi="Times New Roman" w:cs="Times New Roman"/>
          <w:sz w:val="20"/>
          <w:szCs w:val="20"/>
        </w:rPr>
        <w:t>, Gezondheidsrecht, 24, Den Haag, Sdu Uitgevers, 2004, p. 62-66 en p. 121. Voor evaluaties van de richtlijn, zie: Eerste verslag over de toepassing van de Richtlijn gegevensbe</w:t>
      </w:r>
      <w:r>
        <w:rPr>
          <w:rFonts w:ascii="Times New Roman" w:hAnsi="Times New Roman" w:cs="Times New Roman"/>
          <w:sz w:val="20"/>
          <w:szCs w:val="20"/>
        </w:rPr>
        <w:t>-</w:t>
      </w:r>
      <w:r w:rsidRPr="007709A8">
        <w:rPr>
          <w:rFonts w:ascii="Times New Roman" w:hAnsi="Times New Roman" w:cs="Times New Roman"/>
          <w:sz w:val="20"/>
          <w:szCs w:val="20"/>
        </w:rPr>
        <w:t>scherming (95/46/EG), COM(2003)265; Communicatie van de Commissie aan het Europees Parlement en de Raad betreffende de opvolging van het werkprogramma voor de betere implementatie van de Richtlijn gegevens</w:t>
      </w:r>
      <w:r>
        <w:rPr>
          <w:rFonts w:ascii="Times New Roman" w:hAnsi="Times New Roman" w:cs="Times New Roman"/>
          <w:sz w:val="20"/>
          <w:szCs w:val="20"/>
        </w:rPr>
        <w:t>-</w:t>
      </w:r>
      <w:r w:rsidRPr="007709A8">
        <w:rPr>
          <w:rFonts w:ascii="Times New Roman" w:hAnsi="Times New Roman" w:cs="Times New Roman"/>
          <w:sz w:val="20"/>
          <w:szCs w:val="20"/>
        </w:rPr>
        <w:t>bescherming, COM(2007)87</w:t>
      </w:r>
      <w:r>
        <w:rPr>
          <w:rFonts w:ascii="Times New Roman" w:hAnsi="Times New Roman" w:cs="Times New Roman"/>
          <w:sz w:val="20"/>
          <w:szCs w:val="20"/>
        </w:rPr>
        <w:t>.</w:t>
      </w:r>
    </w:p>
  </w:footnote>
  <w:footnote w:id="102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Ontleend aan: </w:t>
      </w:r>
      <w:hyperlink r:id="rId186" w:history="1">
        <w:r w:rsidRPr="007709A8">
          <w:rPr>
            <w:rStyle w:val="Hyperlink"/>
            <w:rFonts w:ascii="Times New Roman" w:hAnsi="Times New Roman" w:cs="Times New Roman"/>
            <w:sz w:val="20"/>
            <w:szCs w:val="20"/>
          </w:rPr>
          <w:t>http://www.europa-nu.nl/id/vga3bya9max9/gewone_wetgevingsprocedure_cod</w:t>
        </w:r>
      </w:hyperlink>
      <w:r w:rsidRPr="007709A8">
        <w:rPr>
          <w:rFonts w:ascii="Times New Roman" w:hAnsi="Times New Roman" w:cs="Times New Roman"/>
          <w:sz w:val="20"/>
          <w:szCs w:val="20"/>
        </w:rPr>
        <w:t>.</w:t>
      </w:r>
    </w:p>
  </w:footnote>
  <w:footnote w:id="1030">
    <w:p w:rsidR="00E82D16" w:rsidRPr="00E333B6" w:rsidRDefault="00E82D16" w:rsidP="000F560E">
      <w:pPr>
        <w:pStyle w:val="Voetnoottekst"/>
        <w:jc w:val="both"/>
        <w:rPr>
          <w:rFonts w:ascii="Times New Roman" w:hAnsi="Times New Roman"/>
          <w:lang w:val="fr-BE"/>
        </w:rPr>
      </w:pPr>
      <w:r w:rsidRPr="007709A8">
        <w:rPr>
          <w:rStyle w:val="Voetnootmarkering"/>
          <w:rFonts w:ascii="Times New Roman" w:hAnsi="Times New Roman"/>
        </w:rPr>
        <w:footnoteRef/>
      </w:r>
      <w:r w:rsidRPr="007709A8">
        <w:rPr>
          <w:rFonts w:ascii="Times New Roman" w:hAnsi="Times New Roman"/>
        </w:rPr>
        <w:t xml:space="preserve"> Wet van 11 december 1998 tot omzetting van de richtlijn 95/46/EG van 24 oktober 1995 van het Europees Parlement en de Raad betreffende de bescherming van natuurlijke personen in verband met de verwerking van persoonsgegevens en betreffende het vrij verkeer van die gegevens (</w:t>
      </w:r>
      <w:r w:rsidRPr="007709A8">
        <w:rPr>
          <w:rFonts w:ascii="Times New Roman" w:hAnsi="Times New Roman"/>
          <w:i/>
        </w:rPr>
        <w:t>BS</w:t>
      </w:r>
      <w:r w:rsidRPr="007709A8">
        <w:rPr>
          <w:rFonts w:ascii="Times New Roman" w:hAnsi="Times New Roman"/>
        </w:rPr>
        <w:t xml:space="preserve"> 3 februari 1999); wet van 6 juli 2000 houdende regels inzake de bescherming van persoonsgegevens (</w:t>
      </w:r>
      <w:r w:rsidRPr="00AF352E">
        <w:rPr>
          <w:rFonts w:ascii="Times New Roman" w:hAnsi="Times New Roman"/>
          <w:i/>
        </w:rPr>
        <w:t>Stb.</w:t>
      </w:r>
      <w:r w:rsidRPr="007709A8">
        <w:rPr>
          <w:rFonts w:ascii="Times New Roman" w:hAnsi="Times New Roman"/>
        </w:rPr>
        <w:t xml:space="preserve"> </w:t>
      </w:r>
      <w:r>
        <w:rPr>
          <w:rFonts w:ascii="Times New Roman" w:hAnsi="Times New Roman"/>
        </w:rPr>
        <w:t>302</w:t>
      </w:r>
      <w:r w:rsidRPr="007709A8">
        <w:rPr>
          <w:rFonts w:ascii="Times New Roman" w:hAnsi="Times New Roman"/>
        </w:rPr>
        <w:t>, 20 juli 2000); wet nr. 2004-801 van 6 augustus 2004 betreffende de bescherming van fysieke personen ten opzichte van de verwerking van persoons</w:t>
      </w:r>
      <w:r>
        <w:rPr>
          <w:rFonts w:ascii="Times New Roman" w:hAnsi="Times New Roman"/>
        </w:rPr>
        <w:t>-</w:t>
      </w:r>
      <w:r w:rsidRPr="007709A8">
        <w:rPr>
          <w:rFonts w:ascii="Times New Roman" w:hAnsi="Times New Roman"/>
        </w:rPr>
        <w:t>gegevens en ter bescherming van wet nr. 78-17 van 6 januari 1978 betreffende de informatica, bestanden en vrij</w:t>
      </w:r>
      <w:r>
        <w:rPr>
          <w:rFonts w:ascii="Times New Roman" w:hAnsi="Times New Roman"/>
        </w:rPr>
        <w:t>-</w:t>
      </w:r>
      <w:r w:rsidRPr="007709A8">
        <w:rPr>
          <w:rFonts w:ascii="Times New Roman" w:hAnsi="Times New Roman"/>
        </w:rPr>
        <w:t>heden I (</w:t>
      </w:r>
      <w:r w:rsidRPr="007709A8">
        <w:rPr>
          <w:rFonts w:ascii="Times New Roman" w:hAnsi="Times New Roman"/>
          <w:i/>
        </w:rPr>
        <w:t>JORF</w:t>
      </w:r>
      <w:r w:rsidRPr="007709A8">
        <w:rPr>
          <w:rFonts w:ascii="Times New Roman" w:hAnsi="Times New Roman"/>
        </w:rPr>
        <w:t xml:space="preserve"> 182, 7 augustus 2004). Voor de verschillen tussen de privacywet van 8 december 1992 en die van 11 december 1998, zie: DE CORTE, R., Wet Verwerking Persoonsgegevens (WVP), 2003</w:t>
      </w:r>
      <w:r w:rsidRPr="007709A8">
        <w:rPr>
          <w:rStyle w:val="Hyperlink"/>
          <w:rFonts w:ascii="Times New Roman" w:hAnsi="Times New Roman"/>
        </w:rPr>
        <w:t>. V</w:t>
      </w:r>
      <w:r w:rsidRPr="007709A8">
        <w:rPr>
          <w:rFonts w:ascii="Times New Roman" w:hAnsi="Times New Roman"/>
        </w:rPr>
        <w:t xml:space="preserve">oor de omzetting in Nederland, zie de website van Rina Steenkamp over ‘Privacy en technologie’: </w:t>
      </w:r>
      <w:hyperlink r:id="rId187" w:history="1">
        <w:r w:rsidRPr="00EA26DD">
          <w:rPr>
            <w:rStyle w:val="Hyperlink"/>
            <w:rFonts w:ascii="Times New Roman" w:hAnsi="Times New Roman"/>
          </w:rPr>
          <w:t>http://www.steenkamp-ict.com/ wbp/hfdst00richtlijn.html</w:t>
        </w:r>
      </w:hyperlink>
      <w:r w:rsidRPr="007709A8">
        <w:rPr>
          <w:rFonts w:ascii="Times New Roman" w:hAnsi="Times New Roman"/>
        </w:rPr>
        <w:t xml:space="preserve">. </w:t>
      </w:r>
      <w:r w:rsidRPr="00E333B6">
        <w:rPr>
          <w:rFonts w:ascii="Times New Roman" w:hAnsi="Times New Roman"/>
          <w:lang w:val="fr-BE"/>
        </w:rPr>
        <w:t>Zie ook: BOULANGER, M.; CALLENS, S.; BRILLON, S.; ‘La protection des don</w:t>
      </w:r>
      <w:r>
        <w:rPr>
          <w:rFonts w:ascii="Times New Roman" w:hAnsi="Times New Roman"/>
          <w:lang w:val="fr-BE"/>
        </w:rPr>
        <w:t>-</w:t>
      </w:r>
      <w:r w:rsidRPr="00E333B6">
        <w:rPr>
          <w:rFonts w:ascii="Times New Roman" w:hAnsi="Times New Roman"/>
          <w:lang w:val="fr-BE"/>
        </w:rPr>
        <w:t>nées à caractère personnel relatives à la santé et la loi du 8 décembre 1992 telle que modifiée par la loi du 11 dé</w:t>
      </w:r>
      <w:r>
        <w:rPr>
          <w:rFonts w:ascii="Times New Roman" w:hAnsi="Times New Roman"/>
          <w:lang w:val="fr-BE"/>
        </w:rPr>
        <w:t>-</w:t>
      </w:r>
      <w:r w:rsidRPr="00E333B6">
        <w:rPr>
          <w:rFonts w:ascii="Times New Roman" w:hAnsi="Times New Roman"/>
          <w:lang w:val="fr-BE"/>
        </w:rPr>
        <w:t xml:space="preserve">cembre 1998 et complétée par l'arrêté royal du 13 février 2001’, </w:t>
      </w:r>
      <w:r w:rsidRPr="00E333B6">
        <w:rPr>
          <w:rFonts w:ascii="Times New Roman" w:hAnsi="Times New Roman"/>
          <w:i/>
          <w:lang w:val="fr-BE"/>
        </w:rPr>
        <w:t>T.Gez.</w:t>
      </w:r>
      <w:r w:rsidRPr="00E333B6">
        <w:rPr>
          <w:rFonts w:ascii="Times New Roman" w:hAnsi="Times New Roman"/>
          <w:lang w:val="fr-BE"/>
        </w:rPr>
        <w:t xml:space="preserve">, 2000-2001, p. 326-345; CUIJPERS, C., ‘De evaluatie van Richtlijn 95/46/EG: position papers’, </w:t>
      </w:r>
      <w:r w:rsidRPr="00E333B6">
        <w:rPr>
          <w:rFonts w:ascii="Times New Roman" w:hAnsi="Times New Roman"/>
          <w:i/>
          <w:lang w:val="fr-BE"/>
        </w:rPr>
        <w:t>P&amp;I</w:t>
      </w:r>
      <w:r w:rsidRPr="00E333B6">
        <w:rPr>
          <w:rFonts w:ascii="Times New Roman" w:hAnsi="Times New Roman"/>
          <w:lang w:val="fr-BE"/>
        </w:rPr>
        <w:t xml:space="preserve">, 2003, 6, p. 113-116; ID., ‘Opinie over het concept persoonsgegevens [zoals gedefinieerd in art. 2 (a) van richtlijn nr. 95/46/EG]’, </w:t>
      </w:r>
      <w:r w:rsidRPr="00E333B6">
        <w:rPr>
          <w:rFonts w:ascii="Times New Roman" w:hAnsi="Times New Roman"/>
          <w:i/>
          <w:lang w:val="fr-BE"/>
        </w:rPr>
        <w:t>Computerr.</w:t>
      </w:r>
      <w:r w:rsidRPr="00E333B6">
        <w:rPr>
          <w:rFonts w:ascii="Times New Roman" w:hAnsi="Times New Roman"/>
          <w:lang w:val="fr-BE"/>
        </w:rPr>
        <w:t xml:space="preserve">, 2007, 5, p. 257-258; FEUGAS, M., ‘Réforme de la loi informatique et libertés et données personnelles de santé’, </w:t>
      </w:r>
      <w:r w:rsidRPr="00E333B6">
        <w:rPr>
          <w:rFonts w:ascii="Times New Roman" w:hAnsi="Times New Roman"/>
          <w:i/>
          <w:lang w:val="fr-BE"/>
        </w:rPr>
        <w:t>Techniques hospi</w:t>
      </w:r>
      <w:r>
        <w:rPr>
          <w:rFonts w:ascii="Times New Roman" w:hAnsi="Times New Roman"/>
          <w:i/>
          <w:lang w:val="fr-BE"/>
        </w:rPr>
        <w:t>-</w:t>
      </w:r>
      <w:r w:rsidRPr="00E333B6">
        <w:rPr>
          <w:rFonts w:ascii="Times New Roman" w:hAnsi="Times New Roman"/>
          <w:i/>
          <w:lang w:val="fr-BE"/>
        </w:rPr>
        <w:t>talières</w:t>
      </w:r>
      <w:r w:rsidRPr="00E333B6">
        <w:rPr>
          <w:rFonts w:ascii="Times New Roman" w:hAnsi="Times New Roman"/>
          <w:lang w:val="fr-BE"/>
        </w:rPr>
        <w:t>, 691 (2005), p. 17-22; HOOGHIEMSTRA, T., ‘The implementation of directive 95/46/EC in the Nether</w:t>
      </w:r>
      <w:r>
        <w:rPr>
          <w:rFonts w:ascii="Times New Roman" w:hAnsi="Times New Roman"/>
          <w:lang w:val="fr-BE"/>
        </w:rPr>
        <w:t>-</w:t>
      </w:r>
      <w:r w:rsidRPr="00E333B6">
        <w:rPr>
          <w:rFonts w:ascii="Times New Roman" w:hAnsi="Times New Roman"/>
          <w:lang w:val="fr-BE"/>
        </w:rPr>
        <w:t xml:space="preserve">lands, with special regard to medical data’, </w:t>
      </w:r>
      <w:r w:rsidRPr="00E333B6">
        <w:rPr>
          <w:rFonts w:ascii="Times New Roman" w:hAnsi="Times New Roman"/>
          <w:i/>
          <w:lang w:val="fr-BE"/>
        </w:rPr>
        <w:t>E.J.H.L.</w:t>
      </w:r>
      <w:r w:rsidRPr="00E333B6">
        <w:rPr>
          <w:rFonts w:ascii="Times New Roman" w:hAnsi="Times New Roman"/>
          <w:lang w:val="fr-BE"/>
        </w:rPr>
        <w:t xml:space="preserve">, 9/3 (2002), p. 219-227; KRANENBORG; VERHEY; </w:t>
      </w:r>
      <w:r w:rsidRPr="00E333B6">
        <w:rPr>
          <w:rFonts w:ascii="Times New Roman" w:hAnsi="Times New Roman"/>
          <w:i/>
          <w:lang w:val="fr-BE"/>
        </w:rPr>
        <w:t>Wet bescherming persoonsgegevens in Europees perspectief</w:t>
      </w:r>
      <w:r w:rsidRPr="00E333B6">
        <w:rPr>
          <w:rFonts w:ascii="Times New Roman" w:hAnsi="Times New Roman"/>
          <w:lang w:val="fr-BE"/>
        </w:rPr>
        <w:t xml:space="preserve">, p. 40-44; LOUVEAUX, S.; DE TERWANGNE, C.; ‘Protection des données à caractère personnel: application en Belgique de la directive européenne’, </w:t>
      </w:r>
      <w:r w:rsidRPr="00E333B6">
        <w:rPr>
          <w:rFonts w:ascii="Times New Roman" w:hAnsi="Times New Roman"/>
          <w:i/>
          <w:lang w:val="fr-BE"/>
        </w:rPr>
        <w:t>Actualités du droit des technologies des technologies de l’information et de la communication</w:t>
      </w:r>
      <w:r w:rsidRPr="00E333B6">
        <w:rPr>
          <w:rFonts w:ascii="Times New Roman" w:hAnsi="Times New Roman"/>
          <w:lang w:val="fr-BE"/>
        </w:rPr>
        <w:t>, Commission Université-Palais (CUP), 45, Luik, 2001, p. 5-34.</w:t>
      </w:r>
    </w:p>
  </w:footnote>
  <w:footnote w:id="1031">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Verordening (EG) nr. 45/2001 van het Europees Parlement en de Raad van 18 december 2000 betreffende de bescherming van natuurlĳke personen in verband met de verwerking van persoonsgegevens door de communau</w:t>
      </w:r>
      <w:r>
        <w:rPr>
          <w:rFonts w:ascii="Times New Roman" w:hAnsi="Times New Roman"/>
        </w:rPr>
        <w:t>-</w:t>
      </w:r>
      <w:r w:rsidRPr="007709A8">
        <w:rPr>
          <w:rFonts w:ascii="Times New Roman" w:hAnsi="Times New Roman"/>
        </w:rPr>
        <w:t>taire instellingen en organen en betreffende het vrĳe verkeer van die gegevens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L.</w:t>
      </w:r>
      <w:r w:rsidRPr="007709A8">
        <w:rPr>
          <w:rFonts w:ascii="Times New Roman" w:hAnsi="Times New Roman"/>
        </w:rPr>
        <w:t xml:space="preserve"> 8, 12 januari 2001).</w:t>
      </w:r>
    </w:p>
  </w:footnote>
  <w:footnote w:id="1032">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Art. 16 van de geconsolideerde versie van het verdrag van 25 maart 1957 betreffende de werking van de Eu</w:t>
      </w:r>
      <w:r>
        <w:rPr>
          <w:rFonts w:ascii="Times New Roman" w:hAnsi="Times New Roman"/>
        </w:rPr>
        <w:t>-</w:t>
      </w:r>
      <w:r w:rsidRPr="007709A8">
        <w:rPr>
          <w:rFonts w:ascii="Times New Roman" w:hAnsi="Times New Roman"/>
        </w:rPr>
        <w:t>ropese Unie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C.</w:t>
      </w:r>
      <w:r w:rsidRPr="007709A8">
        <w:rPr>
          <w:rFonts w:ascii="Times New Roman" w:hAnsi="Times New Roman"/>
        </w:rPr>
        <w:t xml:space="preserve"> 83, 30 maart 2010; err.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C.</w:t>
      </w:r>
      <w:r w:rsidRPr="007709A8">
        <w:rPr>
          <w:rFonts w:ascii="Times New Roman" w:hAnsi="Times New Roman"/>
        </w:rPr>
        <w:t xml:space="preserve"> 181, 6 juli 2010).</w:t>
      </w:r>
    </w:p>
  </w:footnote>
  <w:footnote w:id="1033">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Art. 17 van het internationaal verdrag van 16 december 1966 inzake burgerrechten en politieke rechten. Bel</w:t>
      </w:r>
      <w:r>
        <w:rPr>
          <w:rFonts w:ascii="Times New Roman" w:hAnsi="Times New Roman"/>
        </w:rPr>
        <w:t>-</w:t>
      </w:r>
      <w:r w:rsidRPr="007709A8">
        <w:rPr>
          <w:rFonts w:ascii="Times New Roman" w:hAnsi="Times New Roman"/>
        </w:rPr>
        <w:t>gië ondertekende dit verdrag op 10 december 1968 en ratificeerde het op 21 april 1983: Internationaal verdrag inzake burgerrechten en politieke rechten (</w:t>
      </w:r>
      <w:r w:rsidRPr="007709A8">
        <w:rPr>
          <w:rFonts w:ascii="Times New Roman" w:hAnsi="Times New Roman"/>
          <w:i/>
        </w:rPr>
        <w:t>BS</w:t>
      </w:r>
      <w:r w:rsidRPr="007709A8">
        <w:rPr>
          <w:rFonts w:ascii="Times New Roman" w:hAnsi="Times New Roman"/>
        </w:rPr>
        <w:t xml:space="preserve"> 19 december 1966); wet van 15 mei 1981 houdende goedkeuring van volgende Internationale akten: a) Internationaal Verdrag inzake economische, sociale en culturele rechten; b) Internationaal Verdrag inzake burgerrechten en politieke rechten, opgemaakt te New-York op 19 december 1966 (</w:t>
      </w:r>
      <w:r w:rsidRPr="007709A8">
        <w:rPr>
          <w:rFonts w:ascii="Times New Roman" w:hAnsi="Times New Roman"/>
          <w:i/>
        </w:rPr>
        <w:t>BS</w:t>
      </w:r>
      <w:r w:rsidRPr="007709A8">
        <w:rPr>
          <w:rFonts w:ascii="Times New Roman" w:hAnsi="Times New Roman"/>
        </w:rPr>
        <w:t xml:space="preserve"> 6 juli 1983). Nederland ondertekende dit verdrag op 25 juni 1969 en ratificeerde het op 11 december 1978: Internationaal Verdrag inzake burgerrechten en politieke rechten, New York, 16-12-1966 (</w:t>
      </w:r>
      <w:r w:rsidRPr="007709A8">
        <w:rPr>
          <w:rFonts w:ascii="Times New Roman" w:hAnsi="Times New Roman"/>
          <w:i/>
        </w:rPr>
        <w:t>Trb.</w:t>
      </w:r>
      <w:r w:rsidRPr="007709A8">
        <w:rPr>
          <w:rFonts w:ascii="Times New Roman" w:hAnsi="Times New Roman"/>
        </w:rPr>
        <w:t xml:space="preserve"> 99, 1969 en </w:t>
      </w:r>
      <w:r w:rsidRPr="007709A8">
        <w:rPr>
          <w:rFonts w:ascii="Times New Roman" w:hAnsi="Times New Roman"/>
          <w:i/>
        </w:rPr>
        <w:t xml:space="preserve">Trb. </w:t>
      </w:r>
      <w:r w:rsidRPr="007709A8">
        <w:rPr>
          <w:rFonts w:ascii="Times New Roman" w:hAnsi="Times New Roman"/>
        </w:rPr>
        <w:t>177, 1978); Frankrijk ondertekende dit verdrag op  en ratificeerde het op 4 november 1980.</w:t>
      </w:r>
    </w:p>
  </w:footnote>
  <w:footnote w:id="1034">
    <w:p w:rsidR="00E82D16" w:rsidRPr="0066002E" w:rsidRDefault="00E82D16" w:rsidP="000F560E">
      <w:pPr>
        <w:pStyle w:val="Voetnoottekst"/>
        <w:jc w:val="both"/>
        <w:rPr>
          <w:rFonts w:ascii="Times New Roman" w:hAnsi="Times New Roman"/>
        </w:rPr>
      </w:pPr>
      <w:r w:rsidRPr="0066002E">
        <w:rPr>
          <w:rStyle w:val="Voetnootmarkering"/>
          <w:rFonts w:ascii="Times New Roman" w:hAnsi="Times New Roman"/>
        </w:rPr>
        <w:footnoteRef/>
      </w:r>
      <w:r w:rsidRPr="0066002E">
        <w:rPr>
          <w:rFonts w:ascii="Times New Roman" w:hAnsi="Times New Roman"/>
        </w:rPr>
        <w:t xml:space="preserve"> Verdrag van Lissabon van 13 december 2007 tot wijziging van het Verdrag betreffende de Europese Unie en het Verdrag tot oprichting van de Europese Gemeenschap (</w:t>
      </w:r>
      <w:r w:rsidRPr="0066002E">
        <w:rPr>
          <w:rFonts w:ascii="Times New Roman" w:hAnsi="Times New Roman"/>
          <w:i/>
        </w:rPr>
        <w:t>Pb.</w:t>
      </w:r>
      <w:r>
        <w:rPr>
          <w:rFonts w:ascii="Times New Roman" w:hAnsi="Times New Roman"/>
          <w:i/>
        </w:rPr>
        <w:t xml:space="preserve">EG </w:t>
      </w:r>
      <w:r w:rsidRPr="0066002E">
        <w:rPr>
          <w:rFonts w:ascii="Times New Roman" w:hAnsi="Times New Roman"/>
          <w:i/>
        </w:rPr>
        <w:t>C.</w:t>
      </w:r>
      <w:r w:rsidRPr="0066002E">
        <w:rPr>
          <w:rFonts w:ascii="Times New Roman" w:hAnsi="Times New Roman"/>
        </w:rPr>
        <w:t xml:space="preserve"> 306, 17 december 2007)</w:t>
      </w:r>
      <w:r w:rsidRPr="007709A8">
        <w:rPr>
          <w:rFonts w:ascii="Times New Roman" w:hAnsi="Times New Roman"/>
        </w:rPr>
        <w:t xml:space="preserve">; </w:t>
      </w:r>
      <w:r>
        <w:rPr>
          <w:rFonts w:ascii="Times New Roman" w:hAnsi="Times New Roman"/>
        </w:rPr>
        <w:t xml:space="preserve">DE HERDT; SAELENS; ‘Ontwikkelingen in de bescherming van persoonsgegevens. Wat is de weerslag op de bibliotheek- en archiefsector?’, p. 33; </w:t>
      </w:r>
      <w:r w:rsidRPr="007709A8">
        <w:rPr>
          <w:rFonts w:ascii="Times New Roman" w:hAnsi="Times New Roman"/>
        </w:rPr>
        <w:t xml:space="preserve">VANDENBERGHE, J.; JORIS, T.; ‘De bescherming van de grondrechten in Europa, het Verdrag van Lissabon en het Ierse referendum: een stand van zaken’, </w:t>
      </w:r>
      <w:r w:rsidRPr="007709A8">
        <w:rPr>
          <w:rFonts w:ascii="Times New Roman" w:hAnsi="Times New Roman"/>
          <w:i/>
        </w:rPr>
        <w:t>T.B.P.</w:t>
      </w:r>
      <w:r w:rsidRPr="007709A8">
        <w:rPr>
          <w:rFonts w:ascii="Times New Roman" w:hAnsi="Times New Roman"/>
        </w:rPr>
        <w:t>, 2008, 8, p. 459-477</w:t>
      </w:r>
      <w:r w:rsidRPr="0066002E">
        <w:rPr>
          <w:rFonts w:ascii="Times New Roman" w:hAnsi="Times New Roman"/>
        </w:rPr>
        <w:t>.</w:t>
      </w:r>
    </w:p>
  </w:footnote>
  <w:footnote w:id="1035">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Artikel 7 en 8 van het handvest van 12 december 2007 van de grondrechten van de Europese Unie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 xml:space="preserve">C. </w:t>
      </w:r>
      <w:r w:rsidRPr="007709A8">
        <w:rPr>
          <w:rFonts w:ascii="Times New Roman" w:hAnsi="Times New Roman"/>
        </w:rPr>
        <w:t xml:space="preserve">83, 30 maart 2010); DEBUSSERE, F., ‘Het Handvest van de grondrechten van de Europese Unie’, </w:t>
      </w:r>
      <w:r w:rsidRPr="007709A8">
        <w:rPr>
          <w:rFonts w:ascii="Times New Roman" w:hAnsi="Times New Roman"/>
          <w:i/>
        </w:rPr>
        <w:t>Jura Falc.</w:t>
      </w:r>
      <w:r w:rsidRPr="007709A8">
        <w:rPr>
          <w:rFonts w:ascii="Times New Roman" w:hAnsi="Times New Roman"/>
        </w:rPr>
        <w:t xml:space="preserve">, 38/1 (2001-2002), p. 39-88; DESOMER, M., ‘Het Handvest van de grondrechten van de Europese Unie’, </w:t>
      </w:r>
      <w:r w:rsidRPr="007709A8">
        <w:rPr>
          <w:rFonts w:ascii="Times New Roman" w:hAnsi="Times New Roman"/>
          <w:i/>
        </w:rPr>
        <w:t>T.B.P.</w:t>
      </w:r>
      <w:r w:rsidRPr="007709A8">
        <w:rPr>
          <w:rFonts w:ascii="Times New Roman" w:hAnsi="Times New Roman"/>
        </w:rPr>
        <w:t xml:space="preserve">, 2001, p. 671-687; KRANENBORG; VERHEY; </w:t>
      </w:r>
      <w:r w:rsidRPr="007709A8">
        <w:rPr>
          <w:rFonts w:ascii="Times New Roman" w:hAnsi="Times New Roman"/>
          <w:i/>
        </w:rPr>
        <w:t>Wet bescherming persoonsgegevens in Europees perspectief</w:t>
      </w:r>
      <w:r w:rsidRPr="007709A8">
        <w:rPr>
          <w:rFonts w:ascii="Times New Roman" w:hAnsi="Times New Roman"/>
        </w:rPr>
        <w:t xml:space="preserve">, p. 35-40; NAUTA, T., ‘De inroepbaarheid van het Handvest voor de Europese en nationale rechter’, </w:t>
      </w:r>
      <w:r w:rsidRPr="007709A8">
        <w:rPr>
          <w:rFonts w:ascii="Times New Roman" w:hAnsi="Times New Roman"/>
          <w:i/>
        </w:rPr>
        <w:t>N.T.E.R.</w:t>
      </w:r>
      <w:r w:rsidRPr="007709A8">
        <w:rPr>
          <w:rFonts w:ascii="Times New Roman" w:hAnsi="Times New Roman"/>
        </w:rPr>
        <w:t xml:space="preserve">, 2012, 1, p. 19-25; PAHLADSINGH, A.; VAN ROOSMALEN, H.; ‘Het Handvest van de Grondrechten van de Europese Unie één jaar juridisch bindend: rechtspraak in kaart’, </w:t>
      </w:r>
      <w:r w:rsidRPr="007709A8">
        <w:rPr>
          <w:rFonts w:ascii="Times New Roman" w:hAnsi="Times New Roman"/>
          <w:i/>
        </w:rPr>
        <w:t>N.T.E.R.</w:t>
      </w:r>
      <w:r w:rsidRPr="007709A8">
        <w:rPr>
          <w:rFonts w:ascii="Times New Roman" w:hAnsi="Times New Roman"/>
        </w:rPr>
        <w:t>, 2011, 2, p. 54-61; PAHLADSINGH, A.; VAN ROOSMALEN, H.; ‘Het Handvest van de grondrechten van de Europese Unie twee jaar juridisch bin</w:t>
      </w:r>
      <w:r>
        <w:rPr>
          <w:rFonts w:ascii="Times New Roman" w:hAnsi="Times New Roman"/>
        </w:rPr>
        <w:t>-</w:t>
      </w:r>
      <w:r w:rsidRPr="007709A8">
        <w:rPr>
          <w:rFonts w:ascii="Times New Roman" w:hAnsi="Times New Roman"/>
        </w:rPr>
        <w:t xml:space="preserve">dend: rechtspraak in beweging?’, </w:t>
      </w:r>
      <w:r w:rsidRPr="007709A8">
        <w:rPr>
          <w:rFonts w:ascii="Times New Roman" w:hAnsi="Times New Roman"/>
          <w:i/>
        </w:rPr>
        <w:t>N.T.E.R.</w:t>
      </w:r>
      <w:r w:rsidRPr="007709A8">
        <w:rPr>
          <w:rFonts w:ascii="Times New Roman" w:hAnsi="Times New Roman"/>
        </w:rPr>
        <w:t>, 2012, 2, p. 56-65.</w:t>
      </w:r>
      <w:r w:rsidRPr="007709A8">
        <w:rPr>
          <w:rFonts w:ascii="Times New Roman" w:hAnsi="Times New Roman"/>
          <w:color w:val="00B0F0"/>
        </w:rPr>
        <w:t xml:space="preserve"> </w:t>
      </w:r>
    </w:p>
  </w:footnote>
  <w:footnote w:id="1036">
    <w:p w:rsidR="00E82D16" w:rsidRPr="00E333B6" w:rsidRDefault="00E82D16" w:rsidP="000F560E">
      <w:pPr>
        <w:pStyle w:val="Geenafstand"/>
        <w:jc w:val="both"/>
        <w:rPr>
          <w:rFonts w:ascii="Times New Roman" w:hAnsi="Times New Roman" w:cs="Times New Roman"/>
          <w:i/>
          <w:sz w:val="20"/>
          <w:szCs w:val="20"/>
          <w:lang w:val="fr-BE"/>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Aanbeveling R(97)</w:t>
      </w:r>
      <w:r>
        <w:rPr>
          <w:rFonts w:ascii="Times New Roman" w:hAnsi="Times New Roman" w:cs="Times New Roman"/>
          <w:sz w:val="20"/>
          <w:szCs w:val="20"/>
        </w:rPr>
        <w:t>5 van het Comité van Ministers a</w:t>
      </w:r>
      <w:r w:rsidRPr="007709A8">
        <w:rPr>
          <w:rFonts w:ascii="Times New Roman" w:hAnsi="Times New Roman" w:cs="Times New Roman"/>
          <w:sz w:val="20"/>
          <w:szCs w:val="20"/>
        </w:rPr>
        <w:t>an de Lidstaten van 13 februari 1997 betreffende de be</w:t>
      </w:r>
      <w:r>
        <w:rPr>
          <w:rFonts w:ascii="Times New Roman" w:hAnsi="Times New Roman" w:cs="Times New Roman"/>
          <w:sz w:val="20"/>
          <w:szCs w:val="20"/>
        </w:rPr>
        <w:t>-</w:t>
      </w:r>
      <w:r w:rsidRPr="007709A8">
        <w:rPr>
          <w:rFonts w:ascii="Times New Roman" w:hAnsi="Times New Roman" w:cs="Times New Roman"/>
          <w:sz w:val="20"/>
          <w:szCs w:val="20"/>
        </w:rPr>
        <w:t xml:space="preserve">scherming van medische gegevens; Raad van Europa, </w:t>
      </w:r>
      <w:r w:rsidRPr="007709A8">
        <w:rPr>
          <w:rFonts w:ascii="Times New Roman" w:hAnsi="Times New Roman" w:cs="Times New Roman"/>
          <w:i/>
          <w:sz w:val="20"/>
          <w:szCs w:val="20"/>
        </w:rPr>
        <w:t>La protection des données médicales</w:t>
      </w:r>
      <w:r w:rsidRPr="007709A8">
        <w:rPr>
          <w:rFonts w:ascii="Times New Roman" w:hAnsi="Times New Roman" w:cs="Times New Roman"/>
          <w:sz w:val="20"/>
          <w:szCs w:val="20"/>
        </w:rPr>
        <w:t xml:space="preserve">, Conseil de l’Europe. </w:t>
      </w:r>
      <w:r w:rsidRPr="00E333B6">
        <w:rPr>
          <w:rFonts w:ascii="Times New Roman" w:hAnsi="Times New Roman" w:cs="Times New Roman"/>
          <w:sz w:val="20"/>
          <w:szCs w:val="20"/>
          <w:lang w:val="fr-BE"/>
        </w:rPr>
        <w:t>Références juridiques</w:t>
      </w:r>
      <w:r w:rsidRPr="00E333B6">
        <w:rPr>
          <w:rFonts w:ascii="Times New Roman" w:hAnsi="Times New Roman" w:cs="Times New Roman"/>
          <w:i/>
          <w:sz w:val="20"/>
          <w:szCs w:val="20"/>
          <w:lang w:val="fr-BE"/>
        </w:rPr>
        <w:t xml:space="preserve">, </w:t>
      </w:r>
      <w:r w:rsidRPr="00E333B6">
        <w:rPr>
          <w:rFonts w:ascii="Times New Roman" w:hAnsi="Times New Roman" w:cs="Times New Roman"/>
          <w:sz w:val="20"/>
          <w:szCs w:val="20"/>
          <w:lang w:val="fr-BE"/>
        </w:rPr>
        <w:t xml:space="preserve">Straatsburg, Editions du Conseil de l’Europe, 1997, 72p.; Aanbeveling no. </w:t>
      </w:r>
      <w:r w:rsidRPr="007709A8">
        <w:rPr>
          <w:rFonts w:ascii="Times New Roman" w:hAnsi="Times New Roman" w:cs="Times New Roman"/>
          <w:sz w:val="20"/>
          <w:szCs w:val="20"/>
        </w:rPr>
        <w:t xml:space="preserve">R (97) 5 van het Comité van Ministers </w:t>
      </w:r>
      <w:r>
        <w:rPr>
          <w:rFonts w:ascii="Times New Roman" w:hAnsi="Times New Roman" w:cs="Times New Roman"/>
          <w:sz w:val="20"/>
          <w:szCs w:val="20"/>
        </w:rPr>
        <w:t>a</w:t>
      </w:r>
      <w:r w:rsidRPr="007709A8">
        <w:rPr>
          <w:rFonts w:ascii="Times New Roman" w:hAnsi="Times New Roman" w:cs="Times New Roman"/>
          <w:sz w:val="20"/>
          <w:szCs w:val="20"/>
        </w:rPr>
        <w:t>an de Lidstaten betreffende de bescherming van medische gegevens (</w:t>
      </w:r>
      <w:r w:rsidRPr="007709A8">
        <w:rPr>
          <w:rFonts w:ascii="Times New Roman" w:hAnsi="Times New Roman" w:cs="Times New Roman"/>
          <w:i/>
          <w:sz w:val="20"/>
          <w:szCs w:val="20"/>
        </w:rPr>
        <w:t>Stcrt.</w:t>
      </w:r>
      <w:r w:rsidRPr="007709A8">
        <w:rPr>
          <w:rFonts w:ascii="Times New Roman" w:hAnsi="Times New Roman" w:cs="Times New Roman"/>
          <w:sz w:val="20"/>
          <w:szCs w:val="20"/>
        </w:rPr>
        <w:t xml:space="preserve"> 38, 1998). De Belgische en Franse wetgevers hebben deze aanbeveling niet gepubliceerd. </w:t>
      </w:r>
      <w:r w:rsidRPr="00E333B6">
        <w:rPr>
          <w:rFonts w:ascii="Times New Roman" w:hAnsi="Times New Roman" w:cs="Times New Roman"/>
          <w:sz w:val="20"/>
          <w:szCs w:val="20"/>
          <w:lang w:val="fr-BE"/>
        </w:rPr>
        <w:t>Zie ook: BRILLON, S., ‘Le dos</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sier patient et la législation européenne relative à la protection de la vie privée’, </w:t>
      </w:r>
      <w:r w:rsidRPr="00E333B6">
        <w:rPr>
          <w:rFonts w:ascii="Times New Roman" w:hAnsi="Times New Roman" w:cs="Times New Roman"/>
          <w:i/>
          <w:sz w:val="20"/>
          <w:szCs w:val="20"/>
          <w:lang w:val="fr-BE"/>
        </w:rPr>
        <w:t>J.T.D.E.</w:t>
      </w:r>
      <w:r w:rsidRPr="00E333B6">
        <w:rPr>
          <w:rFonts w:ascii="Times New Roman" w:hAnsi="Times New Roman" w:cs="Times New Roman"/>
          <w:sz w:val="20"/>
          <w:szCs w:val="20"/>
          <w:lang w:val="fr-BE"/>
        </w:rPr>
        <w:t xml:space="preserve">, 97 (2003), p. 75-78; ID., ‘The European Data Protection Legislation and the Medical Records’, CALLENS, S. (red.), </w:t>
      </w:r>
      <w:r w:rsidRPr="00E333B6">
        <w:rPr>
          <w:rFonts w:ascii="Times New Roman" w:hAnsi="Times New Roman" w:cs="Times New Roman"/>
          <w:i/>
          <w:sz w:val="20"/>
          <w:szCs w:val="20"/>
          <w:lang w:val="fr-BE"/>
        </w:rPr>
        <w:t>E-Health and the Law</w:t>
      </w:r>
      <w:r w:rsidRPr="00E333B6">
        <w:rPr>
          <w:rFonts w:ascii="Times New Roman" w:hAnsi="Times New Roman" w:cs="Times New Roman"/>
          <w:sz w:val="20"/>
          <w:szCs w:val="20"/>
          <w:lang w:val="fr-BE"/>
        </w:rPr>
        <w:t xml:space="preserve">, The International Bar Association Series, Den Haag, Kluwer Law International, 2003, p. 87-97; CAMMILLERI-SUBRENAT, A.; LEVALLOIS-BARTH, C.; </w:t>
      </w:r>
      <w:r w:rsidRPr="00E333B6">
        <w:rPr>
          <w:rFonts w:ascii="Times New Roman" w:hAnsi="Times New Roman" w:cs="Times New Roman"/>
          <w:i/>
          <w:sz w:val="20"/>
          <w:szCs w:val="20"/>
          <w:lang w:val="fr-BE"/>
        </w:rPr>
        <w:t>Sensitive data protection in the European Union</w:t>
      </w:r>
      <w:r w:rsidRPr="00E333B6">
        <w:rPr>
          <w:rFonts w:ascii="Times New Roman" w:hAnsi="Times New Roman" w:cs="Times New Roman"/>
          <w:sz w:val="20"/>
          <w:szCs w:val="20"/>
          <w:lang w:val="fr-BE"/>
        </w:rPr>
        <w:t xml:space="preserve">, Travaux du CERIC, 15, Brussel, Bruylant, 2007, 252p.; DE LAMBERTERIE, I., ‘Protection de la vie privée et traitement des données relatives à la santé à l’heure européenne’, </w:t>
      </w:r>
      <w:r w:rsidRPr="00E333B6">
        <w:rPr>
          <w:rFonts w:ascii="Times New Roman" w:hAnsi="Times New Roman" w:cs="Times New Roman"/>
          <w:i/>
          <w:sz w:val="20"/>
          <w:szCs w:val="20"/>
          <w:lang w:val="fr-BE"/>
        </w:rPr>
        <w:t>M.D.</w:t>
      </w:r>
      <w:r w:rsidRPr="00E333B6">
        <w:rPr>
          <w:rFonts w:ascii="Times New Roman" w:hAnsi="Times New Roman" w:cs="Times New Roman"/>
          <w:sz w:val="20"/>
          <w:szCs w:val="20"/>
          <w:lang w:val="fr-BE"/>
        </w:rPr>
        <w:t>, 1996, 20, p. 6-12; FERRAUD-CIANDET, N., ‘Sécurité et confidentialité des données de santé dans l’Union européenne: le cadre légal appli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cable aux dossiers médicaux électroniques nationaux’, </w:t>
      </w:r>
      <w:r w:rsidRPr="00E333B6">
        <w:rPr>
          <w:rFonts w:ascii="Times New Roman" w:hAnsi="Times New Roman" w:cs="Times New Roman"/>
          <w:i/>
          <w:sz w:val="20"/>
          <w:szCs w:val="20"/>
          <w:lang w:val="fr-BE"/>
        </w:rPr>
        <w:t>R.E.D.C.</w:t>
      </w:r>
      <w:r w:rsidRPr="00E333B6">
        <w:rPr>
          <w:rFonts w:ascii="Times New Roman" w:hAnsi="Times New Roman" w:cs="Times New Roman"/>
          <w:sz w:val="20"/>
          <w:szCs w:val="20"/>
          <w:lang w:val="fr-BE"/>
        </w:rPr>
        <w:t>, 2007-2008, 3, p. 417-424.</w:t>
      </w:r>
    </w:p>
  </w:footnote>
  <w:footnote w:id="1037">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Art. 10 Wet Patiëntenrechten; art. 456 tot art. 458 WGBO; art. 24 tot art. 26 Wcz; art. L. 1110-1 tot art. 1110-7 CSP, ingevoerd door art. 3 van wet nr. 2002-303 van 4 maart 2002; NOUWT, </w:t>
      </w:r>
      <w:r>
        <w:rPr>
          <w:rFonts w:ascii="Times New Roman" w:hAnsi="Times New Roman"/>
        </w:rPr>
        <w:t>S</w:t>
      </w:r>
      <w:r w:rsidRPr="007709A8">
        <w:rPr>
          <w:rFonts w:ascii="Times New Roman" w:hAnsi="Times New Roman"/>
        </w:rPr>
        <w:t xml:space="preserve">., ‘Privacy en medische informatie’, p. </w:t>
      </w:r>
      <w:r>
        <w:rPr>
          <w:rFonts w:ascii="Times New Roman" w:hAnsi="Times New Roman"/>
        </w:rPr>
        <w:t>171</w:t>
      </w:r>
      <w:r w:rsidRPr="007709A8">
        <w:rPr>
          <w:rFonts w:ascii="Times New Roman" w:hAnsi="Times New Roman"/>
        </w:rPr>
        <w:t>-</w:t>
      </w:r>
      <w:r>
        <w:rPr>
          <w:rFonts w:ascii="Times New Roman" w:hAnsi="Times New Roman"/>
        </w:rPr>
        <w:t>183;</w:t>
      </w:r>
      <w:r w:rsidRPr="009957B0">
        <w:rPr>
          <w:rFonts w:ascii="Times New Roman" w:hAnsi="Times New Roman"/>
        </w:rPr>
        <w:t xml:space="preserve"> </w:t>
      </w:r>
      <w:r>
        <w:rPr>
          <w:rFonts w:ascii="Times New Roman" w:hAnsi="Times New Roman"/>
        </w:rPr>
        <w:t xml:space="preserve">SAELENS, R.; DE HERT, P.; </w:t>
      </w:r>
      <w:r>
        <w:rPr>
          <w:rFonts w:ascii="Times New Roman" w:hAnsi="Times New Roman"/>
          <w:i/>
        </w:rPr>
        <w:t>De Wet Patiëntenrechten en de verwerking van gezond-heidsgegevens</w:t>
      </w:r>
      <w:r>
        <w:rPr>
          <w:rFonts w:ascii="Times New Roman" w:hAnsi="Times New Roman"/>
        </w:rPr>
        <w:t>, Brussel, Politeia, 2010, p. 128-129</w:t>
      </w:r>
      <w:r w:rsidRPr="007709A8">
        <w:rPr>
          <w:rFonts w:ascii="Times New Roman" w:hAnsi="Times New Roman"/>
        </w:rPr>
        <w:t>.</w:t>
      </w:r>
    </w:p>
  </w:footnote>
  <w:footnote w:id="1038">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Richtlijn 97/66/EG van het Europees Parlement en de Raad van 15 december 1997 betreffende de verwer</w:t>
      </w:r>
      <w:r>
        <w:rPr>
          <w:rFonts w:ascii="Times New Roman" w:hAnsi="Times New Roman"/>
        </w:rPr>
        <w:t>-</w:t>
      </w:r>
      <w:r w:rsidRPr="007709A8">
        <w:rPr>
          <w:rFonts w:ascii="Times New Roman" w:hAnsi="Times New Roman"/>
        </w:rPr>
        <w:t>king van persoonsgegevens en de bescherming van de persoonlijke levenssfeer in de telecommunicatiesector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L.</w:t>
      </w:r>
      <w:r w:rsidRPr="007709A8">
        <w:rPr>
          <w:rFonts w:ascii="Times New Roman" w:hAnsi="Times New Roman"/>
        </w:rPr>
        <w:t xml:space="preserve"> 24, 30 januari 1998) (</w:t>
      </w:r>
      <w:hyperlink r:id="rId188" w:history="1">
        <w:r w:rsidRPr="00EA26DD">
          <w:rPr>
            <w:rStyle w:val="Hyperlink"/>
            <w:rFonts w:ascii="Times New Roman" w:hAnsi="Times New Roman"/>
          </w:rPr>
          <w:t>http://eur-lex.europa.eu/LexUriServ/LexUriServ.do?uri =CELEX:31997L0066: NL:HTML</w:t>
        </w:r>
      </w:hyperlink>
      <w:r w:rsidRPr="007709A8">
        <w:rPr>
          <w:rFonts w:ascii="Times New Roman" w:hAnsi="Times New Roman"/>
        </w:rPr>
        <w:t>).</w:t>
      </w:r>
    </w:p>
  </w:footnote>
  <w:footnote w:id="1039">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Het telecompakket bestaat uit vijf richtlijnen en bieden een regelgevend kader voor de elektronische commu</w:t>
      </w:r>
      <w:r>
        <w:rPr>
          <w:rFonts w:ascii="Times New Roman" w:hAnsi="Times New Roman" w:cs="Times New Roman"/>
          <w:sz w:val="20"/>
          <w:szCs w:val="20"/>
        </w:rPr>
        <w:t>-</w:t>
      </w:r>
      <w:r w:rsidRPr="007709A8">
        <w:rPr>
          <w:rFonts w:ascii="Times New Roman" w:hAnsi="Times New Roman" w:cs="Times New Roman"/>
          <w:sz w:val="20"/>
          <w:szCs w:val="20"/>
        </w:rPr>
        <w:t>nicatiesector. Richtlijn 2002/19/EG van het Europees Parlement en de Raad van 7 maart 2002 inzake de toegang</w:t>
      </w:r>
      <w:r>
        <w:rPr>
          <w:rFonts w:ascii="Times New Roman" w:hAnsi="Times New Roman" w:cs="Times New Roman"/>
          <w:sz w:val="20"/>
          <w:szCs w:val="20"/>
        </w:rPr>
        <w:t xml:space="preserve"> </w:t>
      </w:r>
      <w:r w:rsidRPr="007709A8">
        <w:rPr>
          <w:rFonts w:ascii="Times New Roman" w:hAnsi="Times New Roman" w:cs="Times New Roman"/>
          <w:sz w:val="20"/>
          <w:szCs w:val="20"/>
        </w:rPr>
        <w:t xml:space="preserve">tot en </w:t>
      </w:r>
      <w:r>
        <w:rPr>
          <w:rFonts w:ascii="Times New Roman" w:hAnsi="Times New Roman" w:cs="Times New Roman"/>
          <w:sz w:val="20"/>
          <w:szCs w:val="20"/>
        </w:rPr>
        <w:t>onderlinge verbinding</w:t>
      </w:r>
      <w:r w:rsidRPr="007709A8">
        <w:rPr>
          <w:rFonts w:ascii="Times New Roman" w:hAnsi="Times New Roman" w:cs="Times New Roman"/>
          <w:sz w:val="20"/>
          <w:szCs w:val="20"/>
        </w:rPr>
        <w:t xml:space="preserve"> van elektronische-communicatienetwerken en bijbehorende faciliteiten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108, 24 april 2002); richtlijn 2002/20/EG van het Europees Parlement en de Raad van 7 maart 2002 betreffende de machtiging voor elektronische-communicatienetwerken en -diensten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108, 24 april 2002); richtlijn 2002/21/EG van het Europees Parlement en de Raad van 7 maart 2002 inzake een gemeenschappelijk regelge</w:t>
      </w:r>
      <w:r>
        <w:rPr>
          <w:rFonts w:ascii="Times New Roman" w:hAnsi="Times New Roman" w:cs="Times New Roman"/>
          <w:sz w:val="20"/>
          <w:szCs w:val="20"/>
        </w:rPr>
        <w:t>-</w:t>
      </w:r>
      <w:r w:rsidRPr="007709A8">
        <w:rPr>
          <w:rFonts w:ascii="Times New Roman" w:hAnsi="Times New Roman" w:cs="Times New Roman"/>
          <w:sz w:val="20"/>
          <w:szCs w:val="20"/>
        </w:rPr>
        <w:t>vingskader voor elektronische-communicatienetwerken en -diensten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108, 24 april 2002); richtlijn 2002/22/EG van het Europees Parlement en de Raad van 7 maart 2002 inzake de universele dienst en gebrui</w:t>
      </w:r>
      <w:r>
        <w:rPr>
          <w:rFonts w:ascii="Times New Roman" w:hAnsi="Times New Roman" w:cs="Times New Roman"/>
          <w:sz w:val="20"/>
          <w:szCs w:val="20"/>
        </w:rPr>
        <w:t>-</w:t>
      </w:r>
      <w:r w:rsidRPr="007709A8">
        <w:rPr>
          <w:rFonts w:ascii="Times New Roman" w:hAnsi="Times New Roman" w:cs="Times New Roman"/>
          <w:sz w:val="20"/>
          <w:szCs w:val="20"/>
        </w:rPr>
        <w:t>kersrechten met betrekking tot elektronische-communicatienetwerken en -diensten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108, 24 april 2002); en richtlijn 2002/58/EG van het Europees Parlement en de Raad van 12 juli 2002 betreffende de verwer</w:t>
      </w:r>
      <w:r>
        <w:rPr>
          <w:rFonts w:ascii="Times New Roman" w:hAnsi="Times New Roman" w:cs="Times New Roman"/>
          <w:sz w:val="20"/>
          <w:szCs w:val="20"/>
        </w:rPr>
        <w:t>-</w:t>
      </w:r>
      <w:r w:rsidRPr="007709A8">
        <w:rPr>
          <w:rFonts w:ascii="Times New Roman" w:hAnsi="Times New Roman" w:cs="Times New Roman"/>
          <w:sz w:val="20"/>
          <w:szCs w:val="20"/>
        </w:rPr>
        <w:t>king van persoonsgegevens en de bescherming van de persoonlijke levenssfeer in de sector elektronische com</w:t>
      </w:r>
      <w:r>
        <w:rPr>
          <w:rFonts w:ascii="Times New Roman" w:hAnsi="Times New Roman" w:cs="Times New Roman"/>
          <w:sz w:val="20"/>
          <w:szCs w:val="20"/>
        </w:rPr>
        <w:t>-</w:t>
      </w:r>
      <w:r w:rsidRPr="007709A8">
        <w:rPr>
          <w:rFonts w:ascii="Times New Roman" w:hAnsi="Times New Roman" w:cs="Times New Roman"/>
          <w:sz w:val="20"/>
          <w:szCs w:val="20"/>
        </w:rPr>
        <w:t>municatie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201, 31 juli 2002), gewijzigd door richtlijn 2006/24/EG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105, 13 april 2006); PLOEM, M.C., </w:t>
      </w:r>
      <w:r w:rsidRPr="007709A8">
        <w:rPr>
          <w:rFonts w:ascii="Times New Roman" w:hAnsi="Times New Roman" w:cs="Times New Roman"/>
          <w:i/>
          <w:sz w:val="20"/>
          <w:szCs w:val="20"/>
        </w:rPr>
        <w:t xml:space="preserve">Tussen privacy en wetenschapsvrijheid. </w:t>
      </w:r>
      <w:r w:rsidRPr="007709A8">
        <w:rPr>
          <w:rFonts w:ascii="Times New Roman" w:hAnsi="Times New Roman" w:cs="Times New Roman"/>
          <w:sz w:val="20"/>
          <w:szCs w:val="20"/>
        </w:rPr>
        <w:t>p. 66-67 en p. 121-122.</w:t>
      </w:r>
    </w:p>
  </w:footnote>
  <w:footnote w:id="1040">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Kaderbesluit 2008/977/JBZ van de Raad van 27 november 2008 over de bescherming van persoonsgegevens die worden verwerkt in het kader van de politiële en justitiële samenwerking in strafzaken (</w:t>
      </w:r>
      <w:r w:rsidRPr="007709A8">
        <w:rPr>
          <w:rFonts w:ascii="Times New Roman" w:hAnsi="Times New Roman" w:cs="Times New Roman"/>
          <w:i/>
          <w:sz w:val="20"/>
          <w:szCs w:val="20"/>
        </w:rPr>
        <w:t>Pb.</w:t>
      </w:r>
      <w:r>
        <w:rPr>
          <w:rFonts w:ascii="Times New Roman" w:hAnsi="Times New Roman" w:cs="Times New Roman"/>
          <w:i/>
          <w:sz w:val="20"/>
          <w:szCs w:val="20"/>
        </w:rPr>
        <w:t xml:space="preserve">EG </w:t>
      </w:r>
      <w:r w:rsidRPr="007709A8">
        <w:rPr>
          <w:rFonts w:ascii="Times New Roman" w:hAnsi="Times New Roman" w:cs="Times New Roman"/>
          <w:i/>
          <w:sz w:val="20"/>
          <w:szCs w:val="20"/>
        </w:rPr>
        <w:t>L.</w:t>
      </w:r>
      <w:r w:rsidRPr="007709A8">
        <w:rPr>
          <w:rFonts w:ascii="Times New Roman" w:hAnsi="Times New Roman" w:cs="Times New Roman"/>
          <w:sz w:val="20"/>
          <w:szCs w:val="20"/>
        </w:rPr>
        <w:t xml:space="preserve"> 350, 30 de</w:t>
      </w:r>
      <w:r>
        <w:rPr>
          <w:rFonts w:ascii="Times New Roman" w:hAnsi="Times New Roman" w:cs="Times New Roman"/>
          <w:sz w:val="20"/>
          <w:szCs w:val="20"/>
        </w:rPr>
        <w:t>-</w:t>
      </w:r>
      <w:r w:rsidRPr="007709A8">
        <w:rPr>
          <w:rFonts w:ascii="Times New Roman" w:hAnsi="Times New Roman" w:cs="Times New Roman"/>
          <w:sz w:val="20"/>
          <w:szCs w:val="20"/>
        </w:rPr>
        <w:t xml:space="preserve">cember 2008), p. 60; KRANENBORG; VERHEY; </w:t>
      </w:r>
      <w:r w:rsidRPr="007709A8">
        <w:rPr>
          <w:rFonts w:ascii="Times New Roman" w:hAnsi="Times New Roman" w:cs="Times New Roman"/>
          <w:i/>
          <w:sz w:val="20"/>
          <w:szCs w:val="20"/>
        </w:rPr>
        <w:t>Wet bescherming persoonsgegevens in Europees perspectief</w:t>
      </w:r>
      <w:r w:rsidRPr="007709A8">
        <w:rPr>
          <w:rFonts w:ascii="Times New Roman" w:hAnsi="Times New Roman" w:cs="Times New Roman"/>
          <w:sz w:val="20"/>
          <w:szCs w:val="20"/>
        </w:rPr>
        <w:t>, p. 47-52.</w:t>
      </w:r>
    </w:p>
  </w:footnote>
  <w:footnote w:id="1041">
    <w:p w:rsidR="00E82D16" w:rsidRPr="00E333B6" w:rsidRDefault="00E82D16" w:rsidP="000F560E">
      <w:pPr>
        <w:pStyle w:val="Voetnoottekst"/>
        <w:jc w:val="both"/>
        <w:rPr>
          <w:rFonts w:ascii="Times New Roman" w:hAnsi="Times New Roman"/>
          <w:lang w:val="fr-BE"/>
        </w:rPr>
      </w:pPr>
      <w:r w:rsidRPr="007709A8">
        <w:rPr>
          <w:rStyle w:val="Voetnootmarkering"/>
          <w:rFonts w:ascii="Times New Roman" w:hAnsi="Times New Roman"/>
        </w:rPr>
        <w:footnoteRef/>
      </w:r>
      <w:r w:rsidRPr="007709A8">
        <w:rPr>
          <w:rFonts w:ascii="Times New Roman" w:hAnsi="Times New Roman"/>
        </w:rPr>
        <w:t xml:space="preserve"> Zie onder meer: Het programma van Stockholm. Een open en veilig Europa ten dienste e</w:t>
      </w:r>
      <w:r>
        <w:rPr>
          <w:rFonts w:ascii="Times New Roman" w:hAnsi="Times New Roman"/>
        </w:rPr>
        <w:t>n ter bescherming van de burger</w:t>
      </w:r>
      <w:r w:rsidRPr="007709A8">
        <w:rPr>
          <w:rFonts w:ascii="Times New Roman" w:hAnsi="Times New Roman"/>
        </w:rPr>
        <w:t xml:space="preserve">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C.</w:t>
      </w:r>
      <w:r w:rsidRPr="007709A8">
        <w:rPr>
          <w:rFonts w:ascii="Times New Roman" w:hAnsi="Times New Roman"/>
        </w:rPr>
        <w:t xml:space="preserve"> 115, 4 mei 2010); Een ruimte van vrijheid, veiligheid en recht voor de burgers van Eu</w:t>
      </w:r>
      <w:r>
        <w:rPr>
          <w:rFonts w:ascii="Times New Roman" w:hAnsi="Times New Roman"/>
        </w:rPr>
        <w:t>-</w:t>
      </w:r>
      <w:r w:rsidRPr="007709A8">
        <w:rPr>
          <w:rFonts w:ascii="Times New Roman" w:hAnsi="Times New Roman"/>
        </w:rPr>
        <w:t>ropa. Actieplan ter uitvoering van programma van Stockholm, COM(2010)171 def.; Een digitale agenda voor Europa, COM(2010)245 def.; Europa 2020. Een strategie voor slimme, duurzame en inclusieve groei, COM(2010)2020 def.; Een integrale aanpak van de bescherming van persoonsgegevens in de Europese Unie, COM(2010)609 (</w:t>
      </w:r>
      <w:r w:rsidRPr="007709A8">
        <w:rPr>
          <w:rFonts w:ascii="Times New Roman" w:hAnsi="Times New Roman"/>
          <w:i/>
        </w:rPr>
        <w:t>Pb.</w:t>
      </w:r>
      <w:r>
        <w:rPr>
          <w:rFonts w:ascii="Times New Roman" w:hAnsi="Times New Roman"/>
          <w:i/>
        </w:rPr>
        <w:t xml:space="preserve">EG </w:t>
      </w:r>
      <w:r w:rsidRPr="007709A8">
        <w:rPr>
          <w:rFonts w:ascii="Times New Roman" w:hAnsi="Times New Roman"/>
          <w:i/>
        </w:rPr>
        <w:t>C.</w:t>
      </w:r>
      <w:r w:rsidRPr="007709A8">
        <w:rPr>
          <w:rFonts w:ascii="Times New Roman" w:hAnsi="Times New Roman"/>
        </w:rPr>
        <w:t xml:space="preserve"> 248, 25 augustus 2011); Privacywaarborging in het online tijdperk. </w:t>
      </w:r>
      <w:r w:rsidRPr="00E333B6">
        <w:rPr>
          <w:rFonts w:ascii="Times New Roman" w:hAnsi="Times New Roman"/>
          <w:lang w:val="fr-BE"/>
        </w:rPr>
        <w:t>Een Europees ge</w:t>
      </w:r>
      <w:r>
        <w:rPr>
          <w:rFonts w:ascii="Times New Roman" w:hAnsi="Times New Roman"/>
          <w:lang w:val="fr-BE"/>
        </w:rPr>
        <w:t>-</w:t>
      </w:r>
      <w:r w:rsidRPr="00E333B6">
        <w:rPr>
          <w:rFonts w:ascii="Times New Roman" w:hAnsi="Times New Roman"/>
          <w:lang w:val="fr-BE"/>
        </w:rPr>
        <w:t>gevensbeschermingskader voor de 21</w:t>
      </w:r>
      <w:r w:rsidRPr="00E333B6">
        <w:rPr>
          <w:rFonts w:ascii="Times New Roman" w:hAnsi="Times New Roman"/>
          <w:vertAlign w:val="superscript"/>
          <w:lang w:val="fr-BE"/>
        </w:rPr>
        <w:t>e</w:t>
      </w:r>
      <w:r w:rsidRPr="00E333B6">
        <w:rPr>
          <w:rFonts w:ascii="Times New Roman" w:hAnsi="Times New Roman"/>
          <w:lang w:val="fr-BE"/>
        </w:rPr>
        <w:t xml:space="preserve"> eeuw, COM(2012)9 def.</w:t>
      </w:r>
    </w:p>
  </w:footnote>
  <w:footnote w:id="1042">
    <w:p w:rsidR="00E82D16" w:rsidRPr="00E333B6" w:rsidRDefault="00E82D16" w:rsidP="000F560E">
      <w:pPr>
        <w:pStyle w:val="Geenafstand"/>
        <w:jc w:val="both"/>
        <w:rPr>
          <w:rFonts w:ascii="Times New Roman" w:hAnsi="Times New Roman" w:cs="Times New Roman"/>
          <w:sz w:val="20"/>
          <w:szCs w:val="20"/>
          <w:lang w:val="fr-BE"/>
        </w:rPr>
      </w:pPr>
      <w:r w:rsidRPr="007709A8">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DEBET, A., ‘Informatique et libertés: faut-il aujourd’hui reviser la directive 95/46/CE relative à la protection des données personnelles?’, </w:t>
      </w:r>
      <w:r w:rsidRPr="00E333B6">
        <w:rPr>
          <w:rFonts w:ascii="Times New Roman" w:hAnsi="Times New Roman" w:cs="Times New Roman"/>
          <w:i/>
          <w:sz w:val="20"/>
          <w:szCs w:val="20"/>
          <w:lang w:val="fr-BE"/>
        </w:rPr>
        <w:t>Recueil Dalloz</w:t>
      </w:r>
      <w:r w:rsidRPr="00E333B6">
        <w:rPr>
          <w:rFonts w:ascii="Times New Roman" w:hAnsi="Times New Roman" w:cs="Times New Roman"/>
          <w:sz w:val="20"/>
          <w:szCs w:val="20"/>
          <w:lang w:val="fr-BE"/>
        </w:rPr>
        <w:t>, 187/15 (2011), p. 1034-1039; DE HERT, P.; PAPAKONSTANTI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NOU, V.; ‘The proposed data protection Regulation replacing Directive 95/46/EC: A sound system for the pro</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tection of individuals’, </w:t>
      </w:r>
      <w:r w:rsidRPr="00E333B6">
        <w:rPr>
          <w:rFonts w:ascii="Times New Roman" w:hAnsi="Times New Roman" w:cs="Times New Roman"/>
          <w:i/>
          <w:sz w:val="20"/>
          <w:szCs w:val="20"/>
          <w:lang w:val="fr-BE"/>
        </w:rPr>
        <w:t>C.L.S.R.</w:t>
      </w:r>
      <w:r w:rsidRPr="00E333B6">
        <w:rPr>
          <w:rFonts w:ascii="Times New Roman" w:hAnsi="Times New Roman" w:cs="Times New Roman"/>
          <w:sz w:val="20"/>
          <w:szCs w:val="20"/>
          <w:lang w:val="fr-BE"/>
        </w:rPr>
        <w:t>, 28/2 (2012), p. 130-142</w:t>
      </w:r>
    </w:p>
  </w:footnote>
  <w:footnote w:id="1043">
    <w:p w:rsidR="00E82D16" w:rsidRPr="007709A8" w:rsidRDefault="00E82D16" w:rsidP="000F560E">
      <w:pPr>
        <w:pStyle w:val="Geenafstand"/>
        <w:jc w:val="both"/>
        <w:rPr>
          <w:rFonts w:ascii="Times New Roman" w:hAnsi="Times New Roman" w:cs="Times New Roman"/>
          <w:sz w:val="20"/>
          <w:szCs w:val="20"/>
        </w:rPr>
      </w:pPr>
      <w:r w:rsidRPr="007709A8">
        <w:rPr>
          <w:rStyle w:val="Voetnootmarkering"/>
          <w:rFonts w:ascii="Times New Roman" w:hAnsi="Times New Roman" w:cs="Times New Roman"/>
          <w:sz w:val="20"/>
          <w:szCs w:val="20"/>
        </w:rPr>
        <w:footnoteRef/>
      </w:r>
      <w:r w:rsidRPr="007709A8">
        <w:rPr>
          <w:rFonts w:ascii="Times New Roman" w:hAnsi="Times New Roman" w:cs="Times New Roman"/>
          <w:sz w:val="20"/>
          <w:szCs w:val="20"/>
        </w:rPr>
        <w:t xml:space="preserve"> Voorstel voor een richtlijn van het Europees Parlement en de Raad betreffende de bescherming van natuur</w:t>
      </w:r>
      <w:r>
        <w:rPr>
          <w:rFonts w:ascii="Times New Roman" w:hAnsi="Times New Roman" w:cs="Times New Roman"/>
          <w:sz w:val="20"/>
          <w:szCs w:val="20"/>
        </w:rPr>
        <w:t>-</w:t>
      </w:r>
      <w:r w:rsidRPr="007709A8">
        <w:rPr>
          <w:rFonts w:ascii="Times New Roman" w:hAnsi="Times New Roman" w:cs="Times New Roman"/>
          <w:sz w:val="20"/>
          <w:szCs w:val="20"/>
        </w:rPr>
        <w:t>lijke personen in verband met de verwerking van persoonsgegevens door bevoegde autoriteiten met het oog op voorkoming, het onderzoek, de opsporing en de vervolging van strafbare feiten of de tenuitvoerlegging van straf</w:t>
      </w:r>
      <w:r>
        <w:rPr>
          <w:rFonts w:ascii="Times New Roman" w:hAnsi="Times New Roman" w:cs="Times New Roman"/>
          <w:sz w:val="20"/>
          <w:szCs w:val="20"/>
        </w:rPr>
        <w:t>-</w:t>
      </w:r>
      <w:r w:rsidRPr="007709A8">
        <w:rPr>
          <w:rFonts w:ascii="Times New Roman" w:hAnsi="Times New Roman" w:cs="Times New Roman"/>
          <w:sz w:val="20"/>
          <w:szCs w:val="20"/>
        </w:rPr>
        <w:t>fen, en betreffende het vrije verkeer van die gegevens, COM(2012)10 def.</w:t>
      </w:r>
    </w:p>
  </w:footnote>
  <w:footnote w:id="1044">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7709A8">
        <w:rPr>
          <w:rFonts w:ascii="Times New Roman" w:hAnsi="Times New Roman"/>
        </w:rPr>
        <w:t xml:space="preserve"> Voorstel voor een verordening van het Europees Parlement en de Raad betreffende de bescherming van na</w:t>
      </w:r>
      <w:r>
        <w:rPr>
          <w:rFonts w:ascii="Times New Roman" w:hAnsi="Times New Roman"/>
        </w:rPr>
        <w:t>-</w:t>
      </w:r>
      <w:r w:rsidRPr="007709A8">
        <w:rPr>
          <w:rFonts w:ascii="Times New Roman" w:hAnsi="Times New Roman"/>
        </w:rPr>
        <w:t>tuurlijke personen in verband met de verwerking van persoonsgegevens en betreffende het vrije verkeer van die gegevens (Algemene Verordening Gegevensbescherming), COM(2012)11</w:t>
      </w:r>
      <w:r>
        <w:rPr>
          <w:rFonts w:ascii="Times New Roman" w:hAnsi="Times New Roman"/>
        </w:rPr>
        <w:t>.</w:t>
      </w:r>
    </w:p>
  </w:footnote>
  <w:footnote w:id="1045">
    <w:p w:rsidR="00E82D16" w:rsidRPr="007709A8" w:rsidRDefault="00E82D16" w:rsidP="000F560E">
      <w:pPr>
        <w:pStyle w:val="Voetnoottekst"/>
        <w:jc w:val="both"/>
        <w:rPr>
          <w:rFonts w:ascii="Times New Roman" w:hAnsi="Times New Roman"/>
        </w:rPr>
      </w:pPr>
      <w:r w:rsidRPr="007709A8">
        <w:rPr>
          <w:rStyle w:val="Voetnootmarkering"/>
          <w:rFonts w:ascii="Times New Roman" w:hAnsi="Times New Roman"/>
        </w:rPr>
        <w:footnoteRef/>
      </w:r>
      <w:r w:rsidRPr="00D147A7">
        <w:rPr>
          <w:rFonts w:ascii="Times New Roman" w:hAnsi="Times New Roman"/>
          <w:lang w:val="en-US"/>
        </w:rPr>
        <w:t xml:space="preserve"> ARAMAZANI, A., ‘Le droit à l’oubli’, </w:t>
      </w:r>
      <w:r w:rsidRPr="00D147A7">
        <w:rPr>
          <w:rFonts w:ascii="Times New Roman" w:hAnsi="Times New Roman"/>
          <w:i/>
          <w:lang w:val="en-US"/>
        </w:rPr>
        <w:t>R.D.T.I.</w:t>
      </w:r>
      <w:r w:rsidRPr="00D147A7">
        <w:rPr>
          <w:rFonts w:ascii="Times New Roman" w:hAnsi="Times New Roman"/>
          <w:lang w:val="en-US"/>
        </w:rPr>
        <w:t>, 43 (2011), p. 34-49; AUSLOOS, J., ‘The Right to be For</w:t>
      </w:r>
      <w:r>
        <w:rPr>
          <w:rFonts w:ascii="Times New Roman" w:hAnsi="Times New Roman"/>
          <w:lang w:val="en-US"/>
        </w:rPr>
        <w:t>-</w:t>
      </w:r>
      <w:r w:rsidRPr="00D147A7">
        <w:rPr>
          <w:rFonts w:ascii="Times New Roman" w:hAnsi="Times New Roman"/>
          <w:lang w:val="en-US"/>
        </w:rPr>
        <w:t xml:space="preserve">gotten – Worth remembering?’, </w:t>
      </w:r>
      <w:r w:rsidRPr="00D147A7">
        <w:rPr>
          <w:rFonts w:ascii="Times New Roman" w:hAnsi="Times New Roman"/>
          <w:i/>
          <w:lang w:val="en-US"/>
        </w:rPr>
        <w:t>C.L.S.R.</w:t>
      </w:r>
      <w:r w:rsidRPr="00D147A7">
        <w:rPr>
          <w:rFonts w:ascii="Times New Roman" w:hAnsi="Times New Roman"/>
          <w:lang w:val="en-US"/>
        </w:rPr>
        <w:t xml:space="preserve">, 28/2 (2012), p. 143-152; BURUMA, Y., ‘Het recht op vergetelheid. </w:t>
      </w:r>
      <w:r w:rsidRPr="007709A8">
        <w:rPr>
          <w:rFonts w:ascii="Times New Roman" w:hAnsi="Times New Roman"/>
        </w:rPr>
        <w:t xml:space="preserve">Politiële en justitiële gegevens in een digitale wereld’, BROEDERS, D.; CUIJPERS, M.K.C.; PRINS, J.E.J. (reds.); </w:t>
      </w:r>
      <w:r w:rsidRPr="007709A8">
        <w:rPr>
          <w:rFonts w:ascii="Times New Roman" w:hAnsi="Times New Roman"/>
          <w:i/>
        </w:rPr>
        <w:t>De staat van informatie</w:t>
      </w:r>
      <w:r w:rsidRPr="007709A8">
        <w:rPr>
          <w:rFonts w:ascii="Times New Roman" w:hAnsi="Times New Roman"/>
        </w:rPr>
        <w:t xml:space="preserve">, Verkenningen van de Wetenschappelijke Raad voor het Regeringsbeleid, 25, Amsterdam, Amsterdam University Press, 2011, p. 165-218; DE CORDIER, T., ‘Gegevensbescherming: het wordt menens’, </w:t>
      </w:r>
      <w:r w:rsidRPr="007709A8">
        <w:rPr>
          <w:rFonts w:ascii="Times New Roman" w:hAnsi="Times New Roman"/>
          <w:i/>
        </w:rPr>
        <w:t>Datanews Knack</w:t>
      </w:r>
      <w:r w:rsidRPr="007709A8">
        <w:rPr>
          <w:rFonts w:ascii="Times New Roman" w:hAnsi="Times New Roman"/>
        </w:rPr>
        <w:t xml:space="preserve">, 30 januari 2012; FROCHOT, D., ‘Le droit à l’oubli numérique: nouvelle donne sur internet’, </w:t>
      </w:r>
      <w:r w:rsidRPr="007709A8">
        <w:rPr>
          <w:rFonts w:ascii="Times New Roman" w:hAnsi="Times New Roman"/>
          <w:i/>
        </w:rPr>
        <w:t>Archimag</w:t>
      </w:r>
      <w:r w:rsidRPr="007709A8">
        <w:rPr>
          <w:rFonts w:ascii="Times New Roman" w:hAnsi="Times New Roman"/>
        </w:rPr>
        <w:t xml:space="preserve">, 235 (2010), p. 42-43; HASSLER, T., ‘Droits de la personnalité: rediffusion et droit à l’oubli’, </w:t>
      </w:r>
      <w:r w:rsidRPr="007709A8">
        <w:rPr>
          <w:rFonts w:ascii="Times New Roman" w:hAnsi="Times New Roman"/>
          <w:i/>
        </w:rPr>
        <w:t>Recueil Dalloz</w:t>
      </w:r>
      <w:r w:rsidRPr="007709A8">
        <w:rPr>
          <w:rFonts w:ascii="Times New Roman" w:hAnsi="Times New Roman"/>
        </w:rPr>
        <w:t xml:space="preserve">, 183/40 (2007), p. 2829-2832; HERAIL, T., ‘Le droit à l’oubli comme éthique de l’archivage du dossier du patient informatisé’, </w:t>
      </w:r>
      <w:r w:rsidRPr="007709A8">
        <w:rPr>
          <w:rFonts w:ascii="Times New Roman" w:hAnsi="Times New Roman"/>
          <w:i/>
        </w:rPr>
        <w:t xml:space="preserve">Soins. </w:t>
      </w:r>
      <w:r w:rsidRPr="00E333B6">
        <w:rPr>
          <w:rFonts w:ascii="Times New Roman" w:hAnsi="Times New Roman"/>
          <w:i/>
          <w:lang w:val="fr-BE"/>
        </w:rPr>
        <w:t>Psychiatrie</w:t>
      </w:r>
      <w:r w:rsidRPr="00E333B6">
        <w:rPr>
          <w:rFonts w:ascii="Times New Roman" w:hAnsi="Times New Roman"/>
          <w:lang w:val="fr-BE"/>
        </w:rPr>
        <w:t xml:space="preserve">, 238 (2005), p. 31-33; LE CLAINCHE, J., ‘L’adaptation du ‘droit à l’oubli’ au contexte numérique’, </w:t>
      </w:r>
      <w:r w:rsidRPr="00E333B6">
        <w:rPr>
          <w:rFonts w:ascii="Times New Roman" w:hAnsi="Times New Roman"/>
          <w:i/>
          <w:lang w:val="fr-BE"/>
        </w:rPr>
        <w:t>R.E.D.C.</w:t>
      </w:r>
      <w:r w:rsidRPr="00E333B6">
        <w:rPr>
          <w:rFonts w:ascii="Times New Roman" w:hAnsi="Times New Roman"/>
          <w:lang w:val="fr-BE"/>
        </w:rPr>
        <w:t xml:space="preserve">, 2012, 1, p. 39-60; VEREECKEN, K., ‘Voor eeuwig en altijd. </w:t>
      </w:r>
      <w:r w:rsidRPr="007709A8">
        <w:rPr>
          <w:rFonts w:ascii="Times New Roman" w:hAnsi="Times New Roman"/>
        </w:rPr>
        <w:t xml:space="preserve">Privacy op het net: vergetelheid is een mensenrecht’, </w:t>
      </w:r>
      <w:r w:rsidRPr="007709A8">
        <w:rPr>
          <w:rFonts w:ascii="Times New Roman" w:hAnsi="Times New Roman"/>
          <w:i/>
        </w:rPr>
        <w:t>De Standaard</w:t>
      </w:r>
      <w:r w:rsidRPr="007709A8">
        <w:rPr>
          <w:rFonts w:ascii="Times New Roman" w:hAnsi="Times New Roman"/>
        </w:rPr>
        <w:t>, 14 augustus 2010.</w:t>
      </w:r>
    </w:p>
  </w:footnote>
  <w:footnote w:id="1046">
    <w:p w:rsidR="00E82D16" w:rsidRPr="00114A94" w:rsidRDefault="00E82D16" w:rsidP="000F560E">
      <w:pPr>
        <w:pStyle w:val="Geenafstand"/>
        <w:jc w:val="both"/>
        <w:rPr>
          <w:rFonts w:ascii="Times New Roman" w:hAnsi="Times New Roman" w:cs="Times New Roman"/>
          <w:sz w:val="20"/>
          <w:szCs w:val="20"/>
        </w:rPr>
      </w:pPr>
      <w:r w:rsidRPr="00114A94">
        <w:rPr>
          <w:rStyle w:val="Voetnootmarkering"/>
          <w:rFonts w:ascii="Times New Roman" w:hAnsi="Times New Roman" w:cs="Times New Roman"/>
          <w:sz w:val="20"/>
          <w:szCs w:val="20"/>
        </w:rPr>
        <w:footnoteRef/>
      </w:r>
      <w:r w:rsidRPr="00114A94">
        <w:rPr>
          <w:rFonts w:ascii="Times New Roman" w:hAnsi="Times New Roman" w:cs="Times New Roman"/>
          <w:sz w:val="20"/>
          <w:szCs w:val="20"/>
        </w:rPr>
        <w:t xml:space="preserve"> </w:t>
      </w:r>
      <w:hyperlink r:id="rId189" w:history="1">
        <w:r w:rsidRPr="00114A94">
          <w:rPr>
            <w:rStyle w:val="Hyperlink"/>
            <w:rFonts w:ascii="Times New Roman" w:hAnsi="Times New Roman" w:cs="Times New Roman"/>
            <w:sz w:val="20"/>
            <w:szCs w:val="20"/>
          </w:rPr>
          <w:t>http://www.europa-nu.nl/id/vhkejco8liwc/bescherming_van_persoonsgegevens_in_europa</w:t>
        </w:r>
      </w:hyperlink>
      <w:r w:rsidRPr="00114A94">
        <w:rPr>
          <w:rFonts w:ascii="Times New Roman" w:hAnsi="Times New Roman" w:cs="Times New Roman"/>
          <w:sz w:val="20"/>
          <w:szCs w:val="20"/>
        </w:rPr>
        <w:t>.</w:t>
      </w:r>
    </w:p>
  </w:footnote>
  <w:footnote w:id="1047">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BRIAT, M.; PITRAT, C.M.; ‘Urgent, concepts à clarifier: protection de la vie privée et données personnel</w:t>
      </w:r>
      <w:r>
        <w:rPr>
          <w:rFonts w:ascii="Times New Roman" w:hAnsi="Times New Roman"/>
        </w:rPr>
        <w:t>-</w:t>
      </w:r>
      <w:r w:rsidRPr="002360AB">
        <w:rPr>
          <w:rFonts w:ascii="Times New Roman" w:hAnsi="Times New Roman"/>
        </w:rPr>
        <w:t xml:space="preserve">les’, </w:t>
      </w:r>
      <w:r>
        <w:rPr>
          <w:rFonts w:ascii="Times New Roman" w:hAnsi="Times New Roman"/>
          <w:i/>
        </w:rPr>
        <w:t>D.I.T.</w:t>
      </w:r>
      <w:r w:rsidRPr="002360AB">
        <w:rPr>
          <w:rFonts w:ascii="Times New Roman" w:hAnsi="Times New Roman"/>
        </w:rPr>
        <w:t xml:space="preserve">, 1998, 3, p. 11-18; ROBBEN, F., ‘De gevolgen van de Wet Verwerking Persoonsgegevens voor de sector van de gezondheidszorg’, </w:t>
      </w:r>
      <w:r w:rsidRPr="002360AB">
        <w:rPr>
          <w:rFonts w:ascii="Times New Roman" w:hAnsi="Times New Roman"/>
          <w:i/>
        </w:rPr>
        <w:t>V.T.Gez.</w:t>
      </w:r>
      <w:r w:rsidRPr="002360AB">
        <w:rPr>
          <w:rFonts w:ascii="Times New Roman" w:hAnsi="Times New Roman"/>
        </w:rPr>
        <w:t xml:space="preserve">, 1994, p. 253; ID., ‘Toepassingsgebied en begripsdefinities’, </w:t>
      </w:r>
      <w:r w:rsidRPr="002360AB">
        <w:rPr>
          <w:rFonts w:ascii="Times New Roman" w:hAnsi="Times New Roman"/>
          <w:i/>
        </w:rPr>
        <w:t>Welke commissie voor welke persoonlijke levenssfeer? Juridische akten van de informatiedag van 3 mei 1993</w:t>
      </w:r>
      <w:r w:rsidRPr="002360AB">
        <w:rPr>
          <w:rFonts w:ascii="Times New Roman" w:hAnsi="Times New Roman"/>
        </w:rPr>
        <w:t xml:space="preserve">, Brussel, Commissie voor de bescherming van de persoonlijke levenssfeer, 1994, p. 10-12; VANDENDRIESSCHE, J., ‘De verwerking van persoonsgegevens voor historische, statistische en wetenschappelijke doeleinden’, </w:t>
      </w:r>
      <w:r w:rsidRPr="002360AB">
        <w:rPr>
          <w:rFonts w:ascii="Times New Roman" w:hAnsi="Times New Roman"/>
          <w:i/>
        </w:rPr>
        <w:t>T.B.B.R.</w:t>
      </w:r>
      <w:r w:rsidRPr="002360AB">
        <w:rPr>
          <w:rFonts w:ascii="Times New Roman" w:hAnsi="Times New Roman"/>
        </w:rPr>
        <w:t>, 2006, 9, p. 534.</w:t>
      </w:r>
    </w:p>
  </w:footnote>
  <w:footnote w:id="1048">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Art. </w:t>
      </w:r>
      <w:r>
        <w:rPr>
          <w:rFonts w:ascii="Times New Roman" w:hAnsi="Times New Roman"/>
        </w:rPr>
        <w:t xml:space="preserve">2, a van het Verdrag van Straatsburg; punten 28 en 29 van het verklarend rapport bij het Verdrag van Straatsburg; art. </w:t>
      </w:r>
      <w:r w:rsidRPr="002360AB">
        <w:rPr>
          <w:rFonts w:ascii="Times New Roman" w:hAnsi="Times New Roman"/>
        </w:rPr>
        <w:t xml:space="preserve">2, a Richtlijn 95/46/EG; </w:t>
      </w:r>
      <w:r>
        <w:rPr>
          <w:rFonts w:ascii="Times New Roman" w:hAnsi="Times New Roman"/>
        </w:rPr>
        <w:t>a</w:t>
      </w:r>
      <w:r w:rsidRPr="001F1933">
        <w:rPr>
          <w:rFonts w:ascii="Times New Roman" w:hAnsi="Times New Roman"/>
        </w:rPr>
        <w:t>anbeveling nr. R(99)5 van het Comité van Ministers aan de Lidstaten van 23 februari 1999 over de bescherming van privacy op internet</w:t>
      </w:r>
      <w:r>
        <w:rPr>
          <w:rFonts w:ascii="Times New Roman" w:hAnsi="Times New Roman"/>
        </w:rPr>
        <w:t xml:space="preserve">; overweging 26 en </w:t>
      </w:r>
      <w:r w:rsidRPr="002360AB">
        <w:rPr>
          <w:rFonts w:ascii="Times New Roman" w:hAnsi="Times New Roman"/>
        </w:rPr>
        <w:t xml:space="preserve">art. 1 § 1 Privacywet; art. 1, a Wbp; art. 2, tweede lid van wet nr. 78-17 van 6 januari 1978, gewijzigd door art. 1 van wet nr. 2004-801 van 6 augustus 2004; CALLENS, </w:t>
      </w:r>
      <w:r w:rsidRPr="002360AB">
        <w:rPr>
          <w:rFonts w:ascii="Times New Roman" w:hAnsi="Times New Roman"/>
          <w:i/>
        </w:rPr>
        <w:t>Goed geregeld?</w:t>
      </w:r>
      <w:r w:rsidRPr="002360AB">
        <w:rPr>
          <w:rFonts w:ascii="Times New Roman" w:hAnsi="Times New Roman"/>
        </w:rPr>
        <w:t xml:space="preserve">, p. 64; CONCE-CHEMTOB, M.C., ‘La protection des données de santé à caractère personnel’, </w:t>
      </w:r>
      <w:r>
        <w:rPr>
          <w:rFonts w:ascii="Times New Roman" w:hAnsi="Times New Roman"/>
          <w:i/>
        </w:rPr>
        <w:t>R.G.D.M.</w:t>
      </w:r>
      <w:r w:rsidRPr="002360AB">
        <w:rPr>
          <w:rFonts w:ascii="Times New Roman" w:hAnsi="Times New Roman"/>
        </w:rPr>
        <w:t xml:space="preserve">, 2003, 10, p. 111-126; DE BOT, D., </w:t>
      </w:r>
      <w:r w:rsidRPr="002360AB">
        <w:rPr>
          <w:rFonts w:ascii="Times New Roman" w:hAnsi="Times New Roman"/>
          <w:i/>
        </w:rPr>
        <w:t>Verwerking van persoonsgegevens</w:t>
      </w:r>
      <w:r w:rsidRPr="002360AB">
        <w:rPr>
          <w:rFonts w:ascii="Times New Roman" w:hAnsi="Times New Roman"/>
        </w:rPr>
        <w:t>, Recht en Praktijk, 30, Antwerpen, Kluw</w:t>
      </w:r>
      <w:r>
        <w:rPr>
          <w:rFonts w:ascii="Times New Roman" w:hAnsi="Times New Roman"/>
        </w:rPr>
        <w:t>er, 2001, p. 22-36 (nr. 27-40).</w:t>
      </w:r>
    </w:p>
  </w:footnote>
  <w:footnote w:id="1049">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DE BOT, </w:t>
      </w:r>
      <w:r w:rsidRPr="002360AB">
        <w:rPr>
          <w:rFonts w:ascii="Times New Roman" w:hAnsi="Times New Roman" w:cs="Times New Roman"/>
          <w:i/>
          <w:sz w:val="20"/>
          <w:szCs w:val="20"/>
        </w:rPr>
        <w:t>Verwerking van persoonsgegevens</w:t>
      </w:r>
      <w:r w:rsidRPr="002360AB">
        <w:rPr>
          <w:rFonts w:ascii="Times New Roman" w:hAnsi="Times New Roman" w:cs="Times New Roman"/>
          <w:sz w:val="20"/>
          <w:szCs w:val="20"/>
        </w:rPr>
        <w:t xml:space="preserve">, p. 28-29 (nr. 29); PIPERS, A., </w:t>
      </w:r>
      <w:r w:rsidRPr="002360AB">
        <w:rPr>
          <w:rFonts w:ascii="Times New Roman" w:hAnsi="Times New Roman" w:cs="Times New Roman"/>
          <w:i/>
          <w:sz w:val="20"/>
          <w:szCs w:val="20"/>
        </w:rPr>
        <w:t>Het respect voor privacy: uw rechten en plichten</w:t>
      </w:r>
      <w:r w:rsidRPr="002360AB">
        <w:rPr>
          <w:rFonts w:ascii="Times New Roman" w:hAnsi="Times New Roman" w:cs="Times New Roman"/>
          <w:sz w:val="20"/>
          <w:szCs w:val="20"/>
        </w:rPr>
        <w:t>, Brussel, Politeia, p. 28 (losbl.).</w:t>
      </w:r>
    </w:p>
  </w:footnote>
  <w:footnote w:id="1050">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DE BOT, p. 25 (nr. 29).</w:t>
      </w:r>
    </w:p>
  </w:footnote>
  <w:footnote w:id="1051">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HOOGHIEMSTRA, T..F.M.; NOUWT, S.;</w:t>
      </w:r>
      <w:r w:rsidRPr="002360AB">
        <w:rPr>
          <w:rFonts w:ascii="Times New Roman" w:hAnsi="Times New Roman"/>
          <w:i/>
        </w:rPr>
        <w:t xml:space="preserve"> Wet bescherming persoonsgegevens</w:t>
      </w:r>
      <w:r w:rsidRPr="002360AB">
        <w:rPr>
          <w:rFonts w:ascii="Times New Roman" w:hAnsi="Times New Roman"/>
        </w:rPr>
        <w:t xml:space="preserve">, </w:t>
      </w:r>
      <w:r w:rsidRPr="00577500">
        <w:rPr>
          <w:rFonts w:ascii="Times New Roman" w:hAnsi="Times New Roman"/>
        </w:rPr>
        <w:t>Tekst en toelichting</w:t>
      </w:r>
      <w:r>
        <w:rPr>
          <w:rFonts w:ascii="Times New Roman" w:hAnsi="Times New Roman"/>
        </w:rPr>
        <w:t>,</w:t>
      </w:r>
      <w:r w:rsidRPr="002360AB">
        <w:rPr>
          <w:rFonts w:ascii="Times New Roman" w:hAnsi="Times New Roman"/>
        </w:rPr>
        <w:t xml:space="preserve"> Den Haag, Sdu Uitgevers, 2007³, p. 34.</w:t>
      </w:r>
    </w:p>
  </w:footnote>
  <w:footnote w:id="1052">
    <w:p w:rsidR="00E82D16" w:rsidRPr="002360AB" w:rsidRDefault="00E82D16" w:rsidP="000F560E">
      <w:pPr>
        <w:pStyle w:val="Geenafstand"/>
        <w:jc w:val="both"/>
        <w:rPr>
          <w:rFonts w:ascii="Times New Roman" w:hAnsi="Times New Roman" w:cs="Times New Roman"/>
          <w:sz w:val="20"/>
          <w:szCs w:val="20"/>
          <w:lang w:val="en-US"/>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Voor België, zie: art. 331</w:t>
      </w:r>
      <w:r w:rsidRPr="002360AB">
        <w:rPr>
          <w:rFonts w:ascii="Times New Roman" w:hAnsi="Times New Roman" w:cs="Times New Roman"/>
          <w:i/>
          <w:sz w:val="20"/>
          <w:szCs w:val="20"/>
        </w:rPr>
        <w:t>bis</w:t>
      </w:r>
      <w:r w:rsidRPr="002360AB">
        <w:rPr>
          <w:rFonts w:ascii="Times New Roman" w:hAnsi="Times New Roman" w:cs="Times New Roman"/>
          <w:sz w:val="20"/>
          <w:szCs w:val="20"/>
        </w:rPr>
        <w:t xml:space="preserve">, art. 725 en art. 906 BW; SENAEVE, P., </w:t>
      </w:r>
      <w:r w:rsidRPr="002360AB">
        <w:rPr>
          <w:rFonts w:ascii="Times New Roman" w:hAnsi="Times New Roman" w:cs="Times New Roman"/>
          <w:i/>
          <w:sz w:val="20"/>
          <w:szCs w:val="20"/>
        </w:rPr>
        <w:t>Compendium van het Personen- en Familierecht</w:t>
      </w:r>
      <w:r w:rsidRPr="002360AB">
        <w:rPr>
          <w:rFonts w:ascii="Times New Roman" w:hAnsi="Times New Roman" w:cs="Times New Roman"/>
          <w:sz w:val="20"/>
          <w:szCs w:val="20"/>
        </w:rPr>
        <w:t>, I, Instituut voor Familierecht en Jeugdrecht KU Leuven, 73, Leuven-Den Haag, Acco, 2009</w:t>
      </w:r>
      <w:r w:rsidRPr="002360AB">
        <w:rPr>
          <w:rFonts w:ascii="Times New Roman" w:hAnsi="Times New Roman" w:cs="Times New Roman"/>
          <w:sz w:val="20"/>
          <w:szCs w:val="20"/>
          <w:vertAlign w:val="superscript"/>
        </w:rPr>
        <w:t>12</w:t>
      </w:r>
      <w:r w:rsidRPr="002360AB">
        <w:rPr>
          <w:rFonts w:ascii="Times New Roman" w:hAnsi="Times New Roman" w:cs="Times New Roman"/>
          <w:sz w:val="20"/>
          <w:szCs w:val="20"/>
        </w:rPr>
        <w:t xml:space="preserve">, p. 37; STEVENS, L., ‘Ongeborene heeft geen grondwettelijk recht op eerbiediging integriteit’, </w:t>
      </w:r>
      <w:r w:rsidRPr="002360AB">
        <w:rPr>
          <w:rFonts w:ascii="Times New Roman" w:hAnsi="Times New Roman" w:cs="Times New Roman"/>
          <w:i/>
          <w:sz w:val="20"/>
          <w:szCs w:val="20"/>
        </w:rPr>
        <w:t>Juristenkrant</w:t>
      </w:r>
      <w:r w:rsidRPr="002360AB">
        <w:rPr>
          <w:rFonts w:ascii="Times New Roman" w:hAnsi="Times New Roman" w:cs="Times New Roman"/>
          <w:sz w:val="20"/>
          <w:szCs w:val="20"/>
        </w:rPr>
        <w:t xml:space="preserve">, 237 (2011), p. 3. Voor Nederland, zie: art. 1:2 BW; VAN BEERS, B., ‘De mysterieuze status van het embryo’, </w:t>
      </w:r>
      <w:r w:rsidRPr="002360AB">
        <w:rPr>
          <w:rFonts w:ascii="Times New Roman" w:hAnsi="Times New Roman" w:cs="Times New Roman"/>
          <w:i/>
          <w:sz w:val="20"/>
          <w:szCs w:val="20"/>
        </w:rPr>
        <w:t>N.J.B.</w:t>
      </w:r>
      <w:r w:rsidRPr="002360AB">
        <w:rPr>
          <w:rFonts w:ascii="Times New Roman" w:hAnsi="Times New Roman" w:cs="Times New Roman"/>
          <w:sz w:val="20"/>
          <w:szCs w:val="20"/>
        </w:rPr>
        <w:t xml:space="preserve">, 2005, 13, p. 678-685; </w:t>
      </w:r>
      <w:r w:rsidRPr="00180828">
        <w:rPr>
          <w:rFonts w:ascii="Times New Roman" w:hAnsi="Times New Roman" w:cs="Times New Roman"/>
          <w:sz w:val="20"/>
          <w:szCs w:val="20"/>
        </w:rPr>
        <w:t xml:space="preserve">PITLO, A.; VAN DER BURGHT, G.; DOEK, J.E.; </w:t>
      </w:r>
      <w:r w:rsidRPr="00180828">
        <w:rPr>
          <w:rFonts w:ascii="Times New Roman" w:hAnsi="Times New Roman" w:cs="Times New Roman"/>
          <w:i/>
          <w:sz w:val="20"/>
          <w:szCs w:val="20"/>
        </w:rPr>
        <w:t>Het Nederlands Burgerlijk Wetboek, I: Personen- en familierecht</w:t>
      </w:r>
      <w:r w:rsidRPr="002360AB">
        <w:rPr>
          <w:rFonts w:ascii="Times New Roman" w:hAnsi="Times New Roman" w:cs="Times New Roman"/>
          <w:sz w:val="20"/>
          <w:szCs w:val="20"/>
        </w:rPr>
        <w:t>, Deventer, Kluwer, 2002</w:t>
      </w:r>
      <w:r w:rsidRPr="002360AB">
        <w:rPr>
          <w:rFonts w:ascii="Times New Roman" w:hAnsi="Times New Roman" w:cs="Times New Roman"/>
          <w:sz w:val="20"/>
          <w:szCs w:val="20"/>
          <w:vertAlign w:val="superscript"/>
        </w:rPr>
        <w:t>12</w:t>
      </w:r>
      <w:r w:rsidRPr="002360AB">
        <w:rPr>
          <w:rFonts w:ascii="Times New Roman" w:hAnsi="Times New Roman" w:cs="Times New Roman"/>
          <w:sz w:val="20"/>
          <w:szCs w:val="20"/>
        </w:rPr>
        <w:t xml:space="preserve">, p. 2. Voor Frankrijk, zie: art. 16, art. 318, art. 725 en art. 906 CC; BUFFELAN-LANORE, Y.; LARRIBAU-TERNEYRE, V.; </w:t>
      </w:r>
      <w:r w:rsidRPr="002360AB">
        <w:rPr>
          <w:rFonts w:ascii="Times New Roman" w:hAnsi="Times New Roman" w:cs="Times New Roman"/>
          <w:i/>
          <w:sz w:val="20"/>
          <w:szCs w:val="20"/>
        </w:rPr>
        <w:t xml:space="preserve">Droit Civil. </w:t>
      </w:r>
      <w:r w:rsidRPr="00E40390">
        <w:rPr>
          <w:rFonts w:ascii="Times New Roman" w:hAnsi="Times New Roman" w:cs="Times New Roman"/>
          <w:i/>
          <w:sz w:val="20"/>
          <w:szCs w:val="20"/>
        </w:rPr>
        <w:t>Introduction: Biens, Personnes, Famille</w:t>
      </w:r>
      <w:r w:rsidRPr="00E40390">
        <w:rPr>
          <w:rFonts w:ascii="Times New Roman" w:hAnsi="Times New Roman" w:cs="Times New Roman"/>
          <w:sz w:val="20"/>
          <w:szCs w:val="20"/>
        </w:rPr>
        <w:t>, Parijs, Dalloz, 2011</w:t>
      </w:r>
      <w:r w:rsidRPr="00E40390">
        <w:rPr>
          <w:rFonts w:ascii="Times New Roman" w:hAnsi="Times New Roman" w:cs="Times New Roman"/>
          <w:sz w:val="20"/>
          <w:szCs w:val="20"/>
          <w:vertAlign w:val="superscript"/>
        </w:rPr>
        <w:t>17</w:t>
      </w:r>
      <w:r w:rsidRPr="00E40390">
        <w:rPr>
          <w:rFonts w:ascii="Times New Roman" w:hAnsi="Times New Roman" w:cs="Times New Roman"/>
          <w:sz w:val="20"/>
          <w:szCs w:val="20"/>
        </w:rPr>
        <w:t xml:space="preserve">, p. 276 (nr. 739). </w:t>
      </w:r>
      <w:r w:rsidRPr="002360AB">
        <w:rPr>
          <w:rFonts w:ascii="Times New Roman" w:hAnsi="Times New Roman" w:cs="Times New Roman"/>
          <w:sz w:val="20"/>
          <w:szCs w:val="20"/>
          <w:lang w:val="en-US"/>
        </w:rPr>
        <w:t xml:space="preserve">Zie ook: OZSUNAY, E., ‘Rights of Embryo and Foetus in Private Law’, </w:t>
      </w:r>
      <w:r w:rsidRPr="002360AB">
        <w:rPr>
          <w:rFonts w:ascii="Times New Roman" w:hAnsi="Times New Roman" w:cs="Times New Roman"/>
          <w:i/>
          <w:sz w:val="20"/>
          <w:szCs w:val="20"/>
          <w:lang w:val="en-US"/>
        </w:rPr>
        <w:t>Convergence of Legal Systems in the 21</w:t>
      </w:r>
      <w:r w:rsidRPr="002360AB">
        <w:rPr>
          <w:rFonts w:ascii="Times New Roman" w:hAnsi="Times New Roman" w:cs="Times New Roman"/>
          <w:i/>
          <w:sz w:val="20"/>
          <w:szCs w:val="20"/>
          <w:vertAlign w:val="superscript"/>
          <w:lang w:val="en-US"/>
        </w:rPr>
        <w:t>st</w:t>
      </w:r>
      <w:r w:rsidRPr="002360AB">
        <w:rPr>
          <w:rFonts w:ascii="Times New Roman" w:hAnsi="Times New Roman" w:cs="Times New Roman"/>
          <w:i/>
          <w:sz w:val="20"/>
          <w:szCs w:val="20"/>
          <w:lang w:val="en-US"/>
        </w:rPr>
        <w:t xml:space="preserve"> Century</w:t>
      </w:r>
      <w:r w:rsidRPr="002360AB">
        <w:rPr>
          <w:rFonts w:ascii="Times New Roman" w:hAnsi="Times New Roman" w:cs="Times New Roman"/>
          <w:sz w:val="20"/>
          <w:szCs w:val="20"/>
          <w:lang w:val="en-US"/>
        </w:rPr>
        <w:t>, International Academy of Compara</w:t>
      </w:r>
      <w:r>
        <w:rPr>
          <w:rFonts w:ascii="Times New Roman" w:hAnsi="Times New Roman" w:cs="Times New Roman"/>
          <w:sz w:val="20"/>
          <w:szCs w:val="20"/>
          <w:lang w:val="en-US"/>
        </w:rPr>
        <w:t>-</w:t>
      </w:r>
      <w:r w:rsidRPr="002360AB">
        <w:rPr>
          <w:rFonts w:ascii="Times New Roman" w:hAnsi="Times New Roman" w:cs="Times New Roman"/>
          <w:sz w:val="20"/>
          <w:szCs w:val="20"/>
          <w:lang w:val="en-US"/>
        </w:rPr>
        <w:t>tive Law, 9, Brussel, Bruylant, 2006, p. 1275-1413.</w:t>
      </w:r>
    </w:p>
  </w:footnote>
  <w:footnote w:id="1053">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w:t>
      </w:r>
      <w:r w:rsidRPr="002360AB">
        <w:rPr>
          <w:rFonts w:ascii="Times New Roman" w:hAnsi="Times New Roman" w:cs="Times New Roman"/>
          <w:i/>
          <w:sz w:val="20"/>
          <w:szCs w:val="20"/>
        </w:rPr>
        <w:t>Zolang het kind niet geboren is, zegt men ten onrechte dat het een mens is.</w:t>
      </w:r>
      <w:r w:rsidRPr="002360AB">
        <w:rPr>
          <w:rFonts w:ascii="Times New Roman" w:hAnsi="Times New Roman" w:cs="Times New Roman"/>
          <w:sz w:val="20"/>
          <w:szCs w:val="20"/>
        </w:rPr>
        <w:t xml:space="preserve"> </w:t>
      </w:r>
      <w:r w:rsidRPr="00D147A7">
        <w:rPr>
          <w:rFonts w:ascii="Times New Roman" w:hAnsi="Times New Roman" w:cs="Times New Roman"/>
          <w:sz w:val="20"/>
          <w:szCs w:val="20"/>
          <w:lang w:val="en-US"/>
        </w:rPr>
        <w:t>Codex Justinianus, Corpus Iuris Civilis, Boek 35, 2: Ad legem Falcidiam, 9: Papianus libro 19 quaestionum, 1 (</w:t>
      </w:r>
      <w:hyperlink r:id="rId190" w:history="1">
        <w:r w:rsidRPr="00D147A7">
          <w:rPr>
            <w:rStyle w:val="Hyperlink"/>
            <w:rFonts w:ascii="Times New Roman" w:hAnsi="Times New Roman" w:cs="Times New Roman"/>
            <w:sz w:val="20"/>
            <w:szCs w:val="20"/>
            <w:lang w:val="en-US"/>
          </w:rPr>
          <w:t>http://web.upmf-grenoble.fr/ Haiti/Cours/Ak/</w:t>
        </w:r>
      </w:hyperlink>
      <w:r w:rsidRPr="00D147A7">
        <w:rPr>
          <w:rFonts w:ascii="Times New Roman" w:hAnsi="Times New Roman" w:cs="Times New Roman"/>
          <w:sz w:val="20"/>
          <w:szCs w:val="20"/>
          <w:lang w:val="en-US"/>
        </w:rPr>
        <w:t xml:space="preserve">, onder ‘12. </w:t>
      </w:r>
      <w:r w:rsidRPr="002360AB">
        <w:rPr>
          <w:rFonts w:ascii="Times New Roman" w:hAnsi="Times New Roman" w:cs="Times New Roman"/>
          <w:sz w:val="20"/>
          <w:szCs w:val="20"/>
        </w:rPr>
        <w:t>Corpus Iuris Civilis</w:t>
      </w:r>
      <w:r>
        <w:rPr>
          <w:rFonts w:ascii="Times New Roman" w:hAnsi="Times New Roman" w:cs="Times New Roman"/>
          <w:sz w:val="20"/>
          <w:szCs w:val="20"/>
        </w:rPr>
        <w:t>’,</w:t>
      </w:r>
      <w:r w:rsidRPr="002360AB">
        <w:rPr>
          <w:rFonts w:ascii="Times New Roman" w:hAnsi="Times New Roman" w:cs="Times New Roman"/>
          <w:sz w:val="20"/>
          <w:szCs w:val="20"/>
        </w:rPr>
        <w:t xml:space="preserve"> </w:t>
      </w:r>
      <w:r>
        <w:rPr>
          <w:rFonts w:ascii="Times New Roman" w:hAnsi="Times New Roman" w:cs="Times New Roman"/>
          <w:sz w:val="20"/>
          <w:szCs w:val="20"/>
        </w:rPr>
        <w:t>‘</w:t>
      </w:r>
      <w:r w:rsidRPr="002360AB">
        <w:rPr>
          <w:rFonts w:ascii="Times New Roman" w:hAnsi="Times New Roman" w:cs="Times New Roman"/>
          <w:sz w:val="20"/>
          <w:szCs w:val="20"/>
        </w:rPr>
        <w:t>Digesta</w:t>
      </w:r>
      <w:r>
        <w:rPr>
          <w:rFonts w:ascii="Times New Roman" w:hAnsi="Times New Roman" w:cs="Times New Roman"/>
          <w:sz w:val="20"/>
          <w:szCs w:val="20"/>
        </w:rPr>
        <w:t>’</w:t>
      </w:r>
      <w:r w:rsidRPr="002360AB">
        <w:rPr>
          <w:rFonts w:ascii="Times New Roman" w:hAnsi="Times New Roman" w:cs="Times New Roman"/>
          <w:sz w:val="20"/>
          <w:szCs w:val="20"/>
        </w:rPr>
        <w:t>).</w:t>
      </w:r>
    </w:p>
  </w:footnote>
  <w:footnote w:id="1054">
    <w:p w:rsidR="00E82D16" w:rsidRPr="00E333B6" w:rsidRDefault="00E82D16" w:rsidP="000F560E">
      <w:pPr>
        <w:pStyle w:val="Geenafstand"/>
        <w:jc w:val="both"/>
        <w:rPr>
          <w:rFonts w:ascii="Times New Roman" w:hAnsi="Times New Roman" w:cs="Times New Roman"/>
          <w:sz w:val="20"/>
          <w:szCs w:val="20"/>
          <w:lang w:val="fr-BE"/>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w:t>
      </w:r>
      <w:r w:rsidRPr="002360AB">
        <w:rPr>
          <w:rFonts w:ascii="Times New Roman" w:hAnsi="Times New Roman" w:cs="Times New Roman"/>
          <w:i/>
          <w:sz w:val="20"/>
          <w:szCs w:val="20"/>
        </w:rPr>
        <w:t>Voordat het kind geboren is, is het een deel van de vrouw of wel van haar ingewanden.</w:t>
      </w:r>
      <w:r w:rsidRPr="002360AB">
        <w:rPr>
          <w:rFonts w:ascii="Times New Roman" w:hAnsi="Times New Roman" w:cs="Times New Roman"/>
          <w:sz w:val="20"/>
          <w:szCs w:val="20"/>
        </w:rPr>
        <w:t xml:space="preserve"> </w:t>
      </w:r>
      <w:r w:rsidRPr="00E333B6">
        <w:rPr>
          <w:rFonts w:ascii="Times New Roman" w:hAnsi="Times New Roman" w:cs="Times New Roman"/>
          <w:sz w:val="20"/>
          <w:szCs w:val="20"/>
          <w:lang w:val="fr-BE"/>
        </w:rPr>
        <w:t xml:space="preserve">Codex Justinianus, Corpus Iuris Civilis, Liber 25, 4: De inspiciendo ventre custodiendoque partu – Ulpianus libro 24 (digesta), 1, 1. </w:t>
      </w:r>
    </w:p>
  </w:footnote>
  <w:footnote w:id="1055">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Art. 4.5 </w:t>
      </w:r>
      <w:r>
        <w:rPr>
          <w:rFonts w:ascii="Times New Roman" w:hAnsi="Times New Roman"/>
        </w:rPr>
        <w:t>en art. 4.6 van Aanbeveling nr. R(97)5</w:t>
      </w:r>
      <w:r w:rsidRPr="002360AB">
        <w:rPr>
          <w:rFonts w:ascii="Times New Roman" w:hAnsi="Times New Roman"/>
        </w:rPr>
        <w:t xml:space="preserve">; CALLENS, </w:t>
      </w:r>
      <w:r w:rsidRPr="002360AB">
        <w:rPr>
          <w:rFonts w:ascii="Times New Roman" w:hAnsi="Times New Roman"/>
          <w:i/>
        </w:rPr>
        <w:t>Goed geregeld?</w:t>
      </w:r>
      <w:r w:rsidRPr="002360AB">
        <w:rPr>
          <w:rFonts w:ascii="Times New Roman" w:hAnsi="Times New Roman"/>
        </w:rPr>
        <w:t xml:space="preserve">, p. 62 (nr. 59); THOLE, E.; VAN DER JAGT, F.; ROERDINK, H.; </w:t>
      </w:r>
      <w:r w:rsidRPr="002360AB">
        <w:rPr>
          <w:rFonts w:ascii="Times New Roman" w:hAnsi="Times New Roman"/>
          <w:i/>
        </w:rPr>
        <w:t>50 vragen over privacy</w:t>
      </w:r>
      <w:r w:rsidRPr="002360AB">
        <w:rPr>
          <w:rFonts w:ascii="Times New Roman" w:hAnsi="Times New Roman"/>
        </w:rPr>
        <w:t>, Deventer, Kluwer, 2010, p. 30.</w:t>
      </w:r>
    </w:p>
  </w:footnote>
  <w:footnote w:id="1056">
    <w:p w:rsidR="00E82D16" w:rsidRPr="002360AB" w:rsidRDefault="00E82D16" w:rsidP="000F560E">
      <w:pPr>
        <w:pStyle w:val="Geenafstand"/>
        <w:jc w:val="both"/>
        <w:rPr>
          <w:rFonts w:ascii="Times New Roman" w:hAnsi="Times New Roman" w:cs="Times New Roman"/>
          <w:sz w:val="20"/>
          <w:szCs w:val="20"/>
        </w:rPr>
      </w:pPr>
      <w:r w:rsidRPr="001F1933">
        <w:rPr>
          <w:rStyle w:val="Voetnootmarkering"/>
          <w:rFonts w:ascii="Times New Roman" w:hAnsi="Times New Roman" w:cs="Times New Roman"/>
        </w:rPr>
        <w:footnoteRef/>
      </w:r>
      <w:r w:rsidRPr="001F1933">
        <w:rPr>
          <w:rFonts w:ascii="Times New Roman" w:hAnsi="Times New Roman" w:cs="Times New Roman"/>
          <w:sz w:val="20"/>
          <w:szCs w:val="20"/>
        </w:rPr>
        <w:t xml:space="preserve"> Punt 45 van het verklarend rapport bij het Verdrag van Straatsburg; </w:t>
      </w:r>
      <w:r w:rsidRPr="001F1933">
        <w:rPr>
          <w:rFonts w:ascii="Times New Roman" w:hAnsi="Times New Roman" w:cs="Times New Roman"/>
          <w:i/>
          <w:sz w:val="20"/>
          <w:szCs w:val="20"/>
        </w:rPr>
        <w:t>Parl.St.</w:t>
      </w:r>
      <w:r w:rsidRPr="001F1933">
        <w:rPr>
          <w:rFonts w:ascii="Times New Roman" w:hAnsi="Times New Roman" w:cs="Times New Roman"/>
          <w:sz w:val="20"/>
          <w:szCs w:val="20"/>
        </w:rPr>
        <w:t xml:space="preserve"> Senaat, 1991-1992, nr. 445-2, p. </w:t>
      </w:r>
      <w:r w:rsidRPr="002360AB">
        <w:rPr>
          <w:rFonts w:ascii="Times New Roman" w:hAnsi="Times New Roman" w:cs="Times New Roman"/>
          <w:sz w:val="20"/>
          <w:szCs w:val="20"/>
        </w:rPr>
        <w:t xml:space="preserve">82-83; advies nr. 18/2000 van de CBPL van 15 juni 2000 aangaande het toegangsrecht tot medische gegevens van de overledene door nabestaanden, p. 4; CALLENS, </w:t>
      </w:r>
      <w:r w:rsidRPr="002360AB">
        <w:rPr>
          <w:rFonts w:ascii="Times New Roman" w:hAnsi="Times New Roman" w:cs="Times New Roman"/>
          <w:i/>
          <w:sz w:val="20"/>
          <w:szCs w:val="20"/>
        </w:rPr>
        <w:t>Goed geregeld?</w:t>
      </w:r>
      <w:r w:rsidRPr="002360AB">
        <w:rPr>
          <w:rFonts w:ascii="Times New Roman" w:hAnsi="Times New Roman" w:cs="Times New Roman"/>
          <w:sz w:val="20"/>
          <w:szCs w:val="20"/>
        </w:rPr>
        <w:t xml:space="preserve">, p. 76 (nr. 89); DE BOT, </w:t>
      </w:r>
      <w:r w:rsidRPr="002360AB">
        <w:rPr>
          <w:rFonts w:ascii="Times New Roman" w:hAnsi="Times New Roman" w:cs="Times New Roman"/>
          <w:i/>
          <w:sz w:val="20"/>
          <w:szCs w:val="20"/>
        </w:rPr>
        <w:t>Verwerking van persoonsgegevens</w:t>
      </w:r>
      <w:r w:rsidRPr="002360AB">
        <w:rPr>
          <w:rFonts w:ascii="Times New Roman" w:hAnsi="Times New Roman" w:cs="Times New Roman"/>
          <w:sz w:val="20"/>
          <w:szCs w:val="20"/>
        </w:rPr>
        <w:t xml:space="preserve">, p. 26-27 (nr. 30); HERVEG, J., ‘Une vie privée après la mort? </w:t>
      </w:r>
      <w:r w:rsidRPr="00E333B6">
        <w:rPr>
          <w:rFonts w:ascii="Times New Roman" w:hAnsi="Times New Roman" w:cs="Times New Roman"/>
          <w:sz w:val="20"/>
          <w:szCs w:val="20"/>
          <w:lang w:val="fr-BE"/>
        </w:rPr>
        <w:t>Le cas des données relati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ves au patient’, </w:t>
      </w:r>
      <w:r w:rsidRPr="00E333B6">
        <w:rPr>
          <w:rFonts w:ascii="Times New Roman" w:hAnsi="Times New Roman" w:cs="Times New Roman"/>
          <w:i/>
          <w:sz w:val="20"/>
          <w:szCs w:val="20"/>
          <w:lang w:val="fr-BE"/>
        </w:rPr>
        <w:t>J.T.</w:t>
      </w:r>
      <w:r w:rsidRPr="00E333B6">
        <w:rPr>
          <w:rFonts w:ascii="Times New Roman" w:hAnsi="Times New Roman" w:cs="Times New Roman"/>
          <w:sz w:val="20"/>
          <w:szCs w:val="20"/>
          <w:lang w:val="fr-BE"/>
        </w:rPr>
        <w:t>, 6189 (2005), p.  489-499; ID., ‘La protection des données du patient après son décès: une persistance du droit au respect de la vie privée?’, PEREZ ASINARI, M.; PALAZZI, P.;</w:t>
      </w:r>
      <w:r w:rsidRPr="00E333B6">
        <w:rPr>
          <w:rFonts w:ascii="Times New Roman" w:hAnsi="Times New Roman" w:cs="Times New Roman"/>
          <w:i/>
          <w:sz w:val="20"/>
          <w:szCs w:val="20"/>
          <w:lang w:val="fr-BE"/>
        </w:rPr>
        <w:t xml:space="preserve"> Défis du droit à la pro</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tection de la vie privée: perspectives du droit européen et nord-américain</w:t>
      </w:r>
      <w:r w:rsidRPr="00E333B6">
        <w:rPr>
          <w:rFonts w:ascii="Times New Roman" w:hAnsi="Times New Roman" w:cs="Times New Roman"/>
          <w:sz w:val="20"/>
          <w:szCs w:val="20"/>
          <w:lang w:val="fr-BE"/>
        </w:rPr>
        <w:t>, Cahiers du Centre de recherches in</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formatique et droit, 31, Brussel, Bruylant, 2008, p. 210-242. </w:t>
      </w:r>
      <w:r w:rsidRPr="002360AB">
        <w:rPr>
          <w:rFonts w:ascii="Times New Roman" w:hAnsi="Times New Roman" w:cs="Times New Roman"/>
          <w:sz w:val="20"/>
          <w:szCs w:val="20"/>
        </w:rPr>
        <w:t xml:space="preserve">Contra: HOOGHIEMSTRA; NOUWT; </w:t>
      </w:r>
      <w:r w:rsidRPr="002360AB">
        <w:rPr>
          <w:rFonts w:ascii="Times New Roman" w:hAnsi="Times New Roman" w:cs="Times New Roman"/>
          <w:i/>
          <w:sz w:val="20"/>
          <w:szCs w:val="20"/>
        </w:rPr>
        <w:t>Wet be</w:t>
      </w:r>
      <w:r>
        <w:rPr>
          <w:rFonts w:ascii="Times New Roman" w:hAnsi="Times New Roman" w:cs="Times New Roman"/>
          <w:i/>
          <w:sz w:val="20"/>
          <w:szCs w:val="20"/>
        </w:rPr>
        <w:t>-</w:t>
      </w:r>
      <w:r w:rsidRPr="002360AB">
        <w:rPr>
          <w:rFonts w:ascii="Times New Roman" w:hAnsi="Times New Roman" w:cs="Times New Roman"/>
          <w:i/>
          <w:sz w:val="20"/>
          <w:szCs w:val="20"/>
        </w:rPr>
        <w:t>scherming persoonsgegevens</w:t>
      </w:r>
      <w:r w:rsidRPr="002360AB">
        <w:rPr>
          <w:rFonts w:ascii="Times New Roman" w:hAnsi="Times New Roman" w:cs="Times New Roman"/>
          <w:sz w:val="20"/>
          <w:szCs w:val="20"/>
        </w:rPr>
        <w:t xml:space="preserve">, p. 36, p. 129 en p. 265; KETELAAR, E., ‘Elke handeling telt. Archiefdiensten en de Wet bescherming persoonsgegevens’, </w:t>
      </w:r>
      <w:r w:rsidRPr="002360AB">
        <w:rPr>
          <w:rFonts w:ascii="Times New Roman" w:hAnsi="Times New Roman" w:cs="Times New Roman"/>
          <w:i/>
          <w:sz w:val="20"/>
          <w:szCs w:val="20"/>
        </w:rPr>
        <w:t>Archievenblad</w:t>
      </w:r>
      <w:r w:rsidRPr="002360AB">
        <w:rPr>
          <w:rFonts w:ascii="Times New Roman" w:hAnsi="Times New Roman" w:cs="Times New Roman"/>
          <w:sz w:val="20"/>
          <w:szCs w:val="20"/>
        </w:rPr>
        <w:t xml:space="preserve">, 104/3 (2000), p. 18. </w:t>
      </w:r>
    </w:p>
  </w:footnote>
  <w:footnote w:id="1057">
    <w:p w:rsidR="00E82D16" w:rsidRPr="00E333B6" w:rsidRDefault="00E82D16" w:rsidP="000F560E">
      <w:pPr>
        <w:pStyle w:val="Voetnoottekst"/>
        <w:jc w:val="both"/>
        <w:rPr>
          <w:rFonts w:ascii="Times New Roman" w:hAnsi="Times New Roman"/>
          <w:lang w:val="fr-BE"/>
        </w:rPr>
      </w:pPr>
      <w:r w:rsidRPr="00180828">
        <w:rPr>
          <w:rStyle w:val="Voetnootmarkering"/>
          <w:rFonts w:ascii="Times New Roman" w:hAnsi="Times New Roman"/>
        </w:rPr>
        <w:footnoteRef/>
      </w:r>
      <w:r w:rsidRPr="00180828">
        <w:rPr>
          <w:rFonts w:ascii="Times New Roman" w:hAnsi="Times New Roman"/>
        </w:rPr>
        <w:t xml:space="preserve"> BLOK, P., ‘Is er privé-leven na de dood?’, </w:t>
      </w:r>
      <w:r w:rsidRPr="00180828">
        <w:rPr>
          <w:rFonts w:ascii="Times New Roman" w:hAnsi="Times New Roman"/>
          <w:i/>
        </w:rPr>
        <w:t>N.J.B.</w:t>
      </w:r>
      <w:r w:rsidRPr="00180828">
        <w:rPr>
          <w:rFonts w:ascii="Times New Roman" w:hAnsi="Times New Roman"/>
        </w:rPr>
        <w:t xml:space="preserve">, 2003, 6, p. 273-278; DE HERT, P., ‘Doden hebben (nog) geen privacy’, </w:t>
      </w:r>
      <w:r w:rsidRPr="00180828">
        <w:rPr>
          <w:rFonts w:ascii="Times New Roman" w:hAnsi="Times New Roman"/>
          <w:i/>
        </w:rPr>
        <w:t>Juristenkrant</w:t>
      </w:r>
      <w:r w:rsidRPr="00180828">
        <w:rPr>
          <w:rFonts w:ascii="Times New Roman" w:hAnsi="Times New Roman"/>
        </w:rPr>
        <w:t xml:space="preserve">, 18 (2000), p. 12-13; BUFFELAN-LANORE; LARRIBAU-TERNEYREV; </w:t>
      </w:r>
      <w:r w:rsidRPr="00180828">
        <w:rPr>
          <w:rFonts w:ascii="Times New Roman" w:hAnsi="Times New Roman"/>
          <w:i/>
        </w:rPr>
        <w:t xml:space="preserve">Droit Civil. </w:t>
      </w:r>
      <w:r w:rsidRPr="00E333B6">
        <w:rPr>
          <w:rFonts w:ascii="Times New Roman" w:hAnsi="Times New Roman"/>
          <w:i/>
          <w:lang w:val="fr-BE"/>
        </w:rPr>
        <w:t>Introduction – Biens – Personnes – Famille</w:t>
      </w:r>
      <w:r w:rsidRPr="00E333B6">
        <w:rPr>
          <w:rFonts w:ascii="Times New Roman" w:hAnsi="Times New Roman"/>
          <w:lang w:val="fr-BE"/>
        </w:rPr>
        <w:t xml:space="preserve">, p. 278 (nr. 743); HERVEG, J., ‘La protection des données du patient après son décès: une persistence du droit au respect de la vie privée?’, </w:t>
      </w:r>
      <w:r w:rsidRPr="00E333B6">
        <w:rPr>
          <w:rFonts w:ascii="Times New Roman" w:hAnsi="Times New Roman"/>
          <w:i/>
          <w:lang w:val="fr-BE"/>
        </w:rPr>
        <w:t>Cahiers du Centre de Recherches Informatiques et Droit</w:t>
      </w:r>
      <w:r w:rsidRPr="00E333B6">
        <w:rPr>
          <w:rFonts w:ascii="Times New Roman" w:hAnsi="Times New Roman"/>
          <w:lang w:val="fr-BE"/>
        </w:rPr>
        <w:t xml:space="preserve">, 31, 2008, p. 209-242; SENAEVE, </w:t>
      </w:r>
      <w:r w:rsidRPr="00E333B6">
        <w:rPr>
          <w:rFonts w:ascii="Times New Roman" w:hAnsi="Times New Roman"/>
          <w:i/>
          <w:lang w:val="fr-BE"/>
        </w:rPr>
        <w:t>Compendium van het Personen- en Familierecht</w:t>
      </w:r>
      <w:r w:rsidRPr="00E333B6">
        <w:rPr>
          <w:rFonts w:ascii="Times New Roman" w:hAnsi="Times New Roman"/>
          <w:lang w:val="fr-BE"/>
        </w:rPr>
        <w:t xml:space="preserve">, I, p. 39; PITLO; VAN DER BURGHT; DOEK; </w:t>
      </w:r>
      <w:r w:rsidRPr="00E333B6">
        <w:rPr>
          <w:rFonts w:ascii="Times New Roman" w:hAnsi="Times New Roman"/>
          <w:i/>
          <w:lang w:val="fr-BE"/>
        </w:rPr>
        <w:t>Het Nederlands Burgerlijk Wetboek, I: Personen- en familierecht</w:t>
      </w:r>
      <w:r w:rsidRPr="00E333B6">
        <w:rPr>
          <w:rFonts w:ascii="Times New Roman" w:hAnsi="Times New Roman"/>
          <w:lang w:val="fr-BE"/>
        </w:rPr>
        <w:t>, p. 4.</w:t>
      </w:r>
    </w:p>
  </w:footnote>
  <w:footnote w:id="1058">
    <w:p w:rsidR="00E82D16" w:rsidRPr="00BF7892"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ALLEMEERSCH, B., ‘Het medisch dossier: nog steeds geen volwaardig recht op bewijs voor de nabestaan</w:t>
      </w:r>
      <w:r>
        <w:rPr>
          <w:rFonts w:ascii="Times New Roman" w:hAnsi="Times New Roman"/>
        </w:rPr>
        <w:t>-</w:t>
      </w:r>
      <w:r w:rsidRPr="002360AB">
        <w:rPr>
          <w:rFonts w:ascii="Times New Roman" w:hAnsi="Times New Roman"/>
        </w:rPr>
        <w:t xml:space="preserve">den’, </w:t>
      </w:r>
      <w:r w:rsidRPr="002360AB">
        <w:rPr>
          <w:rFonts w:ascii="Times New Roman" w:hAnsi="Times New Roman"/>
          <w:i/>
        </w:rPr>
        <w:t>R.W.</w:t>
      </w:r>
      <w:r w:rsidRPr="002360AB">
        <w:rPr>
          <w:rFonts w:ascii="Times New Roman" w:hAnsi="Times New Roman"/>
        </w:rPr>
        <w:t>,</w:t>
      </w:r>
      <w:r w:rsidRPr="002360AB">
        <w:rPr>
          <w:rFonts w:ascii="Times New Roman" w:hAnsi="Times New Roman"/>
          <w:i/>
        </w:rPr>
        <w:t xml:space="preserve"> </w:t>
      </w:r>
      <w:r w:rsidRPr="002360AB">
        <w:rPr>
          <w:rFonts w:ascii="Times New Roman" w:hAnsi="Times New Roman"/>
        </w:rPr>
        <w:t xml:space="preserve">k. 278; CALLENS, </w:t>
      </w:r>
      <w:r w:rsidRPr="002360AB">
        <w:rPr>
          <w:rFonts w:ascii="Times New Roman" w:hAnsi="Times New Roman"/>
          <w:i/>
        </w:rPr>
        <w:t>Goed geregeld?</w:t>
      </w:r>
      <w:r w:rsidRPr="002360AB">
        <w:rPr>
          <w:rFonts w:ascii="Times New Roman" w:hAnsi="Times New Roman"/>
        </w:rPr>
        <w:t xml:space="preserve">, p. 64 (nr. 63); </w:t>
      </w:r>
      <w:r w:rsidRPr="00BF7892">
        <w:rPr>
          <w:rFonts w:ascii="Times New Roman" w:hAnsi="Times New Roman"/>
        </w:rPr>
        <w:t>DE HERT, P., ‘Het patiëntendossier en de ver</w:t>
      </w:r>
      <w:r>
        <w:rPr>
          <w:rFonts w:ascii="Times New Roman" w:hAnsi="Times New Roman"/>
        </w:rPr>
        <w:t>-</w:t>
      </w:r>
      <w:r w:rsidRPr="00BF7892">
        <w:rPr>
          <w:rFonts w:ascii="Times New Roman" w:hAnsi="Times New Roman"/>
        </w:rPr>
        <w:t xml:space="preserve">werking van gezondheidsgegevens’, DE HERT, P. (red.), </w:t>
      </w:r>
      <w:r w:rsidRPr="00BF7892">
        <w:rPr>
          <w:rFonts w:ascii="Times New Roman" w:hAnsi="Times New Roman"/>
          <w:i/>
          <w:iCs/>
        </w:rPr>
        <w:t>Privacy en persoonsgegevens</w:t>
      </w:r>
      <w:r w:rsidRPr="00BF7892">
        <w:rPr>
          <w:rFonts w:ascii="Times New Roman" w:hAnsi="Times New Roman"/>
        </w:rPr>
        <w:t>, Brussel, Politeia, 2010 (losbl.), titel VI/158-titel VI/160.</w:t>
      </w:r>
    </w:p>
  </w:footnote>
  <w:footnote w:id="1059">
    <w:p w:rsidR="00E82D16" w:rsidRPr="00991925" w:rsidRDefault="00E82D16" w:rsidP="000F560E">
      <w:pPr>
        <w:pStyle w:val="Voetnoottekst"/>
        <w:rPr>
          <w:rFonts w:ascii="Times New Roman" w:hAnsi="Times New Roman"/>
        </w:rPr>
      </w:pPr>
      <w:r w:rsidRPr="00991925">
        <w:rPr>
          <w:rStyle w:val="Voetnootmarkering"/>
          <w:rFonts w:ascii="Times New Roman" w:hAnsi="Times New Roman"/>
        </w:rPr>
        <w:footnoteRef/>
      </w:r>
      <w:r w:rsidRPr="00991925">
        <w:rPr>
          <w:rFonts w:ascii="Times New Roman" w:hAnsi="Times New Roman"/>
        </w:rPr>
        <w:t xml:space="preserve"> VELLE, K.; VANDERMAESEN, M.; </w:t>
      </w:r>
      <w:r w:rsidRPr="00991925">
        <w:rPr>
          <w:rFonts w:ascii="Times New Roman" w:hAnsi="Times New Roman"/>
          <w:i/>
        </w:rPr>
        <w:t>Inleiding tot het Belgische archiefrecht</w:t>
      </w:r>
      <w:r w:rsidRPr="00991925">
        <w:rPr>
          <w:rFonts w:ascii="Times New Roman" w:hAnsi="Times New Roman"/>
        </w:rPr>
        <w:t>, Brussel, 2012³, p. 142.</w:t>
      </w:r>
    </w:p>
  </w:footnote>
  <w:footnote w:id="1060">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DE BOT, p. 27 (nr. 30).</w:t>
      </w:r>
    </w:p>
  </w:footnote>
  <w:footnote w:id="1061">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ID., p. 25 (nr. 30).</w:t>
      </w:r>
    </w:p>
  </w:footnote>
  <w:footnote w:id="1062">
    <w:p w:rsidR="00E82D16" w:rsidRPr="002360AB" w:rsidRDefault="00E82D16" w:rsidP="000F560E">
      <w:pPr>
        <w:pStyle w:val="Voetnoottekst"/>
        <w:jc w:val="both"/>
        <w:rPr>
          <w:rFonts w:ascii="Times New Roman" w:hAnsi="Times New Roman"/>
          <w:color w:val="00B0F0"/>
        </w:rPr>
      </w:pPr>
      <w:r w:rsidRPr="00BF7892">
        <w:rPr>
          <w:rStyle w:val="Voetnootmarkering"/>
          <w:rFonts w:ascii="Times New Roman" w:hAnsi="Times New Roman"/>
        </w:rPr>
        <w:footnoteRef/>
      </w:r>
      <w:r w:rsidRPr="00BF7892">
        <w:rPr>
          <w:rFonts w:ascii="Times New Roman" w:hAnsi="Times New Roman"/>
        </w:rPr>
        <w:t xml:space="preserve"> Art. 21 § 4 Wbp; art. 25 § 1, 2° van wet nr. 78-17 van 6 januari 1978, gewijzigd door art. 4 van wet nr. 2004-801 van 6 augustus 2004. </w:t>
      </w:r>
    </w:p>
  </w:footnote>
  <w:footnote w:id="1063">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‘Ontwerp van koninklijk besluit ter uitvoering van de wet van 8 december 1992 tot bescherming van de per</w:t>
      </w:r>
      <w:r>
        <w:rPr>
          <w:rFonts w:ascii="Times New Roman" w:hAnsi="Times New Roman"/>
        </w:rPr>
        <w:t>-</w:t>
      </w:r>
      <w:r w:rsidRPr="002360AB">
        <w:rPr>
          <w:rFonts w:ascii="Times New Roman" w:hAnsi="Times New Roman"/>
        </w:rPr>
        <w:t xml:space="preserve">soonlijke levenssfeer’, </w:t>
      </w:r>
      <w:r w:rsidRPr="002360AB">
        <w:rPr>
          <w:rFonts w:ascii="Times New Roman" w:hAnsi="Times New Roman"/>
          <w:i/>
        </w:rPr>
        <w:t>T.N.R.</w:t>
      </w:r>
      <w:r w:rsidRPr="002360AB">
        <w:rPr>
          <w:rFonts w:ascii="Times New Roman" w:hAnsi="Times New Roman"/>
        </w:rPr>
        <w:t>, 88 (2000), p. 18.</w:t>
      </w:r>
    </w:p>
  </w:footnote>
  <w:footnote w:id="1064">
    <w:p w:rsidR="00E82D16" w:rsidRPr="00E333B6" w:rsidRDefault="00E82D16" w:rsidP="000F560E">
      <w:pPr>
        <w:pStyle w:val="Voetnoottekst"/>
        <w:jc w:val="both"/>
        <w:rPr>
          <w:rFonts w:ascii="Times New Roman" w:hAnsi="Times New Roman"/>
          <w:lang w:val="fr-BE"/>
        </w:rPr>
      </w:pPr>
      <w:r w:rsidRPr="002360AB">
        <w:rPr>
          <w:rStyle w:val="Voetnootmarkering"/>
          <w:rFonts w:ascii="Times New Roman" w:hAnsi="Times New Roman"/>
        </w:rPr>
        <w:footnoteRef/>
      </w:r>
      <w:r w:rsidRPr="002360AB">
        <w:rPr>
          <w:rFonts w:ascii="Times New Roman" w:hAnsi="Times New Roman"/>
        </w:rPr>
        <w:t xml:space="preserve"> HOOGHIEMSTRA; NOUWT; </w:t>
      </w:r>
      <w:r w:rsidRPr="002360AB">
        <w:rPr>
          <w:rFonts w:ascii="Times New Roman" w:hAnsi="Times New Roman"/>
          <w:i/>
        </w:rPr>
        <w:t>Wet bescherming persoonsgegevens</w:t>
      </w:r>
      <w:r w:rsidRPr="002360AB">
        <w:rPr>
          <w:rFonts w:ascii="Times New Roman" w:hAnsi="Times New Roman"/>
        </w:rPr>
        <w:t xml:space="preserve">, p. 34-35; LEENEN; DUTE; KASTELEIN; </w:t>
      </w:r>
      <w:r w:rsidRPr="002360AB">
        <w:rPr>
          <w:rFonts w:ascii="Times New Roman" w:hAnsi="Times New Roman"/>
          <w:i/>
        </w:rPr>
        <w:t>Handboek Gezondheidsrecht. Deel II</w:t>
      </w:r>
      <w:r w:rsidRPr="002360AB">
        <w:rPr>
          <w:rFonts w:ascii="Times New Roman" w:hAnsi="Times New Roman"/>
        </w:rPr>
        <w:t>, p. 225; PLOEM, M., ‘Medisch-wetenschappelijk onder</w:t>
      </w:r>
      <w:r>
        <w:rPr>
          <w:rFonts w:ascii="Times New Roman" w:hAnsi="Times New Roman"/>
        </w:rPr>
        <w:t>-</w:t>
      </w:r>
      <w:r w:rsidRPr="002360AB">
        <w:rPr>
          <w:rFonts w:ascii="Times New Roman" w:hAnsi="Times New Roman"/>
        </w:rPr>
        <w:t xml:space="preserve">zoek met gecodeerde gegevens. </w:t>
      </w:r>
      <w:r w:rsidRPr="00E333B6">
        <w:rPr>
          <w:rFonts w:ascii="Times New Roman" w:hAnsi="Times New Roman"/>
          <w:lang w:val="fr-BE"/>
        </w:rPr>
        <w:t xml:space="preserve">De toepasselijkheid van privacywetgeving’, </w:t>
      </w:r>
      <w:r w:rsidRPr="00E333B6">
        <w:rPr>
          <w:rFonts w:ascii="Times New Roman" w:hAnsi="Times New Roman"/>
          <w:i/>
          <w:lang w:val="fr-BE"/>
        </w:rPr>
        <w:t>Computerr.</w:t>
      </w:r>
      <w:r w:rsidRPr="00E333B6">
        <w:rPr>
          <w:rFonts w:ascii="Times New Roman" w:hAnsi="Times New Roman"/>
          <w:lang w:val="fr-BE"/>
        </w:rPr>
        <w:t xml:space="preserve">, 2000, 2, p. 69; VAN VEEN, E.B., ‘Gecodeerde gegevens bij wetenschappelijk onderzoek: een begripsverheldering’, </w:t>
      </w:r>
      <w:r w:rsidRPr="00E333B6">
        <w:rPr>
          <w:rFonts w:ascii="Times New Roman" w:hAnsi="Times New Roman"/>
          <w:i/>
          <w:lang w:val="fr-BE"/>
        </w:rPr>
        <w:t>P&amp;I</w:t>
      </w:r>
      <w:r w:rsidRPr="00E333B6">
        <w:rPr>
          <w:rFonts w:ascii="Times New Roman" w:hAnsi="Times New Roman"/>
          <w:lang w:val="fr-BE"/>
        </w:rPr>
        <w:t xml:space="preserve">, 2003, 6, p. 259; QUANTIN, C.; GOUYON, B.; ALLAERT, F.A.; COHEN, O.; ‘Méthodologie pour le chaînage de données sensibles tout en respectant l’anonymat: Des informations médicales’, </w:t>
      </w:r>
      <w:r w:rsidRPr="00E333B6">
        <w:rPr>
          <w:rFonts w:ascii="Times New Roman" w:hAnsi="Times New Roman"/>
          <w:i/>
          <w:lang w:val="fr-BE"/>
        </w:rPr>
        <w:t>Journal de la Société française de statis</w:t>
      </w:r>
      <w:r>
        <w:rPr>
          <w:rFonts w:ascii="Times New Roman" w:hAnsi="Times New Roman"/>
          <w:i/>
          <w:lang w:val="fr-BE"/>
        </w:rPr>
        <w:t>-</w:t>
      </w:r>
      <w:r w:rsidRPr="00E333B6">
        <w:rPr>
          <w:rFonts w:ascii="Times New Roman" w:hAnsi="Times New Roman"/>
          <w:i/>
          <w:lang w:val="fr-BE"/>
        </w:rPr>
        <w:t>tique</w:t>
      </w:r>
      <w:r w:rsidRPr="00E333B6">
        <w:rPr>
          <w:rFonts w:ascii="Times New Roman" w:hAnsi="Times New Roman"/>
          <w:lang w:val="fr-BE"/>
        </w:rPr>
        <w:t xml:space="preserve">, 146/3 (2005), p. 18-37; VULLIET-TAVERNIER, S., ‘De l’anonymat dans le traitement des données de santé’, </w:t>
      </w:r>
      <w:r w:rsidRPr="00E333B6">
        <w:rPr>
          <w:rFonts w:ascii="Times New Roman" w:hAnsi="Times New Roman"/>
          <w:i/>
          <w:lang w:val="fr-BE"/>
        </w:rPr>
        <w:t>M.D.</w:t>
      </w:r>
      <w:r w:rsidRPr="00E333B6">
        <w:rPr>
          <w:rFonts w:ascii="Times New Roman" w:hAnsi="Times New Roman"/>
          <w:lang w:val="fr-BE"/>
        </w:rPr>
        <w:t>, 100-101 (2000), p. 22-25.</w:t>
      </w:r>
    </w:p>
  </w:footnote>
  <w:footnote w:id="1065">
    <w:p w:rsidR="00E82D16" w:rsidRPr="00A81034" w:rsidRDefault="00E82D16" w:rsidP="000F560E">
      <w:pPr>
        <w:pStyle w:val="Voetnoottekst"/>
        <w:jc w:val="both"/>
        <w:rPr>
          <w:rFonts w:ascii="Times New Roman" w:hAnsi="Times New Roman"/>
        </w:rPr>
      </w:pPr>
      <w:r w:rsidRPr="00A81034">
        <w:rPr>
          <w:rStyle w:val="Voetnootmarkering"/>
          <w:rFonts w:ascii="Times New Roman" w:hAnsi="Times New Roman"/>
        </w:rPr>
        <w:footnoteRef/>
      </w:r>
      <w:r w:rsidRPr="00A81034">
        <w:rPr>
          <w:rFonts w:ascii="Times New Roman" w:hAnsi="Times New Roman"/>
        </w:rPr>
        <w:t xml:space="preserve"> </w:t>
      </w:r>
      <w:r>
        <w:rPr>
          <w:rFonts w:ascii="Times New Roman" w:hAnsi="Times New Roman"/>
        </w:rPr>
        <w:t>Art. 1 § 1 Privacywet.</w:t>
      </w:r>
    </w:p>
  </w:footnote>
  <w:footnote w:id="1066">
    <w:p w:rsidR="00E82D16" w:rsidRPr="00A81034" w:rsidRDefault="00E82D16" w:rsidP="000F560E">
      <w:pPr>
        <w:pStyle w:val="Voetnoottekst"/>
        <w:jc w:val="both"/>
        <w:rPr>
          <w:rFonts w:ascii="Times New Roman" w:hAnsi="Times New Roman"/>
        </w:rPr>
      </w:pPr>
      <w:r w:rsidRPr="00A81034">
        <w:rPr>
          <w:rStyle w:val="Voetnootmarkering"/>
          <w:rFonts w:ascii="Times New Roman" w:hAnsi="Times New Roman"/>
        </w:rPr>
        <w:footnoteRef/>
      </w:r>
      <w:r w:rsidRPr="00A81034">
        <w:rPr>
          <w:rFonts w:ascii="Times New Roman" w:hAnsi="Times New Roman"/>
        </w:rPr>
        <w:t xml:space="preserve"> CALLENS, </w:t>
      </w:r>
      <w:r w:rsidRPr="006E0436">
        <w:rPr>
          <w:rFonts w:ascii="Times New Roman" w:hAnsi="Times New Roman"/>
          <w:i/>
        </w:rPr>
        <w:t>Goed geregeld?</w:t>
      </w:r>
      <w:r w:rsidRPr="00A81034">
        <w:rPr>
          <w:rFonts w:ascii="Times New Roman" w:hAnsi="Times New Roman"/>
        </w:rPr>
        <w:t xml:space="preserve">, p. 66 (nr. 68); DE BOT, </w:t>
      </w:r>
      <w:r w:rsidRPr="006E0436">
        <w:rPr>
          <w:rFonts w:ascii="Times New Roman" w:hAnsi="Times New Roman"/>
          <w:i/>
        </w:rPr>
        <w:t>Verwerking van persoonsgegevens</w:t>
      </w:r>
      <w:r w:rsidRPr="00A81034">
        <w:rPr>
          <w:rFonts w:ascii="Times New Roman" w:hAnsi="Times New Roman"/>
        </w:rPr>
        <w:t>, p. 28 (nr; 33).</w:t>
      </w:r>
    </w:p>
  </w:footnote>
  <w:footnote w:id="1067">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w:t>
      </w:r>
      <w:r>
        <w:rPr>
          <w:rFonts w:ascii="Times New Roman" w:hAnsi="Times New Roman"/>
        </w:rPr>
        <w:t xml:space="preserve">Voor het gebruik van unieke identificatienummers in België, Nederland en Frankrijk, zie: DE BOT, D., </w:t>
      </w:r>
      <w:r>
        <w:rPr>
          <w:rFonts w:ascii="Times New Roman" w:hAnsi="Times New Roman"/>
          <w:i/>
        </w:rPr>
        <w:t>Pri-vacybescherming bij e-government in België. Een kritische analyse van het Rijksregister, de Kruispuntbank van Ondernemingen en de elektronische identiteitskaart als belangrijkste juridische bouwstenen</w:t>
      </w:r>
      <w:r>
        <w:rPr>
          <w:rFonts w:ascii="Times New Roman" w:hAnsi="Times New Roman"/>
        </w:rPr>
        <w:t>, Collectie Publiek-recht, Vanden Broele, Brugge, 2005, p. 52-56 (nrs. 139-151)</w:t>
      </w:r>
      <w:r w:rsidRPr="002360AB">
        <w:rPr>
          <w:rFonts w:ascii="Times New Roman" w:hAnsi="Times New Roman"/>
        </w:rPr>
        <w:t>.</w:t>
      </w:r>
      <w:r>
        <w:rPr>
          <w:rFonts w:ascii="Times New Roman" w:hAnsi="Times New Roman"/>
        </w:rPr>
        <w:t xml:space="preserve"> Zie ook Deel 2.</w:t>
      </w:r>
    </w:p>
  </w:footnote>
  <w:footnote w:id="1068">
    <w:p w:rsidR="00E82D16" w:rsidRPr="00147A50" w:rsidRDefault="00E82D16" w:rsidP="000F560E">
      <w:pPr>
        <w:pStyle w:val="Geenafstand"/>
        <w:jc w:val="both"/>
        <w:rPr>
          <w:rFonts w:ascii="Times New Roman" w:hAnsi="Times New Roman" w:cs="Times New Roman"/>
          <w:sz w:val="20"/>
          <w:szCs w:val="20"/>
        </w:rPr>
      </w:pPr>
      <w:r w:rsidRPr="00147A50">
        <w:rPr>
          <w:rStyle w:val="Voetnootmarkering"/>
          <w:rFonts w:ascii="Times New Roman" w:hAnsi="Times New Roman" w:cs="Times New Roman"/>
          <w:sz w:val="20"/>
          <w:szCs w:val="20"/>
        </w:rPr>
        <w:footnoteRef/>
      </w:r>
      <w:r w:rsidRPr="00147A50">
        <w:rPr>
          <w:rFonts w:ascii="Times New Roman" w:hAnsi="Times New Roman" w:cs="Times New Roman"/>
          <w:sz w:val="20"/>
          <w:szCs w:val="20"/>
        </w:rPr>
        <w:t xml:space="preserve"> Art. 2, a van het Verdrag van Straatsburg; punten 28 en 29 van het </w:t>
      </w:r>
      <w:r>
        <w:rPr>
          <w:rFonts w:ascii="Times New Roman" w:hAnsi="Times New Roman" w:cs="Times New Roman"/>
          <w:sz w:val="20"/>
          <w:szCs w:val="20"/>
        </w:rPr>
        <w:t>verklarend rapport</w:t>
      </w:r>
      <w:r w:rsidRPr="00147A50">
        <w:rPr>
          <w:rFonts w:ascii="Times New Roman" w:hAnsi="Times New Roman" w:cs="Times New Roman"/>
          <w:sz w:val="20"/>
          <w:szCs w:val="20"/>
        </w:rPr>
        <w:t xml:space="preserve"> bij het Verdrag van Straatsburg; art. 2, a Richtlijn 95/46/EG; </w:t>
      </w:r>
      <w:r w:rsidRPr="001F1933">
        <w:rPr>
          <w:rFonts w:ascii="Times New Roman" w:hAnsi="Times New Roman" w:cs="Times New Roman"/>
          <w:sz w:val="20"/>
          <w:szCs w:val="20"/>
        </w:rPr>
        <w:t>aanbeveling nr. R(99)5</w:t>
      </w:r>
      <w:r w:rsidRPr="00147A50">
        <w:rPr>
          <w:rFonts w:ascii="Times New Roman" w:hAnsi="Times New Roman" w:cs="Times New Roman"/>
          <w:sz w:val="20"/>
          <w:szCs w:val="20"/>
        </w:rPr>
        <w:t>; overweging 26 en art. 2, a Richtlijn 95/46/EG; art. 1 § 1 Privacywet; art. 1, a Wbp; art. 2, tweede lid van wet nr. 78-17 van 6 januari 1978, gewijzigd door art. 1 van wet nr. 2004-801 van 6 augustus 2004</w:t>
      </w:r>
    </w:p>
  </w:footnote>
  <w:footnote w:id="1069">
    <w:p w:rsidR="00E82D16" w:rsidRPr="00E333B6" w:rsidRDefault="00E82D16" w:rsidP="000F560E">
      <w:pPr>
        <w:pStyle w:val="Voetnoottekst"/>
        <w:jc w:val="both"/>
        <w:rPr>
          <w:rFonts w:ascii="Times New Roman" w:hAnsi="Times New Roman"/>
          <w:lang w:val="fr-BE"/>
        </w:rPr>
      </w:pPr>
      <w:r w:rsidRPr="00A81034">
        <w:rPr>
          <w:rStyle w:val="Voetnootmarkering"/>
          <w:rFonts w:ascii="Times New Roman" w:hAnsi="Times New Roman"/>
        </w:rPr>
        <w:footnoteRef/>
      </w:r>
      <w:r w:rsidRPr="00E333B6">
        <w:rPr>
          <w:rFonts w:ascii="Times New Roman" w:hAnsi="Times New Roman"/>
          <w:lang w:val="fr-BE"/>
        </w:rPr>
        <w:t xml:space="preserve"> </w:t>
      </w:r>
      <w:r w:rsidRPr="00E333B6">
        <w:rPr>
          <w:rFonts w:ascii="Times New Roman" w:eastAsia="SimSun" w:hAnsi="Times New Roman"/>
          <w:kern w:val="1"/>
          <w:lang w:val="fr-BE" w:eastAsia="hi-IN" w:bidi="hi-IN"/>
        </w:rPr>
        <w:t xml:space="preserve">Overweging 26 bij richtlijn 95/46/EG; </w:t>
      </w:r>
      <w:r w:rsidRPr="00E333B6">
        <w:rPr>
          <w:rFonts w:ascii="Times New Roman" w:hAnsi="Times New Roman"/>
          <w:i/>
          <w:shd w:val="clear" w:color="auto" w:fill="FFFFFF"/>
          <w:lang w:val="fr-BE"/>
        </w:rPr>
        <w:t>Parl.St.</w:t>
      </w:r>
      <w:r w:rsidRPr="00E333B6">
        <w:rPr>
          <w:rFonts w:ascii="Times New Roman" w:hAnsi="Times New Roman"/>
          <w:shd w:val="clear" w:color="auto" w:fill="FFFFFF"/>
          <w:lang w:val="fr-BE"/>
        </w:rPr>
        <w:t xml:space="preserve"> Kamer, 1997-1998, nr. 1566/1, p. 12; BOULANGER, M.H.; </w:t>
      </w:r>
      <w:r w:rsidRPr="00E333B6">
        <w:rPr>
          <w:rFonts w:ascii="Times New Roman" w:hAnsi="Times New Roman"/>
          <w:color w:val="222222"/>
          <w:shd w:val="clear" w:color="auto" w:fill="FFFFFF"/>
          <w:lang w:val="fr-BE"/>
        </w:rPr>
        <w:t xml:space="preserve">CALLENS, S.; BRILLON, S.; ‘La protection des données à caractère personnel relatives à la santé et la loi du 8 décembre 1992 telle que modifiée par la loi du 11 décembre 1998 et complétée par l’arrêté royal du 13 février 2001’, </w:t>
      </w:r>
      <w:r w:rsidRPr="00E333B6">
        <w:rPr>
          <w:rFonts w:ascii="Times New Roman" w:hAnsi="Times New Roman"/>
          <w:i/>
          <w:color w:val="222222"/>
          <w:shd w:val="clear" w:color="auto" w:fill="FFFFFF"/>
          <w:lang w:val="fr-BE"/>
        </w:rPr>
        <w:t>T.Gez.</w:t>
      </w:r>
      <w:r w:rsidRPr="00E333B6">
        <w:rPr>
          <w:rFonts w:ascii="Times New Roman" w:hAnsi="Times New Roman"/>
          <w:color w:val="222222"/>
          <w:shd w:val="clear" w:color="auto" w:fill="FFFFFF"/>
          <w:lang w:val="fr-BE"/>
        </w:rPr>
        <w:t>, 2000-2001, p. 337</w:t>
      </w:r>
      <w:r w:rsidRPr="00E333B6">
        <w:rPr>
          <w:rFonts w:ascii="Times New Roman" w:hAnsi="Times New Roman"/>
          <w:lang w:val="fr-BE"/>
        </w:rPr>
        <w:t>; VANDENDRIESSCHE, ‘De verwerking van persoonsgegevens voor histori</w:t>
      </w:r>
      <w:r>
        <w:rPr>
          <w:rFonts w:ascii="Times New Roman" w:hAnsi="Times New Roman"/>
          <w:lang w:val="fr-BE"/>
        </w:rPr>
        <w:t>-</w:t>
      </w:r>
      <w:r w:rsidRPr="00E333B6">
        <w:rPr>
          <w:rFonts w:ascii="Times New Roman" w:hAnsi="Times New Roman"/>
          <w:lang w:val="fr-BE"/>
        </w:rPr>
        <w:t>sche, statische en wetenschappelijke doeleinden’, p. 534.</w:t>
      </w:r>
    </w:p>
  </w:footnote>
  <w:footnote w:id="1070">
    <w:p w:rsidR="00E82D16" w:rsidRPr="00A81034" w:rsidRDefault="00E82D16" w:rsidP="000F560E">
      <w:pPr>
        <w:pStyle w:val="Voetnoottekst"/>
        <w:jc w:val="both"/>
        <w:rPr>
          <w:rFonts w:ascii="Times New Roman" w:hAnsi="Times New Roman"/>
        </w:rPr>
      </w:pPr>
      <w:r w:rsidRPr="00A81034">
        <w:rPr>
          <w:rStyle w:val="Voetnootmarkering"/>
          <w:rFonts w:ascii="Times New Roman" w:hAnsi="Times New Roman"/>
        </w:rPr>
        <w:footnoteRef/>
      </w:r>
      <w:r w:rsidRPr="00A81034">
        <w:rPr>
          <w:rFonts w:ascii="Times New Roman" w:hAnsi="Times New Roman"/>
        </w:rPr>
        <w:t xml:space="preserve"> </w:t>
      </w:r>
      <w:r w:rsidRPr="00A81034">
        <w:rPr>
          <w:rFonts w:ascii="Times New Roman" w:eastAsia="SimSun" w:hAnsi="Times New Roman"/>
          <w:kern w:val="1"/>
          <w:lang w:eastAsia="hi-IN" w:bidi="hi-IN"/>
        </w:rPr>
        <w:t>Art. 1, 3° PrivacyKB</w:t>
      </w:r>
      <w:r>
        <w:rPr>
          <w:rFonts w:ascii="Times New Roman" w:eastAsia="SimSun" w:hAnsi="Times New Roman"/>
          <w:kern w:val="1"/>
          <w:lang w:eastAsia="hi-IN" w:bidi="hi-IN"/>
        </w:rPr>
        <w:t>.</w:t>
      </w:r>
    </w:p>
  </w:footnote>
  <w:footnote w:id="1071">
    <w:p w:rsidR="00E82D16" w:rsidRPr="00A81034" w:rsidRDefault="00E82D16" w:rsidP="000F560E">
      <w:pPr>
        <w:pStyle w:val="Voetnoottekst"/>
        <w:jc w:val="both"/>
        <w:rPr>
          <w:rFonts w:ascii="Times New Roman" w:hAnsi="Times New Roman"/>
        </w:rPr>
      </w:pPr>
      <w:r w:rsidRPr="00A81034">
        <w:rPr>
          <w:rStyle w:val="Voetnootmarkering"/>
          <w:rFonts w:ascii="Times New Roman" w:hAnsi="Times New Roman"/>
        </w:rPr>
        <w:footnoteRef/>
      </w:r>
      <w:r w:rsidRPr="00A81034">
        <w:rPr>
          <w:rFonts w:ascii="Times New Roman" w:hAnsi="Times New Roman"/>
        </w:rPr>
        <w:t xml:space="preserve"> </w:t>
      </w:r>
      <w:r w:rsidRPr="00A81034">
        <w:rPr>
          <w:rFonts w:ascii="Times New Roman" w:eastAsia="SimSun" w:hAnsi="Times New Roman"/>
          <w:kern w:val="1"/>
          <w:lang w:eastAsia="hi-IN" w:bidi="hi-IN"/>
        </w:rPr>
        <w:t>Art. 1, 6° PrivacyKB</w:t>
      </w:r>
      <w:r>
        <w:rPr>
          <w:rFonts w:ascii="Times New Roman" w:eastAsia="SimSun" w:hAnsi="Times New Roman"/>
          <w:kern w:val="1"/>
          <w:lang w:eastAsia="hi-IN" w:bidi="hi-IN"/>
        </w:rPr>
        <w:t>.</w:t>
      </w:r>
    </w:p>
  </w:footnote>
  <w:footnote w:id="1072">
    <w:p w:rsidR="00E82D16" w:rsidRPr="00A81034" w:rsidRDefault="00E82D16" w:rsidP="000F560E">
      <w:pPr>
        <w:pStyle w:val="Voetnoottekst"/>
        <w:jc w:val="both"/>
        <w:rPr>
          <w:rFonts w:ascii="Times New Roman" w:hAnsi="Times New Roman"/>
        </w:rPr>
      </w:pPr>
      <w:r w:rsidRPr="00A81034">
        <w:rPr>
          <w:rStyle w:val="Voetnootmarkering"/>
          <w:rFonts w:ascii="Times New Roman" w:hAnsi="Times New Roman"/>
        </w:rPr>
        <w:footnoteRef/>
      </w:r>
      <w:r w:rsidRPr="00A81034">
        <w:rPr>
          <w:rFonts w:ascii="Times New Roman" w:hAnsi="Times New Roman"/>
        </w:rPr>
        <w:t xml:space="preserve"> </w:t>
      </w:r>
      <w:r w:rsidRPr="00A81034">
        <w:rPr>
          <w:rFonts w:ascii="Times New Roman" w:eastAsia="SimSun" w:hAnsi="Times New Roman"/>
          <w:kern w:val="1"/>
          <w:lang w:eastAsia="hi-IN" w:bidi="hi-IN"/>
        </w:rPr>
        <w:t xml:space="preserve">Art. 1, 5° PrivacyKB; CALLENS, p. 68-69; DE BOT, </w:t>
      </w:r>
      <w:r w:rsidRPr="00A81034">
        <w:rPr>
          <w:rFonts w:ascii="Times New Roman" w:hAnsi="Times New Roman"/>
          <w:i/>
        </w:rPr>
        <w:t>Verwerking van persoonsgegevens</w:t>
      </w:r>
      <w:r w:rsidRPr="00A81034">
        <w:rPr>
          <w:rFonts w:ascii="Times New Roman" w:hAnsi="Times New Roman"/>
        </w:rPr>
        <w:t>, p. 29-30 (nr. 35)</w:t>
      </w:r>
      <w:r w:rsidRPr="00A81034">
        <w:rPr>
          <w:rFonts w:ascii="Times New Roman" w:eastAsia="SimSun" w:hAnsi="Times New Roman"/>
          <w:kern w:val="1"/>
          <w:lang w:eastAsia="hi-IN" w:bidi="hi-IN"/>
        </w:rPr>
        <w:t>; DUMORTIER, J., ‘Noot onder advies inzake de toepasbaarheid van de Wet van 8 december 1992 tot bescher</w:t>
      </w:r>
      <w:r>
        <w:rPr>
          <w:rFonts w:ascii="Times New Roman" w:eastAsia="SimSun" w:hAnsi="Times New Roman"/>
          <w:kern w:val="1"/>
          <w:lang w:eastAsia="hi-IN" w:bidi="hi-IN"/>
        </w:rPr>
        <w:t>-</w:t>
      </w:r>
      <w:r w:rsidRPr="00A81034">
        <w:rPr>
          <w:rFonts w:ascii="Times New Roman" w:eastAsia="SimSun" w:hAnsi="Times New Roman"/>
          <w:kern w:val="1"/>
          <w:lang w:eastAsia="hi-IN" w:bidi="hi-IN"/>
        </w:rPr>
        <w:t xml:space="preserve">ming van de persoonlijke levenssfeer ten opzichte van de verwerking van persoonsgegevens, op het netwerk van een Nationaal Kankerregister’, </w:t>
      </w:r>
      <w:r w:rsidRPr="00A81034">
        <w:rPr>
          <w:rFonts w:ascii="Times New Roman" w:eastAsia="SimSun" w:hAnsi="Times New Roman"/>
          <w:i/>
          <w:kern w:val="1"/>
          <w:lang w:eastAsia="hi-IN" w:bidi="hi-IN"/>
        </w:rPr>
        <w:t>Computerr.</w:t>
      </w:r>
      <w:r w:rsidRPr="00A81034">
        <w:rPr>
          <w:rFonts w:ascii="Times New Roman" w:eastAsia="SimSun" w:hAnsi="Times New Roman"/>
          <w:kern w:val="1"/>
          <w:lang w:eastAsia="hi-IN" w:bidi="hi-IN"/>
        </w:rPr>
        <w:t>, 1997, 3, p. 105-107</w:t>
      </w:r>
    </w:p>
  </w:footnote>
  <w:footnote w:id="1073">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Kamerstukken II, vergaderjaar 1997-1998, 25 892, nr. 3, p. 109; art. 7 van de oorspronkelijk Privacywet uit 1992 (in navolging van richtlijn 95/46/EG is een definitie van dit begrip niet opgenomen in de huidige </w:t>
      </w:r>
      <w:r w:rsidRPr="00A81034">
        <w:rPr>
          <w:rFonts w:ascii="Times New Roman" w:hAnsi="Times New Roman" w:cs="Times New Roman"/>
          <w:sz w:val="20"/>
          <w:szCs w:val="20"/>
        </w:rPr>
        <w:t>privacy</w:t>
      </w:r>
      <w:r>
        <w:rPr>
          <w:rFonts w:ascii="Times New Roman" w:hAnsi="Times New Roman" w:cs="Times New Roman"/>
          <w:sz w:val="20"/>
          <w:szCs w:val="20"/>
        </w:rPr>
        <w:t>-</w:t>
      </w:r>
      <w:r w:rsidRPr="00A81034">
        <w:rPr>
          <w:rFonts w:ascii="Times New Roman" w:hAnsi="Times New Roman" w:cs="Times New Roman"/>
          <w:sz w:val="20"/>
          <w:szCs w:val="20"/>
        </w:rPr>
        <w:t>wetgevingen (</w:t>
      </w:r>
      <w:r w:rsidRPr="00A81034">
        <w:rPr>
          <w:rFonts w:ascii="Times New Roman" w:hAnsi="Times New Roman" w:cs="Times New Roman"/>
          <w:i/>
          <w:sz w:val="20"/>
          <w:szCs w:val="20"/>
        </w:rPr>
        <w:t>Parl.St.</w:t>
      </w:r>
      <w:r w:rsidRPr="00A81034">
        <w:rPr>
          <w:rFonts w:ascii="Times New Roman" w:hAnsi="Times New Roman" w:cs="Times New Roman"/>
          <w:sz w:val="20"/>
          <w:szCs w:val="20"/>
        </w:rPr>
        <w:t xml:space="preserve"> Kamer 1997-</w:t>
      </w:r>
      <w:r>
        <w:rPr>
          <w:rFonts w:ascii="Times New Roman" w:hAnsi="Times New Roman" w:cs="Times New Roman"/>
          <w:sz w:val="20"/>
          <w:szCs w:val="20"/>
        </w:rPr>
        <w:t>19</w:t>
      </w:r>
      <w:r w:rsidRPr="00A81034">
        <w:rPr>
          <w:rFonts w:ascii="Times New Roman" w:hAnsi="Times New Roman" w:cs="Times New Roman"/>
          <w:sz w:val="20"/>
          <w:szCs w:val="20"/>
        </w:rPr>
        <w:t>98, 1566/1, p. 12)); art. 2, 6° wet van 11 april 1995 tot invoering van het handvest van de sociaal verzekerde (</w:t>
      </w:r>
      <w:r w:rsidRPr="00A81034">
        <w:rPr>
          <w:rFonts w:ascii="Times New Roman" w:hAnsi="Times New Roman" w:cs="Times New Roman"/>
          <w:i/>
          <w:iCs/>
          <w:sz w:val="20"/>
          <w:szCs w:val="20"/>
        </w:rPr>
        <w:t xml:space="preserve">BS </w:t>
      </w:r>
      <w:r w:rsidRPr="00A81034">
        <w:rPr>
          <w:rFonts w:ascii="Times New Roman" w:hAnsi="Times New Roman" w:cs="Times New Roman"/>
          <w:sz w:val="20"/>
          <w:szCs w:val="20"/>
        </w:rPr>
        <w:t>6 september 1995); art. 3, 9° Wet eHealth-platform; Art. 16, 7° Sociaal Strafwetboek van 6 juni 2010 (</w:t>
      </w:r>
      <w:r w:rsidRPr="00A81034">
        <w:rPr>
          <w:rFonts w:ascii="Times New Roman" w:hAnsi="Times New Roman" w:cs="Times New Roman"/>
          <w:i/>
          <w:iCs/>
          <w:sz w:val="20"/>
          <w:szCs w:val="20"/>
        </w:rPr>
        <w:t>BS</w:t>
      </w:r>
      <w:r w:rsidRPr="00A81034">
        <w:rPr>
          <w:rFonts w:ascii="Times New Roman" w:hAnsi="Times New Roman" w:cs="Times New Roman"/>
          <w:sz w:val="20"/>
          <w:szCs w:val="20"/>
        </w:rPr>
        <w:t xml:space="preserve"> 1 juli 2010); CALLENS, </w:t>
      </w:r>
      <w:r w:rsidRPr="00A81034">
        <w:rPr>
          <w:rFonts w:ascii="Times New Roman" w:hAnsi="Times New Roman" w:cs="Times New Roman"/>
          <w:i/>
          <w:sz w:val="20"/>
          <w:szCs w:val="20"/>
        </w:rPr>
        <w:t>Goed geregeld?</w:t>
      </w:r>
      <w:r w:rsidRPr="00A81034">
        <w:rPr>
          <w:rFonts w:ascii="Times New Roman" w:hAnsi="Times New Roman" w:cs="Times New Roman"/>
          <w:sz w:val="20"/>
          <w:szCs w:val="20"/>
        </w:rPr>
        <w:t xml:space="preserve">, p. 70; CALLENS, S., ‘Omtrent het e-Health-platform en het recht op privacy van de patiënt’, </w:t>
      </w:r>
      <w:r w:rsidRPr="00A81034">
        <w:rPr>
          <w:rFonts w:ascii="Times New Roman" w:hAnsi="Times New Roman" w:cs="Times New Roman"/>
          <w:i/>
          <w:iCs/>
          <w:sz w:val="20"/>
          <w:szCs w:val="20"/>
        </w:rPr>
        <w:t>T.Gez.</w:t>
      </w:r>
      <w:r w:rsidRPr="00A81034">
        <w:rPr>
          <w:rFonts w:ascii="Times New Roman" w:hAnsi="Times New Roman" w:cs="Times New Roman"/>
          <w:sz w:val="20"/>
          <w:szCs w:val="20"/>
        </w:rPr>
        <w:t xml:space="preserve">, 2008-2009, p. 186; DE BOT, p. 154-155 (nr. 204); DE HERT, ‘Het patiëntendossier en de verwerking van gezondheidsgegevens’, titel VI/114-titel VI/118; KRANENBORG; VERHEY; </w:t>
      </w:r>
      <w:r w:rsidRPr="00A81034">
        <w:rPr>
          <w:rFonts w:ascii="Times New Roman" w:hAnsi="Times New Roman" w:cs="Times New Roman"/>
          <w:i/>
          <w:sz w:val="20"/>
          <w:szCs w:val="20"/>
        </w:rPr>
        <w:t>Wet bescherming persoonsgegevens in Europees perspectief</w:t>
      </w:r>
      <w:r w:rsidRPr="00A81034">
        <w:rPr>
          <w:rFonts w:ascii="Times New Roman" w:hAnsi="Times New Roman" w:cs="Times New Roman"/>
          <w:sz w:val="20"/>
          <w:szCs w:val="20"/>
        </w:rPr>
        <w:t xml:space="preserve">, 108-112; MORBE, E., </w:t>
      </w:r>
      <w:r w:rsidRPr="00A81034">
        <w:rPr>
          <w:rFonts w:ascii="Times New Roman" w:hAnsi="Times New Roman" w:cs="Times New Roman"/>
          <w:i/>
          <w:sz w:val="20"/>
          <w:szCs w:val="20"/>
        </w:rPr>
        <w:t>De wet betreffende de rechten van de patiënt</w:t>
      </w:r>
      <w:r w:rsidRPr="00A81034">
        <w:rPr>
          <w:rFonts w:ascii="Times New Roman" w:hAnsi="Times New Roman" w:cs="Times New Roman"/>
          <w:sz w:val="20"/>
          <w:szCs w:val="20"/>
        </w:rPr>
        <w:t>, Heule, UGA, 2003, p. 115; PARROT, D., ‘Protection des don</w:t>
      </w:r>
      <w:r>
        <w:rPr>
          <w:rFonts w:ascii="Times New Roman" w:hAnsi="Times New Roman" w:cs="Times New Roman"/>
          <w:sz w:val="20"/>
          <w:szCs w:val="20"/>
        </w:rPr>
        <w:t>-</w:t>
      </w:r>
      <w:r w:rsidRPr="00A81034">
        <w:rPr>
          <w:rFonts w:ascii="Times New Roman" w:hAnsi="Times New Roman" w:cs="Times New Roman"/>
          <w:sz w:val="20"/>
          <w:szCs w:val="20"/>
        </w:rPr>
        <w:t xml:space="preserve">nées personnelles en santé’, </w:t>
      </w:r>
      <w:r w:rsidRPr="00A81034">
        <w:rPr>
          <w:rFonts w:ascii="Times New Roman" w:hAnsi="Times New Roman" w:cs="Times New Roman"/>
          <w:i/>
          <w:sz w:val="20"/>
          <w:szCs w:val="20"/>
        </w:rPr>
        <w:t>G.H.</w:t>
      </w:r>
      <w:r w:rsidRPr="00A81034">
        <w:rPr>
          <w:rFonts w:ascii="Times New Roman" w:hAnsi="Times New Roman" w:cs="Times New Roman"/>
          <w:sz w:val="20"/>
          <w:szCs w:val="20"/>
        </w:rPr>
        <w:t xml:space="preserve">, 442 (2005), p. 26-29; ROBBEN, ‘Toepassingsgebied en begripsdefinities’, p. 31; ID., ‘De bescherming van de persoonlijke levenssfeer bij de verwerking van medische persoonsgegevens’, </w:t>
      </w:r>
      <w:r w:rsidRPr="00A81034">
        <w:rPr>
          <w:rFonts w:ascii="Times New Roman" w:hAnsi="Times New Roman" w:cs="Times New Roman"/>
          <w:i/>
          <w:sz w:val="20"/>
          <w:szCs w:val="20"/>
        </w:rPr>
        <w:t xml:space="preserve">MEDI-IUS, Medisch beroepsgeheim en </w:t>
      </w:r>
      <w:r w:rsidRPr="002360AB">
        <w:rPr>
          <w:rFonts w:ascii="Times New Roman" w:hAnsi="Times New Roman" w:cs="Times New Roman"/>
          <w:i/>
          <w:sz w:val="20"/>
          <w:szCs w:val="20"/>
        </w:rPr>
        <w:t>verzekeringen</w:t>
      </w:r>
      <w:r w:rsidRPr="002360AB">
        <w:rPr>
          <w:rFonts w:ascii="Times New Roman" w:hAnsi="Times New Roman" w:cs="Times New Roman"/>
          <w:sz w:val="20"/>
          <w:szCs w:val="20"/>
        </w:rPr>
        <w:t>, Antwerpen, 1993, p. 7-8.</w:t>
      </w:r>
    </w:p>
  </w:footnote>
  <w:footnote w:id="1074">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w:t>
      </w:r>
      <w:r w:rsidRPr="00E333B6">
        <w:rPr>
          <w:rFonts w:ascii="Times New Roman" w:hAnsi="Times New Roman" w:cs="Times New Roman"/>
          <w:sz w:val="20"/>
          <w:szCs w:val="20"/>
        </w:rPr>
        <w:t xml:space="preserve">HERVEG, J., </w:t>
      </w:r>
      <w:r w:rsidRPr="00E333B6">
        <w:rPr>
          <w:rFonts w:ascii="Times New Roman" w:hAnsi="Times New Roman" w:cs="Times New Roman"/>
          <w:i/>
          <w:iCs/>
          <w:sz w:val="20"/>
          <w:szCs w:val="20"/>
        </w:rPr>
        <w:t>La protection des données du patient dans l’hôpital</w:t>
      </w:r>
      <w:r w:rsidRPr="00E333B6">
        <w:rPr>
          <w:rFonts w:ascii="Times New Roman" w:hAnsi="Times New Roman" w:cs="Times New Roman"/>
          <w:sz w:val="20"/>
          <w:szCs w:val="20"/>
        </w:rPr>
        <w:t xml:space="preserve">, Waterloo, Kluwer, 2009, p. 20; SAELENS; </w:t>
      </w:r>
      <w:r w:rsidRPr="002360AB">
        <w:rPr>
          <w:rFonts w:ascii="Times New Roman" w:hAnsi="Times New Roman" w:cs="Times New Roman"/>
          <w:sz w:val="20"/>
          <w:szCs w:val="20"/>
        </w:rPr>
        <w:t xml:space="preserve">DE HERT; </w:t>
      </w:r>
      <w:r w:rsidRPr="002360AB">
        <w:rPr>
          <w:rFonts w:ascii="Times New Roman" w:hAnsi="Times New Roman" w:cs="Times New Roman"/>
          <w:i/>
          <w:iCs/>
          <w:sz w:val="20"/>
          <w:szCs w:val="20"/>
        </w:rPr>
        <w:t>De wet patiëntenrechten en de verwerking van gezondheidsgegevens</w:t>
      </w:r>
      <w:r w:rsidRPr="002360AB">
        <w:rPr>
          <w:rFonts w:ascii="Times New Roman" w:hAnsi="Times New Roman" w:cs="Times New Roman"/>
          <w:sz w:val="20"/>
          <w:szCs w:val="20"/>
        </w:rPr>
        <w:t xml:space="preserve">, p. 125; VAN DER STRAETE, I.; PUT, J.; </w:t>
      </w:r>
      <w:r w:rsidRPr="002360AB">
        <w:rPr>
          <w:rFonts w:ascii="Times New Roman" w:hAnsi="Times New Roman" w:cs="Times New Roman"/>
          <w:i/>
          <w:iCs/>
          <w:sz w:val="20"/>
          <w:szCs w:val="20"/>
        </w:rPr>
        <w:t>Beroepsgeheim en hulpverlening</w:t>
      </w:r>
      <w:r w:rsidRPr="002360AB">
        <w:rPr>
          <w:rFonts w:ascii="Times New Roman" w:hAnsi="Times New Roman" w:cs="Times New Roman"/>
          <w:sz w:val="20"/>
          <w:szCs w:val="20"/>
        </w:rPr>
        <w:t>, Brugge, die Keure, 2005, p. 33.</w:t>
      </w:r>
    </w:p>
  </w:footnote>
  <w:footnote w:id="1075">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CALLENS, </w:t>
      </w:r>
      <w:r w:rsidRPr="002360AB">
        <w:rPr>
          <w:rFonts w:ascii="Times New Roman" w:hAnsi="Times New Roman"/>
          <w:i/>
        </w:rPr>
        <w:t>Goed geregeld?</w:t>
      </w:r>
      <w:r w:rsidRPr="002360AB">
        <w:rPr>
          <w:rFonts w:ascii="Times New Roman" w:hAnsi="Times New Roman"/>
        </w:rPr>
        <w:t>, p. 73 (nr. 85).</w:t>
      </w:r>
    </w:p>
  </w:footnote>
  <w:footnote w:id="1076">
    <w:p w:rsidR="00E82D16" w:rsidRPr="00A81034"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Art. 2, b van richtlijn 95/46/EG; art. 3 § 1 Privacywet; art. 2 § 1 Wbp; art. 1 van wet nr. 2004-801 van 6 augustus 2004; CALLENS; GOOSSENS; CIERKENS; p. 325-326 (nr. 823)</w:t>
      </w:r>
      <w:r>
        <w:rPr>
          <w:rFonts w:ascii="Times New Roman" w:hAnsi="Times New Roman" w:cs="Times New Roman"/>
          <w:sz w:val="20"/>
          <w:szCs w:val="20"/>
        </w:rPr>
        <w:t>.</w:t>
      </w:r>
    </w:p>
  </w:footnote>
  <w:footnote w:id="1077">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VANDENDRIESSCHE, p. 535 (voetnoot 15).</w:t>
      </w:r>
    </w:p>
  </w:footnote>
  <w:footnote w:id="1078">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Pr>
          <w:rFonts w:ascii="Times New Roman" w:hAnsi="Times New Roman" w:cs="Times New Roman"/>
          <w:sz w:val="20"/>
          <w:szCs w:val="20"/>
        </w:rPr>
        <w:t xml:space="preserve"> Art. 2, c van Verdrag van Straatsburg; punt 31 van het verklarend rapport bij het Verdrag van Straatsburg; overweging 27 en art. 2, b</w:t>
      </w:r>
      <w:r w:rsidRPr="002360AB">
        <w:rPr>
          <w:rFonts w:ascii="Times New Roman" w:hAnsi="Times New Roman" w:cs="Times New Roman"/>
          <w:sz w:val="20"/>
          <w:szCs w:val="20"/>
        </w:rPr>
        <w:t xml:space="preserve"> van richtlijn 95/46/EG; </w:t>
      </w:r>
      <w:r>
        <w:rPr>
          <w:rFonts w:ascii="Times New Roman" w:hAnsi="Times New Roman" w:cs="Times New Roman"/>
          <w:sz w:val="20"/>
          <w:szCs w:val="20"/>
        </w:rPr>
        <w:t xml:space="preserve">art. 1, e en art. 2.3 </w:t>
      </w:r>
      <w:r w:rsidRPr="00E477A7">
        <w:rPr>
          <w:rFonts w:ascii="Times New Roman" w:hAnsi="Times New Roman" w:cs="Times New Roman"/>
          <w:sz w:val="20"/>
          <w:szCs w:val="20"/>
        </w:rPr>
        <w:t>van richtlijn nr. R(2002)9</w:t>
      </w:r>
      <w:r>
        <w:rPr>
          <w:rFonts w:ascii="Times New Roman" w:hAnsi="Times New Roman" w:cs="Times New Roman"/>
          <w:sz w:val="20"/>
          <w:szCs w:val="20"/>
        </w:rPr>
        <w:t xml:space="preserve">; </w:t>
      </w:r>
      <w:r w:rsidRPr="002360AB">
        <w:rPr>
          <w:rFonts w:ascii="Times New Roman" w:hAnsi="Times New Roman" w:cs="Times New Roman"/>
          <w:sz w:val="20"/>
          <w:szCs w:val="20"/>
        </w:rPr>
        <w:t>art. 1 § 2 Priva</w:t>
      </w:r>
      <w:r>
        <w:rPr>
          <w:rFonts w:ascii="Times New Roman" w:hAnsi="Times New Roman" w:cs="Times New Roman"/>
          <w:sz w:val="20"/>
          <w:szCs w:val="20"/>
        </w:rPr>
        <w:t>-</w:t>
      </w:r>
      <w:r w:rsidRPr="002360AB">
        <w:rPr>
          <w:rFonts w:ascii="Times New Roman" w:hAnsi="Times New Roman" w:cs="Times New Roman"/>
          <w:sz w:val="20"/>
          <w:szCs w:val="20"/>
        </w:rPr>
        <w:t xml:space="preserve">cywet; art. 1, b Wbp; art. 1 van wet nr. 2004-801 van 6 augustus 2004; DE BOT, p. 37-42 (nr. 41-50); HOOGHIEMSTRA; NOUWT; </w:t>
      </w:r>
      <w:r w:rsidRPr="002360AB">
        <w:rPr>
          <w:rFonts w:ascii="Times New Roman" w:hAnsi="Times New Roman" w:cs="Times New Roman"/>
          <w:i/>
          <w:sz w:val="20"/>
          <w:szCs w:val="20"/>
        </w:rPr>
        <w:t>Wet bescherming persoonsgegevens</w:t>
      </w:r>
      <w:r w:rsidRPr="002360AB">
        <w:rPr>
          <w:rFonts w:ascii="Times New Roman" w:hAnsi="Times New Roman" w:cs="Times New Roman"/>
          <w:sz w:val="20"/>
          <w:szCs w:val="20"/>
        </w:rPr>
        <w:t xml:space="preserve">, p. 36-37; KETELAAR, E., ‘Elke handeling telt. Archiefdiensten en de Wet bescherming persoonsgegevens’, </w:t>
      </w:r>
      <w:r w:rsidRPr="002360AB">
        <w:rPr>
          <w:rFonts w:ascii="Times New Roman" w:hAnsi="Times New Roman" w:cs="Times New Roman"/>
          <w:i/>
          <w:sz w:val="20"/>
          <w:szCs w:val="20"/>
        </w:rPr>
        <w:t>Archievenblad</w:t>
      </w:r>
      <w:r w:rsidRPr="002360AB">
        <w:rPr>
          <w:rFonts w:ascii="Times New Roman" w:hAnsi="Times New Roman" w:cs="Times New Roman"/>
          <w:sz w:val="20"/>
          <w:szCs w:val="20"/>
        </w:rPr>
        <w:t>, 104/3 (2000), p. 19; ROBBEN, F., ‘De gevolgen van de Wet Verwerking Persoonsgegevens voor de sector van de gezondheidszorg’, p. 254-255 ID., ‘Toepassingsgebied en begripsdefinities’, p. 12-16.</w:t>
      </w:r>
    </w:p>
  </w:footnote>
  <w:footnote w:id="1079">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LULOFS, M., ‘Privacy in het geding? De Wet bescherming persoonsgegevens (Wbp) en de ontsluiting van archieven door publieke archiefdiensten’, </w:t>
      </w:r>
      <w:r w:rsidRPr="002360AB">
        <w:rPr>
          <w:rFonts w:ascii="Times New Roman" w:hAnsi="Times New Roman"/>
          <w:i/>
        </w:rPr>
        <w:t>Archievenblad</w:t>
      </w:r>
      <w:r w:rsidRPr="002360AB">
        <w:rPr>
          <w:rFonts w:ascii="Times New Roman" w:hAnsi="Times New Roman"/>
        </w:rPr>
        <w:t>, 113/5 (2009), p. 28-29</w:t>
      </w:r>
      <w:r>
        <w:rPr>
          <w:rFonts w:ascii="Times New Roman" w:hAnsi="Times New Roman"/>
        </w:rPr>
        <w:t xml:space="preserve">; </w:t>
      </w:r>
      <w:r w:rsidRPr="002360AB">
        <w:rPr>
          <w:rFonts w:ascii="Times New Roman" w:hAnsi="Times New Roman"/>
        </w:rPr>
        <w:t>ROBBEN, ‘De gevolgen van de Wet Verwerking Persoonsgegevens voor de sector van de gezondheidszorg’, p. 255; ID., ‘Toepassingsgebied en begripsdefinities’, p. 16-18; VANDENDRIESSCHE, p. 535.</w:t>
      </w:r>
    </w:p>
  </w:footnote>
  <w:footnote w:id="1080">
    <w:p w:rsidR="00E82D16" w:rsidRPr="00E333B6" w:rsidRDefault="00E82D16" w:rsidP="000F560E">
      <w:pPr>
        <w:pStyle w:val="Geenafstand"/>
        <w:jc w:val="both"/>
        <w:rPr>
          <w:rFonts w:ascii="Times New Roman" w:hAnsi="Times New Roman" w:cs="Times New Roman"/>
          <w:sz w:val="20"/>
          <w:szCs w:val="20"/>
          <w:lang w:val="fr-BE"/>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CALLENS; GOOSSENS; CIERKENS;  </w:t>
      </w:r>
      <w:r w:rsidRPr="002360AB">
        <w:rPr>
          <w:rFonts w:ascii="Times New Roman" w:hAnsi="Times New Roman" w:cs="Times New Roman"/>
          <w:iCs/>
          <w:sz w:val="20"/>
          <w:szCs w:val="20"/>
        </w:rPr>
        <w:t>p. 325-326 (</w:t>
      </w:r>
      <w:r w:rsidRPr="002360AB">
        <w:rPr>
          <w:rFonts w:ascii="Times New Roman" w:hAnsi="Times New Roman" w:cs="Times New Roman"/>
          <w:sz w:val="20"/>
          <w:szCs w:val="20"/>
        </w:rPr>
        <w:t>nr. 823); DE MOOR, G., ‘Veiligheid en gegevensbe</w:t>
      </w:r>
      <w:r>
        <w:rPr>
          <w:rFonts w:ascii="Times New Roman" w:hAnsi="Times New Roman" w:cs="Times New Roman"/>
          <w:sz w:val="20"/>
          <w:szCs w:val="20"/>
        </w:rPr>
        <w:t>-</w:t>
      </w:r>
      <w:r w:rsidRPr="002360AB">
        <w:rPr>
          <w:rFonts w:ascii="Times New Roman" w:hAnsi="Times New Roman" w:cs="Times New Roman"/>
          <w:sz w:val="20"/>
          <w:szCs w:val="20"/>
        </w:rPr>
        <w:t xml:space="preserve">scherming in informatiesystemen binnen de gezondheidszorg’, </w:t>
      </w:r>
      <w:r w:rsidRPr="002360AB">
        <w:rPr>
          <w:rFonts w:ascii="Times New Roman" w:hAnsi="Times New Roman" w:cs="Times New Roman"/>
          <w:i/>
          <w:sz w:val="20"/>
          <w:szCs w:val="20"/>
        </w:rPr>
        <w:t>A.Hosp.</w:t>
      </w:r>
      <w:r w:rsidRPr="002360AB">
        <w:rPr>
          <w:rFonts w:ascii="Times New Roman" w:hAnsi="Times New Roman" w:cs="Times New Roman"/>
          <w:sz w:val="20"/>
          <w:szCs w:val="20"/>
        </w:rPr>
        <w:t xml:space="preserve">, 1994, 1, p. 37-43; FERRAUD-CIANDET, N., ‘Sécurité et confidentialité des données de santé dans l’Union européenne. </w:t>
      </w:r>
      <w:r w:rsidRPr="00E333B6">
        <w:rPr>
          <w:rFonts w:ascii="Times New Roman" w:hAnsi="Times New Roman" w:cs="Times New Roman"/>
          <w:sz w:val="20"/>
          <w:szCs w:val="20"/>
          <w:lang w:val="fr-BE"/>
        </w:rPr>
        <w:t>Le cadre légal appli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cable aux dossiers médicaux électroniques nationaux’, </w:t>
      </w:r>
      <w:r w:rsidRPr="00E333B6">
        <w:rPr>
          <w:rFonts w:ascii="Times New Roman" w:hAnsi="Times New Roman" w:cs="Times New Roman"/>
          <w:i/>
          <w:sz w:val="20"/>
          <w:szCs w:val="20"/>
          <w:lang w:val="fr-BE"/>
        </w:rPr>
        <w:t>J.D.E.</w:t>
      </w:r>
      <w:r w:rsidRPr="00E333B6">
        <w:rPr>
          <w:rFonts w:ascii="Times New Roman" w:hAnsi="Times New Roman" w:cs="Times New Roman"/>
          <w:sz w:val="20"/>
          <w:szCs w:val="20"/>
          <w:lang w:val="fr-BE"/>
        </w:rPr>
        <w:t xml:space="preserve">, 155 (2009), p. 12-14; HERVEG, J.; VERHAEGEN, M.N.; POULLET, Y.; ‘Les droits du patient face au traitement informatisé de ses données dans une finalité thérapeutique: Les conditions d’une alliance entre informatique, vie privée et santé’, </w:t>
      </w:r>
      <w:r w:rsidRPr="00E333B6">
        <w:rPr>
          <w:rFonts w:ascii="Times New Roman" w:hAnsi="Times New Roman" w:cs="Times New Roman"/>
          <w:i/>
          <w:sz w:val="20"/>
          <w:szCs w:val="20"/>
          <w:lang w:val="fr-BE"/>
        </w:rPr>
        <w:t>T.Gez.</w:t>
      </w:r>
      <w:r w:rsidRPr="00E333B6">
        <w:rPr>
          <w:rFonts w:ascii="Times New Roman" w:hAnsi="Times New Roman" w:cs="Times New Roman"/>
          <w:sz w:val="20"/>
          <w:szCs w:val="20"/>
          <w:lang w:val="fr-BE"/>
        </w:rPr>
        <w:t xml:space="preserve">, 2002-2003, 2, p. 56-84; SURMONT, J., ‘De geautomatiseerde verwerking van persoonsgegevens en privacy’, KEUSTERMANS, J.; ARCKENS, I.; </w:t>
      </w:r>
      <w:r w:rsidRPr="00E333B6">
        <w:rPr>
          <w:rFonts w:ascii="Times New Roman" w:hAnsi="Times New Roman" w:cs="Times New Roman"/>
          <w:i/>
          <w:sz w:val="20"/>
          <w:szCs w:val="20"/>
          <w:lang w:val="fr-BE"/>
        </w:rPr>
        <w:t>Informatica &amp; recht</w:t>
      </w:r>
      <w:r w:rsidRPr="00E333B6">
        <w:rPr>
          <w:rFonts w:ascii="Times New Roman" w:hAnsi="Times New Roman" w:cs="Times New Roman"/>
          <w:sz w:val="20"/>
          <w:szCs w:val="20"/>
          <w:lang w:val="fr-BE"/>
        </w:rPr>
        <w:t xml:space="preserve">, De Bedrijfsbibliotheek, 16, Antwerpen, Kluwer, 1997, p. 135-155; VAN DAMME, J.; NYS, H.; VAN DAMME, T; </w:t>
      </w:r>
      <w:r w:rsidRPr="00E333B6">
        <w:rPr>
          <w:rFonts w:ascii="Times New Roman" w:hAnsi="Times New Roman" w:cs="Times New Roman"/>
          <w:i/>
          <w:iCs/>
          <w:sz w:val="20"/>
          <w:szCs w:val="20"/>
          <w:lang w:val="fr-BE"/>
        </w:rPr>
        <w:t>De arts, de huisarts en zijn dossier</w:t>
      </w:r>
      <w:r w:rsidRPr="00E333B6">
        <w:rPr>
          <w:rFonts w:ascii="Times New Roman" w:hAnsi="Times New Roman" w:cs="Times New Roman"/>
          <w:sz w:val="20"/>
          <w:szCs w:val="20"/>
          <w:lang w:val="fr-BE"/>
        </w:rPr>
        <w:t>, Antwer</w:t>
      </w:r>
      <w:r>
        <w:rPr>
          <w:rFonts w:ascii="Times New Roman" w:hAnsi="Times New Roman" w:cs="Times New Roman"/>
          <w:sz w:val="20"/>
          <w:szCs w:val="20"/>
          <w:lang w:val="fr-BE"/>
        </w:rPr>
        <w:t>-</w:t>
      </w:r>
      <w:r w:rsidRPr="00E333B6">
        <w:rPr>
          <w:rFonts w:ascii="Times New Roman" w:hAnsi="Times New Roman" w:cs="Times New Roman"/>
          <w:sz w:val="20"/>
          <w:szCs w:val="20"/>
          <w:lang w:val="fr-BE"/>
        </w:rPr>
        <w:t>pen, Intersentia, 2003, p. 159.</w:t>
      </w:r>
    </w:p>
  </w:footnote>
  <w:footnote w:id="1081">
    <w:p w:rsidR="00E82D16" w:rsidRPr="002360AB" w:rsidRDefault="00E82D16" w:rsidP="000F560E">
      <w:pPr>
        <w:pStyle w:val="Geenafstand"/>
        <w:jc w:val="both"/>
        <w:rPr>
          <w:rFonts w:ascii="Times New Roman" w:hAnsi="Times New Roman" w:cs="Times New Roman"/>
          <w:sz w:val="20"/>
          <w:szCs w:val="20"/>
        </w:rPr>
      </w:pPr>
      <w:r w:rsidRPr="00DA41CF">
        <w:rPr>
          <w:rStyle w:val="Voetnootmarkering"/>
          <w:rFonts w:ascii="Times New Roman" w:hAnsi="Times New Roman" w:cs="Times New Roman"/>
        </w:rPr>
        <w:footnoteRef/>
      </w:r>
      <w:r w:rsidRPr="00DA41CF">
        <w:rPr>
          <w:rFonts w:ascii="Times New Roman" w:hAnsi="Times New Roman" w:cs="Times New Roman"/>
          <w:sz w:val="20"/>
          <w:szCs w:val="20"/>
        </w:rPr>
        <w:t xml:space="preserve"> </w:t>
      </w:r>
      <w:r w:rsidRPr="00DA437C">
        <w:rPr>
          <w:rFonts w:ascii="Times New Roman" w:hAnsi="Times New Roman" w:cs="Times New Roman"/>
          <w:sz w:val="20"/>
          <w:szCs w:val="20"/>
        </w:rPr>
        <w:t xml:space="preserve">Art. </w:t>
      </w:r>
      <w:r>
        <w:rPr>
          <w:rFonts w:ascii="Times New Roman" w:hAnsi="Times New Roman" w:cs="Times New Roman"/>
          <w:sz w:val="20"/>
          <w:szCs w:val="20"/>
        </w:rPr>
        <w:t>2 van het Verdrag van Straatsburg; punt 30 van het verklarend rapport</w:t>
      </w:r>
      <w:r w:rsidRPr="005F37D0">
        <w:rPr>
          <w:rFonts w:ascii="Times New Roman" w:hAnsi="Times New Roman" w:cs="Times New Roman"/>
          <w:i/>
          <w:color w:val="00B0F0"/>
          <w:sz w:val="20"/>
          <w:szCs w:val="20"/>
        </w:rPr>
        <w:t xml:space="preserve"> </w:t>
      </w:r>
      <w:r>
        <w:rPr>
          <w:rFonts w:ascii="Times New Roman" w:hAnsi="Times New Roman" w:cs="Times New Roman"/>
          <w:sz w:val="20"/>
          <w:szCs w:val="20"/>
        </w:rPr>
        <w:t xml:space="preserve">bij het Verdrag van Straatsburg; overweging 27 en art. </w:t>
      </w:r>
      <w:r w:rsidRPr="00DA437C">
        <w:rPr>
          <w:rFonts w:ascii="Times New Roman" w:hAnsi="Times New Roman" w:cs="Times New Roman"/>
          <w:sz w:val="20"/>
          <w:szCs w:val="20"/>
        </w:rPr>
        <w:t xml:space="preserve">2, e van richtlijn 95/46/EG; art. 1 § 3 Privacywet; art. 1, c Wbp; art. 2, laatste lid van wet nr. 78-17 van 6 januari 1978, gewijzigd door art. 1 van wet nr. 2004-801 van 6 augustus 2004; CALLENS, </w:t>
      </w:r>
      <w:r w:rsidRPr="00DA437C">
        <w:rPr>
          <w:rFonts w:ascii="Times New Roman" w:hAnsi="Times New Roman" w:cs="Times New Roman"/>
          <w:i/>
          <w:sz w:val="20"/>
          <w:szCs w:val="20"/>
        </w:rPr>
        <w:t>Goed geregeld?</w:t>
      </w:r>
      <w:r w:rsidRPr="00DA437C">
        <w:rPr>
          <w:rFonts w:ascii="Times New Roman" w:hAnsi="Times New Roman" w:cs="Times New Roman"/>
          <w:sz w:val="20"/>
          <w:szCs w:val="20"/>
        </w:rPr>
        <w:t xml:space="preserve">, p. 220 (nr. 249); CALLENS; GOOSSENS; CIERKENS; p. 326 (nrs. 824-826); DE BOT, p. 42-45 (nr. 51-57); DE HERT, P.; PISSOORT, D.; ‘Het toepassingsgebied van de wet’, DE HERT, P. (red.), </w:t>
      </w:r>
      <w:r w:rsidRPr="00DA437C">
        <w:rPr>
          <w:rFonts w:ascii="Times New Roman" w:hAnsi="Times New Roman" w:cs="Times New Roman"/>
          <w:i/>
          <w:iCs/>
          <w:sz w:val="20"/>
          <w:szCs w:val="20"/>
        </w:rPr>
        <w:t>Privacy en persoonsgegevens</w:t>
      </w:r>
      <w:r w:rsidRPr="00DA437C">
        <w:rPr>
          <w:rFonts w:ascii="Times New Roman" w:hAnsi="Times New Roman" w:cs="Times New Roman"/>
          <w:sz w:val="20"/>
          <w:szCs w:val="20"/>
        </w:rPr>
        <w:t>, Brussel</w:t>
      </w:r>
      <w:r w:rsidRPr="00DA41CF">
        <w:rPr>
          <w:rFonts w:ascii="Times New Roman" w:hAnsi="Times New Roman" w:cs="Times New Roman"/>
          <w:sz w:val="20"/>
          <w:szCs w:val="20"/>
        </w:rPr>
        <w:t xml:space="preserve">, Politeia, 2005 (losbl.), titel II/50 - titel II/53; DUMORTIER, J., ‘De verplichtingen van de houder van het bestand’, DUMORTIER, J.; ROBBEN, F.; </w:t>
      </w:r>
      <w:r w:rsidRPr="00DA41CF">
        <w:rPr>
          <w:rFonts w:ascii="Times New Roman" w:hAnsi="Times New Roman" w:cs="Times New Roman"/>
          <w:i/>
          <w:sz w:val="20"/>
          <w:szCs w:val="20"/>
        </w:rPr>
        <w:t>Persoonsgegevens en privacybescherming. Commentaar op de wet tot bescherming van de persoonlijke levenssfeer</w:t>
      </w:r>
      <w:r w:rsidRPr="00DA41CF">
        <w:rPr>
          <w:rFonts w:ascii="Times New Roman" w:hAnsi="Times New Roman" w:cs="Times New Roman"/>
          <w:sz w:val="20"/>
          <w:szCs w:val="20"/>
        </w:rPr>
        <w:t xml:space="preserve">, ICRI, 4, Brugge, die Keure, 1995, p. 65-120; ID., ‘Wanneer is een dossier een bestand in de zin van de privacywet?’, </w:t>
      </w:r>
      <w:r w:rsidRPr="00DA41CF">
        <w:rPr>
          <w:rFonts w:ascii="Times New Roman" w:hAnsi="Times New Roman" w:cs="Times New Roman"/>
          <w:i/>
          <w:sz w:val="20"/>
          <w:szCs w:val="20"/>
        </w:rPr>
        <w:t>Computerr.</w:t>
      </w:r>
      <w:r w:rsidRPr="00DA41CF">
        <w:rPr>
          <w:rFonts w:ascii="Times New Roman" w:hAnsi="Times New Roman" w:cs="Times New Roman"/>
          <w:sz w:val="20"/>
          <w:szCs w:val="20"/>
        </w:rPr>
        <w:t>, 1997, 4, p. 163-164; OOSTERLINCK, K., ‘Het belang van de wet van 8 december 1992 tot bescherming van de persoonlijke le</w:t>
      </w:r>
      <w:r>
        <w:rPr>
          <w:rFonts w:ascii="Times New Roman" w:hAnsi="Times New Roman" w:cs="Times New Roman"/>
          <w:sz w:val="20"/>
          <w:szCs w:val="20"/>
        </w:rPr>
        <w:t>-</w:t>
      </w:r>
      <w:r w:rsidRPr="00DA41CF">
        <w:rPr>
          <w:rFonts w:ascii="Times New Roman" w:hAnsi="Times New Roman" w:cs="Times New Roman"/>
          <w:sz w:val="20"/>
          <w:szCs w:val="20"/>
        </w:rPr>
        <w:t xml:space="preserve">venssfeer ten opzichte van de verwerking van persoonsgegevens’, p. 89; QUINTIN, E., ‘Het finaliteitsprincipe en de verplichtingen van de houder van het bestand’, </w:t>
      </w:r>
      <w:r w:rsidRPr="00DA41CF">
        <w:rPr>
          <w:rFonts w:ascii="Times New Roman" w:hAnsi="Times New Roman" w:cs="Times New Roman"/>
          <w:i/>
          <w:sz w:val="20"/>
          <w:szCs w:val="20"/>
        </w:rPr>
        <w:t>B.T.S.Z.</w:t>
      </w:r>
      <w:r w:rsidRPr="00DA41CF">
        <w:rPr>
          <w:rFonts w:ascii="Times New Roman" w:hAnsi="Times New Roman" w:cs="Times New Roman"/>
          <w:sz w:val="20"/>
          <w:szCs w:val="20"/>
        </w:rPr>
        <w:t xml:space="preserve">, 1993, p. 237-261; </w:t>
      </w:r>
      <w:r w:rsidRPr="002360AB">
        <w:rPr>
          <w:rFonts w:ascii="Times New Roman" w:hAnsi="Times New Roman" w:cs="Times New Roman"/>
          <w:sz w:val="20"/>
          <w:szCs w:val="20"/>
        </w:rPr>
        <w:t xml:space="preserve">VAN DER STRAETE; PUT; </w:t>
      </w:r>
      <w:r w:rsidRPr="002360AB">
        <w:rPr>
          <w:rFonts w:ascii="Times New Roman" w:hAnsi="Times New Roman" w:cs="Times New Roman"/>
          <w:i/>
          <w:iCs/>
          <w:sz w:val="20"/>
          <w:szCs w:val="20"/>
        </w:rPr>
        <w:t>Beroepsgeheim en hulpverlening</w:t>
      </w:r>
      <w:r w:rsidRPr="002360AB">
        <w:rPr>
          <w:rFonts w:ascii="Times New Roman" w:hAnsi="Times New Roman" w:cs="Times New Roman"/>
          <w:sz w:val="20"/>
          <w:szCs w:val="20"/>
        </w:rPr>
        <w:t xml:space="preserve">, p. 30-31; VERCRUYSSEN, W., ‘De Privacy-wet’ en de gevolgen voor de patiëntenbestanden in de ziekenhuizen’, </w:t>
      </w:r>
      <w:r w:rsidRPr="002360AB">
        <w:rPr>
          <w:rFonts w:ascii="Times New Roman" w:hAnsi="Times New Roman" w:cs="Times New Roman"/>
          <w:i/>
          <w:sz w:val="20"/>
          <w:szCs w:val="20"/>
        </w:rPr>
        <w:t>Hosp.</w:t>
      </w:r>
      <w:r w:rsidRPr="002360AB">
        <w:rPr>
          <w:rFonts w:ascii="Times New Roman" w:hAnsi="Times New Roman" w:cs="Times New Roman"/>
          <w:sz w:val="20"/>
          <w:szCs w:val="20"/>
        </w:rPr>
        <w:t>, 1995, p. 43-47; ID., ‘Draagwijdte van de noties ‘dossiers’ en ‘be</w:t>
      </w:r>
      <w:r>
        <w:rPr>
          <w:rFonts w:ascii="Times New Roman" w:hAnsi="Times New Roman" w:cs="Times New Roman"/>
          <w:sz w:val="20"/>
          <w:szCs w:val="20"/>
        </w:rPr>
        <w:t>-</w:t>
      </w:r>
      <w:r w:rsidRPr="002360AB">
        <w:rPr>
          <w:rFonts w:ascii="Times New Roman" w:hAnsi="Times New Roman" w:cs="Times New Roman"/>
          <w:sz w:val="20"/>
          <w:szCs w:val="20"/>
        </w:rPr>
        <w:t xml:space="preserve">standen’ in het kader van de wet verwerking persoonsgegevens (W.V.P.) en de wet op de ziekenhuizen (W.Z.)’, </w:t>
      </w:r>
      <w:r w:rsidRPr="002360AB">
        <w:rPr>
          <w:rFonts w:ascii="Times New Roman" w:hAnsi="Times New Roman" w:cs="Times New Roman"/>
          <w:i/>
          <w:sz w:val="20"/>
          <w:szCs w:val="20"/>
        </w:rPr>
        <w:t>T.Gez.</w:t>
      </w:r>
      <w:r w:rsidRPr="002360AB">
        <w:rPr>
          <w:rFonts w:ascii="Times New Roman" w:hAnsi="Times New Roman" w:cs="Times New Roman"/>
          <w:sz w:val="20"/>
          <w:szCs w:val="20"/>
        </w:rPr>
        <w:t>, 1997-1998, p. 335-337.</w:t>
      </w:r>
    </w:p>
  </w:footnote>
  <w:footnote w:id="1082">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Artikel 1 §3 van de privacywet.</w:t>
      </w:r>
    </w:p>
  </w:footnote>
  <w:footnote w:id="1083">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Pr>
          <w:rFonts w:ascii="Times New Roman" w:hAnsi="Times New Roman" w:cs="Times New Roman"/>
          <w:sz w:val="20"/>
          <w:szCs w:val="20"/>
        </w:rPr>
        <w:t xml:space="preserve"> HEYLEN, R., ‘</w:t>
      </w:r>
      <w:r w:rsidRPr="002360AB">
        <w:rPr>
          <w:rFonts w:ascii="Times New Roman" w:hAnsi="Times New Roman" w:cs="Times New Roman"/>
          <w:sz w:val="20"/>
          <w:szCs w:val="20"/>
        </w:rPr>
        <w:t>Het medisch dossier en de Wet Patiëntenrechten: vele verduidelijkingen, ma</w:t>
      </w:r>
      <w:r>
        <w:rPr>
          <w:rFonts w:ascii="Times New Roman" w:hAnsi="Times New Roman" w:cs="Times New Roman"/>
          <w:sz w:val="20"/>
          <w:szCs w:val="20"/>
        </w:rPr>
        <w:t>ar toch enkele nieuwe problemen’</w:t>
      </w:r>
      <w:r w:rsidRPr="002360AB">
        <w:rPr>
          <w:rFonts w:ascii="Times New Roman" w:hAnsi="Times New Roman" w:cs="Times New Roman"/>
          <w:sz w:val="20"/>
          <w:szCs w:val="20"/>
        </w:rPr>
        <w:t xml:space="preserve">, </w:t>
      </w:r>
      <w:r>
        <w:rPr>
          <w:rFonts w:ascii="Times New Roman" w:hAnsi="Times New Roman" w:cs="Times New Roman"/>
          <w:i/>
          <w:iCs/>
          <w:sz w:val="20"/>
          <w:szCs w:val="20"/>
        </w:rPr>
        <w:t>T.Gez.</w:t>
      </w:r>
      <w:r w:rsidRPr="002360AB">
        <w:rPr>
          <w:rFonts w:ascii="Times New Roman" w:hAnsi="Times New Roman" w:cs="Times New Roman"/>
          <w:sz w:val="20"/>
          <w:szCs w:val="20"/>
        </w:rPr>
        <w:t>, 2003-2004, p. 94;</w:t>
      </w:r>
      <w:r w:rsidRPr="00E333B6">
        <w:rPr>
          <w:rFonts w:ascii="Times New Roman" w:hAnsi="Times New Roman" w:cs="Times New Roman"/>
          <w:sz w:val="20"/>
          <w:szCs w:val="20"/>
        </w:rPr>
        <w:t xml:space="preserve"> THIEL, P., </w:t>
      </w:r>
      <w:r w:rsidRPr="00E333B6">
        <w:rPr>
          <w:rFonts w:ascii="Times New Roman" w:hAnsi="Times New Roman" w:cs="Times New Roman"/>
          <w:i/>
          <w:iCs/>
          <w:sz w:val="20"/>
          <w:szCs w:val="20"/>
        </w:rPr>
        <w:t>Les hôpitaux en Belgique: fonctionnement et finance</w:t>
      </w:r>
      <w:r>
        <w:rPr>
          <w:rFonts w:ascii="Times New Roman" w:hAnsi="Times New Roman" w:cs="Times New Roman"/>
          <w:i/>
          <w:iCs/>
          <w:sz w:val="20"/>
          <w:szCs w:val="20"/>
        </w:rPr>
        <w:t>-</w:t>
      </w:r>
      <w:r w:rsidRPr="00E333B6">
        <w:rPr>
          <w:rFonts w:ascii="Times New Roman" w:hAnsi="Times New Roman" w:cs="Times New Roman"/>
          <w:i/>
          <w:iCs/>
          <w:sz w:val="20"/>
          <w:szCs w:val="20"/>
        </w:rPr>
        <w:t>ment</w:t>
      </w:r>
      <w:r w:rsidRPr="00E333B6">
        <w:rPr>
          <w:rFonts w:ascii="Times New Roman" w:hAnsi="Times New Roman" w:cs="Times New Roman"/>
          <w:sz w:val="20"/>
          <w:szCs w:val="20"/>
        </w:rPr>
        <w:t>, Brussel, Kluwer, 2000, p. 90.</w:t>
      </w:r>
    </w:p>
  </w:footnote>
  <w:footnote w:id="1084">
    <w:p w:rsidR="00E82D16" w:rsidRPr="007B62A6" w:rsidRDefault="00E82D16" w:rsidP="000F560E">
      <w:pPr>
        <w:pStyle w:val="Voetnoottekst"/>
        <w:jc w:val="both"/>
        <w:rPr>
          <w:rFonts w:ascii="Times New Roman" w:hAnsi="Times New Roman"/>
        </w:rPr>
      </w:pPr>
      <w:r w:rsidRPr="007B62A6">
        <w:rPr>
          <w:rStyle w:val="Voetnootmarkering"/>
          <w:rFonts w:ascii="Times New Roman" w:hAnsi="Times New Roman"/>
        </w:rPr>
        <w:footnoteRef/>
      </w:r>
      <w:r w:rsidRPr="007B62A6">
        <w:rPr>
          <w:rFonts w:ascii="Times New Roman" w:hAnsi="Times New Roman"/>
        </w:rPr>
        <w:t xml:space="preserve"> Advies 26/97 van 11 september 1997 van het CBPL betreffende het ontwerp van archiefwet; VELLE; VANDERMAESEN; </w:t>
      </w:r>
      <w:r w:rsidRPr="007B62A6">
        <w:rPr>
          <w:rFonts w:ascii="Times New Roman" w:hAnsi="Times New Roman"/>
          <w:i/>
        </w:rPr>
        <w:t>Inleiding tot het Belgische archiefrecht</w:t>
      </w:r>
      <w:r w:rsidRPr="007B62A6">
        <w:rPr>
          <w:rFonts w:ascii="Times New Roman" w:hAnsi="Times New Roman"/>
        </w:rPr>
        <w:t>, p. 143.</w:t>
      </w:r>
    </w:p>
  </w:footnote>
  <w:footnote w:id="1085">
    <w:p w:rsidR="00E82D16" w:rsidRPr="002360AB" w:rsidRDefault="00E82D16" w:rsidP="000F560E">
      <w:pPr>
        <w:pStyle w:val="Geenafstand"/>
        <w:jc w:val="both"/>
        <w:rPr>
          <w:rFonts w:ascii="Times New Roman" w:hAnsi="Times New Roman" w:cs="Times New Roman"/>
          <w:sz w:val="20"/>
          <w:szCs w:val="20"/>
        </w:rPr>
      </w:pPr>
      <w:r w:rsidRPr="006E0436">
        <w:rPr>
          <w:rStyle w:val="Voetnootmarkering"/>
          <w:rFonts w:ascii="Times New Roman" w:hAnsi="Times New Roman" w:cs="Times New Roman"/>
        </w:rPr>
        <w:footnoteRef/>
      </w:r>
      <w:r w:rsidRPr="00E333B6">
        <w:rPr>
          <w:rFonts w:ascii="Times New Roman" w:hAnsi="Times New Roman" w:cs="Times New Roman"/>
          <w:sz w:val="20"/>
          <w:szCs w:val="20"/>
          <w:lang w:val="fr-BE"/>
        </w:rPr>
        <w:t xml:space="preserve"> </w:t>
      </w:r>
      <w:r w:rsidRPr="00E333B6">
        <w:rPr>
          <w:rFonts w:ascii="Times New Roman" w:hAnsi="Times New Roman" w:cs="Times New Roman"/>
          <w:i/>
          <w:iCs/>
          <w:sz w:val="20"/>
          <w:szCs w:val="20"/>
          <w:lang w:val="fr-BE"/>
        </w:rPr>
        <w:t xml:space="preserve">Parl.St. </w:t>
      </w:r>
      <w:r w:rsidRPr="00E333B6">
        <w:rPr>
          <w:rFonts w:ascii="Times New Roman" w:hAnsi="Times New Roman" w:cs="Times New Roman"/>
          <w:sz w:val="20"/>
          <w:szCs w:val="20"/>
          <w:lang w:val="fr-BE"/>
        </w:rPr>
        <w:t xml:space="preserve">Kamer, 1997-1998, nr. 1566/1, p. 14; LELEU, Y.H.; GENICOT, G.; </w:t>
      </w:r>
      <w:r w:rsidRPr="00E333B6">
        <w:rPr>
          <w:rFonts w:ascii="Times New Roman" w:hAnsi="Times New Roman" w:cs="Times New Roman"/>
          <w:i/>
          <w:iCs/>
          <w:sz w:val="20"/>
          <w:szCs w:val="20"/>
          <w:lang w:val="fr-BE"/>
        </w:rPr>
        <w:t xml:space="preserve">Le droit médical. </w:t>
      </w:r>
      <w:r w:rsidRPr="006E0436">
        <w:rPr>
          <w:rFonts w:ascii="Times New Roman" w:hAnsi="Times New Roman" w:cs="Times New Roman"/>
          <w:i/>
          <w:iCs/>
          <w:sz w:val="20"/>
          <w:szCs w:val="20"/>
        </w:rPr>
        <w:t>Aspects juri</w:t>
      </w:r>
      <w:r>
        <w:rPr>
          <w:rFonts w:ascii="Times New Roman" w:hAnsi="Times New Roman" w:cs="Times New Roman"/>
          <w:i/>
          <w:iCs/>
          <w:sz w:val="20"/>
          <w:szCs w:val="20"/>
        </w:rPr>
        <w:t>-</w:t>
      </w:r>
      <w:r w:rsidRPr="006E0436">
        <w:rPr>
          <w:rFonts w:ascii="Times New Roman" w:hAnsi="Times New Roman" w:cs="Times New Roman"/>
          <w:i/>
          <w:iCs/>
          <w:sz w:val="20"/>
          <w:szCs w:val="20"/>
        </w:rPr>
        <w:t>diques de la relation médecin-patient</w:t>
      </w:r>
      <w:r w:rsidRPr="006E0436">
        <w:rPr>
          <w:rFonts w:ascii="Times New Roman" w:hAnsi="Times New Roman" w:cs="Times New Roman"/>
          <w:sz w:val="20"/>
          <w:szCs w:val="20"/>
        </w:rPr>
        <w:t xml:space="preserve">, Droit actuel, Brussel, De Boeck &amp; Larcier, 2001, p. 193; </w:t>
      </w:r>
      <w:r w:rsidRPr="002360AB">
        <w:rPr>
          <w:rFonts w:ascii="Times New Roman" w:hAnsi="Times New Roman" w:cs="Times New Roman"/>
          <w:sz w:val="20"/>
          <w:szCs w:val="20"/>
        </w:rPr>
        <w:t>OOSTERLINCK, K., ‘Het belang van de wet van 8 december 1992 tot bescherming van de persoonlijke levens</w:t>
      </w:r>
      <w:r>
        <w:rPr>
          <w:rFonts w:ascii="Times New Roman" w:hAnsi="Times New Roman" w:cs="Times New Roman"/>
          <w:sz w:val="20"/>
          <w:szCs w:val="20"/>
        </w:rPr>
        <w:t>-</w:t>
      </w:r>
      <w:r w:rsidRPr="002360AB">
        <w:rPr>
          <w:rFonts w:ascii="Times New Roman" w:hAnsi="Times New Roman" w:cs="Times New Roman"/>
          <w:sz w:val="20"/>
          <w:szCs w:val="20"/>
        </w:rPr>
        <w:t>sfeer ten opzichte van de verwerking van persoonsgegevens’, p. 89.</w:t>
      </w:r>
    </w:p>
  </w:footnote>
  <w:footnote w:id="1086">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w:t>
      </w:r>
      <w:r w:rsidRPr="002360AB">
        <w:rPr>
          <w:rFonts w:ascii="Times New Roman" w:hAnsi="Times New Roman"/>
          <w:i/>
          <w:iCs/>
        </w:rPr>
        <w:t xml:space="preserve">Parl.St. </w:t>
      </w:r>
      <w:r w:rsidRPr="002360AB">
        <w:rPr>
          <w:rFonts w:ascii="Times New Roman" w:hAnsi="Times New Roman"/>
        </w:rPr>
        <w:t>Kamer, 1997-1998, nr. 1566/1, p. 15.</w:t>
      </w:r>
    </w:p>
  </w:footnote>
  <w:footnote w:id="1087">
    <w:p w:rsidR="00E82D16" w:rsidRPr="002360AB" w:rsidRDefault="00E82D16" w:rsidP="000F560E">
      <w:pPr>
        <w:pStyle w:val="Voetnoottekst"/>
        <w:jc w:val="both"/>
        <w:rPr>
          <w:rFonts w:ascii="Times New Roman" w:hAnsi="Times New Roman"/>
        </w:rPr>
      </w:pPr>
      <w:r w:rsidRPr="006E0436">
        <w:rPr>
          <w:rStyle w:val="Voetnootmarkering"/>
          <w:rFonts w:ascii="Times New Roman" w:hAnsi="Times New Roman"/>
        </w:rPr>
        <w:footnoteRef/>
      </w:r>
      <w:r w:rsidRPr="006E0436">
        <w:rPr>
          <w:rFonts w:ascii="Times New Roman" w:hAnsi="Times New Roman"/>
        </w:rPr>
        <w:t xml:space="preserve"> Art. </w:t>
      </w:r>
      <w:r>
        <w:rPr>
          <w:rFonts w:ascii="Times New Roman" w:hAnsi="Times New Roman"/>
        </w:rPr>
        <w:t>2, d van het Verdrag van Straatsburg; punt 32 van het verklarend rapport</w:t>
      </w:r>
      <w:r w:rsidRPr="00F56FD0">
        <w:rPr>
          <w:rFonts w:ascii="Times New Roman" w:hAnsi="Times New Roman"/>
          <w:color w:val="00B0F0"/>
        </w:rPr>
        <w:t xml:space="preserve"> </w:t>
      </w:r>
      <w:r>
        <w:rPr>
          <w:rFonts w:ascii="Times New Roman" w:hAnsi="Times New Roman"/>
        </w:rPr>
        <w:t xml:space="preserve">bij het Verdrag van Straats-burg; overweging 47 en art. 2, d van richtlijn 95/46/EG; art. </w:t>
      </w:r>
      <w:r w:rsidRPr="006E0436">
        <w:rPr>
          <w:rFonts w:ascii="Times New Roman" w:hAnsi="Times New Roman"/>
        </w:rPr>
        <w:t xml:space="preserve">1 § 4 Privacywet; </w:t>
      </w:r>
      <w:r>
        <w:rPr>
          <w:rFonts w:ascii="Times New Roman" w:hAnsi="Times New Roman"/>
        </w:rPr>
        <w:t xml:space="preserve">art. 1, d Wbp; </w:t>
      </w:r>
      <w:r w:rsidRPr="00DA437C">
        <w:rPr>
          <w:rFonts w:ascii="Times New Roman" w:hAnsi="Times New Roman"/>
        </w:rPr>
        <w:t xml:space="preserve">art. </w:t>
      </w:r>
      <w:r>
        <w:rPr>
          <w:rFonts w:ascii="Times New Roman" w:hAnsi="Times New Roman"/>
        </w:rPr>
        <w:t>3 § 1</w:t>
      </w:r>
      <w:r w:rsidRPr="00DA437C">
        <w:rPr>
          <w:rFonts w:ascii="Times New Roman" w:hAnsi="Times New Roman"/>
        </w:rPr>
        <w:t xml:space="preserve"> van wet nr. 78-17 van 6 januari 1978, gewijzigd door art. 1 van wet nr. 2004-801 van 6 augustus 2004</w:t>
      </w:r>
      <w:r>
        <w:rPr>
          <w:rFonts w:ascii="Times New Roman" w:hAnsi="Times New Roman"/>
        </w:rPr>
        <w:t xml:space="preserve">; </w:t>
      </w:r>
      <w:r w:rsidRPr="006E0436">
        <w:rPr>
          <w:rFonts w:ascii="Times New Roman" w:hAnsi="Times New Roman"/>
        </w:rPr>
        <w:t xml:space="preserve">DE BOT, p. 45-52 (nr. 58-66); ID., ‘De aangestelde voor de gegevensbescherming </w:t>
      </w:r>
      <w:r w:rsidRPr="002360AB">
        <w:rPr>
          <w:rFonts w:ascii="Times New Roman" w:hAnsi="Times New Roman"/>
        </w:rPr>
        <w:t xml:space="preserve">inzake de verwerking van persoonsgegevens’, </w:t>
      </w:r>
      <w:r w:rsidRPr="002360AB">
        <w:rPr>
          <w:rFonts w:ascii="Times New Roman" w:hAnsi="Times New Roman"/>
          <w:i/>
        </w:rPr>
        <w:t>Computerr.</w:t>
      </w:r>
      <w:r w:rsidRPr="002360AB">
        <w:rPr>
          <w:rFonts w:ascii="Times New Roman" w:hAnsi="Times New Roman"/>
        </w:rPr>
        <w:t xml:space="preserve">, 1999, 6, p. 279-288; HOOGHIEMSTRA; NOUWT; </w:t>
      </w:r>
      <w:r w:rsidRPr="002360AB">
        <w:rPr>
          <w:rFonts w:ascii="Times New Roman" w:hAnsi="Times New Roman"/>
          <w:i/>
        </w:rPr>
        <w:t>Wet bescherming persoonsgegevens</w:t>
      </w:r>
      <w:r w:rsidRPr="002360AB">
        <w:rPr>
          <w:rFonts w:ascii="Times New Roman" w:hAnsi="Times New Roman"/>
        </w:rPr>
        <w:t>, p. 38-39.</w:t>
      </w:r>
    </w:p>
  </w:footnote>
  <w:footnote w:id="1088">
    <w:p w:rsidR="00E82D16" w:rsidRPr="002015B8" w:rsidRDefault="00E82D16" w:rsidP="000F560E">
      <w:pPr>
        <w:pStyle w:val="Voetnoottekst"/>
        <w:rPr>
          <w:rFonts w:ascii="Times New Roman" w:hAnsi="Times New Roman"/>
        </w:rPr>
      </w:pPr>
      <w:r w:rsidRPr="002015B8">
        <w:rPr>
          <w:rStyle w:val="Voetnootmarkering"/>
          <w:rFonts w:ascii="Times New Roman" w:hAnsi="Times New Roman"/>
        </w:rPr>
        <w:footnoteRef/>
      </w:r>
      <w:r w:rsidRPr="002015B8">
        <w:rPr>
          <w:rFonts w:ascii="Times New Roman" w:hAnsi="Times New Roman"/>
        </w:rPr>
        <w:t xml:space="preserve"> VELLE; VANDERMAESEN; </w:t>
      </w:r>
      <w:r w:rsidRPr="002015B8">
        <w:rPr>
          <w:rFonts w:ascii="Times New Roman" w:hAnsi="Times New Roman"/>
          <w:i/>
        </w:rPr>
        <w:t>Inleiding tot het Belgische archiefrecht</w:t>
      </w:r>
      <w:r w:rsidRPr="002015B8">
        <w:rPr>
          <w:rFonts w:ascii="Times New Roman" w:hAnsi="Times New Roman"/>
        </w:rPr>
        <w:t>, p. 143.</w:t>
      </w:r>
    </w:p>
  </w:footnote>
  <w:footnote w:id="1089">
    <w:p w:rsidR="00E82D16" w:rsidRPr="002360AB" w:rsidRDefault="00E82D16" w:rsidP="000F560E">
      <w:pPr>
        <w:pStyle w:val="Geenafstand"/>
        <w:jc w:val="both"/>
        <w:rPr>
          <w:rFonts w:ascii="Times New Roman" w:hAnsi="Times New Roman" w:cs="Times New Roman"/>
          <w:sz w:val="20"/>
          <w:szCs w:val="20"/>
        </w:rPr>
      </w:pPr>
      <w:r w:rsidRPr="002360AB">
        <w:rPr>
          <w:rStyle w:val="Voetnootmarkering"/>
          <w:rFonts w:ascii="Times New Roman" w:hAnsi="Times New Roman" w:cs="Times New Roman"/>
        </w:rPr>
        <w:footnoteRef/>
      </w:r>
      <w:r w:rsidRPr="002360AB">
        <w:rPr>
          <w:rFonts w:ascii="Times New Roman" w:hAnsi="Times New Roman" w:cs="Times New Roman"/>
          <w:sz w:val="20"/>
          <w:szCs w:val="20"/>
        </w:rPr>
        <w:t xml:space="preserve"> </w:t>
      </w:r>
      <w:r w:rsidRPr="002360AB">
        <w:rPr>
          <w:rFonts w:ascii="Times New Roman" w:hAnsi="Times New Roman" w:cs="Times New Roman"/>
          <w:i/>
          <w:iCs/>
          <w:sz w:val="20"/>
          <w:szCs w:val="20"/>
        </w:rPr>
        <w:t xml:space="preserve">Parl.St. </w:t>
      </w:r>
      <w:r w:rsidRPr="002360AB">
        <w:rPr>
          <w:rFonts w:ascii="Times New Roman" w:hAnsi="Times New Roman" w:cs="Times New Roman"/>
          <w:sz w:val="20"/>
          <w:szCs w:val="20"/>
        </w:rPr>
        <w:t>Kamer, 1997-1998, nr. 1566/1, p. 15.</w:t>
      </w:r>
    </w:p>
  </w:footnote>
  <w:footnote w:id="1090">
    <w:p w:rsidR="00E82D16" w:rsidRPr="00DA437C" w:rsidRDefault="00E82D16" w:rsidP="000F560E">
      <w:pPr>
        <w:pStyle w:val="Voetnoottekst"/>
        <w:jc w:val="both"/>
        <w:rPr>
          <w:rFonts w:ascii="Times New Roman" w:hAnsi="Times New Roman"/>
        </w:rPr>
      </w:pPr>
      <w:r w:rsidRPr="00A50E1A">
        <w:rPr>
          <w:rStyle w:val="Voetnootmarkering"/>
          <w:rFonts w:ascii="Times New Roman" w:hAnsi="Times New Roman"/>
        </w:rPr>
        <w:footnoteRef/>
      </w:r>
      <w:r w:rsidRPr="00A50E1A">
        <w:rPr>
          <w:rFonts w:ascii="Times New Roman" w:hAnsi="Times New Roman"/>
        </w:rPr>
        <w:t xml:space="preserve"> Aanbeveling nr. R(89)2 van het Comité van Ministers aan de Lidstaten over de bescherming van persoons</w:t>
      </w:r>
      <w:r>
        <w:rPr>
          <w:rFonts w:ascii="Times New Roman" w:hAnsi="Times New Roman"/>
        </w:rPr>
        <w:t>-</w:t>
      </w:r>
      <w:r w:rsidRPr="00A50E1A">
        <w:rPr>
          <w:rFonts w:ascii="Times New Roman" w:hAnsi="Times New Roman"/>
        </w:rPr>
        <w:t>gegevens gebruikt voor aanwervingsdoeleinden; overweging 33 en art. 8 § 3 van richtlijn 95/46/EG; punt 3.2 van aanbeveling nr. R(97)5</w:t>
      </w:r>
      <w:r>
        <w:rPr>
          <w:rFonts w:ascii="Times New Roman" w:hAnsi="Times New Roman"/>
        </w:rPr>
        <w:t xml:space="preserve">; </w:t>
      </w:r>
      <w:r w:rsidRPr="00E257EB">
        <w:rPr>
          <w:rFonts w:ascii="Times New Roman" w:hAnsi="Times New Roman"/>
        </w:rPr>
        <w:t xml:space="preserve">art. 7 § 4, derde lid Privacywet; art. 21 § 2 </w:t>
      </w:r>
      <w:r w:rsidRPr="00DA437C">
        <w:rPr>
          <w:rFonts w:ascii="Times New Roman" w:hAnsi="Times New Roman"/>
        </w:rPr>
        <w:t xml:space="preserve">Wbp; art. 8 § 2, 6° van wet </w:t>
      </w:r>
      <w:r w:rsidRPr="00E257EB">
        <w:rPr>
          <w:rFonts w:ascii="Times New Roman" w:hAnsi="Times New Roman"/>
        </w:rPr>
        <w:t xml:space="preserve">nr. 78-17 van 6 januari 1978, </w:t>
      </w:r>
      <w:r>
        <w:rPr>
          <w:rFonts w:ascii="Times New Roman" w:hAnsi="Times New Roman"/>
        </w:rPr>
        <w:t>gewijzigd</w:t>
      </w:r>
      <w:r w:rsidRPr="00E257EB">
        <w:rPr>
          <w:rFonts w:ascii="Times New Roman" w:hAnsi="Times New Roman"/>
        </w:rPr>
        <w:t xml:space="preserve"> door art. 2 van wet n</w:t>
      </w:r>
      <w:r>
        <w:rPr>
          <w:rFonts w:ascii="Times New Roman" w:hAnsi="Times New Roman"/>
        </w:rPr>
        <w:t>r. 2004-801 van 6 augustus 2004</w:t>
      </w:r>
      <w:r w:rsidRPr="00DA437C">
        <w:rPr>
          <w:rFonts w:ascii="Times New Roman" w:hAnsi="Times New Roman"/>
        </w:rPr>
        <w:t>; PARISSE, M.; VERBRUGGEN, V.; ‘Secret professionel et vie privée: les traitements de données à caractère personnel (relatives à la santé) cou</w:t>
      </w:r>
      <w:r>
        <w:rPr>
          <w:rFonts w:ascii="Times New Roman" w:hAnsi="Times New Roman"/>
        </w:rPr>
        <w:t>-</w:t>
      </w:r>
      <w:r w:rsidRPr="00DA437C">
        <w:rPr>
          <w:rFonts w:ascii="Times New Roman" w:hAnsi="Times New Roman"/>
        </w:rPr>
        <w:t xml:space="preserve">vertes par le secret professionnel’, </w:t>
      </w:r>
      <w:r w:rsidRPr="00DA437C">
        <w:rPr>
          <w:rFonts w:ascii="Times New Roman" w:hAnsi="Times New Roman"/>
          <w:i/>
        </w:rPr>
        <w:t>R.D.T.I.</w:t>
      </w:r>
      <w:r w:rsidRPr="00DA437C">
        <w:rPr>
          <w:rFonts w:ascii="Times New Roman" w:hAnsi="Times New Roman"/>
        </w:rPr>
        <w:t>, 24 (2006), p. 15-68.</w:t>
      </w:r>
    </w:p>
  </w:footnote>
  <w:footnote w:id="1091">
    <w:p w:rsidR="00E82D16" w:rsidRPr="00E333B6" w:rsidRDefault="00E82D16" w:rsidP="000F560E">
      <w:pPr>
        <w:pStyle w:val="Voetnoottekst"/>
        <w:jc w:val="both"/>
        <w:rPr>
          <w:rFonts w:ascii="Times New Roman" w:hAnsi="Times New Roman"/>
        </w:rPr>
      </w:pPr>
      <w:r w:rsidRPr="00DA437C">
        <w:rPr>
          <w:rStyle w:val="Voetnootmarkering"/>
          <w:rFonts w:ascii="Times New Roman" w:hAnsi="Times New Roman"/>
        </w:rPr>
        <w:footnoteRef/>
      </w:r>
      <w:r w:rsidRPr="00DA437C">
        <w:rPr>
          <w:rFonts w:ascii="Times New Roman" w:hAnsi="Times New Roman"/>
        </w:rPr>
        <w:t xml:space="preserve"> VANDENDRIESSCHE, G., ‘Over ‘opt-in’, ‘opt-out’ en de verwerker als verantwoordelijke voor de ver</w:t>
      </w:r>
      <w:r>
        <w:rPr>
          <w:rFonts w:ascii="Times New Roman" w:hAnsi="Times New Roman"/>
        </w:rPr>
        <w:t>-</w:t>
      </w:r>
      <w:r w:rsidRPr="00DA437C">
        <w:rPr>
          <w:rFonts w:ascii="Times New Roman" w:hAnsi="Times New Roman"/>
        </w:rPr>
        <w:t xml:space="preserve">werking’, </w:t>
      </w:r>
      <w:r w:rsidRPr="00DA437C">
        <w:rPr>
          <w:rFonts w:ascii="Times New Roman" w:hAnsi="Times New Roman"/>
          <w:i/>
        </w:rPr>
        <w:t>Jaarboek Handelspraktijken &amp; Mededinging</w:t>
      </w:r>
      <w:r w:rsidRPr="00DA437C">
        <w:rPr>
          <w:rFonts w:ascii="Times New Roman" w:hAnsi="Times New Roman"/>
        </w:rPr>
        <w:t xml:space="preserve">, 2004, p. 615-626. </w:t>
      </w:r>
      <w:r w:rsidRPr="00E333B6">
        <w:rPr>
          <w:rFonts w:ascii="Times New Roman" w:hAnsi="Times New Roman"/>
        </w:rPr>
        <w:t>Zie ook deel 3.</w:t>
      </w:r>
    </w:p>
  </w:footnote>
  <w:footnote w:id="1092">
    <w:p w:rsidR="00E82D16" w:rsidRPr="002015B8" w:rsidRDefault="00E82D16" w:rsidP="000F560E">
      <w:pPr>
        <w:pStyle w:val="Voetnoottekst"/>
        <w:jc w:val="both"/>
        <w:rPr>
          <w:rFonts w:ascii="Times New Roman" w:hAnsi="Times New Roman"/>
          <w:i/>
        </w:rPr>
      </w:pPr>
      <w:r w:rsidRPr="002015B8">
        <w:rPr>
          <w:rStyle w:val="Voetnootmarkering"/>
          <w:rFonts w:ascii="Times New Roman" w:hAnsi="Times New Roman"/>
        </w:rPr>
        <w:footnoteRef/>
      </w:r>
      <w:r w:rsidRPr="002015B8">
        <w:rPr>
          <w:rFonts w:ascii="Times New Roman" w:hAnsi="Times New Roman"/>
        </w:rPr>
        <w:t xml:space="preserve"> DEBEUCKELAERE, </w:t>
      </w:r>
      <w:r>
        <w:rPr>
          <w:rFonts w:ascii="Times New Roman" w:hAnsi="Times New Roman"/>
        </w:rPr>
        <w:t xml:space="preserve">W. (V.U.), </w:t>
      </w:r>
      <w:r w:rsidRPr="002015B8">
        <w:rPr>
          <w:rFonts w:ascii="Times New Roman" w:hAnsi="Times New Roman"/>
          <w:i/>
        </w:rPr>
        <w:t>Hoe de Privacywet toepassen in het historisch onderzoek</w:t>
      </w:r>
      <w:r w:rsidRPr="002015B8">
        <w:rPr>
          <w:rFonts w:ascii="Times New Roman" w:hAnsi="Times New Roman"/>
        </w:rPr>
        <w:t xml:space="preserve">, Brussel, </w:t>
      </w:r>
      <w:r>
        <w:rPr>
          <w:rFonts w:ascii="Times New Roman" w:hAnsi="Times New Roman"/>
        </w:rPr>
        <w:t xml:space="preserve">Com-missie voor de bescherming van de persoonlijke levenssfeer, </w:t>
      </w:r>
      <w:r w:rsidRPr="002015B8">
        <w:rPr>
          <w:rFonts w:ascii="Times New Roman" w:hAnsi="Times New Roman"/>
        </w:rPr>
        <w:t>2011, p. 7</w:t>
      </w:r>
      <w:r>
        <w:rPr>
          <w:rFonts w:ascii="Times New Roman" w:hAnsi="Times New Roman"/>
        </w:rPr>
        <w:t xml:space="preserve"> (</w:t>
      </w:r>
      <w:hyperlink r:id="rId191" w:history="1">
        <w:r w:rsidRPr="00EA26DD">
          <w:rPr>
            <w:rStyle w:val="Hyperlink"/>
            <w:rFonts w:ascii="Times New Roman" w:hAnsi="Times New Roman"/>
          </w:rPr>
          <w:t>http://www.privacycommission.be/sites /privacycommission/files/documents/01.02.01.05-vademecum-historisch-onderzoek.pdf</w:t>
        </w:r>
      </w:hyperlink>
      <w:r w:rsidRPr="00301350">
        <w:rPr>
          <w:rFonts w:ascii="Times New Roman" w:hAnsi="Times New Roman"/>
        </w:rPr>
        <w:t>)</w:t>
      </w:r>
      <w:r w:rsidRPr="002015B8">
        <w:rPr>
          <w:rFonts w:ascii="Times New Roman" w:hAnsi="Times New Roman"/>
        </w:rPr>
        <w:t>; VELLE; VANDER</w:t>
      </w:r>
      <w:r>
        <w:rPr>
          <w:rFonts w:ascii="Times New Roman" w:hAnsi="Times New Roman"/>
        </w:rPr>
        <w:t>-</w:t>
      </w:r>
      <w:r w:rsidRPr="002015B8">
        <w:rPr>
          <w:rFonts w:ascii="Times New Roman" w:hAnsi="Times New Roman"/>
        </w:rPr>
        <w:t>MAESEN; p. 143.</w:t>
      </w:r>
    </w:p>
  </w:footnote>
  <w:footnote w:id="1093">
    <w:p w:rsidR="00E82D16" w:rsidRPr="002360AB" w:rsidRDefault="00E82D16" w:rsidP="000F560E">
      <w:pPr>
        <w:pStyle w:val="Voetnoottekst"/>
        <w:jc w:val="both"/>
        <w:rPr>
          <w:rFonts w:ascii="Times New Roman" w:hAnsi="Times New Roman"/>
        </w:rPr>
      </w:pPr>
      <w:r w:rsidRPr="00DA437C">
        <w:rPr>
          <w:rStyle w:val="Voetnootmarkering"/>
          <w:rFonts w:ascii="Times New Roman" w:hAnsi="Times New Roman"/>
        </w:rPr>
        <w:footnoteRef/>
      </w:r>
      <w:r w:rsidRPr="00DA437C">
        <w:rPr>
          <w:rFonts w:ascii="Times New Roman" w:hAnsi="Times New Roman"/>
        </w:rPr>
        <w:t xml:space="preserve"> Art. 2, e van richtlijn 95/46/EG; art. 1 § 5 Privacywet; art. 1, b Wbp; art. 3 § 2 van wet nr. 78-17 van 6 janu</w:t>
      </w:r>
      <w:r>
        <w:rPr>
          <w:rFonts w:ascii="Times New Roman" w:hAnsi="Times New Roman"/>
        </w:rPr>
        <w:t>-</w:t>
      </w:r>
      <w:r w:rsidRPr="00DA437C">
        <w:rPr>
          <w:rFonts w:ascii="Times New Roman" w:hAnsi="Times New Roman"/>
        </w:rPr>
        <w:t xml:space="preserve">ari 1978, gewijzigd door art. 1 van wet nr. 2004-801 van 6 augustus 2004; DE BOT, p. 52-54 (nr. 67-70); HOOGHIEMSTRA; NOUWT; </w:t>
      </w:r>
      <w:r w:rsidRPr="00DA437C">
        <w:rPr>
          <w:rFonts w:ascii="Times New Roman" w:hAnsi="Times New Roman"/>
          <w:i/>
        </w:rPr>
        <w:t>Wet bescherming persoonsgegevens</w:t>
      </w:r>
      <w:r w:rsidRPr="00DA437C">
        <w:rPr>
          <w:rFonts w:ascii="Times New Roman" w:hAnsi="Times New Roman"/>
        </w:rPr>
        <w:t xml:space="preserve">, p. 40; VAN DER </w:t>
      </w:r>
      <w:r w:rsidRPr="002360AB">
        <w:rPr>
          <w:rFonts w:ascii="Times New Roman" w:hAnsi="Times New Roman"/>
        </w:rPr>
        <w:t>WEES, J., ‘De verant</w:t>
      </w:r>
      <w:r>
        <w:rPr>
          <w:rFonts w:ascii="Times New Roman" w:hAnsi="Times New Roman"/>
        </w:rPr>
        <w:t>-</w:t>
      </w:r>
      <w:r w:rsidRPr="002360AB">
        <w:rPr>
          <w:rFonts w:ascii="Times New Roman" w:hAnsi="Times New Roman"/>
        </w:rPr>
        <w:t xml:space="preserve">woordelijke en de bewerker in de cloud’, </w:t>
      </w:r>
      <w:r w:rsidRPr="002360AB">
        <w:rPr>
          <w:rFonts w:ascii="Times New Roman" w:hAnsi="Times New Roman"/>
          <w:i/>
        </w:rPr>
        <w:t>Computerr.</w:t>
      </w:r>
      <w:r w:rsidRPr="002360AB">
        <w:rPr>
          <w:rFonts w:ascii="Times New Roman" w:hAnsi="Times New Roman"/>
        </w:rPr>
        <w:t xml:space="preserve">, 2011, 3, p. 108-114; VANDROMME, T., ‘Het doorgeven van persoonsgegevens aan een verwerker of aan een derde’, </w:t>
      </w:r>
      <w:r w:rsidRPr="002360AB">
        <w:rPr>
          <w:rFonts w:ascii="Times New Roman" w:hAnsi="Times New Roman"/>
          <w:i/>
        </w:rPr>
        <w:t>R.W.</w:t>
      </w:r>
      <w:r w:rsidRPr="002360AB">
        <w:rPr>
          <w:rFonts w:ascii="Times New Roman" w:hAnsi="Times New Roman"/>
        </w:rPr>
        <w:t>, 2007-2008, 11, k. 449-451.</w:t>
      </w:r>
    </w:p>
  </w:footnote>
  <w:footnote w:id="1094">
    <w:p w:rsidR="00E82D16" w:rsidRPr="00391D14" w:rsidRDefault="00E82D16" w:rsidP="000F560E">
      <w:pPr>
        <w:pStyle w:val="Voetnoottekst"/>
        <w:jc w:val="both"/>
        <w:rPr>
          <w:rFonts w:ascii="Times New Roman" w:hAnsi="Times New Roman"/>
        </w:rPr>
      </w:pPr>
      <w:r w:rsidRPr="00391D14">
        <w:rPr>
          <w:rStyle w:val="Voetnootmarkering"/>
          <w:rFonts w:ascii="Times New Roman" w:hAnsi="Times New Roman"/>
        </w:rPr>
        <w:footnoteRef/>
      </w:r>
      <w:r w:rsidRPr="00391D14">
        <w:rPr>
          <w:rFonts w:ascii="Times New Roman" w:hAnsi="Times New Roman"/>
        </w:rPr>
        <w:t xml:space="preserve"> BOUDREZ, F.; DEKEYSER, H.; </w:t>
      </w:r>
      <w:r w:rsidRPr="00391D14">
        <w:rPr>
          <w:rFonts w:ascii="Times New Roman" w:hAnsi="Times New Roman"/>
          <w:i/>
        </w:rPr>
        <w:t>Digitaal archiveren in de praktijk. Handboek</w:t>
      </w:r>
      <w:r w:rsidRPr="00391D14">
        <w:rPr>
          <w:rFonts w:ascii="Times New Roman" w:hAnsi="Times New Roman"/>
        </w:rPr>
        <w:t>, Antwerpen-Leuven, 2005, p. 32 (</w:t>
      </w:r>
      <w:hyperlink r:id="rId192" w:history="1">
        <w:r w:rsidRPr="00391D14">
          <w:rPr>
            <w:rStyle w:val="Hyperlink"/>
            <w:rFonts w:ascii="Times New Roman" w:hAnsi="Times New Roman"/>
          </w:rPr>
          <w:t>http://www.edavid.be/davidhandboek</w:t>
        </w:r>
      </w:hyperlink>
      <w:r w:rsidRPr="00391D14">
        <w:rPr>
          <w:rFonts w:ascii="Times New Roman" w:hAnsi="Times New Roman"/>
        </w:rPr>
        <w:t xml:space="preserve">); VELLE; VANDERMAESEN; </w:t>
      </w:r>
      <w:r w:rsidRPr="00391D14">
        <w:rPr>
          <w:rFonts w:ascii="Times New Roman" w:hAnsi="Times New Roman"/>
          <w:i/>
        </w:rPr>
        <w:t>Inleiding tot het Belgische archief</w:t>
      </w:r>
      <w:r>
        <w:rPr>
          <w:rFonts w:ascii="Times New Roman" w:hAnsi="Times New Roman"/>
          <w:i/>
        </w:rPr>
        <w:t>-</w:t>
      </w:r>
      <w:r w:rsidRPr="00391D14">
        <w:rPr>
          <w:rFonts w:ascii="Times New Roman" w:hAnsi="Times New Roman"/>
          <w:i/>
        </w:rPr>
        <w:t>recht</w:t>
      </w:r>
      <w:r w:rsidRPr="00391D14">
        <w:rPr>
          <w:rFonts w:ascii="Times New Roman" w:hAnsi="Times New Roman"/>
        </w:rPr>
        <w:t>, p. 143.</w:t>
      </w:r>
    </w:p>
  </w:footnote>
  <w:footnote w:id="1095">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Zie deel 3.</w:t>
      </w:r>
    </w:p>
  </w:footnote>
  <w:footnote w:id="1096">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w:t>
      </w:r>
      <w:r w:rsidRPr="0013464C">
        <w:rPr>
          <w:rFonts w:ascii="Times New Roman" w:hAnsi="Times New Roman"/>
        </w:rPr>
        <w:t xml:space="preserve">Art. 2, g van richtlijn 95/46/EG; art. 1 § 7 Privacywet; art. 1, h Wbp; art. 3 § 2 van </w:t>
      </w:r>
      <w:r w:rsidRPr="00E257EB">
        <w:rPr>
          <w:rFonts w:ascii="Times New Roman" w:hAnsi="Times New Roman"/>
        </w:rPr>
        <w:t>wet nr. 78-17 van 6 janua</w:t>
      </w:r>
      <w:r>
        <w:rPr>
          <w:rFonts w:ascii="Times New Roman" w:hAnsi="Times New Roman"/>
        </w:rPr>
        <w:t>-</w:t>
      </w:r>
      <w:r w:rsidRPr="00E257EB">
        <w:rPr>
          <w:rFonts w:ascii="Times New Roman" w:hAnsi="Times New Roman"/>
        </w:rPr>
        <w:t xml:space="preserve">ri 1978, </w:t>
      </w:r>
      <w:r>
        <w:rPr>
          <w:rFonts w:ascii="Times New Roman" w:hAnsi="Times New Roman"/>
        </w:rPr>
        <w:t xml:space="preserve">gewijzigd door art. 1 </w:t>
      </w:r>
      <w:r w:rsidRPr="00E257EB">
        <w:rPr>
          <w:rFonts w:ascii="Times New Roman" w:hAnsi="Times New Roman"/>
        </w:rPr>
        <w:t xml:space="preserve">van wet nr. 2004-801 van 6 augustus 2004; </w:t>
      </w:r>
      <w:r w:rsidRPr="002360AB">
        <w:rPr>
          <w:rFonts w:ascii="Times New Roman" w:hAnsi="Times New Roman"/>
        </w:rPr>
        <w:t>DE BOT, p. 56-58 (nr. 74-79); HOOG</w:t>
      </w:r>
      <w:r>
        <w:rPr>
          <w:rFonts w:ascii="Times New Roman" w:hAnsi="Times New Roman"/>
        </w:rPr>
        <w:t>-</w:t>
      </w:r>
      <w:r w:rsidRPr="002360AB">
        <w:rPr>
          <w:rFonts w:ascii="Times New Roman" w:hAnsi="Times New Roman"/>
        </w:rPr>
        <w:t xml:space="preserve">HIEMSTRA; NOUWT; </w:t>
      </w:r>
      <w:r w:rsidRPr="002360AB">
        <w:rPr>
          <w:rFonts w:ascii="Times New Roman" w:hAnsi="Times New Roman"/>
          <w:i/>
        </w:rPr>
        <w:t>Wet bescherming persoonsgegevens</w:t>
      </w:r>
      <w:r w:rsidRPr="002360AB">
        <w:rPr>
          <w:rFonts w:ascii="Times New Roman" w:hAnsi="Times New Roman"/>
        </w:rPr>
        <w:t>, p. 42.</w:t>
      </w:r>
    </w:p>
  </w:footnote>
  <w:footnote w:id="1097">
    <w:p w:rsidR="00E82D16" w:rsidRPr="002360AB"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DE BOT, p. 56 (nr. 74); DE HERT, P., ‘Naamsvermelding op internet valt onder richtlijn dataprotectie’, </w:t>
      </w:r>
      <w:r w:rsidRPr="002360AB">
        <w:rPr>
          <w:rFonts w:ascii="Times New Roman" w:hAnsi="Times New Roman"/>
          <w:i/>
        </w:rPr>
        <w:t>Ju</w:t>
      </w:r>
      <w:r>
        <w:rPr>
          <w:rFonts w:ascii="Times New Roman" w:hAnsi="Times New Roman"/>
          <w:i/>
        </w:rPr>
        <w:t>-</w:t>
      </w:r>
      <w:r w:rsidRPr="002360AB">
        <w:rPr>
          <w:rFonts w:ascii="Times New Roman" w:hAnsi="Times New Roman"/>
          <w:i/>
        </w:rPr>
        <w:t>ristenkrant</w:t>
      </w:r>
      <w:r w:rsidRPr="002360AB">
        <w:rPr>
          <w:rFonts w:ascii="Times New Roman" w:hAnsi="Times New Roman"/>
        </w:rPr>
        <w:t>, 87 (2004), p. 12.</w:t>
      </w:r>
    </w:p>
  </w:footnote>
  <w:footnote w:id="1098">
    <w:p w:rsidR="00E82D16" w:rsidRPr="002D5875" w:rsidRDefault="00E82D16" w:rsidP="000F560E">
      <w:pPr>
        <w:pStyle w:val="Voetnoottekst"/>
        <w:jc w:val="both"/>
        <w:rPr>
          <w:rFonts w:ascii="Times New Roman" w:hAnsi="Times New Roman"/>
        </w:rPr>
      </w:pPr>
      <w:r w:rsidRPr="002360AB">
        <w:rPr>
          <w:rStyle w:val="Voetnootmarkering"/>
          <w:rFonts w:ascii="Times New Roman" w:hAnsi="Times New Roman"/>
        </w:rPr>
        <w:footnoteRef/>
      </w:r>
      <w:r w:rsidRPr="002360AB">
        <w:rPr>
          <w:rFonts w:ascii="Times New Roman" w:hAnsi="Times New Roman"/>
        </w:rPr>
        <w:t xml:space="preserve"> Art. </w:t>
      </w:r>
      <w:r>
        <w:rPr>
          <w:rFonts w:ascii="Times New Roman" w:hAnsi="Times New Roman"/>
        </w:rPr>
        <w:t xml:space="preserve">2, f van richtlijn 95/46/EG; art. </w:t>
      </w:r>
      <w:r w:rsidRPr="002360AB">
        <w:rPr>
          <w:rFonts w:ascii="Times New Roman" w:hAnsi="Times New Roman"/>
        </w:rPr>
        <w:t>1 § 6 Privacywet;</w:t>
      </w:r>
      <w:r>
        <w:rPr>
          <w:rFonts w:ascii="Times New Roman" w:hAnsi="Times New Roman"/>
        </w:rPr>
        <w:t xml:space="preserve"> art. 1, g Wbp;</w:t>
      </w:r>
      <w:r w:rsidRPr="002360AB">
        <w:rPr>
          <w:rFonts w:ascii="Times New Roman" w:hAnsi="Times New Roman"/>
        </w:rPr>
        <w:t xml:space="preserve"> </w:t>
      </w:r>
      <w:r w:rsidRPr="0013464C">
        <w:rPr>
          <w:rFonts w:ascii="Times New Roman" w:hAnsi="Times New Roman"/>
        </w:rPr>
        <w:t xml:space="preserve">art. </w:t>
      </w:r>
      <w:r>
        <w:rPr>
          <w:rFonts w:ascii="Times New Roman" w:hAnsi="Times New Roman"/>
        </w:rPr>
        <w:t>8</w:t>
      </w:r>
      <w:r w:rsidRPr="0013464C">
        <w:rPr>
          <w:rFonts w:ascii="Times New Roman" w:hAnsi="Times New Roman"/>
        </w:rPr>
        <w:t xml:space="preserve"> § </w:t>
      </w:r>
      <w:r>
        <w:rPr>
          <w:rFonts w:ascii="Times New Roman" w:hAnsi="Times New Roman"/>
        </w:rPr>
        <w:t>3, laatste lid</w:t>
      </w:r>
      <w:r w:rsidRPr="0013464C">
        <w:rPr>
          <w:rFonts w:ascii="Times New Roman" w:hAnsi="Times New Roman"/>
        </w:rPr>
        <w:t xml:space="preserve"> van </w:t>
      </w:r>
      <w:r w:rsidRPr="00E257EB">
        <w:rPr>
          <w:rFonts w:ascii="Times New Roman" w:hAnsi="Times New Roman"/>
        </w:rPr>
        <w:t xml:space="preserve">wet nr. 78-17 van 6 januari 1978, </w:t>
      </w:r>
      <w:r>
        <w:rPr>
          <w:rFonts w:ascii="Times New Roman" w:hAnsi="Times New Roman"/>
        </w:rPr>
        <w:t xml:space="preserve">gewijzigd door art. 2 </w:t>
      </w:r>
      <w:r w:rsidRPr="00E257EB">
        <w:rPr>
          <w:rFonts w:ascii="Times New Roman" w:hAnsi="Times New Roman"/>
        </w:rPr>
        <w:t>van wet nr. 2004-801 van 6 augustus 2004</w:t>
      </w:r>
      <w:r>
        <w:rPr>
          <w:rFonts w:ascii="Times New Roman" w:hAnsi="Times New Roman"/>
        </w:rPr>
        <w:t xml:space="preserve">; </w:t>
      </w:r>
      <w:r w:rsidRPr="002360AB">
        <w:rPr>
          <w:rFonts w:ascii="Times New Roman" w:hAnsi="Times New Roman"/>
        </w:rPr>
        <w:t>DE BOT, p. 54-56 (nr. 71-73</w:t>
      </w:r>
      <w:r w:rsidRPr="002D5875">
        <w:rPr>
          <w:rFonts w:ascii="Times New Roman" w:hAnsi="Times New Roman"/>
        </w:rPr>
        <w:t xml:space="preserve">); GRIBEAUVAL, J.P., ‘Droit: Les données de santé personnelles et les tiers’, </w:t>
      </w:r>
      <w:r w:rsidRPr="002D5875">
        <w:rPr>
          <w:rFonts w:ascii="Times New Roman" w:hAnsi="Times New Roman"/>
          <w:i/>
        </w:rPr>
        <w:t>La Revue Préscrire</w:t>
      </w:r>
      <w:r w:rsidRPr="002D5875">
        <w:rPr>
          <w:rFonts w:ascii="Times New Roman" w:hAnsi="Times New Roman"/>
        </w:rPr>
        <w:t xml:space="preserve">, 240 (2003), p. 466-468; HOOGHIEMSTRA; NOUWT; </w:t>
      </w:r>
      <w:r w:rsidRPr="002D5875">
        <w:rPr>
          <w:rFonts w:ascii="Times New Roman" w:hAnsi="Times New Roman"/>
          <w:i/>
        </w:rPr>
        <w:t>Wet bescherming persoonsgegevens</w:t>
      </w:r>
      <w:r w:rsidRPr="002D5875">
        <w:rPr>
          <w:rFonts w:ascii="Times New Roman" w:hAnsi="Times New Roman"/>
        </w:rPr>
        <w:t xml:space="preserve">, p. 42; MINTJENS, D., ‘Verplichtingen van verwerkers en derden’, </w:t>
      </w:r>
      <w:r w:rsidRPr="002D5875">
        <w:rPr>
          <w:rFonts w:ascii="Times New Roman" w:hAnsi="Times New Roman"/>
          <w:i/>
        </w:rPr>
        <w:t>Bijvoorbeeld. Modellen voor het bedrijfsleven</w:t>
      </w:r>
      <w:r w:rsidRPr="002D5875">
        <w:rPr>
          <w:rFonts w:ascii="Times New Roman" w:hAnsi="Times New Roman"/>
        </w:rPr>
        <w:t>, I.120-1 – I.120-69.</w:t>
      </w:r>
    </w:p>
  </w:footnote>
  <w:footnote w:id="1099">
    <w:p w:rsidR="00E82D16" w:rsidRPr="00FC1540" w:rsidRDefault="00E82D16" w:rsidP="000F560E">
      <w:pPr>
        <w:pStyle w:val="Voetnoottekst"/>
      </w:pPr>
      <w:r w:rsidRPr="00A50E1A">
        <w:rPr>
          <w:rStyle w:val="Voetnootmarkering"/>
          <w:rFonts w:ascii="Times New Roman" w:hAnsi="Times New Roman"/>
        </w:rPr>
        <w:footnoteRef/>
      </w:r>
      <w:r w:rsidRPr="00A50E1A">
        <w:rPr>
          <w:rFonts w:ascii="Times New Roman" w:hAnsi="Times New Roman"/>
        </w:rPr>
        <w:t xml:space="preserve"> Art. 2, h van richtlijn 95/46/EG; punt 6.1 van aanbeveling nr. R(97)5</w:t>
      </w:r>
      <w:r>
        <w:rPr>
          <w:rFonts w:ascii="Times New Roman" w:hAnsi="Times New Roman"/>
        </w:rPr>
        <w:t xml:space="preserve">; </w:t>
      </w:r>
      <w:r w:rsidRPr="00A50E1A">
        <w:rPr>
          <w:rFonts w:ascii="Times New Roman" w:hAnsi="Times New Roman"/>
        </w:rPr>
        <w:t>art. 6 van aanbeveling R(2002)9</w:t>
      </w:r>
      <w:r>
        <w:rPr>
          <w:rFonts w:ascii="Times New Roman" w:hAnsi="Times New Roman"/>
        </w:rPr>
        <w:t xml:space="preserve">; </w:t>
      </w:r>
      <w:r w:rsidRPr="00FC1540">
        <w:rPr>
          <w:rFonts w:ascii="Times New Roman" w:hAnsi="Times New Roman"/>
        </w:rPr>
        <w:t>art. 1 § 8 Privacywet; art. 1, i Wbp.</w:t>
      </w:r>
    </w:p>
  </w:footnote>
  <w:footnote w:id="1100">
    <w:p w:rsidR="00E82D16" w:rsidRPr="002D5875" w:rsidRDefault="00E82D16" w:rsidP="000F560E">
      <w:pPr>
        <w:pStyle w:val="Geenafstand"/>
        <w:jc w:val="both"/>
        <w:rPr>
          <w:rFonts w:ascii="Times New Roman" w:hAnsi="Times New Roman" w:cs="Times New Roman"/>
          <w:sz w:val="20"/>
          <w:szCs w:val="20"/>
        </w:rPr>
      </w:pPr>
      <w:r w:rsidRPr="002D5875">
        <w:rPr>
          <w:rStyle w:val="Voetnootmarkering"/>
          <w:rFonts w:ascii="Times New Roman" w:hAnsi="Times New Roman" w:cs="Times New Roman"/>
        </w:rPr>
        <w:footnoteRef/>
      </w:r>
      <w:r w:rsidRPr="002D5875">
        <w:rPr>
          <w:rFonts w:ascii="Times New Roman" w:hAnsi="Times New Roman" w:cs="Times New Roman"/>
          <w:sz w:val="20"/>
          <w:szCs w:val="20"/>
        </w:rPr>
        <w:t xml:space="preserve"> OOSTERLINCK, p. 100</w:t>
      </w:r>
      <w:r>
        <w:rPr>
          <w:rFonts w:ascii="Times New Roman" w:hAnsi="Times New Roman" w:cs="Times New Roman"/>
          <w:sz w:val="20"/>
          <w:szCs w:val="20"/>
        </w:rPr>
        <w:t>.</w:t>
      </w:r>
    </w:p>
  </w:footnote>
  <w:footnote w:id="1101">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4 tot art. 8 Privacywet; art. 6 tot art. 24 Wbp; art. 6 tot art. 10 van wet nr. 78-17 van 6 januari 1978, </w:t>
      </w:r>
      <w:r>
        <w:rPr>
          <w:rFonts w:ascii="Times New Roman" w:hAnsi="Times New Roman"/>
        </w:rPr>
        <w:t>ge-wijzigd</w:t>
      </w:r>
      <w:r w:rsidRPr="00E257EB">
        <w:rPr>
          <w:rFonts w:ascii="Times New Roman" w:hAnsi="Times New Roman"/>
        </w:rPr>
        <w:t xml:space="preserve"> door art. 2 van wet nr. 2004-801 van 6 augustus 2004.</w:t>
      </w:r>
    </w:p>
  </w:footnote>
  <w:footnote w:id="1102">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Hoofdstuk II (art. 5 t.e.m. art. 21) van richtlijn 95/46/EG; DE BOT, </w:t>
      </w:r>
      <w:r w:rsidRPr="00E257EB">
        <w:rPr>
          <w:rFonts w:ascii="Times New Roman" w:hAnsi="Times New Roman"/>
          <w:i/>
        </w:rPr>
        <w:t>De verwerking van persoonsgegevens</w:t>
      </w:r>
      <w:r w:rsidRPr="00E257EB">
        <w:rPr>
          <w:rFonts w:ascii="Times New Roman" w:hAnsi="Times New Roman"/>
        </w:rPr>
        <w:t>, p. 111 (nr. 143).</w:t>
      </w:r>
    </w:p>
  </w:footnote>
  <w:footnote w:id="1103">
    <w:p w:rsidR="00E82D16" w:rsidRPr="006C793B" w:rsidRDefault="00E82D16" w:rsidP="000F560E">
      <w:pPr>
        <w:pStyle w:val="Voetnoottekst"/>
        <w:jc w:val="both"/>
        <w:rPr>
          <w:rFonts w:ascii="Times New Roman" w:hAnsi="Times New Roman"/>
        </w:rPr>
      </w:pPr>
      <w:r w:rsidRPr="0089187E">
        <w:rPr>
          <w:rStyle w:val="Voetnootmarkering"/>
          <w:rFonts w:ascii="Times New Roman" w:hAnsi="Times New Roman"/>
        </w:rPr>
        <w:footnoteRef/>
      </w:r>
      <w:r w:rsidRPr="006C793B">
        <w:rPr>
          <w:rFonts w:ascii="Times New Roman" w:hAnsi="Times New Roman"/>
        </w:rPr>
        <w:t xml:space="preserve"> Art. 1382 en art. 1383 BW; art. 6:188 NBW; art. 1384 CC, gewijzigd door art. 8 van wet nr. </w:t>
      </w:r>
      <w:r>
        <w:rPr>
          <w:rFonts w:ascii="Times New Roman" w:hAnsi="Times New Roman"/>
        </w:rPr>
        <w:t>2002-305 van 4 maart 2002</w:t>
      </w:r>
      <w:r w:rsidRPr="006C793B">
        <w:rPr>
          <w:rFonts w:ascii="Times New Roman" w:hAnsi="Times New Roman"/>
        </w:rPr>
        <w:t>.</w:t>
      </w:r>
    </w:p>
  </w:footnote>
  <w:footnote w:id="1104">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Pr>
          <w:rFonts w:ascii="Times New Roman" w:hAnsi="Times New Roman"/>
        </w:rPr>
        <w:t>Overweging 55 en a</w:t>
      </w:r>
      <w:r w:rsidRPr="00E257EB">
        <w:rPr>
          <w:rFonts w:ascii="Times New Roman" w:hAnsi="Times New Roman"/>
        </w:rPr>
        <w:t>rt. 23 van richtlijn 95/46/EG; art. 15</w:t>
      </w:r>
      <w:r w:rsidRPr="00E257EB">
        <w:rPr>
          <w:rFonts w:ascii="Times New Roman" w:hAnsi="Times New Roman"/>
          <w:i/>
        </w:rPr>
        <w:t>bis</w:t>
      </w:r>
      <w:r w:rsidRPr="00E257EB">
        <w:rPr>
          <w:rFonts w:ascii="Times New Roman" w:hAnsi="Times New Roman"/>
        </w:rPr>
        <w:t xml:space="preserve">, tweede lid en art. 39, 1° Privacywet; art. 49 § 3 Wbp; art. 17, eerste lid van wet nr. 78-17 van 6 januari 1978, </w:t>
      </w:r>
      <w:r>
        <w:rPr>
          <w:rFonts w:ascii="Times New Roman" w:hAnsi="Times New Roman"/>
        </w:rPr>
        <w:t>gewijzigd</w:t>
      </w:r>
      <w:r w:rsidRPr="00E257EB">
        <w:rPr>
          <w:rFonts w:ascii="Times New Roman" w:hAnsi="Times New Roman"/>
        </w:rPr>
        <w:t xml:space="preserve"> door art. 3 van wet nr. 2004-801 van 6 augustus 2004. Voor de bepalingen waarin de sancties verordend zijn, zie: art. 22 tot art. 24 van richtlijn 95/46/EC; art. 37 tot art. 43 Privacywet; art. 65 tot art. 75 Wbp; art. 45 tot art. 52 van wet nr. 78-17 van 6 januari 1978, </w:t>
      </w:r>
      <w:r>
        <w:rPr>
          <w:rFonts w:ascii="Times New Roman" w:hAnsi="Times New Roman"/>
        </w:rPr>
        <w:t>gewijzigd</w:t>
      </w:r>
      <w:r w:rsidRPr="00E257EB">
        <w:rPr>
          <w:rFonts w:ascii="Times New Roman" w:hAnsi="Times New Roman"/>
        </w:rPr>
        <w:t xml:space="preserve"> door art. 8 van wet nr. 2004-801 van 6 augustus 2004 en art. 7 van wet nr. 2011-334 van 29 maart 2011 betreffende ombudsdienst I (</w:t>
      </w:r>
      <w:r w:rsidRPr="00E257EB">
        <w:rPr>
          <w:rFonts w:ascii="Times New Roman" w:hAnsi="Times New Roman"/>
          <w:i/>
        </w:rPr>
        <w:t xml:space="preserve">JORF </w:t>
      </w:r>
      <w:r w:rsidRPr="00E257EB">
        <w:rPr>
          <w:rFonts w:ascii="Times New Roman" w:hAnsi="Times New Roman"/>
        </w:rPr>
        <w:t>75, 30 maart 2011).</w:t>
      </w:r>
    </w:p>
  </w:footnote>
  <w:footnote w:id="1105">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Pr>
          <w:rFonts w:ascii="Times New Roman" w:hAnsi="Times New Roman"/>
        </w:rPr>
        <w:t xml:space="preserve">Art. 5, c van het Verdrag van Straatsburg; </w:t>
      </w:r>
      <w:r w:rsidRPr="00051B70">
        <w:rPr>
          <w:rFonts w:ascii="Times New Roman" w:hAnsi="Times New Roman"/>
        </w:rPr>
        <w:t>punt 4 van aanbeveling nr. R(89)2</w:t>
      </w:r>
      <w:r>
        <w:rPr>
          <w:rFonts w:ascii="Times New Roman" w:hAnsi="Times New Roman"/>
        </w:rPr>
        <w:t>; overweging 28 en a</w:t>
      </w:r>
      <w:r w:rsidRPr="00E257EB">
        <w:rPr>
          <w:rFonts w:ascii="Times New Roman" w:hAnsi="Times New Roman"/>
        </w:rPr>
        <w:t xml:space="preserve">rt. 6 § 1, c van richtlijn 95/46/EC; art. 4 § 1, 3° Privacywet; art. 11 § 1 Wbp; art. 6, 3° van wet nr. 78-17 van 6 januari 1978, </w:t>
      </w:r>
      <w:r>
        <w:rPr>
          <w:rFonts w:ascii="Times New Roman" w:hAnsi="Times New Roman"/>
        </w:rPr>
        <w:t>gewijzigd</w:t>
      </w:r>
      <w:r w:rsidRPr="00E257EB">
        <w:rPr>
          <w:rFonts w:ascii="Times New Roman" w:hAnsi="Times New Roman"/>
        </w:rPr>
        <w:t xml:space="preserve"> door art. 2 van wet nr. 2004-801 van 6 augustus 2004.</w:t>
      </w:r>
    </w:p>
  </w:footnote>
  <w:footnote w:id="1106">
    <w:p w:rsidR="00E82D16" w:rsidRPr="00BC5CCB" w:rsidRDefault="00E82D16" w:rsidP="000F560E">
      <w:pPr>
        <w:pStyle w:val="Geenafstand"/>
        <w:jc w:val="both"/>
        <w:rPr>
          <w:rFonts w:ascii="Times New Roman" w:hAnsi="Times New Roman" w:cs="Times New Roman"/>
          <w:sz w:val="20"/>
          <w:szCs w:val="20"/>
        </w:rPr>
      </w:pPr>
      <w:r w:rsidRPr="00BC5CCB">
        <w:rPr>
          <w:rStyle w:val="Voetnootmarkering"/>
          <w:rFonts w:ascii="Times New Roman" w:hAnsi="Times New Roman" w:cs="Times New Roman"/>
          <w:sz w:val="20"/>
          <w:szCs w:val="20"/>
        </w:rPr>
        <w:footnoteRef/>
      </w:r>
      <w:r w:rsidRPr="00BC5CCB">
        <w:rPr>
          <w:rFonts w:ascii="Times New Roman" w:hAnsi="Times New Roman" w:cs="Times New Roman"/>
          <w:sz w:val="20"/>
          <w:szCs w:val="20"/>
        </w:rPr>
        <w:t xml:space="preserve"> OOSTERLINCK, p. 94. </w:t>
      </w:r>
    </w:p>
  </w:footnote>
  <w:footnote w:id="1107">
    <w:p w:rsidR="00E82D16" w:rsidRPr="00E333B6"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w:t>
      </w:r>
      <w:r>
        <w:rPr>
          <w:rFonts w:ascii="Times New Roman" w:hAnsi="Times New Roman"/>
        </w:rPr>
        <w:t xml:space="preserve">5, b van het Verdrag van Straatsburg; </w:t>
      </w:r>
      <w:r w:rsidRPr="001F1933">
        <w:rPr>
          <w:rFonts w:ascii="Times New Roman" w:hAnsi="Times New Roman"/>
        </w:rPr>
        <w:t>punt 41 van het verklarend rapport</w:t>
      </w:r>
      <w:r w:rsidRPr="001F1933">
        <w:rPr>
          <w:rFonts w:ascii="Times New Roman" w:hAnsi="Times New Roman"/>
          <w:i/>
        </w:rPr>
        <w:t xml:space="preserve"> </w:t>
      </w:r>
      <w:r w:rsidRPr="001F1933">
        <w:rPr>
          <w:rFonts w:ascii="Times New Roman" w:hAnsi="Times New Roman"/>
        </w:rPr>
        <w:t xml:space="preserve">bij Verdrag van Straatsburg; </w:t>
      </w:r>
      <w:r w:rsidRPr="00051B70">
        <w:rPr>
          <w:rFonts w:ascii="Times New Roman" w:hAnsi="Times New Roman"/>
        </w:rPr>
        <w:t>punt 4 van aanbeveling nr. R(86)1 van het Comité van Ministers aan de Lidstaten van 23 januari 1986 over de bescherming van persoonsgegevens bij gebruik voor sociale zekerheidsdoeleinden</w:t>
      </w:r>
      <w:r>
        <w:rPr>
          <w:rFonts w:ascii="Times New Roman" w:hAnsi="Times New Roman"/>
        </w:rPr>
        <w:t xml:space="preserve">; </w:t>
      </w:r>
      <w:r w:rsidRPr="00051B70">
        <w:rPr>
          <w:rFonts w:ascii="Times New Roman" w:hAnsi="Times New Roman"/>
        </w:rPr>
        <w:t>punt 4 bij aanbeveling nr. R(89)2</w:t>
      </w:r>
      <w:r>
        <w:rPr>
          <w:rFonts w:ascii="Times New Roman" w:hAnsi="Times New Roman"/>
        </w:rPr>
        <w:t xml:space="preserve">; art. </w:t>
      </w:r>
      <w:r w:rsidRPr="00E257EB">
        <w:rPr>
          <w:rFonts w:ascii="Times New Roman" w:hAnsi="Times New Roman"/>
        </w:rPr>
        <w:t xml:space="preserve">6 § 1, b van richtlijn 95/46/EG; </w:t>
      </w:r>
      <w:r w:rsidRPr="00051B70">
        <w:rPr>
          <w:rFonts w:ascii="Times New Roman" w:hAnsi="Times New Roman"/>
        </w:rPr>
        <w:t>punten 4.7 tot 4.9 van aanbeveling nr. R(97)5</w:t>
      </w:r>
      <w:r>
        <w:rPr>
          <w:rFonts w:ascii="Times New Roman" w:hAnsi="Times New Roman"/>
        </w:rPr>
        <w:t xml:space="preserve">;  </w:t>
      </w:r>
      <w:r w:rsidRPr="00E257EB">
        <w:rPr>
          <w:rFonts w:ascii="Times New Roman" w:hAnsi="Times New Roman"/>
        </w:rPr>
        <w:t>art. 4 § 1, 2° Privacy</w:t>
      </w:r>
      <w:r>
        <w:rPr>
          <w:rFonts w:ascii="Times New Roman" w:hAnsi="Times New Roman"/>
        </w:rPr>
        <w:t>-</w:t>
      </w:r>
      <w:r w:rsidRPr="00E257EB">
        <w:rPr>
          <w:rFonts w:ascii="Times New Roman" w:hAnsi="Times New Roman"/>
        </w:rPr>
        <w:t xml:space="preserve">wet; art. 7 Wbp; art. art. 6, 2° van wet nr. 78-17 van 6 januari 1978, </w:t>
      </w:r>
      <w:r>
        <w:rPr>
          <w:rFonts w:ascii="Times New Roman" w:hAnsi="Times New Roman"/>
        </w:rPr>
        <w:t>gewijzigd</w:t>
      </w:r>
      <w:r w:rsidRPr="00E257EB">
        <w:rPr>
          <w:rFonts w:ascii="Times New Roman" w:hAnsi="Times New Roman"/>
        </w:rPr>
        <w:t xml:space="preserve"> door art. 2 van wet nr. 2004-801 van 6 augustus 2004;</w:t>
      </w:r>
      <w:r w:rsidRPr="00E333B6">
        <w:rPr>
          <w:rFonts w:ascii="Times New Roman" w:hAnsi="Times New Roman"/>
        </w:rPr>
        <w:t xml:space="preserve"> DE BOT, </w:t>
      </w:r>
      <w:r w:rsidRPr="00E257EB">
        <w:rPr>
          <w:rFonts w:ascii="Times New Roman" w:hAnsi="Times New Roman"/>
        </w:rPr>
        <w:t xml:space="preserve">p. </w:t>
      </w:r>
      <w:r>
        <w:rPr>
          <w:rFonts w:ascii="Times New Roman" w:hAnsi="Times New Roman"/>
        </w:rPr>
        <w:t>116</w:t>
      </w:r>
      <w:r w:rsidRPr="00E257EB">
        <w:rPr>
          <w:rFonts w:ascii="Times New Roman" w:hAnsi="Times New Roman"/>
        </w:rPr>
        <w:t>-1</w:t>
      </w:r>
      <w:r>
        <w:rPr>
          <w:rFonts w:ascii="Times New Roman" w:hAnsi="Times New Roman"/>
        </w:rPr>
        <w:t xml:space="preserve">23 (nrs. 151-160); </w:t>
      </w:r>
      <w:r w:rsidRPr="00E333B6">
        <w:rPr>
          <w:rFonts w:ascii="Times New Roman" w:hAnsi="Times New Roman"/>
        </w:rPr>
        <w:t>HERVEG, J.; VERHAEGEN, M.N.; POULLET, Y.; ‘Les droits du patient face au traitement informatisé de ses données dans une finalité thérapeutique: les condi</w:t>
      </w:r>
      <w:r>
        <w:rPr>
          <w:rFonts w:ascii="Times New Roman" w:hAnsi="Times New Roman"/>
        </w:rPr>
        <w:t>-</w:t>
      </w:r>
      <w:r w:rsidRPr="00E333B6">
        <w:rPr>
          <w:rFonts w:ascii="Times New Roman" w:hAnsi="Times New Roman"/>
        </w:rPr>
        <w:t xml:space="preserve">tions d'une alliance entre informatique, vie privée et santé’, </w:t>
      </w:r>
      <w:r w:rsidRPr="00E333B6">
        <w:rPr>
          <w:rFonts w:ascii="Times New Roman" w:hAnsi="Times New Roman"/>
          <w:i/>
          <w:iCs/>
        </w:rPr>
        <w:t>T.Gez.</w:t>
      </w:r>
      <w:r w:rsidRPr="00E333B6">
        <w:rPr>
          <w:rFonts w:ascii="Times New Roman" w:hAnsi="Times New Roman"/>
        </w:rPr>
        <w:t xml:space="preserve">, 2002-2003, p. 56 en p. 67-70; HOVY, L., ‘Sporen nalaten of uitwissen ? Het bewaren van persoonsgegevens’, </w:t>
      </w:r>
      <w:r w:rsidRPr="00E333B6">
        <w:rPr>
          <w:rFonts w:ascii="Times New Roman" w:hAnsi="Times New Roman"/>
          <w:i/>
        </w:rPr>
        <w:t>Archievenblad</w:t>
      </w:r>
      <w:r w:rsidRPr="00E333B6">
        <w:rPr>
          <w:rFonts w:ascii="Times New Roman" w:hAnsi="Times New Roman"/>
        </w:rPr>
        <w:t xml:space="preserve">, 105/10 (2001), p. 32; </w:t>
      </w:r>
      <w:r w:rsidRPr="00E257EB">
        <w:rPr>
          <w:rFonts w:ascii="Times New Roman" w:hAnsi="Times New Roman"/>
        </w:rPr>
        <w:t>ROBBEN, ‘De gevolgen van de Wet Verwerking Persoonsgegevens voor de sector van de gezondheidszorg’, p. 263-265.</w:t>
      </w:r>
    </w:p>
  </w:footnote>
  <w:footnote w:id="1108">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Pr>
          <w:rFonts w:ascii="Times New Roman" w:hAnsi="Times New Roman"/>
        </w:rPr>
        <w:t xml:space="preserve">Art. 6 van het Verdrag van Straatsburg; punten 43 tot 48 van het verklarend rapport </w:t>
      </w:r>
      <w:r w:rsidRPr="001F1933">
        <w:rPr>
          <w:rFonts w:ascii="Times New Roman" w:hAnsi="Times New Roman"/>
        </w:rPr>
        <w:t>bij het Verdrag van Straatsburg</w:t>
      </w:r>
      <w:r>
        <w:rPr>
          <w:rFonts w:ascii="Times New Roman" w:hAnsi="Times New Roman"/>
        </w:rPr>
        <w:t xml:space="preserve">; </w:t>
      </w:r>
      <w:r w:rsidRPr="00E257EB">
        <w:rPr>
          <w:rFonts w:ascii="Times New Roman" w:hAnsi="Times New Roman"/>
        </w:rPr>
        <w:t xml:space="preserve">Art. 9 § 1 Privacywet; art. 33 § 1 Wbp; art. 32 § 1, eerste lid van wet nr. 78-17 van 6 januari 1978, </w:t>
      </w:r>
      <w:r>
        <w:rPr>
          <w:rFonts w:ascii="Times New Roman" w:hAnsi="Times New Roman"/>
        </w:rPr>
        <w:t>gewijzigd</w:t>
      </w:r>
      <w:r w:rsidRPr="00E257EB">
        <w:rPr>
          <w:rFonts w:ascii="Times New Roman" w:hAnsi="Times New Roman"/>
        </w:rPr>
        <w:t xml:space="preserve"> door art. 37 van wet nr. 2004-801 van 6 augustus 2004; CALLENS; GOOSSENS; CIERKENS; ‘Om</w:t>
      </w:r>
      <w:r>
        <w:rPr>
          <w:rFonts w:ascii="Times New Roman" w:hAnsi="Times New Roman"/>
        </w:rPr>
        <w:t>-</w:t>
      </w:r>
      <w:r w:rsidRPr="00E257EB">
        <w:rPr>
          <w:rFonts w:ascii="Times New Roman" w:hAnsi="Times New Roman"/>
        </w:rPr>
        <w:t>gaan met gegevens in de gezondheidszorg’, p. 329-330 (nrs. 836-837); DE BOT, p. 165-167 (nr. 225); ROBBEN, ‘De gevolgen van de Wet Verwerking Persoonsgegevens voor de sector van de gezondheidszorg’, p. 282-284.</w:t>
      </w:r>
    </w:p>
  </w:footnote>
  <w:footnote w:id="1109">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9 § 2 Privacywet; art. 34 § 1, b Wbp; art. 32 § 3, eerste lid van wet nr. 78-17 van 6 januari 1978, </w:t>
      </w:r>
      <w:r>
        <w:rPr>
          <w:rFonts w:ascii="Times New Roman" w:hAnsi="Times New Roman"/>
        </w:rPr>
        <w:t>gewij-zigd</w:t>
      </w:r>
      <w:r w:rsidRPr="00E257EB">
        <w:rPr>
          <w:rFonts w:ascii="Times New Roman" w:hAnsi="Times New Roman"/>
        </w:rPr>
        <w:t xml:space="preserve"> door art. 37 van wet nr. 2004-801 van 6 augustus 2004.</w:t>
      </w:r>
    </w:p>
  </w:footnote>
  <w:footnote w:id="1110">
    <w:p w:rsidR="00E82D16" w:rsidRDefault="00E82D16" w:rsidP="000F560E">
      <w:pPr>
        <w:pStyle w:val="Voetnoottekst"/>
        <w:jc w:val="both"/>
      </w:pPr>
      <w:r>
        <w:rPr>
          <w:rStyle w:val="Voetnootmarkering"/>
        </w:rPr>
        <w:footnoteRef/>
      </w:r>
      <w:r>
        <w:t xml:space="preserve"> </w:t>
      </w:r>
      <w:r w:rsidRPr="002D627A">
        <w:rPr>
          <w:rFonts w:ascii="Times New Roman" w:hAnsi="Times New Roman"/>
        </w:rPr>
        <w:t>ROSCAM ABBING, H.D.C., ‘Informatie en toestemming in de gezondheidszorg: recente ontwikkelingen’</w:t>
      </w:r>
      <w:r w:rsidRPr="00C359AA">
        <w:rPr>
          <w:rFonts w:ascii="Times New Roman" w:hAnsi="Times New Roman"/>
        </w:rPr>
        <w:t xml:space="preserve">, </w:t>
      </w:r>
      <w:r w:rsidRPr="00C359AA">
        <w:rPr>
          <w:rFonts w:ascii="Times New Roman" w:hAnsi="Times New Roman"/>
          <w:i/>
        </w:rPr>
        <w:t>N.T.G.</w:t>
      </w:r>
      <w:r w:rsidRPr="00C359AA">
        <w:rPr>
          <w:rFonts w:ascii="Times New Roman" w:hAnsi="Times New Roman"/>
        </w:rPr>
        <w:t>, 138</w:t>
      </w:r>
      <w:r>
        <w:rPr>
          <w:rFonts w:ascii="Times New Roman" w:hAnsi="Times New Roman"/>
        </w:rPr>
        <w:t>/51</w:t>
      </w:r>
      <w:r w:rsidRPr="00C359AA">
        <w:rPr>
          <w:rFonts w:ascii="Times New Roman" w:hAnsi="Times New Roman"/>
        </w:rPr>
        <w:t xml:space="preserve"> (1994), p. 2561-2564</w:t>
      </w:r>
      <w:r>
        <w:rPr>
          <w:rFonts w:ascii="Times New Roman" w:hAnsi="Times New Roman"/>
        </w:rPr>
        <w:t xml:space="preserve">; </w:t>
      </w:r>
      <w:r w:rsidRPr="00E333B6">
        <w:rPr>
          <w:rFonts w:ascii="Times New Roman" w:hAnsi="Times New Roman"/>
        </w:rPr>
        <w:t xml:space="preserve">SAELENS; </w:t>
      </w:r>
      <w:r w:rsidRPr="002360AB">
        <w:rPr>
          <w:rFonts w:ascii="Times New Roman" w:hAnsi="Times New Roman"/>
        </w:rPr>
        <w:t xml:space="preserve">DE HERT; </w:t>
      </w:r>
      <w:r w:rsidRPr="002360AB">
        <w:rPr>
          <w:rFonts w:ascii="Times New Roman" w:hAnsi="Times New Roman"/>
          <w:i/>
          <w:iCs/>
        </w:rPr>
        <w:t>De wet patiëntenrechten en de verwerking van ge</w:t>
      </w:r>
      <w:r>
        <w:rPr>
          <w:rFonts w:ascii="Times New Roman" w:hAnsi="Times New Roman"/>
          <w:i/>
          <w:iCs/>
        </w:rPr>
        <w:t>-</w:t>
      </w:r>
      <w:r w:rsidRPr="002360AB">
        <w:rPr>
          <w:rFonts w:ascii="Times New Roman" w:hAnsi="Times New Roman"/>
          <w:i/>
          <w:iCs/>
        </w:rPr>
        <w:t>zondheidsgegevens</w:t>
      </w:r>
      <w:r w:rsidRPr="002360AB">
        <w:rPr>
          <w:rFonts w:ascii="Times New Roman" w:hAnsi="Times New Roman"/>
        </w:rPr>
        <w:t xml:space="preserve">, </w:t>
      </w:r>
      <w:r>
        <w:rPr>
          <w:rFonts w:ascii="Times New Roman" w:hAnsi="Times New Roman"/>
        </w:rPr>
        <w:t xml:space="preserve">p. 129-132; VAN DEN BERG, M.F.M.; NOUWT, S.; ‘De toestemming voor gegevensver-strekking bij wilsonbekwaamheid in de zorg’, </w:t>
      </w:r>
      <w:r>
        <w:rPr>
          <w:rFonts w:ascii="Times New Roman" w:hAnsi="Times New Roman"/>
          <w:i/>
        </w:rPr>
        <w:t>P&amp;I</w:t>
      </w:r>
      <w:r>
        <w:rPr>
          <w:rFonts w:ascii="Times New Roman" w:hAnsi="Times New Roman"/>
        </w:rPr>
        <w:t xml:space="preserve">, 2008, 1, p. 27-32; </w:t>
      </w:r>
      <w:r w:rsidRPr="00E257EB">
        <w:rPr>
          <w:rFonts w:ascii="Times New Roman" w:hAnsi="Times New Roman"/>
        </w:rPr>
        <w:t>VAN GOSSUM, K.; VAN ROY, B.; ‘Het begrip ‘toestemming’ in de Wet Verwerking Persoonsgegevens t.a.v. de ‘wilsonbekwame’ patiënt in het kader van een elektronisch gedeeld patiëntendossier</w:t>
      </w:r>
      <w:r>
        <w:rPr>
          <w:rFonts w:ascii="Times New Roman" w:hAnsi="Times New Roman"/>
        </w:rPr>
        <w:t>’</w:t>
      </w:r>
      <w:r w:rsidRPr="00E257EB">
        <w:rPr>
          <w:rFonts w:ascii="Times New Roman" w:hAnsi="Times New Roman"/>
        </w:rPr>
        <w:t xml:space="preserve">, </w:t>
      </w:r>
      <w:r w:rsidRPr="00E257EB">
        <w:rPr>
          <w:rFonts w:ascii="Times New Roman" w:hAnsi="Times New Roman"/>
          <w:i/>
        </w:rPr>
        <w:t>T.B.B.R.</w:t>
      </w:r>
      <w:r w:rsidRPr="00E257EB">
        <w:rPr>
          <w:rFonts w:ascii="Times New Roman" w:hAnsi="Times New Roman"/>
        </w:rPr>
        <w:t>, 2007, 7, p. 419-431.</w:t>
      </w:r>
    </w:p>
  </w:footnote>
  <w:footnote w:id="1111">
    <w:p w:rsidR="00E82D16" w:rsidRPr="00E333B6" w:rsidRDefault="00E82D16" w:rsidP="000F560E">
      <w:pPr>
        <w:pStyle w:val="Voetnoottekst"/>
        <w:jc w:val="both"/>
        <w:rPr>
          <w:rFonts w:ascii="Times New Roman" w:eastAsia="SimSun" w:hAnsi="Times New Roman"/>
          <w:bCs/>
          <w:kern w:val="2"/>
          <w:lang w:val="fr-BE" w:eastAsia="hi-IN" w:bidi="hi-IN"/>
        </w:rPr>
      </w:pPr>
      <w:r w:rsidRPr="00BC5CCB">
        <w:rPr>
          <w:rStyle w:val="Voetnootmarkering"/>
          <w:rFonts w:ascii="Times New Roman" w:hAnsi="Times New Roman"/>
        </w:rPr>
        <w:footnoteRef/>
      </w:r>
      <w:r w:rsidRPr="00E333B6">
        <w:rPr>
          <w:rFonts w:ascii="Times New Roman" w:hAnsi="Times New Roman"/>
          <w:lang w:val="fr-BE"/>
        </w:rPr>
        <w:t xml:space="preserve"> Art. 5, a van het Verdrag van Straatsburg; overwegingen 28 en 38 en art. 6 § 1, a van richtlijn 95/46/EG; aan</w:t>
      </w:r>
      <w:r>
        <w:rPr>
          <w:rFonts w:ascii="Times New Roman" w:hAnsi="Times New Roman"/>
          <w:lang w:val="fr-BE"/>
        </w:rPr>
        <w:t>-</w:t>
      </w:r>
      <w:r w:rsidRPr="00E333B6">
        <w:rPr>
          <w:rFonts w:ascii="Times New Roman" w:hAnsi="Times New Roman"/>
          <w:lang w:val="fr-BE"/>
        </w:rPr>
        <w:t xml:space="preserve">beveling nr. R(99)5; art. </w:t>
      </w:r>
      <w:r w:rsidRPr="00E333B6">
        <w:rPr>
          <w:rFonts w:ascii="Times New Roman" w:eastAsia="SimSun" w:hAnsi="Times New Roman"/>
          <w:bCs/>
          <w:kern w:val="2"/>
          <w:lang w:val="fr-BE" w:eastAsia="hi-IN" w:bidi="hi-IN"/>
        </w:rPr>
        <w:t xml:space="preserve">4 § 1, 1° Privacywet; art. 6 Wbp; art. 6, 1° </w:t>
      </w:r>
      <w:r w:rsidRPr="00E333B6">
        <w:rPr>
          <w:rFonts w:ascii="Times New Roman" w:hAnsi="Times New Roman"/>
          <w:lang w:val="fr-BE"/>
        </w:rPr>
        <w:t>van wet nr. 78-17 van 6 januari 1978, gewij</w:t>
      </w:r>
      <w:r>
        <w:rPr>
          <w:rFonts w:ascii="Times New Roman" w:hAnsi="Times New Roman"/>
          <w:lang w:val="fr-BE"/>
        </w:rPr>
        <w:t>-</w:t>
      </w:r>
      <w:r w:rsidRPr="00E333B6">
        <w:rPr>
          <w:rFonts w:ascii="Times New Roman" w:hAnsi="Times New Roman"/>
          <w:lang w:val="fr-BE"/>
        </w:rPr>
        <w:t>zigd door art. 2 van wet nr. 2004-801 van 6 augustus 2004</w:t>
      </w:r>
      <w:r w:rsidRPr="00E333B6">
        <w:rPr>
          <w:rFonts w:ascii="Times New Roman" w:eastAsia="SimSun" w:hAnsi="Times New Roman"/>
          <w:bCs/>
          <w:kern w:val="2"/>
          <w:lang w:val="fr-BE" w:eastAsia="hi-IN" w:bidi="hi-IN"/>
        </w:rPr>
        <w:t>; BOULANGER, M.-H.; DE TERWANGNE, C.; LEONARD, T.; LOUVEAUX, S.; MOREAU, D.; POULLET, Y.; ‘La protection des données à caractère per</w:t>
      </w:r>
      <w:r>
        <w:rPr>
          <w:rFonts w:ascii="Times New Roman" w:eastAsia="SimSun" w:hAnsi="Times New Roman"/>
          <w:bCs/>
          <w:kern w:val="2"/>
          <w:lang w:val="fr-BE" w:eastAsia="hi-IN" w:bidi="hi-IN"/>
        </w:rPr>
        <w:t>-</w:t>
      </w:r>
      <w:r w:rsidRPr="00E333B6">
        <w:rPr>
          <w:rFonts w:ascii="Times New Roman" w:eastAsia="SimSun" w:hAnsi="Times New Roman"/>
          <w:bCs/>
          <w:kern w:val="2"/>
          <w:lang w:val="fr-BE" w:eastAsia="hi-IN" w:bidi="hi-IN"/>
        </w:rPr>
        <w:t xml:space="preserve">sonnel en droit communautaire’, </w:t>
      </w:r>
      <w:r w:rsidRPr="00E333B6">
        <w:rPr>
          <w:rFonts w:ascii="Times New Roman" w:eastAsia="SimSun" w:hAnsi="Times New Roman"/>
          <w:bCs/>
          <w:i/>
          <w:kern w:val="2"/>
          <w:lang w:val="fr-BE" w:eastAsia="hi-IN" w:bidi="hi-IN"/>
        </w:rPr>
        <w:t>J.T.D.E.</w:t>
      </w:r>
      <w:r w:rsidRPr="00E333B6">
        <w:rPr>
          <w:rFonts w:ascii="Times New Roman" w:eastAsia="SimSun" w:hAnsi="Times New Roman"/>
          <w:bCs/>
          <w:kern w:val="2"/>
          <w:lang w:val="fr-BE" w:eastAsia="hi-IN" w:bidi="hi-IN"/>
        </w:rPr>
        <w:t>, 1997, p. 127 (nr.24);</w:t>
      </w:r>
      <w:r w:rsidRPr="00E333B6">
        <w:rPr>
          <w:rFonts w:ascii="Times New Roman" w:hAnsi="Times New Roman"/>
          <w:lang w:val="fr-BE"/>
        </w:rPr>
        <w:t xml:space="preserve"> DE BOT, p. 115 (nr. 149); FLAMEE, M.; LEO</w:t>
      </w:r>
      <w:r>
        <w:rPr>
          <w:rFonts w:ascii="Times New Roman" w:hAnsi="Times New Roman"/>
          <w:lang w:val="fr-BE"/>
        </w:rPr>
        <w:t>-</w:t>
      </w:r>
      <w:r w:rsidRPr="00E333B6">
        <w:rPr>
          <w:rFonts w:ascii="Times New Roman" w:hAnsi="Times New Roman"/>
          <w:lang w:val="fr-BE"/>
        </w:rPr>
        <w:t xml:space="preserve">NARD, T.; ‘La liberté de la presse à l’aune de la loi sur la protection des données: liberté responsable ou liberté surveillée?’, </w:t>
      </w:r>
      <w:r w:rsidRPr="00E333B6">
        <w:rPr>
          <w:rFonts w:ascii="Times New Roman" w:hAnsi="Times New Roman"/>
          <w:i/>
          <w:lang w:val="fr-BE"/>
        </w:rPr>
        <w:t>T.B.B.R.</w:t>
      </w:r>
      <w:r w:rsidRPr="00E333B6">
        <w:rPr>
          <w:rFonts w:ascii="Times New Roman" w:hAnsi="Times New Roman"/>
          <w:lang w:val="fr-BE"/>
        </w:rPr>
        <w:t>, 1997, p. 9</w:t>
      </w:r>
      <w:r w:rsidRPr="00E333B6">
        <w:rPr>
          <w:rFonts w:ascii="Times New Roman" w:eastAsia="SimSun" w:hAnsi="Times New Roman"/>
          <w:bCs/>
          <w:kern w:val="2"/>
          <w:lang w:val="fr-BE" w:eastAsia="hi-IN" w:bidi="hi-IN"/>
        </w:rPr>
        <w:t>.</w:t>
      </w:r>
    </w:p>
  </w:footnote>
  <w:footnote w:id="1112">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w:t>
      </w:r>
      <w:r>
        <w:rPr>
          <w:rFonts w:ascii="Times New Roman" w:hAnsi="Times New Roman"/>
        </w:rPr>
        <w:t xml:space="preserve">8, a van het Verdrag van Straatsburg; </w:t>
      </w:r>
      <w:r w:rsidRPr="00051B70">
        <w:rPr>
          <w:rFonts w:ascii="Times New Roman" w:hAnsi="Times New Roman"/>
        </w:rPr>
        <w:t>aanbeveling nr. R(85)20 van het Comité van Ministers aan de Lid</w:t>
      </w:r>
      <w:r>
        <w:rPr>
          <w:rFonts w:ascii="Times New Roman" w:hAnsi="Times New Roman"/>
        </w:rPr>
        <w:t>-</w:t>
      </w:r>
      <w:r w:rsidRPr="00051B70">
        <w:rPr>
          <w:rFonts w:ascii="Times New Roman" w:hAnsi="Times New Roman"/>
        </w:rPr>
        <w:t xml:space="preserve">staten </w:t>
      </w:r>
      <w:r>
        <w:rPr>
          <w:rFonts w:ascii="Times New Roman" w:hAnsi="Times New Roman"/>
        </w:rPr>
        <w:t xml:space="preserve">van 25 oktober 1985 </w:t>
      </w:r>
      <w:r w:rsidRPr="00051B70">
        <w:rPr>
          <w:rFonts w:ascii="Times New Roman" w:hAnsi="Times New Roman"/>
        </w:rPr>
        <w:t xml:space="preserve">over de bescherming van persoonsgegevens gebruikt voor </w:t>
      </w:r>
      <w:r w:rsidRPr="00051B70">
        <w:rPr>
          <w:rFonts w:ascii="Times New Roman" w:hAnsi="Times New Roman"/>
          <w:i/>
        </w:rPr>
        <w:t>direct marketing</w:t>
      </w:r>
      <w:r w:rsidRPr="00051B70">
        <w:rPr>
          <w:rFonts w:ascii="Times New Roman" w:hAnsi="Times New Roman"/>
        </w:rPr>
        <w:t>-doelein</w:t>
      </w:r>
      <w:r>
        <w:rPr>
          <w:rFonts w:ascii="Times New Roman" w:hAnsi="Times New Roman"/>
        </w:rPr>
        <w:t>-</w:t>
      </w:r>
      <w:r w:rsidRPr="00051B70">
        <w:rPr>
          <w:rFonts w:ascii="Times New Roman" w:hAnsi="Times New Roman"/>
        </w:rPr>
        <w:t xml:space="preserve">den; punt 3 van aanbeveling nr. R(86)1; punten 3.1, 3.2, 4.1, 4.3 en 4.4 van aanbeveling nr. R(89)2; </w:t>
      </w:r>
      <w:r>
        <w:rPr>
          <w:rFonts w:ascii="Times New Roman" w:hAnsi="Times New Roman"/>
        </w:rPr>
        <w:t xml:space="preserve">overweging 38 en </w:t>
      </w:r>
      <w:r w:rsidRPr="00051B70">
        <w:rPr>
          <w:rFonts w:ascii="Times New Roman" w:hAnsi="Times New Roman"/>
        </w:rPr>
        <w:t>art. 10 van richtlijn 95/46/EG; punten 4.2, 5.3 en 5.4 van aanbeveling nr. R(97)5; art. 12 § 1 van Veror</w:t>
      </w:r>
      <w:r>
        <w:rPr>
          <w:rFonts w:ascii="Times New Roman" w:hAnsi="Times New Roman"/>
        </w:rPr>
        <w:t>-</w:t>
      </w:r>
      <w:r w:rsidRPr="00051B70">
        <w:rPr>
          <w:rFonts w:ascii="Times New Roman" w:hAnsi="Times New Roman"/>
        </w:rPr>
        <w:t>dening (EG) nr. 45/2001</w:t>
      </w:r>
      <w:r>
        <w:rPr>
          <w:rFonts w:ascii="Times New Roman" w:hAnsi="Times New Roman"/>
        </w:rPr>
        <w:t xml:space="preserve">; art. </w:t>
      </w:r>
      <w:r w:rsidRPr="00E257EB">
        <w:rPr>
          <w:rFonts w:ascii="Times New Roman" w:hAnsi="Times New Roman"/>
        </w:rPr>
        <w:t xml:space="preserve">9 Privacywet; art. 33 Wbp; art. 32 van wet nr. 78-17 van 6 januari 1978, </w:t>
      </w:r>
      <w:r>
        <w:rPr>
          <w:rFonts w:ascii="Times New Roman" w:hAnsi="Times New Roman"/>
        </w:rPr>
        <w:t>gewijzigd</w:t>
      </w:r>
      <w:r w:rsidRPr="00E257EB">
        <w:rPr>
          <w:rFonts w:ascii="Times New Roman" w:hAnsi="Times New Roman"/>
        </w:rPr>
        <w:t xml:space="preserve"> door art. 37 van wet nr. 2004-801 van 6 augustus 2004.</w:t>
      </w:r>
    </w:p>
  </w:footnote>
  <w:footnote w:id="1113">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VANSWEEVELT; DEWALLENS; p. 55 (nr. 80).</w:t>
      </w:r>
    </w:p>
  </w:footnote>
  <w:footnote w:id="1114">
    <w:p w:rsidR="00E82D16" w:rsidRPr="002538AE"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CALLENS, S., ‘Privacyreglement van het ziekenhuis’, </w:t>
      </w:r>
      <w:r w:rsidRPr="00E257EB">
        <w:rPr>
          <w:rFonts w:ascii="Times New Roman" w:hAnsi="Times New Roman"/>
          <w:i/>
        </w:rPr>
        <w:t>A.Hosp.</w:t>
      </w:r>
      <w:r w:rsidRPr="00E257EB">
        <w:rPr>
          <w:rFonts w:ascii="Times New Roman" w:hAnsi="Times New Roman"/>
        </w:rPr>
        <w:t>, 1995, 1, p. 72-74; CALLENS; GOOSSENS; CIERKENS; p. 345 (nrs. 890-891); HERVEG; VERHAEGEN; POULLET; p. 67</w:t>
      </w:r>
      <w:r>
        <w:rPr>
          <w:rFonts w:ascii="Times New Roman" w:hAnsi="Times New Roman"/>
        </w:rPr>
        <w:t>. Cf.: art. 9</w:t>
      </w:r>
      <w:r>
        <w:rPr>
          <w:rFonts w:ascii="Times New Roman" w:hAnsi="Times New Roman"/>
          <w:i/>
        </w:rPr>
        <w:t>quater</w:t>
      </w:r>
      <w:r>
        <w:rPr>
          <w:rFonts w:ascii="Times New Roman" w:hAnsi="Times New Roman"/>
        </w:rPr>
        <w:t>, a</w:t>
      </w:r>
      <w:r>
        <w:rPr>
          <w:rFonts w:ascii="Times New Roman" w:hAnsi="Times New Roman"/>
          <w:i/>
        </w:rPr>
        <w:t xml:space="preserve"> </w:t>
      </w:r>
      <w:r>
        <w:rPr>
          <w:rFonts w:ascii="Times New Roman" w:hAnsi="Times New Roman"/>
        </w:rPr>
        <w:t>van het KB van 23 oktober 1964 tot bepaling van de normen die door de ziekenhuizen en hun diensten moeten worden nage-leefd (</w:t>
      </w:r>
      <w:r>
        <w:rPr>
          <w:rFonts w:ascii="Times New Roman" w:hAnsi="Times New Roman"/>
          <w:i/>
        </w:rPr>
        <w:t>BS</w:t>
      </w:r>
      <w:r>
        <w:rPr>
          <w:rFonts w:ascii="Times New Roman" w:hAnsi="Times New Roman"/>
        </w:rPr>
        <w:t xml:space="preserve"> 7 november 1964), ingevoerd door art. 1 van het KB van 16 december 1994 (</w:t>
      </w:r>
      <w:r>
        <w:rPr>
          <w:rFonts w:ascii="Times New Roman" w:hAnsi="Times New Roman"/>
          <w:i/>
        </w:rPr>
        <w:t>BS</w:t>
      </w:r>
      <w:r>
        <w:rPr>
          <w:rFonts w:ascii="Times New Roman" w:hAnsi="Times New Roman"/>
        </w:rPr>
        <w:t xml:space="preserve"> 31 januari 1995).</w:t>
      </w:r>
    </w:p>
  </w:footnote>
  <w:footnote w:id="1115">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w:t>
      </w:r>
      <w:r>
        <w:rPr>
          <w:rFonts w:ascii="Times New Roman" w:hAnsi="Times New Roman"/>
        </w:rPr>
        <w:t>9 § 2 van het Verdrag van Straatsburg; a</w:t>
      </w:r>
      <w:r w:rsidRPr="00051B70">
        <w:rPr>
          <w:rFonts w:ascii="Times New Roman" w:hAnsi="Times New Roman"/>
        </w:rPr>
        <w:t>anbeveling nr. R(83)10 van het Comité van Ministers aan de Lidstaten van 23 september 1983 over de bescherming van persoonsgegevens gebruikt voor wetenschappelijk onderzoek en statistieken</w:t>
      </w:r>
      <w:r>
        <w:rPr>
          <w:rFonts w:ascii="Times New Roman" w:hAnsi="Times New Roman"/>
        </w:rPr>
        <w:t xml:space="preserve">; overweging 40 en art. </w:t>
      </w:r>
      <w:r w:rsidRPr="00E257EB">
        <w:rPr>
          <w:rFonts w:ascii="Times New Roman" w:hAnsi="Times New Roman"/>
        </w:rPr>
        <w:t xml:space="preserve">11 § 2 van richtlijn 95/46/EG; </w:t>
      </w:r>
      <w:r w:rsidRPr="00562794">
        <w:rPr>
          <w:rFonts w:ascii="Times New Roman" w:hAnsi="Times New Roman"/>
        </w:rPr>
        <w:t>punt 5.6 van aanbeveling nr. R(97)5</w:t>
      </w:r>
      <w:r>
        <w:rPr>
          <w:rFonts w:ascii="Times New Roman" w:hAnsi="Times New Roman"/>
        </w:rPr>
        <w:t xml:space="preserve">; </w:t>
      </w:r>
      <w:r w:rsidRPr="00562794">
        <w:rPr>
          <w:rFonts w:ascii="Times New Roman" w:hAnsi="Times New Roman"/>
        </w:rPr>
        <w:t>aanbeveling nr. R(97)18 van het Comité van Ministers aan de Lidstaten van 30 september 1997 betref</w:t>
      </w:r>
      <w:r>
        <w:rPr>
          <w:rFonts w:ascii="Times New Roman" w:hAnsi="Times New Roman"/>
        </w:rPr>
        <w:t>-</w:t>
      </w:r>
      <w:r w:rsidRPr="00562794">
        <w:rPr>
          <w:rFonts w:ascii="Times New Roman" w:hAnsi="Times New Roman"/>
        </w:rPr>
        <w:t>fende de bescherming van persoonsgegevens verzameld en verwerkt voor statistische doeleinden</w:t>
      </w:r>
      <w:r>
        <w:rPr>
          <w:rFonts w:ascii="Times New Roman" w:hAnsi="Times New Roman"/>
        </w:rPr>
        <w:t xml:space="preserve">; art. 12 § 2 van Verordening (EG) nr. 45/2001;  </w:t>
      </w:r>
      <w:r w:rsidRPr="00E257EB">
        <w:rPr>
          <w:rFonts w:ascii="Times New Roman" w:hAnsi="Times New Roman"/>
        </w:rPr>
        <w:t>art. 9 § 2 Privacywet; art. 23 § 2, c Wbp; art. 31 § 3 van wet nr. 78-17 van 6 ja</w:t>
      </w:r>
      <w:r>
        <w:rPr>
          <w:rFonts w:ascii="Times New Roman" w:hAnsi="Times New Roman"/>
        </w:rPr>
        <w:t>-</w:t>
      </w:r>
      <w:r w:rsidRPr="00E257EB">
        <w:rPr>
          <w:rFonts w:ascii="Times New Roman" w:hAnsi="Times New Roman"/>
        </w:rPr>
        <w:t>nuari 1978, gewijzigd door art. 37 van verordening nr. 2011-1012 van 24 augustus 2011 met betrekking tot de elektronische communicatie (</w:t>
      </w:r>
      <w:r w:rsidRPr="00E257EB">
        <w:rPr>
          <w:rFonts w:ascii="Times New Roman" w:hAnsi="Times New Roman"/>
          <w:i/>
        </w:rPr>
        <w:t>JORF</w:t>
      </w:r>
      <w:r w:rsidRPr="00E257EB">
        <w:rPr>
          <w:rFonts w:ascii="Times New Roman" w:hAnsi="Times New Roman"/>
        </w:rPr>
        <w:t xml:space="preserve"> 197, 26 augustus 2011); KETELAAR, E., ‘Elke handeling telt. Archiefdien</w:t>
      </w:r>
      <w:r>
        <w:rPr>
          <w:rFonts w:ascii="Times New Roman" w:hAnsi="Times New Roman"/>
        </w:rPr>
        <w:t>-</w:t>
      </w:r>
      <w:r w:rsidRPr="00E257EB">
        <w:rPr>
          <w:rFonts w:ascii="Times New Roman" w:hAnsi="Times New Roman"/>
        </w:rPr>
        <w:t xml:space="preserve">sten en de Wet bescherming persoonsgegevens’, </w:t>
      </w:r>
      <w:r w:rsidRPr="00E257EB">
        <w:rPr>
          <w:rFonts w:ascii="Times New Roman" w:hAnsi="Times New Roman"/>
          <w:i/>
        </w:rPr>
        <w:t>Archievenblad</w:t>
      </w:r>
      <w:r w:rsidRPr="00E257EB">
        <w:rPr>
          <w:rFonts w:ascii="Times New Roman" w:hAnsi="Times New Roman"/>
        </w:rPr>
        <w:t>, 104/3 (2000), p. 23.</w:t>
      </w:r>
    </w:p>
  </w:footnote>
  <w:footnote w:id="1116">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18 van richtlijn 95/46/EG; art. 1 van protocol nr. 181 inzake toezichthoudende autoriteiten en grensover</w:t>
      </w:r>
      <w:r>
        <w:rPr>
          <w:rFonts w:ascii="Times New Roman" w:hAnsi="Times New Roman"/>
        </w:rPr>
        <w:t>-</w:t>
      </w:r>
      <w:r w:rsidRPr="00E257EB">
        <w:rPr>
          <w:rFonts w:ascii="Times New Roman" w:hAnsi="Times New Roman"/>
        </w:rPr>
        <w:t>schrijdend verkeer van gegevens. In België werd hieraan gevolg gegeven met de Commissie voor de bescher</w:t>
      </w:r>
      <w:r>
        <w:rPr>
          <w:rFonts w:ascii="Times New Roman" w:hAnsi="Times New Roman"/>
        </w:rPr>
        <w:t>-</w:t>
      </w:r>
      <w:r w:rsidRPr="00E257EB">
        <w:rPr>
          <w:rFonts w:ascii="Times New Roman" w:hAnsi="Times New Roman"/>
        </w:rPr>
        <w:t xml:space="preserve">ming van de persoonlijke levenssfeer of CBPL (art. 23 tot art. 36 Privacywet); in Nederland betreft het </w:t>
      </w:r>
      <w:r w:rsidRPr="000070B6">
        <w:rPr>
          <w:rFonts w:ascii="Times New Roman" w:hAnsi="Times New Roman"/>
        </w:rPr>
        <w:t>het Col</w:t>
      </w:r>
      <w:r>
        <w:rPr>
          <w:rFonts w:ascii="Times New Roman" w:hAnsi="Times New Roman"/>
        </w:rPr>
        <w:t>-</w:t>
      </w:r>
      <w:r w:rsidRPr="000070B6">
        <w:rPr>
          <w:rFonts w:ascii="Times New Roman" w:hAnsi="Times New Roman"/>
        </w:rPr>
        <w:t xml:space="preserve">lege bescherming persoonsgegevens of Cbp, de voormalige registratiekamer (art. 51 tot art. 64 Wbp) en in Frankrijk heet deze instelling de Commission nationale de l’informatique et des libertés of CNIL (art. 11 tot art. 21 van wet nr. 78-17 van 6 januari 1978, gewijzigd door art. 3 van wet nr. 2004-801 van 6 augustus 2004). Zie ook: </w:t>
      </w:r>
      <w:r w:rsidRPr="00400E16">
        <w:rPr>
          <w:rFonts w:ascii="Times New Roman" w:hAnsi="Times New Roman"/>
        </w:rPr>
        <w:t xml:space="preserve">CHEVALLIER, J., ‘COB, CNIL, CNCL et cie: la Philosophie des autorités administratives indépendantes’, </w:t>
      </w:r>
      <w:r w:rsidRPr="00400E16">
        <w:rPr>
          <w:rFonts w:ascii="Times New Roman" w:hAnsi="Times New Roman"/>
          <w:i/>
        </w:rPr>
        <w:t>Regards sur l’actualité</w:t>
      </w:r>
      <w:r w:rsidRPr="00400E16">
        <w:rPr>
          <w:rFonts w:ascii="Times New Roman" w:hAnsi="Times New Roman"/>
        </w:rPr>
        <w:t>, 146 (1988), p. 13-28</w:t>
      </w:r>
      <w:r w:rsidRPr="000070B6">
        <w:rPr>
          <w:rFonts w:ascii="Times New Roman" w:hAnsi="Times New Roman"/>
        </w:rPr>
        <w:t>; CUIJPERS, C.M.K.C., ‘Het College Bescherming Persoonsgege</w:t>
      </w:r>
      <w:r>
        <w:rPr>
          <w:rFonts w:ascii="Times New Roman" w:hAnsi="Times New Roman"/>
        </w:rPr>
        <w:t>-</w:t>
      </w:r>
      <w:r w:rsidRPr="000070B6">
        <w:rPr>
          <w:rFonts w:ascii="Times New Roman" w:hAnsi="Times New Roman"/>
        </w:rPr>
        <w:t xml:space="preserve">vens’, CUIJPERS, C.M.K.C.; VAN DER PUTT, P. (reds.); </w:t>
      </w:r>
      <w:r w:rsidRPr="000070B6">
        <w:rPr>
          <w:rFonts w:ascii="Times New Roman" w:hAnsi="Times New Roman"/>
          <w:i/>
        </w:rPr>
        <w:t xml:space="preserve">Privacy Concerns. Het delen van </w:t>
      </w:r>
      <w:r w:rsidRPr="00E257EB">
        <w:rPr>
          <w:rFonts w:ascii="Times New Roman" w:hAnsi="Times New Roman"/>
          <w:i/>
        </w:rPr>
        <w:t>persoonsgegevens bij fusies, overnames en binnen concerns</w:t>
      </w:r>
      <w:r w:rsidRPr="00E257EB">
        <w:rPr>
          <w:rFonts w:ascii="Times New Roman" w:hAnsi="Times New Roman"/>
        </w:rPr>
        <w:t xml:space="preserve">, Nederlandse Vereniging voor Informatietechnologie en Recht, Den Haag, Elsevier juridisch, 2003, p. 87-106; DEGRAVE, L., ‘La </w:t>
      </w:r>
      <w:r w:rsidRPr="000070B6">
        <w:rPr>
          <w:rFonts w:ascii="Times New Roman" w:hAnsi="Times New Roman"/>
        </w:rPr>
        <w:t xml:space="preserve">Commission de la protection de la vie privée: un organisme invincible’, </w:t>
      </w:r>
      <w:r w:rsidRPr="000070B6">
        <w:rPr>
          <w:rFonts w:ascii="Times New Roman" w:hAnsi="Times New Roman"/>
          <w:i/>
        </w:rPr>
        <w:t>R.D.T.I.</w:t>
      </w:r>
      <w:r w:rsidRPr="000070B6">
        <w:rPr>
          <w:rFonts w:ascii="Times New Roman" w:hAnsi="Times New Roman"/>
        </w:rPr>
        <w:t>, 25 (2006), p. 225-241; FRAYSINNET, J.</w:t>
      </w:r>
      <w:r>
        <w:rPr>
          <w:rFonts w:ascii="Times New Roman" w:hAnsi="Times New Roman"/>
        </w:rPr>
        <w:t>; FAUVET, J.;</w:t>
      </w:r>
      <w:r w:rsidRPr="000070B6">
        <w:rPr>
          <w:rFonts w:ascii="Times New Roman" w:hAnsi="Times New Roman"/>
        </w:rPr>
        <w:t xml:space="preserve"> </w:t>
      </w:r>
      <w:r w:rsidRPr="000070B6">
        <w:rPr>
          <w:rFonts w:ascii="Times New Roman" w:hAnsi="Times New Roman"/>
          <w:i/>
        </w:rPr>
        <w:t>Informatique, fichiers et liberté: les règles, les sanctions, la doctrine de la CNIL</w:t>
      </w:r>
      <w:r w:rsidRPr="000070B6">
        <w:rPr>
          <w:rFonts w:ascii="Times New Roman" w:hAnsi="Times New Roman"/>
        </w:rPr>
        <w:t>, Parijs, Litec, 1992</w:t>
      </w:r>
      <w:r>
        <w:rPr>
          <w:rFonts w:ascii="Times New Roman" w:hAnsi="Times New Roman"/>
        </w:rPr>
        <w:t>, 229p.</w:t>
      </w:r>
      <w:r w:rsidRPr="000070B6">
        <w:rPr>
          <w:rFonts w:ascii="Times New Roman" w:hAnsi="Times New Roman"/>
        </w:rPr>
        <w:t>; GAUDEMET, M.; PER</w:t>
      </w:r>
      <w:r>
        <w:rPr>
          <w:rFonts w:ascii="Times New Roman" w:hAnsi="Times New Roman"/>
        </w:rPr>
        <w:t>-</w:t>
      </w:r>
      <w:r w:rsidRPr="000070B6">
        <w:rPr>
          <w:rFonts w:ascii="Times New Roman" w:hAnsi="Times New Roman"/>
        </w:rPr>
        <w:t xml:space="preserve">RAY, R.; ‘Le renforcement du rôle de la CNIL après 2004’, </w:t>
      </w:r>
      <w:r w:rsidRPr="000070B6">
        <w:rPr>
          <w:rFonts w:ascii="Times New Roman" w:hAnsi="Times New Roman"/>
          <w:i/>
        </w:rPr>
        <w:t xml:space="preserve">Regards sur </w:t>
      </w:r>
      <w:r w:rsidRPr="00E257EB">
        <w:rPr>
          <w:rFonts w:ascii="Times New Roman" w:hAnsi="Times New Roman"/>
          <w:i/>
        </w:rPr>
        <w:t>l’actualité</w:t>
      </w:r>
      <w:r w:rsidRPr="00E257EB">
        <w:rPr>
          <w:rFonts w:ascii="Times New Roman" w:hAnsi="Times New Roman"/>
        </w:rPr>
        <w:t xml:space="preserve">, 327 (2007), p. 71-84; VAN DEN BERGE, M., </w:t>
      </w:r>
      <w:r w:rsidRPr="00E257EB">
        <w:rPr>
          <w:rFonts w:ascii="Times New Roman" w:hAnsi="Times New Roman"/>
          <w:i/>
        </w:rPr>
        <w:t xml:space="preserve">Commissie voor de bescherming van de persoonlijke </w:t>
      </w:r>
      <w:r w:rsidRPr="00E257EB">
        <w:rPr>
          <w:rFonts w:ascii="Times New Roman" w:hAnsi="Times New Roman"/>
        </w:rPr>
        <w:t>levenssfeer, onuitgeg. meesterproef, Fa</w:t>
      </w:r>
      <w:r>
        <w:rPr>
          <w:rFonts w:ascii="Times New Roman" w:hAnsi="Times New Roman"/>
        </w:rPr>
        <w:t>-</w:t>
      </w:r>
      <w:r w:rsidRPr="00E257EB">
        <w:rPr>
          <w:rFonts w:ascii="Times New Roman" w:hAnsi="Times New Roman"/>
        </w:rPr>
        <w:t>culteit Rechtsgeleerdheid, KULeuven, promotor prof. dr. D. D’Hooghe, 72p.; VERKADE, D., ‘De nieuwe Ne</w:t>
      </w:r>
      <w:r>
        <w:rPr>
          <w:rFonts w:ascii="Times New Roman" w:hAnsi="Times New Roman"/>
        </w:rPr>
        <w:t>-</w:t>
      </w:r>
      <w:r w:rsidRPr="00E257EB">
        <w:rPr>
          <w:rFonts w:ascii="Times New Roman" w:hAnsi="Times New Roman"/>
        </w:rPr>
        <w:t xml:space="preserve">derlandse Wet bescherming persoonsgegevens: een bundeltje impressies’, </w:t>
      </w:r>
      <w:r w:rsidRPr="00E257EB">
        <w:rPr>
          <w:rFonts w:ascii="Times New Roman" w:hAnsi="Times New Roman"/>
          <w:i/>
        </w:rPr>
        <w:t>Computerr.</w:t>
      </w:r>
      <w:r w:rsidRPr="00E257EB">
        <w:rPr>
          <w:rFonts w:ascii="Times New Roman" w:hAnsi="Times New Roman"/>
        </w:rPr>
        <w:t>, 2001, 2, p. 56-60; VUL</w:t>
      </w:r>
      <w:r>
        <w:rPr>
          <w:rFonts w:ascii="Times New Roman" w:hAnsi="Times New Roman"/>
        </w:rPr>
        <w:t>-</w:t>
      </w:r>
      <w:r w:rsidRPr="00E257EB">
        <w:rPr>
          <w:rFonts w:ascii="Times New Roman" w:hAnsi="Times New Roman"/>
        </w:rPr>
        <w:t xml:space="preserve">LIET-TAVERNIER, S., ‘La CNIL et la protection des données médicales nominatives’, </w:t>
      </w:r>
      <w:r>
        <w:rPr>
          <w:rFonts w:ascii="Times New Roman" w:hAnsi="Times New Roman"/>
          <w:i/>
        </w:rPr>
        <w:t>M.D.</w:t>
      </w:r>
      <w:r w:rsidRPr="00E257EB">
        <w:rPr>
          <w:rFonts w:ascii="Times New Roman" w:hAnsi="Times New Roman"/>
        </w:rPr>
        <w:t>, 1996, 20, p. 2-5.</w:t>
      </w:r>
    </w:p>
  </w:footnote>
  <w:footnote w:id="1117">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19 van richtlijn 95/46/EG; art. 17 § 3 Privacywet; art. 27 en art. 28 Wbp; besluit van 7 mei 2001 hou</w:t>
      </w:r>
      <w:r>
        <w:rPr>
          <w:rFonts w:ascii="Times New Roman" w:hAnsi="Times New Roman"/>
        </w:rPr>
        <w:t>-</w:t>
      </w:r>
      <w:r w:rsidRPr="00E257EB">
        <w:rPr>
          <w:rFonts w:ascii="Times New Roman" w:hAnsi="Times New Roman"/>
        </w:rPr>
        <w:t xml:space="preserve">dende nadere regels over de wijze waarop de melding, bedoeld in artikel 27 en 28 van de Wet bescherming </w:t>
      </w:r>
      <w:r w:rsidRPr="000070B6">
        <w:rPr>
          <w:rFonts w:ascii="Times New Roman" w:hAnsi="Times New Roman"/>
        </w:rPr>
        <w:t>per</w:t>
      </w:r>
      <w:r>
        <w:rPr>
          <w:rFonts w:ascii="Times New Roman" w:hAnsi="Times New Roman"/>
        </w:rPr>
        <w:t>-</w:t>
      </w:r>
      <w:r w:rsidRPr="000070B6">
        <w:rPr>
          <w:rFonts w:ascii="Times New Roman" w:hAnsi="Times New Roman"/>
        </w:rPr>
        <w:t>soonsgegevens, dient te geschieden (</w:t>
      </w:r>
      <w:r w:rsidRPr="000070B6">
        <w:rPr>
          <w:rFonts w:ascii="Times New Roman" w:hAnsi="Times New Roman"/>
          <w:i/>
        </w:rPr>
        <w:t>Stb.</w:t>
      </w:r>
      <w:r w:rsidRPr="000070B6">
        <w:rPr>
          <w:rFonts w:ascii="Times New Roman" w:hAnsi="Times New Roman"/>
        </w:rPr>
        <w:t xml:space="preserve"> 244, 31 mei 2001); art. 24 van wet nr. 78-17 van 6 januari 1978, gewij</w:t>
      </w:r>
      <w:r>
        <w:rPr>
          <w:rFonts w:ascii="Times New Roman" w:hAnsi="Times New Roman"/>
        </w:rPr>
        <w:t>-</w:t>
      </w:r>
      <w:r w:rsidRPr="000070B6">
        <w:rPr>
          <w:rFonts w:ascii="Times New Roman" w:hAnsi="Times New Roman"/>
        </w:rPr>
        <w:t xml:space="preserve">zigd door art. 4 van wet nr. 2004-801 van 6 augustus 2004; CALLENS; GOOSSENS; CIERKENS; </w:t>
      </w:r>
      <w:r w:rsidRPr="00E257EB">
        <w:rPr>
          <w:rFonts w:ascii="Times New Roman" w:hAnsi="Times New Roman"/>
        </w:rPr>
        <w:t xml:space="preserve">p. 327-328 (nrs. 827-832) en p. 344-345 (nrs. 888-889); KETELAAR, E., ‘Elke handeling telt. Archiefdiensten en de Wet bescherming persoonsgegevens (deel 2)’, </w:t>
      </w:r>
      <w:r w:rsidRPr="00E257EB">
        <w:rPr>
          <w:rFonts w:ascii="Times New Roman" w:hAnsi="Times New Roman"/>
          <w:i/>
        </w:rPr>
        <w:t>Archievenblad</w:t>
      </w:r>
      <w:r w:rsidRPr="00E257EB">
        <w:rPr>
          <w:rFonts w:ascii="Times New Roman" w:hAnsi="Times New Roman"/>
        </w:rPr>
        <w:t>, 104/4 (2000), p. 2</w:t>
      </w:r>
      <w:r w:rsidRPr="006E0E23">
        <w:rPr>
          <w:rFonts w:ascii="Times New Roman" w:hAnsi="Times New Roman"/>
        </w:rPr>
        <w:t>6;</w:t>
      </w:r>
      <w:r w:rsidRPr="006E0E23">
        <w:rPr>
          <w:rFonts w:ascii="Times New Roman" w:hAnsi="Times New Roman"/>
          <w:b/>
        </w:rPr>
        <w:t xml:space="preserve"> </w:t>
      </w:r>
      <w:r w:rsidRPr="00E257EB">
        <w:rPr>
          <w:rFonts w:ascii="Times New Roman" w:hAnsi="Times New Roman"/>
        </w:rPr>
        <w:t>ROBBEN, ‘De gevolgen van de Wet Verwerking Persoonsgegevens voor de sector van de gezondheidszorg’, p. 281-282.</w:t>
      </w:r>
    </w:p>
  </w:footnote>
  <w:footnote w:id="1118">
    <w:p w:rsidR="00E82D16" w:rsidRPr="00FC1540" w:rsidRDefault="00E82D16" w:rsidP="000F560E">
      <w:pPr>
        <w:pStyle w:val="Geenafstand"/>
        <w:jc w:val="both"/>
        <w:rPr>
          <w:rFonts w:ascii="Times New Roman" w:hAnsi="Times New Roman" w:cs="Times New Roman"/>
          <w:sz w:val="20"/>
          <w:szCs w:val="20"/>
        </w:rPr>
      </w:pPr>
      <w:r w:rsidRPr="000070B6">
        <w:rPr>
          <w:rStyle w:val="Voetnootmarkering"/>
          <w:rFonts w:ascii="Times New Roman" w:hAnsi="Times New Roman" w:cs="Times New Roman"/>
          <w:sz w:val="20"/>
          <w:szCs w:val="20"/>
        </w:rPr>
        <w:footnoteRef/>
      </w:r>
      <w:r w:rsidRPr="00FC1540">
        <w:rPr>
          <w:rFonts w:ascii="Times New Roman" w:hAnsi="Times New Roman" w:cs="Times New Roman"/>
          <w:sz w:val="20"/>
          <w:szCs w:val="20"/>
        </w:rPr>
        <w:t xml:space="preserve"> OOSTERLINCK, p. 90-91.</w:t>
      </w:r>
    </w:p>
  </w:footnote>
  <w:footnote w:id="1119">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0070B6">
        <w:rPr>
          <w:rFonts w:ascii="Times New Roman" w:hAnsi="Times New Roman"/>
        </w:rPr>
        <w:t xml:space="preserve"> </w:t>
      </w:r>
      <w:r>
        <w:rPr>
          <w:rFonts w:ascii="Times New Roman" w:hAnsi="Times New Roman"/>
        </w:rPr>
        <w:t>Overwegingen 49 tot 51, a</w:t>
      </w:r>
      <w:r w:rsidRPr="000070B6">
        <w:rPr>
          <w:rFonts w:ascii="Times New Roman" w:hAnsi="Times New Roman"/>
        </w:rPr>
        <w:t xml:space="preserve">rt. </w:t>
      </w:r>
      <w:r>
        <w:rPr>
          <w:rFonts w:ascii="Times New Roman" w:hAnsi="Times New Roman"/>
        </w:rPr>
        <w:t xml:space="preserve">18 § 2 en art. 21 § 3 van richtlijn 95/46/EG; art. </w:t>
      </w:r>
      <w:r w:rsidRPr="000070B6">
        <w:rPr>
          <w:rFonts w:ascii="Times New Roman" w:hAnsi="Times New Roman"/>
        </w:rPr>
        <w:t>17 § 8 Privacywet; art. 51 tot art. 62 PrivacyKB; a</w:t>
      </w:r>
      <w:r w:rsidRPr="00E257EB">
        <w:rPr>
          <w:rFonts w:ascii="Times New Roman" w:hAnsi="Times New Roman"/>
        </w:rPr>
        <w:t>rt. 29 Wbp</w:t>
      </w:r>
      <w:r>
        <w:rPr>
          <w:rFonts w:ascii="Times New Roman" w:hAnsi="Times New Roman"/>
        </w:rPr>
        <w:t>;</w:t>
      </w:r>
      <w:r w:rsidRPr="00E257EB">
        <w:rPr>
          <w:rFonts w:ascii="Times New Roman" w:hAnsi="Times New Roman"/>
        </w:rPr>
        <w:t xml:space="preserve"> besluit van 7 mei 2001, houdende aanwijzing van verwerkingen van persoons</w:t>
      </w:r>
      <w:r>
        <w:rPr>
          <w:rFonts w:ascii="Times New Roman" w:hAnsi="Times New Roman"/>
        </w:rPr>
        <w:t>-</w:t>
      </w:r>
      <w:r w:rsidRPr="00E257EB">
        <w:rPr>
          <w:rFonts w:ascii="Times New Roman" w:hAnsi="Times New Roman"/>
        </w:rPr>
        <w:t>gegevens die zijn vrijgesteld van de melding bedoeld in artikel 27 van de Wet bescherming persoonsgegevens (</w:t>
      </w:r>
      <w:r w:rsidRPr="00E257EB">
        <w:rPr>
          <w:rFonts w:ascii="Times New Roman" w:hAnsi="Times New Roman"/>
          <w:i/>
        </w:rPr>
        <w:t xml:space="preserve">Stb. </w:t>
      </w:r>
      <w:r w:rsidRPr="00E257EB">
        <w:rPr>
          <w:rFonts w:ascii="Times New Roman" w:hAnsi="Times New Roman"/>
        </w:rPr>
        <w:t xml:space="preserve">250, 12 juni 2001); </w:t>
      </w:r>
      <w:r>
        <w:rPr>
          <w:rFonts w:ascii="Times New Roman" w:hAnsi="Times New Roman"/>
        </w:rPr>
        <w:t>art. 22 § 4 van wet</w:t>
      </w:r>
      <w:r w:rsidRPr="00E257EB">
        <w:rPr>
          <w:rFonts w:ascii="Times New Roman" w:hAnsi="Times New Roman"/>
        </w:rPr>
        <w:t xml:space="preserve"> nr. 78-17 van 6 januari 1978, gewijzigd door art. </w:t>
      </w:r>
      <w:r>
        <w:rPr>
          <w:rFonts w:ascii="Times New Roman" w:hAnsi="Times New Roman"/>
        </w:rPr>
        <w:t>4</w:t>
      </w:r>
      <w:r w:rsidRPr="00E257EB">
        <w:rPr>
          <w:rFonts w:ascii="Times New Roman" w:hAnsi="Times New Roman"/>
        </w:rPr>
        <w:t xml:space="preserve"> van </w:t>
      </w:r>
      <w:r>
        <w:rPr>
          <w:rFonts w:ascii="Times New Roman" w:hAnsi="Times New Roman"/>
        </w:rPr>
        <w:t>wet</w:t>
      </w:r>
      <w:r w:rsidRPr="00E257EB">
        <w:rPr>
          <w:rFonts w:ascii="Times New Roman" w:hAnsi="Times New Roman"/>
        </w:rPr>
        <w:t xml:space="preserve"> nr. 20</w:t>
      </w:r>
      <w:r>
        <w:rPr>
          <w:rFonts w:ascii="Times New Roman" w:hAnsi="Times New Roman"/>
        </w:rPr>
        <w:t>04</w:t>
      </w:r>
      <w:r w:rsidRPr="00E257EB">
        <w:rPr>
          <w:rFonts w:ascii="Times New Roman" w:hAnsi="Times New Roman"/>
        </w:rPr>
        <w:t>-</w:t>
      </w:r>
      <w:r>
        <w:rPr>
          <w:rFonts w:ascii="Times New Roman" w:hAnsi="Times New Roman"/>
        </w:rPr>
        <w:t xml:space="preserve">801 van 6 augustus 2004; </w:t>
      </w:r>
      <w:r w:rsidRPr="00E257EB">
        <w:rPr>
          <w:rFonts w:ascii="Times New Roman" w:hAnsi="Times New Roman"/>
        </w:rPr>
        <w:t xml:space="preserve">KETELAAR, E., ‘Wet bescherming persoonsgegevens’, </w:t>
      </w:r>
      <w:r w:rsidRPr="00E257EB">
        <w:rPr>
          <w:rFonts w:ascii="Times New Roman" w:hAnsi="Times New Roman"/>
          <w:i/>
        </w:rPr>
        <w:t>Archievenblad</w:t>
      </w:r>
      <w:r w:rsidRPr="00E257EB">
        <w:rPr>
          <w:rFonts w:ascii="Times New Roman" w:hAnsi="Times New Roman"/>
        </w:rPr>
        <w:t xml:space="preserve">, 105/7 (2001), p. 16; LAMON, H., ‘De Privacywet: aangifteplicht eerder uitzondering dan regel’, </w:t>
      </w:r>
      <w:r w:rsidRPr="00E257EB">
        <w:rPr>
          <w:rFonts w:ascii="Times New Roman" w:hAnsi="Times New Roman"/>
          <w:i/>
        </w:rPr>
        <w:t>Balans</w:t>
      </w:r>
      <w:r w:rsidRPr="00E257EB">
        <w:rPr>
          <w:rFonts w:ascii="Times New Roman" w:hAnsi="Times New Roman"/>
        </w:rPr>
        <w:t>, 319 (1996), p. 1-4.</w:t>
      </w:r>
    </w:p>
  </w:footnote>
  <w:footnote w:id="1120">
    <w:p w:rsidR="00E82D16" w:rsidRPr="00E333B6" w:rsidRDefault="00E82D16" w:rsidP="000F560E">
      <w:pPr>
        <w:pStyle w:val="Geenafstand"/>
        <w:jc w:val="both"/>
        <w:rPr>
          <w:rFonts w:ascii="Times New Roman" w:hAnsi="Times New Roman" w:cs="Times New Roman"/>
          <w:sz w:val="20"/>
          <w:szCs w:val="20"/>
          <w:lang w:val="fr-BE"/>
        </w:rPr>
      </w:pPr>
      <w:r w:rsidRPr="00E257E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18 PrivacyKB; DE CORTE; GRAUX; 2008, p. 421</w:t>
      </w:r>
    </w:p>
  </w:footnote>
  <w:footnote w:id="1121">
    <w:p w:rsidR="00E82D16" w:rsidRPr="00562794"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41 tot art. 48 van verordening (EG) nr. 45/2001 van het Europees Parlement en de raad van 18 december 2000 betreffende de bescherming van de natuurlijke personen in verband met de verwerking van persoonsgege</w:t>
      </w:r>
      <w:r>
        <w:rPr>
          <w:rFonts w:ascii="Times New Roman" w:hAnsi="Times New Roman"/>
        </w:rPr>
        <w:t>-</w:t>
      </w:r>
      <w:r w:rsidRPr="00E257EB">
        <w:rPr>
          <w:rFonts w:ascii="Times New Roman" w:hAnsi="Times New Roman"/>
        </w:rPr>
        <w:t>vens door de communautaire instellingen en organen en betreffende het vrije verkeer van die gegevens (</w:t>
      </w:r>
      <w:r w:rsidRPr="00E257EB">
        <w:rPr>
          <w:rFonts w:ascii="Times New Roman" w:hAnsi="Times New Roman"/>
          <w:i/>
        </w:rPr>
        <w:t>Pb.</w:t>
      </w:r>
      <w:r>
        <w:rPr>
          <w:rFonts w:ascii="Times New Roman" w:hAnsi="Times New Roman"/>
          <w:i/>
        </w:rPr>
        <w:t xml:space="preserve">EG </w:t>
      </w:r>
      <w:r w:rsidRPr="00E257EB">
        <w:rPr>
          <w:rFonts w:ascii="Times New Roman" w:hAnsi="Times New Roman"/>
          <w:i/>
        </w:rPr>
        <w:t>L.</w:t>
      </w:r>
      <w:r>
        <w:rPr>
          <w:rFonts w:ascii="Times New Roman" w:hAnsi="Times New Roman"/>
        </w:rPr>
        <w:t xml:space="preserve"> 8, 12 januari 2001)</w:t>
      </w:r>
      <w:r w:rsidRPr="00E257EB">
        <w:rPr>
          <w:rFonts w:ascii="Times New Roman" w:hAnsi="Times New Roman"/>
        </w:rPr>
        <w:t xml:space="preserve">. Voor de website van de EPDS, zie: </w:t>
      </w:r>
      <w:hyperlink r:id="rId193" w:history="1">
        <w:r w:rsidRPr="002E0847">
          <w:rPr>
            <w:rStyle w:val="Hyperlink"/>
            <w:rFonts w:ascii="Times New Roman" w:hAnsi="Times New Roman"/>
          </w:rPr>
          <w:t>http://www.edps.europa.eu/ EDPSWEB/edps/EDPS</w:t>
        </w:r>
      </w:hyperlink>
      <w:r w:rsidRPr="00E257EB">
        <w:rPr>
          <w:rFonts w:ascii="Times New Roman" w:hAnsi="Times New Roman"/>
        </w:rPr>
        <w:t xml:space="preserve">. Zie </w:t>
      </w:r>
      <w:r w:rsidRPr="00562794">
        <w:rPr>
          <w:rFonts w:ascii="Times New Roman" w:hAnsi="Times New Roman"/>
        </w:rPr>
        <w:t xml:space="preserve">ook: KRANENBORG; VERHEY; </w:t>
      </w:r>
      <w:r w:rsidRPr="00562794">
        <w:rPr>
          <w:rFonts w:ascii="Times New Roman" w:hAnsi="Times New Roman"/>
          <w:i/>
        </w:rPr>
        <w:t>Wet bescherming persoonsgegevens in Europees perspectief</w:t>
      </w:r>
      <w:r w:rsidRPr="00562794">
        <w:rPr>
          <w:rFonts w:ascii="Times New Roman" w:hAnsi="Times New Roman"/>
        </w:rPr>
        <w:t xml:space="preserve">, p. 52-53.  </w:t>
      </w:r>
    </w:p>
  </w:footnote>
  <w:footnote w:id="1122">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Art. 10 § 2, derde lid Privacywet; DE BOT p. 167-168 (nr. 225).</w:t>
      </w:r>
    </w:p>
  </w:footnote>
  <w:footnote w:id="1123">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Art. 5,d van het Verdrag van Straatsburg; punt 5 van aanbeveling nr. R(89)2; art. 6 § 1, d van richtlijn 95/46/EG; art. 4 § 1, 4° Privacywet; art. 11 § 2 Wbp; art. 6, 4° van wet nr. 78-17 van 6 januari 1978, gewijzigd door art. 2 van wet nr. 2004-801 van 6 augustus 2004.</w:t>
      </w:r>
    </w:p>
  </w:footnote>
  <w:footnote w:id="1124">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Art. 7 van het Verdrag van Straatsburg; punt 49 van het verklarend rapport bij het Verdrag van Straatsburg; punt 7 van aanbeveling nr. R(86)1; punt 10.5 bij aanbeveling nr. R(89)2; art. 16 en art. 17 van richtlijn 95/46/EG; punt 9 van aanbeveling nr. R(97)5; punt 7 van aanbeveling nr. R(2002)9; art. 16 Privacywet; art. 13 en art. 14 Wbp; art. 34 van wet nr. 78-17 van 6 januari 1978, gewijzigd door art. 5 van wet nr. 2004-801 van 6 augustus 2004; ROBBEN, ‘De gevolgen van de Wet Verwerking Persoonsgegevens voor de sector van de ge</w:t>
      </w:r>
      <w:r>
        <w:rPr>
          <w:rFonts w:ascii="Times New Roman" w:hAnsi="Times New Roman"/>
        </w:rPr>
        <w:t>-</w:t>
      </w:r>
      <w:r w:rsidRPr="00562794">
        <w:rPr>
          <w:rFonts w:ascii="Times New Roman" w:hAnsi="Times New Roman"/>
        </w:rPr>
        <w:t>zondheidszorg’, p. 284.</w:t>
      </w:r>
    </w:p>
  </w:footnote>
  <w:footnote w:id="1125">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Punt 10.6 van aanbeveling nr. R(89)2; overweging 43 en art. 12 van richtlijn 95/46/EG; punt 8 van aanbeve</w:t>
      </w:r>
      <w:r>
        <w:rPr>
          <w:rFonts w:ascii="Times New Roman" w:hAnsi="Times New Roman"/>
        </w:rPr>
        <w:t>-</w:t>
      </w:r>
      <w:r w:rsidRPr="00562794">
        <w:rPr>
          <w:rFonts w:ascii="Times New Roman" w:hAnsi="Times New Roman"/>
        </w:rPr>
        <w:t>ling nr. R(97)5; art. 10 § 2 Privacywet; KB nr. 3 van 7 september 1993 tot aanwijzing van de personen bij wie het verzoek om mededeling van persoonsgegevens gegrond op artikel 10 van de wet van 8 december 1992 tot bescherming van de persoonlijke levenssfeer ten opzichte van de verwerking van persoonsgegevens moet wor</w:t>
      </w:r>
      <w:r>
        <w:rPr>
          <w:rFonts w:ascii="Times New Roman" w:hAnsi="Times New Roman"/>
        </w:rPr>
        <w:t>-</w:t>
      </w:r>
      <w:r w:rsidRPr="00562794">
        <w:rPr>
          <w:rFonts w:ascii="Times New Roman" w:hAnsi="Times New Roman"/>
        </w:rPr>
        <w:t>den ingediend (</w:t>
      </w:r>
      <w:r w:rsidRPr="00562794">
        <w:rPr>
          <w:rFonts w:ascii="Times New Roman" w:hAnsi="Times New Roman"/>
          <w:i/>
        </w:rPr>
        <w:t>BS</w:t>
      </w:r>
      <w:r w:rsidRPr="00562794">
        <w:rPr>
          <w:rFonts w:ascii="Times New Roman" w:hAnsi="Times New Roman"/>
        </w:rPr>
        <w:t xml:space="preserve"> 25 september 1993); art. 35 § 3 Wbp; art. 43 van wet nr. 78-17 van 6 januari 1978, gewijzigd door art. 5 van wet nr. 2004-801 van 6 augustus 2004. Het recht van patiënten op inzage in hun patiëntendossier kan ook teruggevonden worden in: art. 9 § 2 Wet Patiëntenrechten; art. 456 WGBO; art. 22 § 1 Wcz; art. L. 1111-7 CSP, gewijzigd door art. 11 van wet nr. 2002-303 van 4 maart 2002; BERGEROT, P., ‘L’accès direct du patient à sa base de données médicales partagées sur un internet sécurisé’, </w:t>
      </w:r>
      <w:r w:rsidRPr="00562794">
        <w:rPr>
          <w:rFonts w:ascii="Times New Roman" w:hAnsi="Times New Roman"/>
          <w:i/>
        </w:rPr>
        <w:t>A.J.S.</w:t>
      </w:r>
      <w:r>
        <w:rPr>
          <w:rFonts w:ascii="Times New Roman" w:hAnsi="Times New Roman"/>
        </w:rPr>
        <w:t>, 37 (2002), p. 23-2</w:t>
      </w:r>
      <w:r w:rsidRPr="00562794">
        <w:rPr>
          <w:rFonts w:ascii="Times New Roman" w:hAnsi="Times New Roman"/>
        </w:rPr>
        <w:t>9; CAL</w:t>
      </w:r>
      <w:r>
        <w:rPr>
          <w:rFonts w:ascii="Times New Roman" w:hAnsi="Times New Roman"/>
        </w:rPr>
        <w:t>-</w:t>
      </w:r>
      <w:r w:rsidRPr="00562794">
        <w:rPr>
          <w:rFonts w:ascii="Times New Roman" w:hAnsi="Times New Roman"/>
        </w:rPr>
        <w:t xml:space="preserve">LENS; GOOSSENS; CIERKENS; p. 310-318 (nrs. 773-802) en p. 339-341 (nrs. 867-875); DE HERT, P., ‘Het patiëntendossier en de verwerking van gezondheidsgegevens’, titel VI/128-titel VI/143. </w:t>
      </w:r>
    </w:p>
  </w:footnote>
  <w:footnote w:id="1126">
    <w:p w:rsidR="00E82D16" w:rsidRPr="00E257EB" w:rsidRDefault="00E82D16" w:rsidP="000F560E">
      <w:pPr>
        <w:jc w:val="both"/>
        <w:rPr>
          <w:sz w:val="20"/>
          <w:szCs w:val="20"/>
        </w:rPr>
      </w:pPr>
      <w:r w:rsidRPr="00562794">
        <w:rPr>
          <w:rStyle w:val="Voetnootmarkering"/>
          <w:sz w:val="20"/>
          <w:szCs w:val="20"/>
        </w:rPr>
        <w:footnoteRef/>
      </w:r>
      <w:r w:rsidRPr="00562794">
        <w:rPr>
          <w:sz w:val="20"/>
          <w:szCs w:val="20"/>
        </w:rPr>
        <w:t xml:space="preserve"> Art. 8, c van het Verdrag van Straatsburg; punt 6 van aanbeveling nr. R(86)1; art. 12, b van richtlijn </w:t>
      </w:r>
      <w:r w:rsidRPr="00E257EB">
        <w:rPr>
          <w:sz w:val="20"/>
          <w:szCs w:val="20"/>
        </w:rPr>
        <w:t>95/46/EG; art. 12 § 1, eerste lid Privacywet; KB nr. 5 van 7 september 1993 tot aanwijzing van de personen bij wie de verzoeken tot verbetering, verwijdering of verbod op de aanwending van persoonsgegevens gegrond op art</w:t>
      </w:r>
      <w:r>
        <w:rPr>
          <w:sz w:val="20"/>
          <w:szCs w:val="20"/>
        </w:rPr>
        <w:t>.</w:t>
      </w:r>
      <w:r w:rsidRPr="00E257EB">
        <w:rPr>
          <w:sz w:val="20"/>
          <w:szCs w:val="20"/>
        </w:rPr>
        <w:t xml:space="preserve"> 12 van de wet van 8 december 1992 tot bescherming van  de persoonlijke levenssfeer ten  opzichte van de verwerking van persoonsgegevens moeten worden ingediend (</w:t>
      </w:r>
      <w:r w:rsidRPr="00E257EB">
        <w:rPr>
          <w:i/>
          <w:sz w:val="20"/>
          <w:szCs w:val="20"/>
        </w:rPr>
        <w:t>BS</w:t>
      </w:r>
      <w:r w:rsidRPr="00E257EB">
        <w:rPr>
          <w:sz w:val="20"/>
          <w:szCs w:val="20"/>
        </w:rPr>
        <w:t xml:space="preserve"> 25 september 1993)</w:t>
      </w:r>
      <w:r>
        <w:rPr>
          <w:sz w:val="20"/>
          <w:szCs w:val="20"/>
        </w:rPr>
        <w:t xml:space="preserve">; </w:t>
      </w:r>
      <w:r w:rsidRPr="00E257EB">
        <w:rPr>
          <w:sz w:val="20"/>
          <w:szCs w:val="20"/>
        </w:rPr>
        <w:t xml:space="preserve">art.36 § 1 Wbp; art. 40 van wet nr. 78-17 van 6 januari 1978, </w:t>
      </w:r>
      <w:r>
        <w:rPr>
          <w:sz w:val="20"/>
          <w:szCs w:val="20"/>
        </w:rPr>
        <w:t>gewijzigd</w:t>
      </w:r>
      <w:r w:rsidRPr="00E257EB">
        <w:rPr>
          <w:sz w:val="20"/>
          <w:szCs w:val="20"/>
        </w:rPr>
        <w:t xml:space="preserve"> door art. 2 van wet nr. 2004-801 van 6 augustus 2004;</w:t>
      </w:r>
      <w:r w:rsidRPr="00E257EB">
        <w:rPr>
          <w:b/>
          <w:sz w:val="20"/>
          <w:szCs w:val="20"/>
        </w:rPr>
        <w:t xml:space="preserve"> </w:t>
      </w:r>
      <w:r w:rsidRPr="00E257EB">
        <w:rPr>
          <w:sz w:val="20"/>
          <w:szCs w:val="20"/>
        </w:rPr>
        <w:t>KETE</w:t>
      </w:r>
      <w:r>
        <w:rPr>
          <w:sz w:val="20"/>
          <w:szCs w:val="20"/>
        </w:rPr>
        <w:t>-</w:t>
      </w:r>
      <w:r w:rsidRPr="00E257EB">
        <w:rPr>
          <w:sz w:val="20"/>
          <w:szCs w:val="20"/>
        </w:rPr>
        <w:t xml:space="preserve">LAAR, E., ‘Elke handeling telt. Archiefdiensten en de Wet bescherming persoonsgegevens (deel 2)’, </w:t>
      </w:r>
      <w:r w:rsidRPr="00E257EB">
        <w:rPr>
          <w:i/>
          <w:sz w:val="20"/>
          <w:szCs w:val="20"/>
        </w:rPr>
        <w:t>Archieven</w:t>
      </w:r>
      <w:r>
        <w:rPr>
          <w:i/>
          <w:sz w:val="20"/>
          <w:szCs w:val="20"/>
        </w:rPr>
        <w:t>-</w:t>
      </w:r>
      <w:r w:rsidRPr="00E257EB">
        <w:rPr>
          <w:i/>
          <w:sz w:val="20"/>
          <w:szCs w:val="20"/>
        </w:rPr>
        <w:t>blad</w:t>
      </w:r>
      <w:r w:rsidRPr="00E257EB">
        <w:rPr>
          <w:sz w:val="20"/>
          <w:szCs w:val="20"/>
        </w:rPr>
        <w:t xml:space="preserve">, 104/4 </w:t>
      </w:r>
      <w:r w:rsidRPr="00E50AF4">
        <w:rPr>
          <w:sz w:val="20"/>
          <w:szCs w:val="20"/>
        </w:rPr>
        <w:t xml:space="preserve">(2000), p. 26-27; </w:t>
      </w:r>
      <w:r w:rsidRPr="00E50AF4">
        <w:rPr>
          <w:kern w:val="2"/>
          <w:sz w:val="20"/>
          <w:szCs w:val="20"/>
        </w:rPr>
        <w:t>MEYSMANS, E., ‘Het recht van toegang en verbetering in de Belgische Privacy</w:t>
      </w:r>
      <w:r>
        <w:rPr>
          <w:kern w:val="2"/>
          <w:sz w:val="20"/>
          <w:szCs w:val="20"/>
        </w:rPr>
        <w:t>-</w:t>
      </w:r>
      <w:r w:rsidRPr="00E50AF4">
        <w:rPr>
          <w:kern w:val="2"/>
          <w:sz w:val="20"/>
          <w:szCs w:val="20"/>
        </w:rPr>
        <w:t xml:space="preserve">wet’, </w:t>
      </w:r>
      <w:r w:rsidRPr="00E50AF4">
        <w:rPr>
          <w:i/>
          <w:kern w:val="2"/>
          <w:sz w:val="20"/>
          <w:szCs w:val="20"/>
        </w:rPr>
        <w:t>Computerr.</w:t>
      </w:r>
      <w:r w:rsidRPr="00E50AF4">
        <w:rPr>
          <w:kern w:val="2"/>
          <w:sz w:val="20"/>
          <w:szCs w:val="20"/>
        </w:rPr>
        <w:t>, 1993, 6, p. 226-230;</w:t>
      </w:r>
      <w:r w:rsidRPr="00E50AF4">
        <w:rPr>
          <w:sz w:val="20"/>
          <w:szCs w:val="20"/>
        </w:rPr>
        <w:t xml:space="preserve"> ROBBEN, ‘De gevolgen van de Wet Verwerking Persoonsgegevens voor de sector van de gezondheidszor</w:t>
      </w:r>
      <w:r>
        <w:rPr>
          <w:sz w:val="20"/>
          <w:szCs w:val="20"/>
        </w:rPr>
        <w:t>g’, p. 288; OOSTERLINCK, p. 97.</w:t>
      </w:r>
    </w:p>
  </w:footnote>
  <w:footnote w:id="1127">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Art. 12, b van richtlijn 95/46/EG; art. 12 § 1, tweede lid Privacywet; art. 36 § 1 Wbp; art. 38 van wet nr. 78-17 van 6 januari 1978, </w:t>
      </w:r>
      <w:r>
        <w:rPr>
          <w:rFonts w:ascii="Times New Roman" w:hAnsi="Times New Roman" w:cs="Times New Roman"/>
          <w:sz w:val="20"/>
          <w:szCs w:val="20"/>
        </w:rPr>
        <w:t>gewijzigd</w:t>
      </w:r>
      <w:r w:rsidRPr="00E257EB">
        <w:rPr>
          <w:rFonts w:ascii="Times New Roman" w:hAnsi="Times New Roman" w:cs="Times New Roman"/>
          <w:sz w:val="20"/>
          <w:szCs w:val="20"/>
        </w:rPr>
        <w:t xml:space="preserve"> door art. 5 van wet nr</w:t>
      </w:r>
      <w:r>
        <w:rPr>
          <w:rFonts w:ascii="Times New Roman" w:hAnsi="Times New Roman" w:cs="Times New Roman"/>
          <w:sz w:val="20"/>
          <w:szCs w:val="20"/>
        </w:rPr>
        <w:t>. 2004-801 van 6 augustus 2004.</w:t>
      </w:r>
    </w:p>
  </w:footnote>
  <w:footnote w:id="1128">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Art. 14 en art. 31 Privacywet; art. 39 § 2 Wbp; art. 41 van wet nr. 78-17 van 6 januari 1978, </w:t>
      </w:r>
      <w:r>
        <w:rPr>
          <w:rFonts w:ascii="Times New Roman" w:hAnsi="Times New Roman" w:cs="Times New Roman"/>
          <w:sz w:val="20"/>
          <w:szCs w:val="20"/>
        </w:rPr>
        <w:t>gewijzigd</w:t>
      </w:r>
      <w:r w:rsidRPr="00E257EB">
        <w:rPr>
          <w:rFonts w:ascii="Times New Roman" w:hAnsi="Times New Roman" w:cs="Times New Roman"/>
          <w:sz w:val="20"/>
          <w:szCs w:val="20"/>
        </w:rPr>
        <w:t xml:space="preserve"> door art. 5 van wet nr. 2004-801 van 6 augustus 2004; ROBBEN, ‘De gevolgen van de Wet Verwerking Persoonsge</w:t>
      </w:r>
      <w:r>
        <w:rPr>
          <w:rFonts w:ascii="Times New Roman" w:hAnsi="Times New Roman" w:cs="Times New Roman"/>
          <w:sz w:val="20"/>
          <w:szCs w:val="20"/>
        </w:rPr>
        <w:t>-</w:t>
      </w:r>
      <w:r w:rsidRPr="00E257EB">
        <w:rPr>
          <w:rFonts w:ascii="Times New Roman" w:hAnsi="Times New Roman" w:cs="Times New Roman"/>
          <w:sz w:val="20"/>
          <w:szCs w:val="20"/>
        </w:rPr>
        <w:t xml:space="preserve">gevens voor de sector van de gezondheidszorg’, p. 189. </w:t>
      </w:r>
    </w:p>
  </w:footnote>
  <w:footnote w:id="1129">
    <w:p w:rsidR="00E82D16" w:rsidRPr="00C94F0B" w:rsidRDefault="00E82D16" w:rsidP="000F560E">
      <w:pPr>
        <w:pStyle w:val="Geenafstand"/>
        <w:jc w:val="both"/>
        <w:rPr>
          <w:rFonts w:ascii="Times New Roman" w:hAnsi="Times New Roman" w:cs="Times New Roman"/>
          <w:sz w:val="20"/>
          <w:szCs w:val="20"/>
        </w:rPr>
      </w:pPr>
      <w:r w:rsidRPr="00C94F0B">
        <w:rPr>
          <w:rStyle w:val="Voetnootmarkering"/>
          <w:rFonts w:ascii="Times New Roman" w:hAnsi="Times New Roman" w:cs="Times New Roman"/>
          <w:sz w:val="20"/>
          <w:szCs w:val="20"/>
        </w:rPr>
        <w:footnoteRef/>
      </w:r>
      <w:r w:rsidRPr="00C94F0B">
        <w:rPr>
          <w:rFonts w:ascii="Times New Roman" w:hAnsi="Times New Roman" w:cs="Times New Roman"/>
          <w:sz w:val="20"/>
          <w:szCs w:val="20"/>
        </w:rPr>
        <w:t xml:space="preserve"> Art. </w:t>
      </w:r>
      <w:r>
        <w:rPr>
          <w:rFonts w:ascii="Times New Roman" w:hAnsi="Times New Roman" w:cs="Times New Roman"/>
          <w:sz w:val="20"/>
          <w:szCs w:val="20"/>
        </w:rPr>
        <w:t xml:space="preserve">5, e van het Verdrag van Straatsburg; </w:t>
      </w:r>
      <w:r w:rsidRPr="001F1933">
        <w:rPr>
          <w:rFonts w:ascii="Times New Roman" w:hAnsi="Times New Roman" w:cs="Times New Roman"/>
          <w:sz w:val="20"/>
          <w:szCs w:val="20"/>
        </w:rPr>
        <w:t>punt 42 van het verklarend rapport bij het Verdrag van Straats</w:t>
      </w:r>
      <w:r>
        <w:rPr>
          <w:rFonts w:ascii="Times New Roman" w:hAnsi="Times New Roman" w:cs="Times New Roman"/>
          <w:sz w:val="20"/>
          <w:szCs w:val="20"/>
        </w:rPr>
        <w:t>-</w:t>
      </w:r>
      <w:r w:rsidRPr="001F1933">
        <w:rPr>
          <w:rFonts w:ascii="Times New Roman" w:hAnsi="Times New Roman" w:cs="Times New Roman"/>
          <w:sz w:val="20"/>
          <w:szCs w:val="20"/>
        </w:rPr>
        <w:t xml:space="preserve">burg; </w:t>
      </w:r>
      <w:r w:rsidRPr="00562794">
        <w:rPr>
          <w:rFonts w:ascii="Times New Roman" w:hAnsi="Times New Roman" w:cs="Times New Roman"/>
          <w:sz w:val="20"/>
          <w:szCs w:val="20"/>
        </w:rPr>
        <w:t>punt 9 van aanbeveling nr. R(86)1; art. 6 § 1, e van richtlijn 95/46/EG; punt 10 van aanbeveling nr. R(97)5; art. 4 § 1, e van Verordening (EG) nr. 45/2001; punt 13 van aanbeveling nr. R(2002)9; art. 4 § 1, 5° Pri</w:t>
      </w:r>
      <w:r>
        <w:rPr>
          <w:rFonts w:ascii="Times New Roman" w:hAnsi="Times New Roman" w:cs="Times New Roman"/>
          <w:sz w:val="20"/>
          <w:szCs w:val="20"/>
        </w:rPr>
        <w:t>-</w:t>
      </w:r>
      <w:r w:rsidRPr="00562794">
        <w:rPr>
          <w:rFonts w:ascii="Times New Roman" w:hAnsi="Times New Roman" w:cs="Times New Roman"/>
          <w:sz w:val="20"/>
          <w:szCs w:val="20"/>
        </w:rPr>
        <w:t xml:space="preserve">vacywet; art. </w:t>
      </w:r>
      <w:r w:rsidRPr="00C94F0B">
        <w:rPr>
          <w:rFonts w:ascii="Times New Roman" w:hAnsi="Times New Roman" w:cs="Times New Roman"/>
          <w:sz w:val="20"/>
          <w:szCs w:val="20"/>
        </w:rPr>
        <w:t xml:space="preserve">11 § 1 Wbp; art. 6, 5° van wet nr. 78-17 van 6 januari 1978, gewijzigd door art. 2 van wet nr. 2004-801 van 6 augustus 2004; FRAYSSINET, J., ‘Loi ‘informatique et libertés’ et durée de conservation des données personnelles’, </w:t>
      </w:r>
      <w:r>
        <w:rPr>
          <w:rFonts w:ascii="Times New Roman" w:hAnsi="Times New Roman" w:cs="Times New Roman"/>
          <w:i/>
          <w:sz w:val="20"/>
          <w:szCs w:val="20"/>
        </w:rPr>
        <w:t>R.L.D.I.</w:t>
      </w:r>
      <w:r w:rsidRPr="00C94F0B">
        <w:rPr>
          <w:rFonts w:ascii="Times New Roman" w:hAnsi="Times New Roman" w:cs="Times New Roman"/>
          <w:sz w:val="20"/>
          <w:szCs w:val="20"/>
        </w:rPr>
        <w:t>, 28 (2007), p. 27; KETELAAR, E., ‘Elke handeling telt. Archiefdiensten en de Wet be</w:t>
      </w:r>
      <w:r>
        <w:rPr>
          <w:rFonts w:ascii="Times New Roman" w:hAnsi="Times New Roman" w:cs="Times New Roman"/>
          <w:sz w:val="20"/>
          <w:szCs w:val="20"/>
        </w:rPr>
        <w:t>-</w:t>
      </w:r>
      <w:r w:rsidRPr="00C94F0B">
        <w:rPr>
          <w:rFonts w:ascii="Times New Roman" w:hAnsi="Times New Roman" w:cs="Times New Roman"/>
          <w:sz w:val="20"/>
          <w:szCs w:val="20"/>
        </w:rPr>
        <w:t xml:space="preserve">scherming persoonsgegevens (deel 2)’, </w:t>
      </w:r>
      <w:r w:rsidRPr="00C94F0B">
        <w:rPr>
          <w:rFonts w:ascii="Times New Roman" w:hAnsi="Times New Roman" w:cs="Times New Roman"/>
          <w:i/>
          <w:sz w:val="20"/>
          <w:szCs w:val="20"/>
        </w:rPr>
        <w:t>Archievenblad</w:t>
      </w:r>
      <w:r w:rsidRPr="00C94F0B">
        <w:rPr>
          <w:rFonts w:ascii="Times New Roman" w:hAnsi="Times New Roman" w:cs="Times New Roman"/>
          <w:sz w:val="20"/>
          <w:szCs w:val="20"/>
        </w:rPr>
        <w:t>, 104/4 (2000), p. 29; ID., ‘Wet bescherming persoonsge</w:t>
      </w:r>
      <w:r>
        <w:rPr>
          <w:rFonts w:ascii="Times New Roman" w:hAnsi="Times New Roman" w:cs="Times New Roman"/>
          <w:sz w:val="20"/>
          <w:szCs w:val="20"/>
        </w:rPr>
        <w:t>-</w:t>
      </w:r>
      <w:r w:rsidRPr="00C94F0B">
        <w:rPr>
          <w:rFonts w:ascii="Times New Roman" w:hAnsi="Times New Roman" w:cs="Times New Roman"/>
          <w:sz w:val="20"/>
          <w:szCs w:val="20"/>
        </w:rPr>
        <w:t xml:space="preserve">gevens’, </w:t>
      </w:r>
      <w:r w:rsidRPr="00C94F0B">
        <w:rPr>
          <w:rFonts w:ascii="Times New Roman" w:hAnsi="Times New Roman" w:cs="Times New Roman"/>
          <w:i/>
          <w:sz w:val="20"/>
          <w:szCs w:val="20"/>
        </w:rPr>
        <w:t>Archievenblad</w:t>
      </w:r>
      <w:r w:rsidRPr="00C94F0B">
        <w:rPr>
          <w:rFonts w:ascii="Times New Roman" w:hAnsi="Times New Roman" w:cs="Times New Roman"/>
          <w:sz w:val="20"/>
          <w:szCs w:val="20"/>
        </w:rPr>
        <w:t xml:space="preserve">, 105/7 (2001), p. 17. </w:t>
      </w:r>
    </w:p>
  </w:footnote>
  <w:footnote w:id="1130">
    <w:p w:rsidR="00E82D16" w:rsidRPr="00562794" w:rsidRDefault="00E82D16" w:rsidP="000F560E">
      <w:pPr>
        <w:pStyle w:val="Geenafstand"/>
        <w:jc w:val="both"/>
        <w:rPr>
          <w:rFonts w:ascii="Times New Roman" w:hAnsi="Times New Roman" w:cs="Times New Roman"/>
          <w:sz w:val="20"/>
          <w:szCs w:val="20"/>
        </w:rPr>
      </w:pPr>
      <w:r w:rsidRPr="00E50AF4">
        <w:rPr>
          <w:rStyle w:val="Voetnootmarkering"/>
          <w:rFonts w:ascii="Times New Roman" w:hAnsi="Times New Roman" w:cs="Times New Roman"/>
          <w:sz w:val="20"/>
          <w:szCs w:val="20"/>
        </w:rPr>
        <w:footnoteRef/>
      </w:r>
      <w:r w:rsidRPr="00E50AF4">
        <w:rPr>
          <w:rFonts w:ascii="Times New Roman" w:hAnsi="Times New Roman" w:cs="Times New Roman"/>
          <w:sz w:val="20"/>
          <w:szCs w:val="20"/>
        </w:rPr>
        <w:t xml:space="preserve"> Cf. art. 17 van het voorstel voor een verordening van het Europees Parlement en de Raad betreffende de be</w:t>
      </w:r>
      <w:r>
        <w:rPr>
          <w:rFonts w:ascii="Times New Roman" w:hAnsi="Times New Roman" w:cs="Times New Roman"/>
          <w:sz w:val="20"/>
          <w:szCs w:val="20"/>
        </w:rPr>
        <w:t>-</w:t>
      </w:r>
      <w:r w:rsidRPr="00E50AF4">
        <w:rPr>
          <w:rFonts w:ascii="Times New Roman" w:hAnsi="Times New Roman" w:cs="Times New Roman"/>
          <w:sz w:val="20"/>
          <w:szCs w:val="20"/>
        </w:rPr>
        <w:t xml:space="preserve">scherming van natuurlijke personen in verband met de verwerking van persoonsgegevens en betreffende het </w:t>
      </w:r>
      <w:r w:rsidRPr="00562794">
        <w:rPr>
          <w:rFonts w:ascii="Times New Roman" w:hAnsi="Times New Roman" w:cs="Times New Roman"/>
          <w:sz w:val="20"/>
          <w:szCs w:val="20"/>
        </w:rPr>
        <w:t>vrije verkeer van die gegevens (Algemene Verordening Gegevensbescherming), COM(2012)11.</w:t>
      </w:r>
    </w:p>
  </w:footnote>
  <w:footnote w:id="1131">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Art. 5, b van het Verdrag van Straatsburg; punt 41 van het verklarend rapport bij het Verdrag van Straats</w:t>
      </w:r>
      <w:r>
        <w:rPr>
          <w:rFonts w:ascii="Times New Roman" w:hAnsi="Times New Roman"/>
        </w:rPr>
        <w:t>-</w:t>
      </w:r>
      <w:r w:rsidRPr="00562794">
        <w:rPr>
          <w:rFonts w:ascii="Times New Roman" w:hAnsi="Times New Roman"/>
        </w:rPr>
        <w:t xml:space="preserve">burg; punt 4 van aanbeveling nr. R(86)1; punt 4 van aanbeveling nr. R(89)2; art. 6 § 1, b van richtlijn 95/46/EG; punten 4.7 tot 4.9 Van aanbeveling nr. R(97)5; art. 4 § 1, 2° Privacywet; art. 9 § 3 Wbp; art. 6, 2° van wet nr. 78-17 van 6 januari 1978, gewijzigd door art. 2 van wet nr. 2004-801 van 6 augustus 2004; PLOEM, </w:t>
      </w:r>
      <w:r w:rsidRPr="00562794">
        <w:rPr>
          <w:rFonts w:ascii="Times New Roman" w:hAnsi="Times New Roman"/>
          <w:i/>
        </w:rPr>
        <w:t>Tussen privacy en wetenschapsvrijheid</w:t>
      </w:r>
      <w:r w:rsidRPr="00562794">
        <w:rPr>
          <w:rFonts w:ascii="Times New Roman" w:hAnsi="Times New Roman"/>
        </w:rPr>
        <w:t>, p. 22-23.</w:t>
      </w:r>
    </w:p>
  </w:footnote>
  <w:footnote w:id="1132">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w:t>
      </w:r>
      <w:r w:rsidRPr="00562794">
        <w:rPr>
          <w:rFonts w:ascii="Times New Roman" w:eastAsia="SimSun" w:hAnsi="Times New Roman"/>
          <w:kern w:val="2"/>
          <w:lang w:eastAsia="hi-IN" w:bidi="hi-IN"/>
        </w:rPr>
        <w:t xml:space="preserve">MEYSMANS, E., ‘De informatieplicht bij het verzamelen van gegevens in de Belgische Privacywet’, </w:t>
      </w:r>
      <w:r w:rsidRPr="00562794">
        <w:rPr>
          <w:rFonts w:ascii="Times New Roman" w:eastAsia="SimSun" w:hAnsi="Times New Roman"/>
          <w:i/>
          <w:kern w:val="2"/>
          <w:lang w:eastAsia="hi-IN" w:bidi="hi-IN"/>
        </w:rPr>
        <w:t>Computerr.</w:t>
      </w:r>
      <w:r w:rsidRPr="00562794">
        <w:rPr>
          <w:rFonts w:ascii="Times New Roman" w:eastAsia="SimSun" w:hAnsi="Times New Roman"/>
          <w:kern w:val="2"/>
          <w:lang w:eastAsia="hi-IN" w:bidi="hi-IN"/>
        </w:rPr>
        <w:t>, 1994, 1, p. 2-5</w:t>
      </w:r>
      <w:r w:rsidRPr="00562794">
        <w:rPr>
          <w:rFonts w:ascii="Times New Roman" w:hAnsi="Times New Roman"/>
        </w:rPr>
        <w:t>.</w:t>
      </w:r>
    </w:p>
  </w:footnote>
  <w:footnote w:id="1133">
    <w:p w:rsidR="00E82D16" w:rsidRPr="00E50AF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Art. 8, a van het Verdrag van Straatsburg; punt 3 van aanbeveling nr. R(86)1; punten 3 en 4 van aanbeveling nr. R(89)2; overweging 38, overweging 48, art. 10 en art. 18 § 1 van richtlijn 95/46/EG; punten 4.2 en 5.4 van aanbeveling nr. R(97)5; art. 12 § 1 van Verordening (EG) nr. 45/2001; punten 5.4 en 15 van aanbeveling nr. R(2002)9; </w:t>
      </w:r>
      <w:r w:rsidRPr="00562794">
        <w:rPr>
          <w:rFonts w:ascii="Times New Roman" w:eastAsia="SimSun" w:hAnsi="Times New Roman"/>
          <w:bCs/>
          <w:kern w:val="2"/>
          <w:lang w:eastAsia="hi-IN" w:bidi="hi-IN"/>
        </w:rPr>
        <w:t xml:space="preserve">art. 9 § 1 en art. 17 §1, eerste lid Privacywet; art. 28, art. 33 en art. 34 Wbp; </w:t>
      </w:r>
      <w:r w:rsidRPr="00562794">
        <w:rPr>
          <w:rFonts w:ascii="Times New Roman" w:hAnsi="Times New Roman"/>
        </w:rPr>
        <w:t xml:space="preserve">art. 25 § 1 en art. 32 van wet nr. 78-17 van 6 januari 1978, gewijzigd door resp. art. 4 en art. 37 van wet nr. 2004-801 van 6 augustus </w:t>
      </w:r>
      <w:r w:rsidRPr="00E50AF4">
        <w:rPr>
          <w:rFonts w:ascii="Times New Roman" w:hAnsi="Times New Roman"/>
        </w:rPr>
        <w:t>2004.</w:t>
      </w:r>
    </w:p>
  </w:footnote>
  <w:footnote w:id="1134">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sidRPr="00E257EB">
        <w:rPr>
          <w:rFonts w:ascii="Times New Roman" w:hAnsi="Times New Roman"/>
          <w:i/>
          <w:iCs/>
        </w:rPr>
        <w:t xml:space="preserve">Parl.St. </w:t>
      </w:r>
      <w:r w:rsidRPr="00E257EB">
        <w:rPr>
          <w:rFonts w:ascii="Times New Roman" w:hAnsi="Times New Roman"/>
        </w:rPr>
        <w:t>Kamer, 1997-1998, nr. 1566/1, p. 29.</w:t>
      </w:r>
    </w:p>
  </w:footnote>
  <w:footnote w:id="1135">
    <w:p w:rsidR="00E82D16" w:rsidRPr="00264C7D" w:rsidRDefault="00E82D16" w:rsidP="000F560E">
      <w:pPr>
        <w:pStyle w:val="Voetnoottekst"/>
        <w:jc w:val="both"/>
        <w:rPr>
          <w:rFonts w:ascii="Times New Roman" w:hAnsi="Times New Roman"/>
        </w:rPr>
      </w:pPr>
      <w:r w:rsidRPr="00C359AA">
        <w:rPr>
          <w:rStyle w:val="Voetnootmarkering"/>
          <w:rFonts w:ascii="Times New Roman" w:hAnsi="Times New Roman"/>
        </w:rPr>
        <w:footnoteRef/>
      </w:r>
      <w:r w:rsidRPr="00C359AA">
        <w:rPr>
          <w:rFonts w:ascii="Times New Roman" w:hAnsi="Times New Roman"/>
        </w:rPr>
        <w:t xml:space="preserve"> DE BOT, p. 101-110 (nrs. 133-141); VANDENDRIESSCHE, ‘De verwerking van persoonsgegevens voor historische, statistische en wetenschappelijke doeleinden’, p. 536-543; </w:t>
      </w:r>
      <w:r w:rsidRPr="00264C7D">
        <w:rPr>
          <w:rFonts w:ascii="Times New Roman" w:hAnsi="Times New Roman"/>
        </w:rPr>
        <w:t>MOENS, J.J.F., Ruimte voor weten</w:t>
      </w:r>
      <w:r>
        <w:rPr>
          <w:rFonts w:ascii="Times New Roman" w:hAnsi="Times New Roman"/>
        </w:rPr>
        <w:t>-</w:t>
      </w:r>
      <w:r w:rsidRPr="00264C7D">
        <w:rPr>
          <w:rFonts w:ascii="Times New Roman" w:hAnsi="Times New Roman"/>
        </w:rPr>
        <w:t xml:space="preserve">schappelijk gezondheidsonderzoek in kaart gebracht, </w:t>
      </w:r>
      <w:r w:rsidRPr="00264C7D">
        <w:rPr>
          <w:rFonts w:ascii="Times New Roman" w:hAnsi="Times New Roman"/>
          <w:i/>
        </w:rPr>
        <w:t>M.C.</w:t>
      </w:r>
      <w:r w:rsidRPr="00264C7D">
        <w:rPr>
          <w:rFonts w:ascii="Times New Roman" w:hAnsi="Times New Roman"/>
        </w:rPr>
        <w:t xml:space="preserve">, 47/17 (1992), p. 519-521; PLOEM, M.C., </w:t>
      </w:r>
      <w:r>
        <w:rPr>
          <w:rFonts w:ascii="Times New Roman" w:hAnsi="Times New Roman"/>
        </w:rPr>
        <w:t>‘</w:t>
      </w:r>
      <w:r w:rsidRPr="00264C7D">
        <w:rPr>
          <w:rFonts w:ascii="Times New Roman" w:hAnsi="Times New Roman"/>
        </w:rPr>
        <w:t>De rege</w:t>
      </w:r>
      <w:r>
        <w:rPr>
          <w:rFonts w:ascii="Times New Roman" w:hAnsi="Times New Roman"/>
        </w:rPr>
        <w:t>-</w:t>
      </w:r>
      <w:r w:rsidRPr="00264C7D">
        <w:rPr>
          <w:rFonts w:ascii="Times New Roman" w:hAnsi="Times New Roman"/>
        </w:rPr>
        <w:t>ling inzake het gebruik van patiëntengegevens voor wetenschappelijk onderzoek in de WGBO. Tijd voor herzie</w:t>
      </w:r>
      <w:r>
        <w:rPr>
          <w:rFonts w:ascii="Times New Roman" w:hAnsi="Times New Roman"/>
        </w:rPr>
        <w:t>-</w:t>
      </w:r>
      <w:r w:rsidRPr="00264C7D">
        <w:rPr>
          <w:rFonts w:ascii="Times New Roman" w:hAnsi="Times New Roman"/>
        </w:rPr>
        <w:t>ning?</w:t>
      </w:r>
      <w:r>
        <w:rPr>
          <w:rFonts w:ascii="Times New Roman" w:hAnsi="Times New Roman"/>
        </w:rPr>
        <w:t>’</w:t>
      </w:r>
      <w:r w:rsidRPr="00264C7D">
        <w:rPr>
          <w:rFonts w:ascii="Times New Roman" w:hAnsi="Times New Roman"/>
        </w:rPr>
        <w:t xml:space="preserve">, </w:t>
      </w:r>
      <w:r w:rsidRPr="00264C7D">
        <w:rPr>
          <w:rFonts w:ascii="Times New Roman" w:hAnsi="Times New Roman"/>
          <w:i/>
          <w:iCs/>
        </w:rPr>
        <w:t>T.G.</w:t>
      </w:r>
      <w:r w:rsidRPr="00264C7D">
        <w:rPr>
          <w:rFonts w:ascii="Times New Roman" w:hAnsi="Times New Roman"/>
        </w:rPr>
        <w:t xml:space="preserve">, </w:t>
      </w:r>
      <w:r>
        <w:rPr>
          <w:rFonts w:ascii="Times New Roman" w:hAnsi="Times New Roman"/>
        </w:rPr>
        <w:t>30/6 (</w:t>
      </w:r>
      <w:r w:rsidRPr="00264C7D">
        <w:rPr>
          <w:rFonts w:ascii="Times New Roman" w:hAnsi="Times New Roman"/>
        </w:rPr>
        <w:t>2006</w:t>
      </w:r>
      <w:r>
        <w:rPr>
          <w:rFonts w:ascii="Times New Roman" w:hAnsi="Times New Roman"/>
        </w:rPr>
        <w:t>)</w:t>
      </w:r>
      <w:r w:rsidRPr="00264C7D">
        <w:rPr>
          <w:rFonts w:ascii="Times New Roman" w:hAnsi="Times New Roman"/>
        </w:rPr>
        <w:t xml:space="preserve">, p. 401-413. Zie ook: aanbeveling R(83)10 en aanbeveling R(97)18, besproken in: PLOEM, </w:t>
      </w:r>
      <w:r w:rsidRPr="00264C7D">
        <w:rPr>
          <w:rFonts w:ascii="Times New Roman" w:hAnsi="Times New Roman"/>
          <w:i/>
        </w:rPr>
        <w:t>Tussen privacy en wetenschapsvrijheid</w:t>
      </w:r>
      <w:r w:rsidRPr="00264C7D">
        <w:rPr>
          <w:rFonts w:ascii="Times New Roman" w:hAnsi="Times New Roman"/>
        </w:rPr>
        <w:t>, p. 69-79.</w:t>
      </w:r>
    </w:p>
  </w:footnote>
  <w:footnote w:id="1136">
    <w:p w:rsidR="00E82D16" w:rsidRPr="00D25B06" w:rsidRDefault="00E82D16" w:rsidP="000F560E">
      <w:pPr>
        <w:pStyle w:val="Voetnoottekst"/>
        <w:rPr>
          <w:rFonts w:ascii="Times New Roman" w:hAnsi="Times New Roman"/>
        </w:rPr>
      </w:pPr>
      <w:r w:rsidRPr="00D25B06">
        <w:rPr>
          <w:rStyle w:val="Voetnootmarkering"/>
          <w:rFonts w:ascii="Times New Roman" w:hAnsi="Times New Roman"/>
        </w:rPr>
        <w:footnoteRef/>
      </w:r>
      <w:r w:rsidRPr="00D25B06">
        <w:rPr>
          <w:rFonts w:ascii="Times New Roman" w:hAnsi="Times New Roman"/>
        </w:rPr>
        <w:t xml:space="preserve"> VELLE; VANDERMAESEN; p. 144.</w:t>
      </w:r>
    </w:p>
  </w:footnote>
  <w:footnote w:id="1137">
    <w:p w:rsidR="00E82D16" w:rsidRPr="00B647DA" w:rsidRDefault="00E82D16" w:rsidP="000F560E">
      <w:pPr>
        <w:pStyle w:val="Voetnoottekst"/>
        <w:jc w:val="both"/>
        <w:rPr>
          <w:rFonts w:ascii="Times New Roman" w:hAnsi="Times New Roman"/>
        </w:rPr>
      </w:pPr>
      <w:r w:rsidRPr="00B647DA">
        <w:rPr>
          <w:rStyle w:val="Voetnootmarkering"/>
          <w:rFonts w:ascii="Times New Roman" w:hAnsi="Times New Roman"/>
        </w:rPr>
        <w:footnoteRef/>
      </w:r>
      <w:r w:rsidRPr="00B647DA">
        <w:rPr>
          <w:rFonts w:ascii="Times New Roman" w:hAnsi="Times New Roman"/>
        </w:rPr>
        <w:t xml:space="preserve"> Overweging 12 en art. 3 § 2 van richtlijn 95/46/EG; art. 3 § 2 Privacywet; art. 2 § 2, a Wbp; art. 2, eerste lid </w:t>
      </w:r>
      <w:r>
        <w:rPr>
          <w:rFonts w:ascii="Times New Roman" w:hAnsi="Times New Roman"/>
        </w:rPr>
        <w:t>v</w:t>
      </w:r>
      <w:r w:rsidRPr="00B647DA">
        <w:rPr>
          <w:rFonts w:ascii="Times New Roman" w:hAnsi="Times New Roman"/>
        </w:rPr>
        <w:t>an wet nr. 78-17 van 6 januari 1978, gewijzigd door art. 1 van wet nr. 2004-801 van 6 augustus 2004.</w:t>
      </w:r>
    </w:p>
  </w:footnote>
  <w:footnote w:id="1138">
    <w:p w:rsidR="00E82D16" w:rsidRPr="00856C09" w:rsidRDefault="00E82D16" w:rsidP="000F560E">
      <w:pPr>
        <w:pStyle w:val="Voetnoottekst"/>
        <w:jc w:val="both"/>
        <w:rPr>
          <w:rFonts w:ascii="Times New Roman" w:hAnsi="Times New Roman"/>
        </w:rPr>
      </w:pPr>
      <w:r w:rsidRPr="00856C09">
        <w:rPr>
          <w:rStyle w:val="Voetnootmarkering"/>
          <w:rFonts w:ascii="Times New Roman" w:hAnsi="Times New Roman"/>
        </w:rPr>
        <w:footnoteRef/>
      </w:r>
      <w:r w:rsidRPr="00856C09">
        <w:rPr>
          <w:rFonts w:ascii="Times New Roman" w:hAnsi="Times New Roman"/>
        </w:rPr>
        <w:t xml:space="preserve"> Dixit Jos Rathé op 14 mei 2012</w:t>
      </w:r>
      <w:r>
        <w:rPr>
          <w:rFonts w:ascii="Times New Roman" w:hAnsi="Times New Roman"/>
        </w:rPr>
        <w:t>, tijdens de lezing ‘</w:t>
      </w:r>
      <w:r w:rsidRPr="00C73AAF">
        <w:rPr>
          <w:rFonts w:ascii="Times New Roman" w:hAnsi="Times New Roman"/>
        </w:rPr>
        <w:t>D</w:t>
      </w:r>
      <w:r>
        <w:rPr>
          <w:rFonts w:ascii="Times New Roman" w:hAnsi="Times New Roman"/>
        </w:rPr>
        <w:t>e</w:t>
      </w:r>
      <w:r w:rsidRPr="00C73AAF">
        <w:rPr>
          <w:rFonts w:ascii="Times New Roman" w:hAnsi="Times New Roman"/>
        </w:rPr>
        <w:t xml:space="preserve"> ‘</w:t>
      </w:r>
      <w:r>
        <w:rPr>
          <w:rFonts w:ascii="Times New Roman" w:hAnsi="Times New Roman"/>
        </w:rPr>
        <w:t>redding</w:t>
      </w:r>
      <w:r w:rsidRPr="00C73AAF">
        <w:rPr>
          <w:rFonts w:ascii="Times New Roman" w:hAnsi="Times New Roman"/>
        </w:rPr>
        <w:t xml:space="preserve">’ </w:t>
      </w:r>
      <w:r>
        <w:rPr>
          <w:rFonts w:ascii="Times New Roman" w:hAnsi="Times New Roman"/>
        </w:rPr>
        <w:t>van de joodse patiënten van de Rijkskolonie te Geel (1940 - 1945)’ in het Studie- en Documentatiecentrum Oorlog en Hedendaagse Maatschappij</w:t>
      </w:r>
      <w:r w:rsidRPr="00856C09">
        <w:rPr>
          <w:rFonts w:ascii="Times New Roman" w:hAnsi="Times New Roman"/>
        </w:rPr>
        <w:t>.</w:t>
      </w:r>
    </w:p>
  </w:footnote>
  <w:footnote w:id="1139">
    <w:p w:rsidR="00E82D16" w:rsidRPr="00301350" w:rsidRDefault="00E82D16" w:rsidP="000F560E">
      <w:pPr>
        <w:pStyle w:val="Voetnoottekst"/>
        <w:jc w:val="both"/>
        <w:rPr>
          <w:rFonts w:ascii="Times New Roman" w:hAnsi="Times New Roman"/>
        </w:rPr>
      </w:pPr>
      <w:r w:rsidRPr="00301350">
        <w:rPr>
          <w:rStyle w:val="Voetnootmarkering"/>
          <w:rFonts w:ascii="Times New Roman" w:hAnsi="Times New Roman"/>
        </w:rPr>
        <w:footnoteRef/>
      </w:r>
      <w:r w:rsidRPr="00301350">
        <w:rPr>
          <w:rFonts w:ascii="Times New Roman" w:hAnsi="Times New Roman"/>
        </w:rPr>
        <w:t xml:space="preserve"> </w:t>
      </w:r>
      <w:r w:rsidRPr="006B007F">
        <w:rPr>
          <w:rFonts w:ascii="Times New Roman" w:hAnsi="Times New Roman"/>
        </w:rPr>
        <w:t xml:space="preserve">DEBEUCKELAERE, W. (V.U.), </w:t>
      </w:r>
      <w:r w:rsidRPr="006B007F">
        <w:rPr>
          <w:rFonts w:ascii="Times New Roman" w:hAnsi="Times New Roman"/>
          <w:i/>
        </w:rPr>
        <w:t>Privacy: een vademecum voor de onderzoeker</w:t>
      </w:r>
      <w:r w:rsidRPr="006B007F">
        <w:rPr>
          <w:rFonts w:ascii="Times New Roman" w:hAnsi="Times New Roman"/>
        </w:rPr>
        <w:t>, Brussel, Commissie voor de bescherming van de persoonlijke levenssfeer, 2008, p. 7</w:t>
      </w:r>
      <w:r>
        <w:rPr>
          <w:rFonts w:ascii="Times New Roman" w:hAnsi="Times New Roman"/>
        </w:rPr>
        <w:t>; ID.</w:t>
      </w:r>
      <w:r w:rsidRPr="00301350">
        <w:rPr>
          <w:rFonts w:ascii="Times New Roman" w:hAnsi="Times New Roman"/>
        </w:rPr>
        <w:t xml:space="preserve">, </w:t>
      </w:r>
      <w:r w:rsidRPr="00301350">
        <w:rPr>
          <w:rFonts w:ascii="Times New Roman" w:hAnsi="Times New Roman"/>
          <w:i/>
        </w:rPr>
        <w:t>Hoe de Privacywet toepassen in historisch on</w:t>
      </w:r>
      <w:r>
        <w:rPr>
          <w:rFonts w:ascii="Times New Roman" w:hAnsi="Times New Roman"/>
          <w:i/>
        </w:rPr>
        <w:t>-</w:t>
      </w:r>
      <w:r w:rsidRPr="00301350">
        <w:rPr>
          <w:rFonts w:ascii="Times New Roman" w:hAnsi="Times New Roman"/>
          <w:i/>
        </w:rPr>
        <w:t>derzoek?</w:t>
      </w:r>
      <w:r w:rsidRPr="00301350">
        <w:rPr>
          <w:rFonts w:ascii="Times New Roman" w:hAnsi="Times New Roman"/>
        </w:rPr>
        <w:t>.</w:t>
      </w:r>
    </w:p>
  </w:footnote>
  <w:footnote w:id="1140">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DE BOT, p. 112, (nr. 144); ROBBEN, ‘De gevolgen van de Wet Verwerking Persoonsgegevens voor de sec</w:t>
      </w:r>
      <w:r>
        <w:rPr>
          <w:rFonts w:ascii="Times New Roman" w:hAnsi="Times New Roman"/>
        </w:rPr>
        <w:t>-</w:t>
      </w:r>
      <w:r w:rsidRPr="00E257EB">
        <w:rPr>
          <w:rFonts w:ascii="Times New Roman" w:hAnsi="Times New Roman"/>
        </w:rPr>
        <w:t>tor van de gezondheidszorg’, p. 266-270.</w:t>
      </w:r>
    </w:p>
  </w:footnote>
  <w:footnote w:id="1141">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w:t>
      </w:r>
      <w:r>
        <w:rPr>
          <w:rFonts w:ascii="Times New Roman" w:hAnsi="Times New Roman"/>
        </w:rPr>
        <w:t xml:space="preserve">6 van het Verdrag van Straatsburg; </w:t>
      </w:r>
      <w:r w:rsidRPr="001F1933">
        <w:rPr>
          <w:rFonts w:ascii="Times New Roman" w:hAnsi="Times New Roman"/>
        </w:rPr>
        <w:t>punten 43 tot 48 van het verklarend rapport bij het Verdrag van Straatsburg</w:t>
      </w:r>
      <w:r>
        <w:rPr>
          <w:rFonts w:ascii="Times New Roman" w:hAnsi="Times New Roman"/>
        </w:rPr>
        <w:t xml:space="preserve">; art. </w:t>
      </w:r>
      <w:r w:rsidRPr="00E257EB">
        <w:rPr>
          <w:rFonts w:ascii="Times New Roman" w:hAnsi="Times New Roman"/>
        </w:rPr>
        <w:t xml:space="preserve">8 § 1 van richtlijn 95/46/EG; </w:t>
      </w:r>
      <w:r>
        <w:rPr>
          <w:rFonts w:ascii="Times New Roman" w:hAnsi="Times New Roman"/>
        </w:rPr>
        <w:t>aanbeveling nr. R(97)5;</w:t>
      </w:r>
      <w:r w:rsidRPr="00E50AF4">
        <w:rPr>
          <w:rFonts w:ascii="Times New Roman" w:hAnsi="Times New Roman"/>
        </w:rPr>
        <w:t xml:space="preserve"> </w:t>
      </w:r>
      <w:r w:rsidRPr="00E257EB">
        <w:rPr>
          <w:rFonts w:ascii="Times New Roman" w:hAnsi="Times New Roman"/>
        </w:rPr>
        <w:t xml:space="preserve">art. 7 § 1 Privacywet; art. 16 Wbp; art. 8 § 1 van wet nr. 78-17 van 6 januari </w:t>
      </w:r>
      <w:r w:rsidRPr="00E50AF4">
        <w:rPr>
          <w:rFonts w:ascii="Times New Roman" w:hAnsi="Times New Roman"/>
        </w:rPr>
        <w:t>1978, gewijzigd door art. 2 van</w:t>
      </w:r>
      <w:r>
        <w:rPr>
          <w:rFonts w:ascii="Times New Roman" w:hAnsi="Times New Roman"/>
        </w:rPr>
        <w:t xml:space="preserve"> </w:t>
      </w:r>
      <w:r w:rsidRPr="00E50AF4">
        <w:rPr>
          <w:rFonts w:ascii="Times New Roman" w:hAnsi="Times New Roman"/>
        </w:rPr>
        <w:t>wet nr. 2004-801 van 6 augustus 2004; DE HERT, P., ‘Het patiëntendossier en de verwerking van gezondheidsgegevens’, titel VI/120-titel VI/123; VER</w:t>
      </w:r>
      <w:r>
        <w:rPr>
          <w:rFonts w:ascii="Times New Roman" w:hAnsi="Times New Roman"/>
        </w:rPr>
        <w:t>-</w:t>
      </w:r>
      <w:r w:rsidRPr="00E50AF4">
        <w:rPr>
          <w:rFonts w:ascii="Times New Roman" w:hAnsi="Times New Roman"/>
        </w:rPr>
        <w:t xml:space="preserve">BRUGGEN, V., </w:t>
      </w:r>
      <w:r w:rsidRPr="00E50AF4">
        <w:rPr>
          <w:rFonts w:ascii="Times New Roman" w:hAnsi="Times New Roman"/>
          <w:i/>
        </w:rPr>
        <w:t xml:space="preserve">Wet verwerking </w:t>
      </w:r>
      <w:r w:rsidRPr="00E257EB">
        <w:rPr>
          <w:rFonts w:ascii="Times New Roman" w:hAnsi="Times New Roman"/>
          <w:i/>
        </w:rPr>
        <w:t>persoonsgegevens</w:t>
      </w:r>
      <w:r w:rsidRPr="00A02BB5">
        <w:rPr>
          <w:rFonts w:ascii="Times New Roman" w:hAnsi="Times New Roman"/>
        </w:rPr>
        <w:t>,</w:t>
      </w:r>
      <w:r>
        <w:rPr>
          <w:rFonts w:ascii="Times New Roman" w:hAnsi="Times New Roman"/>
          <w:i/>
        </w:rPr>
        <w:t xml:space="preserve"> </w:t>
      </w:r>
      <w:r w:rsidRPr="00E257EB">
        <w:rPr>
          <w:rFonts w:ascii="Times New Roman" w:hAnsi="Times New Roman"/>
        </w:rPr>
        <w:t>p. 106-108.</w:t>
      </w:r>
    </w:p>
  </w:footnote>
  <w:footnote w:id="1142">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8 § 2 van richtlijn 95/46/EG; art. 7 § 2 Privacywet; art. 21 en art. 23 Wbp; art. 8 § 2 van wet nr. 78-17 van 6 januari 1978, </w:t>
      </w:r>
      <w:r>
        <w:rPr>
          <w:rFonts w:ascii="Times New Roman" w:hAnsi="Times New Roman"/>
        </w:rPr>
        <w:t>gewijzigd</w:t>
      </w:r>
      <w:r w:rsidRPr="00E257EB">
        <w:rPr>
          <w:rFonts w:ascii="Times New Roman" w:hAnsi="Times New Roman"/>
        </w:rPr>
        <w:t xml:space="preserve"> door art. 2 van wet nr. 2004-801 van 6 augustus 2004; VERBRUGGEN, </w:t>
      </w:r>
      <w:r w:rsidRPr="00E257EB">
        <w:rPr>
          <w:rFonts w:ascii="Times New Roman" w:hAnsi="Times New Roman"/>
          <w:i/>
        </w:rPr>
        <w:t>Wet ver</w:t>
      </w:r>
      <w:r>
        <w:rPr>
          <w:rFonts w:ascii="Times New Roman" w:hAnsi="Times New Roman"/>
          <w:i/>
        </w:rPr>
        <w:t>-</w:t>
      </w:r>
      <w:r w:rsidRPr="00E257EB">
        <w:rPr>
          <w:rFonts w:ascii="Times New Roman" w:hAnsi="Times New Roman"/>
          <w:i/>
        </w:rPr>
        <w:t>werking persoonsgegevens: wet van 8 december 1992</w:t>
      </w:r>
      <w:r w:rsidRPr="00E257EB">
        <w:rPr>
          <w:rFonts w:ascii="Times New Roman" w:hAnsi="Times New Roman"/>
        </w:rPr>
        <w:t>, p. 108-112.</w:t>
      </w:r>
    </w:p>
  </w:footnote>
  <w:footnote w:id="1143">
    <w:p w:rsidR="00E82D16" w:rsidRDefault="00E82D16" w:rsidP="000F560E">
      <w:pPr>
        <w:pStyle w:val="Voetnoottekst"/>
      </w:pPr>
      <w:r>
        <w:rPr>
          <w:rStyle w:val="Voetnootmarkering"/>
        </w:rPr>
        <w:footnoteRef/>
      </w:r>
      <w:r>
        <w:rPr>
          <w:rFonts w:ascii="Times New Roman" w:hAnsi="Times New Roman"/>
        </w:rPr>
        <w:t xml:space="preserve"> Art. 42 § 2 van de wet van 13 december 2006 houdende diverse bepalingen betreffende gezondheid (</w:t>
      </w:r>
      <w:r w:rsidRPr="00DD4CAC">
        <w:rPr>
          <w:rFonts w:ascii="Times New Roman" w:hAnsi="Times New Roman"/>
          <w:i/>
        </w:rPr>
        <w:t>BS</w:t>
      </w:r>
      <w:r>
        <w:rPr>
          <w:rFonts w:ascii="Times New Roman" w:hAnsi="Times New Roman"/>
        </w:rPr>
        <w:t xml:space="preserve"> 22 december 2006); </w:t>
      </w:r>
      <w:r w:rsidRPr="00DD4CAC">
        <w:rPr>
          <w:rFonts w:ascii="Times New Roman" w:hAnsi="Times New Roman"/>
        </w:rPr>
        <w:t>DEBEUCKELAERE</w:t>
      </w:r>
      <w:r w:rsidRPr="006B007F">
        <w:rPr>
          <w:rFonts w:ascii="Times New Roman" w:hAnsi="Times New Roman"/>
        </w:rPr>
        <w:t>,</w:t>
      </w:r>
      <w:r w:rsidRPr="006B007F">
        <w:rPr>
          <w:rFonts w:ascii="Times New Roman" w:hAnsi="Times New Roman"/>
          <w:i/>
        </w:rPr>
        <w:t xml:space="preserve"> Hoe de Privacywet toepassen in historisch onderzoek</w:t>
      </w:r>
      <w:r w:rsidRPr="006B007F">
        <w:rPr>
          <w:rFonts w:ascii="Times New Roman" w:hAnsi="Times New Roman"/>
        </w:rPr>
        <w:t>, p. 15.</w:t>
      </w:r>
      <w:r>
        <w:t xml:space="preserve"> </w:t>
      </w:r>
    </w:p>
  </w:footnote>
  <w:footnote w:id="1144">
    <w:p w:rsidR="00E82D16" w:rsidRPr="00DD018C" w:rsidRDefault="00E82D16" w:rsidP="000F560E">
      <w:pPr>
        <w:pStyle w:val="Voetnoottekst"/>
        <w:jc w:val="both"/>
        <w:rPr>
          <w:rFonts w:ascii="Times New Roman" w:hAnsi="Times New Roman"/>
        </w:rPr>
      </w:pPr>
      <w:r w:rsidRPr="006B007F">
        <w:rPr>
          <w:rStyle w:val="Voetnootmarkering"/>
          <w:rFonts w:ascii="Times New Roman" w:hAnsi="Times New Roman"/>
        </w:rPr>
        <w:footnoteRef/>
      </w:r>
      <w:r>
        <w:rPr>
          <w:rFonts w:ascii="Times New Roman" w:hAnsi="Times New Roman"/>
        </w:rPr>
        <w:t xml:space="preserve"> Zie supra.</w:t>
      </w:r>
    </w:p>
  </w:footnote>
  <w:footnote w:id="1145">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Punten 10.2 en 10.3 van aanbeveling nr. R(89)2; overweging 70 en art. 8 § 2, a van richtlijn 95/46/EG; art. 7 § 2, a Privacywet; art. 23 § 1, a Wbp; art. 8 § 2, 1° van wet nr. 78-17 van 6 januari 1978, gewijzigd door art. 2 van wet nr. 2004-801 van 6 augustus 2004;</w:t>
      </w:r>
      <w:r w:rsidRPr="00E333B6">
        <w:rPr>
          <w:rFonts w:ascii="Times New Roman" w:hAnsi="Times New Roman"/>
        </w:rPr>
        <w:t xml:space="preserve"> DE BOT, p. 158-159 (nr. 210); VERHAEGEN, M.N.; HERVEG, J.; ‘Professionnels de la santé’, KIGANAHE, D.; POULLET, Y. (reds.); </w:t>
      </w:r>
      <w:r w:rsidRPr="00E333B6">
        <w:rPr>
          <w:rFonts w:ascii="Times New Roman" w:hAnsi="Times New Roman"/>
          <w:i/>
          <w:iCs/>
        </w:rPr>
        <w:t>Le secret professionel</w:t>
      </w:r>
      <w:r w:rsidRPr="00E333B6">
        <w:rPr>
          <w:rFonts w:ascii="Times New Roman" w:hAnsi="Times New Roman"/>
        </w:rPr>
        <w:t>, Brussel, La Charte, 2002, p. 119-121</w:t>
      </w:r>
      <w:r w:rsidRPr="00562794">
        <w:rPr>
          <w:rFonts w:ascii="Times New Roman" w:hAnsi="Times New Roman"/>
        </w:rPr>
        <w:t>.</w:t>
      </w:r>
    </w:p>
  </w:footnote>
  <w:footnote w:id="1146">
    <w:p w:rsidR="00E82D16" w:rsidRPr="0056279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Overweging 31 en art. 8 § 2, c van richtlijn 95/46/EG; art. 7 § 2, f Privacywet; art. 23 § 1, d Wbp; art. 8 § 2, 2° van wet nr. 78-17 van 6 januari 1978, gewijzigd door art. 2 van wet nr. 2004-801 van 6 augustus 2004; DE BOT, p. 147-148 (nr. 192) en p. 159 (nr. 212).</w:t>
      </w:r>
    </w:p>
  </w:footnote>
  <w:footnote w:id="1147">
    <w:p w:rsidR="00E82D16" w:rsidRPr="00E257EB"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Punten 10.2 en 10.3 van aanbeveling nr. R(89)2; art. 8 § 2, b van richtlijn 95/46/EG; art. 7 § 2, b Privacywet; </w:t>
      </w:r>
      <w:r w:rsidRPr="00E257EB">
        <w:rPr>
          <w:rFonts w:ascii="Times New Roman" w:hAnsi="Times New Roman"/>
        </w:rPr>
        <w:t xml:space="preserve">art. 21 § 1, f Wbp; </w:t>
      </w:r>
      <w:r w:rsidRPr="007142A8">
        <w:rPr>
          <w:rFonts w:ascii="Times New Roman" w:hAnsi="Times New Roman"/>
        </w:rPr>
        <w:t>art. 68 van besluit nr. 20</w:t>
      </w:r>
      <w:r>
        <w:rPr>
          <w:rFonts w:ascii="Times New Roman" w:hAnsi="Times New Roman"/>
        </w:rPr>
        <w:t>05-1309</w:t>
      </w:r>
      <w:r w:rsidRPr="00E257EB">
        <w:rPr>
          <w:rFonts w:ascii="Times New Roman" w:hAnsi="Times New Roman"/>
        </w:rPr>
        <w:t xml:space="preserve"> van </w:t>
      </w:r>
      <w:r>
        <w:rPr>
          <w:rFonts w:ascii="Times New Roman" w:hAnsi="Times New Roman"/>
        </w:rPr>
        <w:t>20</w:t>
      </w:r>
      <w:r w:rsidRPr="00E257EB">
        <w:rPr>
          <w:rFonts w:ascii="Times New Roman" w:hAnsi="Times New Roman"/>
        </w:rPr>
        <w:t xml:space="preserve"> </w:t>
      </w:r>
      <w:r>
        <w:rPr>
          <w:rFonts w:ascii="Times New Roman" w:hAnsi="Times New Roman"/>
        </w:rPr>
        <w:t>oktober</w:t>
      </w:r>
      <w:r w:rsidRPr="00E257EB">
        <w:rPr>
          <w:rFonts w:ascii="Times New Roman" w:hAnsi="Times New Roman"/>
        </w:rPr>
        <w:t xml:space="preserve"> </w:t>
      </w:r>
      <w:r>
        <w:rPr>
          <w:rFonts w:ascii="Times New Roman" w:hAnsi="Times New Roman"/>
        </w:rPr>
        <w:t>2005 genomen ter uitvoering van wet nr. 78-17 van 6 januari 1978 betreffende de informatica, bestanden en vrijheden, zoals gewijzigd door wet nr. 2004-801 van 6 augustus 2004 (</w:t>
      </w:r>
      <w:r>
        <w:rPr>
          <w:rFonts w:ascii="Times New Roman" w:hAnsi="Times New Roman"/>
          <w:i/>
        </w:rPr>
        <w:t>JORF</w:t>
      </w:r>
      <w:r>
        <w:rPr>
          <w:rFonts w:ascii="Times New Roman" w:hAnsi="Times New Roman"/>
        </w:rPr>
        <w:t xml:space="preserve"> 247, 22 oktober 2005)</w:t>
      </w:r>
      <w:r w:rsidRPr="00E257EB">
        <w:rPr>
          <w:rFonts w:ascii="Times New Roman" w:hAnsi="Times New Roman"/>
        </w:rPr>
        <w:t xml:space="preserve">, </w:t>
      </w:r>
      <w:r>
        <w:rPr>
          <w:rFonts w:ascii="Times New Roman" w:hAnsi="Times New Roman"/>
        </w:rPr>
        <w:t>gewijzigd</w:t>
      </w:r>
      <w:r w:rsidRPr="00E257EB">
        <w:rPr>
          <w:rFonts w:ascii="Times New Roman" w:hAnsi="Times New Roman"/>
        </w:rPr>
        <w:t xml:space="preserve"> door art. </w:t>
      </w:r>
      <w:r>
        <w:rPr>
          <w:rFonts w:ascii="Times New Roman" w:hAnsi="Times New Roman"/>
        </w:rPr>
        <w:t>17</w:t>
      </w:r>
      <w:r w:rsidRPr="00E257EB">
        <w:rPr>
          <w:rFonts w:ascii="Times New Roman" w:hAnsi="Times New Roman"/>
        </w:rPr>
        <w:t xml:space="preserve"> van </w:t>
      </w:r>
      <w:r>
        <w:rPr>
          <w:rFonts w:ascii="Times New Roman" w:hAnsi="Times New Roman"/>
        </w:rPr>
        <w:t>besluit</w:t>
      </w:r>
      <w:r w:rsidRPr="00E257EB">
        <w:rPr>
          <w:rFonts w:ascii="Times New Roman" w:hAnsi="Times New Roman"/>
        </w:rPr>
        <w:t xml:space="preserve"> nr. 200</w:t>
      </w:r>
      <w:r>
        <w:rPr>
          <w:rFonts w:ascii="Times New Roman" w:hAnsi="Times New Roman"/>
        </w:rPr>
        <w:t>7</w:t>
      </w:r>
      <w:r w:rsidRPr="00E257EB">
        <w:rPr>
          <w:rFonts w:ascii="Times New Roman" w:hAnsi="Times New Roman"/>
        </w:rPr>
        <w:t>-</w:t>
      </w:r>
      <w:r>
        <w:rPr>
          <w:rFonts w:ascii="Times New Roman" w:hAnsi="Times New Roman"/>
        </w:rPr>
        <w:t>45</w:t>
      </w:r>
      <w:r w:rsidRPr="00E257EB">
        <w:rPr>
          <w:rFonts w:ascii="Times New Roman" w:hAnsi="Times New Roman"/>
        </w:rPr>
        <w:t xml:space="preserve">1 van </w:t>
      </w:r>
      <w:r>
        <w:rPr>
          <w:rFonts w:ascii="Times New Roman" w:hAnsi="Times New Roman"/>
        </w:rPr>
        <w:t>25</w:t>
      </w:r>
      <w:r w:rsidRPr="00E257EB">
        <w:rPr>
          <w:rFonts w:ascii="Times New Roman" w:hAnsi="Times New Roman"/>
        </w:rPr>
        <w:t xml:space="preserve"> </w:t>
      </w:r>
      <w:r>
        <w:rPr>
          <w:rFonts w:ascii="Times New Roman" w:hAnsi="Times New Roman"/>
        </w:rPr>
        <w:t>maart 2007 (</w:t>
      </w:r>
      <w:r>
        <w:rPr>
          <w:rFonts w:ascii="Times New Roman" w:hAnsi="Times New Roman"/>
          <w:i/>
        </w:rPr>
        <w:t>JORF</w:t>
      </w:r>
      <w:r>
        <w:rPr>
          <w:rFonts w:ascii="Times New Roman" w:hAnsi="Times New Roman"/>
        </w:rPr>
        <w:t xml:space="preserve"> 74, 28 maart 2007)</w:t>
      </w:r>
      <w:r w:rsidRPr="00E257EB">
        <w:rPr>
          <w:rFonts w:ascii="Times New Roman" w:hAnsi="Times New Roman"/>
        </w:rPr>
        <w:t>.</w:t>
      </w:r>
    </w:p>
  </w:footnote>
  <w:footnote w:id="1148">
    <w:p w:rsidR="00E82D16" w:rsidRPr="007142A8" w:rsidRDefault="00E82D16" w:rsidP="000F560E">
      <w:pPr>
        <w:pStyle w:val="Geenafstand"/>
        <w:jc w:val="both"/>
        <w:rPr>
          <w:rFonts w:ascii="Times New Roman" w:hAnsi="Times New Roman" w:cs="Times New Roman"/>
          <w:sz w:val="20"/>
          <w:szCs w:val="20"/>
        </w:rPr>
      </w:pPr>
      <w:r w:rsidRPr="007142A8">
        <w:rPr>
          <w:rStyle w:val="Voetnootmarkering"/>
          <w:rFonts w:ascii="Times New Roman" w:hAnsi="Times New Roman" w:cs="Times New Roman"/>
          <w:sz w:val="20"/>
          <w:szCs w:val="20"/>
        </w:rPr>
        <w:footnoteRef/>
      </w:r>
      <w:r w:rsidRPr="007142A8">
        <w:rPr>
          <w:rFonts w:ascii="Times New Roman" w:hAnsi="Times New Roman" w:cs="Times New Roman"/>
          <w:sz w:val="20"/>
          <w:szCs w:val="20"/>
        </w:rPr>
        <w:t xml:space="preserve"> </w:t>
      </w:r>
      <w:r w:rsidRPr="007142A8">
        <w:rPr>
          <w:rFonts w:ascii="Times New Roman" w:hAnsi="Times New Roman" w:cs="Times New Roman"/>
          <w:i/>
          <w:iCs/>
          <w:sz w:val="20"/>
          <w:szCs w:val="20"/>
        </w:rPr>
        <w:t>Parl.St.</w:t>
      </w:r>
      <w:r w:rsidRPr="007142A8">
        <w:rPr>
          <w:rFonts w:ascii="Times New Roman" w:hAnsi="Times New Roman" w:cs="Times New Roman"/>
          <w:sz w:val="20"/>
          <w:szCs w:val="20"/>
        </w:rPr>
        <w:t xml:space="preserve"> Kamer, 1997-1998, nr. 1566/1, p. 34-35; Verslag aan de Koning bij KB nr. 14 van 22 mei 1996 tot vaststelling van de doeleinden, de criteria en de voorwaarden van toegestane verwerkingen van de gegevens be</w:t>
      </w:r>
      <w:r>
        <w:rPr>
          <w:rFonts w:ascii="Times New Roman" w:hAnsi="Times New Roman" w:cs="Times New Roman"/>
          <w:sz w:val="20"/>
          <w:szCs w:val="20"/>
        </w:rPr>
        <w:t>-</w:t>
      </w:r>
      <w:r w:rsidRPr="007142A8">
        <w:rPr>
          <w:rFonts w:ascii="Times New Roman" w:hAnsi="Times New Roman" w:cs="Times New Roman"/>
          <w:sz w:val="20"/>
          <w:szCs w:val="20"/>
        </w:rPr>
        <w:t>doeld in artikel 6 van de wet van 8 december 1992 tot bescherming van de persoonlijke levenssfeer ten opzichte van de verwerking van persoonsgegevens (</w:t>
      </w:r>
      <w:r w:rsidRPr="007142A8">
        <w:rPr>
          <w:rFonts w:ascii="Times New Roman" w:hAnsi="Times New Roman" w:cs="Times New Roman"/>
          <w:i/>
          <w:sz w:val="20"/>
          <w:szCs w:val="20"/>
        </w:rPr>
        <w:t>BS</w:t>
      </w:r>
      <w:r w:rsidRPr="007142A8">
        <w:rPr>
          <w:rFonts w:ascii="Times New Roman" w:hAnsi="Times New Roman" w:cs="Times New Roman"/>
          <w:sz w:val="20"/>
          <w:szCs w:val="20"/>
        </w:rPr>
        <w:t xml:space="preserve"> 30 mei 1996); DE BOT, p. 146-147 (nr. 191) en p. 159 (nr. 211); VANSWEEVELT; DEWALLENS; p. 51 (nr. 74).</w:t>
      </w:r>
    </w:p>
  </w:footnote>
  <w:footnote w:id="1149">
    <w:p w:rsidR="00E82D16" w:rsidRPr="007142A8" w:rsidRDefault="00E82D16" w:rsidP="000F560E">
      <w:pPr>
        <w:pStyle w:val="Voetnoottekst"/>
        <w:jc w:val="both"/>
        <w:rPr>
          <w:rFonts w:ascii="Times New Roman" w:hAnsi="Times New Roman"/>
        </w:rPr>
      </w:pPr>
      <w:r w:rsidRPr="007142A8">
        <w:rPr>
          <w:rStyle w:val="Voetnootmarkering"/>
          <w:rFonts w:ascii="Times New Roman" w:hAnsi="Times New Roman"/>
        </w:rPr>
        <w:footnoteRef/>
      </w:r>
      <w:r w:rsidRPr="007142A8">
        <w:rPr>
          <w:rFonts w:ascii="Times New Roman" w:hAnsi="Times New Roman"/>
        </w:rPr>
        <w:t xml:space="preserve"> Art. 8 § 2, d van richtlijn 95/46/EG; art. 56 PrivacyKB; art. 21 § 1 Wbp; art. 8 § 2, 3° van wet nr. 78-17 van 6 januari 1978, gewijzigd door art. 2 van wet nr. 2004-801 van 6 augustus 2004.</w:t>
      </w:r>
    </w:p>
  </w:footnote>
  <w:footnote w:id="1150">
    <w:p w:rsidR="00E82D16" w:rsidRPr="002D3D38" w:rsidRDefault="00E82D16" w:rsidP="000F560E">
      <w:pPr>
        <w:pStyle w:val="Voetnoottekst"/>
        <w:jc w:val="both"/>
        <w:rPr>
          <w:rFonts w:ascii="Times New Roman" w:hAnsi="Times New Roman"/>
        </w:rPr>
      </w:pPr>
      <w:r w:rsidRPr="002D3D38">
        <w:rPr>
          <w:rStyle w:val="Voetnootmarkering"/>
          <w:rFonts w:ascii="Times New Roman" w:hAnsi="Times New Roman"/>
        </w:rPr>
        <w:footnoteRef/>
      </w:r>
      <w:r w:rsidRPr="002D3D38">
        <w:rPr>
          <w:rFonts w:ascii="Times New Roman" w:hAnsi="Times New Roman"/>
        </w:rPr>
        <w:t xml:space="preserve"> Art. 8 § 2, e van richtlijn 95/46/EG; art. 7 § 2, h Privacywet; art. 23 § 1, b Wbp; art. 8 § 2, 4° van wet nr. 78-17 van 6 januari 1978, gewijzigd door art. 2 van wet nr. 2004-801 van 6 augustus 2004; DE BOT, p. 149 (nr. 194) en p. 159-160 (nr. 213)</w:t>
      </w:r>
    </w:p>
  </w:footnote>
  <w:footnote w:id="1151">
    <w:p w:rsidR="00E82D16" w:rsidRPr="002D3D38" w:rsidRDefault="00E82D16" w:rsidP="000F560E">
      <w:pPr>
        <w:pStyle w:val="Voetnoottekst"/>
        <w:jc w:val="both"/>
        <w:rPr>
          <w:rFonts w:ascii="Times New Roman" w:hAnsi="Times New Roman"/>
        </w:rPr>
      </w:pPr>
      <w:r w:rsidRPr="002D3D38">
        <w:rPr>
          <w:rStyle w:val="Voetnootmarkering"/>
          <w:rFonts w:ascii="Times New Roman" w:hAnsi="Times New Roman"/>
        </w:rPr>
        <w:footnoteRef/>
      </w:r>
      <w:r w:rsidRPr="002D3D38">
        <w:rPr>
          <w:rFonts w:ascii="Times New Roman" w:hAnsi="Times New Roman"/>
        </w:rPr>
        <w:t xml:space="preserve"> Art. 8 § 2, e van richtlijn 95/46/EG; art. 7 § 2, i Privacywet; art. 23 § 1, c Wbp; art. 8 § 2, 5° van wet nr. 78-17 van 6 januari 1978, gewijzigd door art. 2 van wet nr. 2004-801 van 6 augustus 2004; DE BOT, p. 149 (nr. 195) en p. 160 (nr. 214).</w:t>
      </w:r>
    </w:p>
  </w:footnote>
  <w:footnote w:id="1152">
    <w:p w:rsidR="00E82D16" w:rsidRPr="007142A8" w:rsidRDefault="00E82D16" w:rsidP="000F560E">
      <w:pPr>
        <w:pStyle w:val="Voetnoottekst"/>
        <w:jc w:val="both"/>
        <w:rPr>
          <w:rFonts w:ascii="Times New Roman" w:hAnsi="Times New Roman"/>
        </w:rPr>
      </w:pPr>
      <w:r w:rsidRPr="007142A8">
        <w:rPr>
          <w:rStyle w:val="Voetnootmarkering"/>
          <w:rFonts w:ascii="Times New Roman" w:hAnsi="Times New Roman"/>
        </w:rPr>
        <w:footnoteRef/>
      </w:r>
      <w:r w:rsidRPr="007142A8">
        <w:rPr>
          <w:rFonts w:ascii="Times New Roman" w:hAnsi="Times New Roman"/>
        </w:rPr>
        <w:t xml:space="preserve"> </w:t>
      </w:r>
      <w:r w:rsidRPr="007142A8">
        <w:rPr>
          <w:rFonts w:ascii="Times New Roman" w:hAnsi="Times New Roman"/>
          <w:i/>
          <w:iCs/>
        </w:rPr>
        <w:t>Parl.St.</w:t>
      </w:r>
      <w:r w:rsidRPr="007142A8">
        <w:rPr>
          <w:rFonts w:ascii="Times New Roman" w:hAnsi="Times New Roman"/>
        </w:rPr>
        <w:t xml:space="preserve"> Kamer, 1997-1998, nr. 1566/1, p. 41; VANSWEEVELT; DEWALLENS; p. 51-52 (nr. 74).</w:t>
      </w:r>
    </w:p>
  </w:footnote>
  <w:footnote w:id="1153">
    <w:p w:rsidR="00E82D16" w:rsidRPr="00E333B6" w:rsidRDefault="00E82D16" w:rsidP="000F560E">
      <w:pPr>
        <w:pStyle w:val="Geenafstand"/>
        <w:jc w:val="both"/>
        <w:rPr>
          <w:rFonts w:ascii="Times New Roman" w:hAnsi="Times New Roman" w:cs="Times New Roman"/>
          <w:kern w:val="1"/>
          <w:sz w:val="20"/>
          <w:szCs w:val="20"/>
          <w:lang w:val="fr-BE" w:eastAsia="hi-IN" w:bidi="hi-IN"/>
        </w:rPr>
      </w:pPr>
      <w:r w:rsidRPr="007142A8">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8 § 3 van richtlijn 95/46/EG; art. 7 § 2, j Privacywet; art. 21 § 3 en art. 21 § 4, a Wbp; art. 8 § 2, 6°, art. 25 § 1, 2° en art. 62 tot art. 66 van wet nr. 78-17 van 6 januari 1978, gewijzigd door resp. art. 2, art. 4 en art. 10 van wet nr. 2004-801 van 6 augustus 2004; ALLAERT, F.A.; DUSSERRE, L.; ‘L’utilisation des données médi</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cales nominatives pour la maîtrise des dépenses de santé ou la fin justifie-t-elle les moyens?’, </w:t>
      </w:r>
      <w:r w:rsidRPr="00E333B6">
        <w:rPr>
          <w:rFonts w:ascii="Times New Roman" w:hAnsi="Times New Roman" w:cs="Times New Roman"/>
          <w:i/>
          <w:sz w:val="20"/>
          <w:szCs w:val="20"/>
          <w:lang w:val="fr-BE"/>
        </w:rPr>
        <w:t>La revue du prati</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cien</w:t>
      </w:r>
      <w:r w:rsidRPr="00E333B6">
        <w:rPr>
          <w:rFonts w:ascii="Times New Roman" w:hAnsi="Times New Roman" w:cs="Times New Roman"/>
          <w:sz w:val="20"/>
          <w:szCs w:val="20"/>
          <w:lang w:val="fr-BE"/>
        </w:rPr>
        <w:t>, 48/17 (1998), p. 1861-1863; CALLENS; GOOSSENS; CIERKENS; p. 330-331 (nrs. 838-841).</w:t>
      </w:r>
    </w:p>
  </w:footnote>
  <w:footnote w:id="1154">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8 § 4 van richtlijn 95/46/EG; art. 7 § 2, e Privacywet; art. 23 § 1, f en g Wbp; art. 8 § 4 van wet nr. 78-17 van 6 januari 1978, </w:t>
      </w:r>
      <w:r>
        <w:rPr>
          <w:rFonts w:ascii="Times New Roman" w:hAnsi="Times New Roman"/>
        </w:rPr>
        <w:t>gewijzigd</w:t>
      </w:r>
      <w:r w:rsidRPr="00E257EB">
        <w:rPr>
          <w:rFonts w:ascii="Times New Roman" w:hAnsi="Times New Roman"/>
        </w:rPr>
        <w:t xml:space="preserve"> door art. 2 van wet nr. 2004-801 van 6 augustus 2004.</w:t>
      </w:r>
    </w:p>
  </w:footnote>
  <w:footnote w:id="1155">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sidRPr="007142A8">
        <w:rPr>
          <w:rFonts w:ascii="Times New Roman" w:hAnsi="Times New Roman"/>
        </w:rPr>
        <w:t xml:space="preserve">Art. 6 § 1, b en art. 11 § 2 van richtlijn 95/46/EG; </w:t>
      </w:r>
      <w:r>
        <w:rPr>
          <w:rFonts w:ascii="Times New Roman" w:hAnsi="Times New Roman"/>
        </w:rPr>
        <w:t>wet van 4 juli 1962 betreffende de openbare statistiek (</w:t>
      </w:r>
      <w:r w:rsidRPr="00353B3E">
        <w:rPr>
          <w:rFonts w:ascii="Times New Roman" w:hAnsi="Times New Roman"/>
          <w:i/>
        </w:rPr>
        <w:t>BS</w:t>
      </w:r>
      <w:r>
        <w:rPr>
          <w:rFonts w:ascii="Times New Roman" w:hAnsi="Times New Roman"/>
        </w:rPr>
        <w:t xml:space="preserve"> 20 juli 1962); </w:t>
      </w:r>
      <w:r w:rsidRPr="00353B3E">
        <w:rPr>
          <w:rFonts w:ascii="Times New Roman" w:hAnsi="Times New Roman"/>
        </w:rPr>
        <w:t>art</w:t>
      </w:r>
      <w:r w:rsidRPr="00E257EB">
        <w:rPr>
          <w:rFonts w:ascii="Times New Roman" w:hAnsi="Times New Roman"/>
        </w:rPr>
        <w:t xml:space="preserve">. </w:t>
      </w:r>
      <w:r>
        <w:rPr>
          <w:rFonts w:ascii="Times New Roman" w:hAnsi="Times New Roman"/>
        </w:rPr>
        <w:t xml:space="preserve">4 § 1, 2, art. </w:t>
      </w:r>
      <w:r w:rsidRPr="00E257EB">
        <w:rPr>
          <w:rFonts w:ascii="Times New Roman" w:hAnsi="Times New Roman"/>
        </w:rPr>
        <w:t xml:space="preserve">7 § 2, k </w:t>
      </w:r>
      <w:r>
        <w:rPr>
          <w:rFonts w:ascii="Times New Roman" w:hAnsi="Times New Roman"/>
        </w:rPr>
        <w:t xml:space="preserve">en art. 9 § 2, derde lid </w:t>
      </w:r>
      <w:r w:rsidRPr="00E257EB">
        <w:rPr>
          <w:rFonts w:ascii="Times New Roman" w:hAnsi="Times New Roman"/>
        </w:rPr>
        <w:t>Privacywet;</w:t>
      </w:r>
      <w:r w:rsidRPr="007142A8">
        <w:rPr>
          <w:rFonts w:ascii="Times New Roman" w:hAnsi="Times New Roman"/>
        </w:rPr>
        <w:t xml:space="preserve"> art. 2 tot art. 24 PrivacyKB; </w:t>
      </w:r>
      <w:r>
        <w:rPr>
          <w:rFonts w:ascii="Times New Roman" w:hAnsi="Times New Roman"/>
        </w:rPr>
        <w:t>wet van 20 november 2003 houdende vaststelling van een wet op het Centraal bureau voor de statistiek (</w:t>
      </w:r>
      <w:r>
        <w:rPr>
          <w:rFonts w:ascii="Times New Roman" w:hAnsi="Times New Roman"/>
          <w:i/>
        </w:rPr>
        <w:t>Stb.</w:t>
      </w:r>
      <w:r>
        <w:rPr>
          <w:rFonts w:ascii="Times New Roman" w:hAnsi="Times New Roman"/>
        </w:rPr>
        <w:t xml:space="preserve"> 516, 18 de-cember 2003); </w:t>
      </w:r>
      <w:r w:rsidRPr="007142A8">
        <w:rPr>
          <w:rFonts w:ascii="Times New Roman" w:hAnsi="Times New Roman"/>
        </w:rPr>
        <w:t xml:space="preserve">art. 9 § 3, art. 10 § 2  </w:t>
      </w:r>
      <w:r>
        <w:rPr>
          <w:rFonts w:ascii="Times New Roman" w:hAnsi="Times New Roman"/>
        </w:rPr>
        <w:t xml:space="preserve">en </w:t>
      </w:r>
      <w:r w:rsidRPr="00E257EB">
        <w:rPr>
          <w:rFonts w:ascii="Times New Roman" w:hAnsi="Times New Roman"/>
        </w:rPr>
        <w:t xml:space="preserve">art. 23 § 2 </w:t>
      </w:r>
      <w:r w:rsidRPr="007142A8">
        <w:rPr>
          <w:rFonts w:ascii="Times New Roman" w:hAnsi="Times New Roman"/>
        </w:rPr>
        <w:t xml:space="preserve">Wbp; </w:t>
      </w:r>
      <w:r>
        <w:rPr>
          <w:rFonts w:ascii="Times New Roman" w:hAnsi="Times New Roman"/>
        </w:rPr>
        <w:t>wet nr. 51-711 van 7 juni 1951 over de verplichting, de coördinatie en het geheim in verband met statistieken (</w:t>
      </w:r>
      <w:r>
        <w:rPr>
          <w:rFonts w:ascii="Times New Roman" w:hAnsi="Times New Roman"/>
          <w:i/>
        </w:rPr>
        <w:t>JORF</w:t>
      </w:r>
      <w:r>
        <w:rPr>
          <w:rFonts w:ascii="Times New Roman" w:hAnsi="Times New Roman"/>
        </w:rPr>
        <w:t xml:space="preserve">, 8 juni 1951); </w:t>
      </w:r>
      <w:r w:rsidRPr="007142A8">
        <w:rPr>
          <w:rFonts w:ascii="Times New Roman" w:hAnsi="Times New Roman"/>
        </w:rPr>
        <w:t xml:space="preserve">art. </w:t>
      </w:r>
      <w:r>
        <w:rPr>
          <w:rFonts w:ascii="Times New Roman" w:hAnsi="Times New Roman"/>
        </w:rPr>
        <w:t xml:space="preserve">6, 2°, art. </w:t>
      </w:r>
      <w:r w:rsidRPr="007142A8">
        <w:rPr>
          <w:rFonts w:ascii="Times New Roman" w:hAnsi="Times New Roman"/>
        </w:rPr>
        <w:t>7</w:t>
      </w:r>
      <w:r>
        <w:rPr>
          <w:rFonts w:ascii="Times New Roman" w:hAnsi="Times New Roman"/>
        </w:rPr>
        <w:t>,</w:t>
      </w:r>
      <w:r w:rsidRPr="00353B3E">
        <w:rPr>
          <w:rFonts w:ascii="Times New Roman" w:hAnsi="Times New Roman"/>
        </w:rPr>
        <w:t xml:space="preserve"> </w:t>
      </w:r>
      <w:r w:rsidRPr="007142A8">
        <w:rPr>
          <w:rFonts w:ascii="Times New Roman" w:hAnsi="Times New Roman"/>
        </w:rPr>
        <w:t xml:space="preserve">art. 32 § 3, tweede lid, art. 36 en art. 39 § 2 van wet nr. 78-17 van 6 januari 1978, gewijzigd door art. </w:t>
      </w:r>
      <w:r>
        <w:rPr>
          <w:rFonts w:ascii="Times New Roman" w:hAnsi="Times New Roman"/>
        </w:rPr>
        <w:t xml:space="preserve">2 en art. </w:t>
      </w:r>
      <w:r w:rsidRPr="007142A8">
        <w:rPr>
          <w:rFonts w:ascii="Times New Roman" w:hAnsi="Times New Roman"/>
        </w:rPr>
        <w:t>4 van wet n</w:t>
      </w:r>
      <w:r>
        <w:rPr>
          <w:rFonts w:ascii="Times New Roman" w:hAnsi="Times New Roman"/>
        </w:rPr>
        <w:t>r. 2004-801 van 6 augustus 2004</w:t>
      </w:r>
      <w:r w:rsidRPr="007142A8">
        <w:rPr>
          <w:rFonts w:ascii="Times New Roman" w:hAnsi="Times New Roman"/>
        </w:rPr>
        <w:t xml:space="preserve">, </w:t>
      </w:r>
      <w:r w:rsidRPr="00E257EB">
        <w:rPr>
          <w:rFonts w:ascii="Times New Roman" w:hAnsi="Times New Roman"/>
        </w:rPr>
        <w:t>art. 37 van verordening nr. 2011-1012 van 24 augustus 2011, art. 26 van wet nr. 2008-696 van 15 juli 2008 en art. 5 van wet nr. 2004-801</w:t>
      </w:r>
      <w:r>
        <w:rPr>
          <w:rFonts w:ascii="Times New Roman" w:hAnsi="Times New Roman"/>
        </w:rPr>
        <w:t xml:space="preserve">; </w:t>
      </w:r>
      <w:r w:rsidRPr="007142A8">
        <w:rPr>
          <w:rFonts w:ascii="Times New Roman" w:hAnsi="Times New Roman"/>
        </w:rPr>
        <w:t>CALLENS; GOOSSENS; CIERKENS;</w:t>
      </w:r>
      <w:r>
        <w:rPr>
          <w:rFonts w:ascii="Times New Roman" w:hAnsi="Times New Roman"/>
        </w:rPr>
        <w:t xml:space="preserve"> p. 331 (nr. 842).</w:t>
      </w:r>
    </w:p>
  </w:footnote>
  <w:footnote w:id="1156">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Art. 7 § 2, d Privacywet; art. 8 § 2, 8° en art. 53 tot art. 61 van wet nr. 78-17 van 6 januari 1978, </w:t>
      </w:r>
      <w:r>
        <w:rPr>
          <w:rFonts w:ascii="Times New Roman" w:hAnsi="Times New Roman"/>
        </w:rPr>
        <w:t>gewijzigd</w:t>
      </w:r>
      <w:r w:rsidRPr="00E257EB">
        <w:rPr>
          <w:rFonts w:ascii="Times New Roman" w:hAnsi="Times New Roman"/>
        </w:rPr>
        <w:t xml:space="preserve"> door resp. art. 2 en art. 9 van wet nr. 2004-801 van 6 augustus 2004.</w:t>
      </w:r>
    </w:p>
  </w:footnote>
  <w:footnote w:id="1157">
    <w:p w:rsidR="00E82D16" w:rsidRPr="00E257EB" w:rsidRDefault="00E82D16" w:rsidP="000F560E">
      <w:pPr>
        <w:pStyle w:val="Voetnoottekst"/>
        <w:jc w:val="both"/>
        <w:rPr>
          <w:rFonts w:ascii="Times New Roman" w:hAnsi="Times New Roman"/>
        </w:rPr>
      </w:pPr>
      <w:r w:rsidRPr="00A776A0">
        <w:rPr>
          <w:rStyle w:val="Voetnootmarkering"/>
          <w:rFonts w:ascii="Times New Roman" w:hAnsi="Times New Roman"/>
        </w:rPr>
        <w:footnoteRef/>
      </w:r>
      <w:r w:rsidRPr="00A776A0">
        <w:rPr>
          <w:rFonts w:ascii="Times New Roman" w:hAnsi="Times New Roman"/>
        </w:rPr>
        <w:t xml:space="preserve"> Art. 6 § 2, h Privacywet.</w:t>
      </w:r>
    </w:p>
  </w:footnote>
  <w:footnote w:id="1158">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w:t>
      </w:r>
      <w:r w:rsidRPr="00E257EB">
        <w:rPr>
          <w:rFonts w:ascii="Times New Roman" w:hAnsi="Times New Roman" w:cs="Times New Roman"/>
          <w:i/>
          <w:iCs/>
          <w:sz w:val="20"/>
          <w:szCs w:val="20"/>
        </w:rPr>
        <w:t>Parl.St.</w:t>
      </w:r>
      <w:r w:rsidRPr="00E257EB">
        <w:rPr>
          <w:rFonts w:ascii="Times New Roman" w:hAnsi="Times New Roman" w:cs="Times New Roman"/>
          <w:sz w:val="20"/>
          <w:szCs w:val="20"/>
        </w:rPr>
        <w:t xml:space="preserve"> Kamer, 1997-1998, nr. 1566/1, p. 40; </w:t>
      </w:r>
      <w:r w:rsidRPr="00A776A0">
        <w:rPr>
          <w:rFonts w:ascii="Times New Roman" w:hAnsi="Times New Roman" w:cs="Times New Roman"/>
          <w:sz w:val="20"/>
          <w:szCs w:val="20"/>
        </w:rPr>
        <w:t>VANSWEEVELT; DEWALLENS; p. 51</w:t>
      </w:r>
      <w:r w:rsidRPr="00E257EB">
        <w:rPr>
          <w:rFonts w:ascii="Times New Roman" w:hAnsi="Times New Roman" w:cs="Times New Roman"/>
          <w:sz w:val="20"/>
          <w:szCs w:val="20"/>
        </w:rPr>
        <w:t xml:space="preserve"> (nr. 74).</w:t>
      </w:r>
    </w:p>
  </w:footnote>
  <w:footnote w:id="1159">
    <w:p w:rsidR="00E82D16" w:rsidRPr="00E333B6" w:rsidRDefault="00E82D16" w:rsidP="000F560E">
      <w:pPr>
        <w:pStyle w:val="Voetnoottekst"/>
        <w:jc w:val="both"/>
        <w:rPr>
          <w:rFonts w:ascii="Times New Roman" w:hAnsi="Times New Roman"/>
          <w:lang w:val="fr-BE"/>
        </w:rPr>
      </w:pPr>
      <w:r w:rsidRPr="00E257EB">
        <w:rPr>
          <w:rStyle w:val="Voetnootmarkering"/>
          <w:rFonts w:ascii="Times New Roman" w:hAnsi="Times New Roman"/>
        </w:rPr>
        <w:footnoteRef/>
      </w:r>
      <w:r w:rsidRPr="00E333B6">
        <w:rPr>
          <w:rFonts w:ascii="Times New Roman" w:hAnsi="Times New Roman"/>
          <w:lang w:val="fr-BE"/>
        </w:rPr>
        <w:t xml:space="preserve"> LEONARD, T.; POULLET, Y.; ‘La protection des données à caractère personnel en pleine (r)évolution’, p. 387 (nr. 37).</w:t>
      </w:r>
    </w:p>
  </w:footnote>
  <w:footnote w:id="1160">
    <w:p w:rsidR="00E82D16" w:rsidRPr="00326345" w:rsidRDefault="00E82D16" w:rsidP="000F560E">
      <w:pPr>
        <w:pStyle w:val="Voetnoottekst"/>
        <w:jc w:val="both"/>
        <w:rPr>
          <w:rFonts w:ascii="Times New Roman" w:hAnsi="Times New Roman"/>
          <w:i/>
        </w:rPr>
      </w:pPr>
      <w:r w:rsidRPr="00A776A0">
        <w:rPr>
          <w:rStyle w:val="Voetnootmarkering"/>
          <w:rFonts w:ascii="Times New Roman" w:hAnsi="Times New Roman"/>
        </w:rPr>
        <w:footnoteRef/>
      </w:r>
      <w:r w:rsidRPr="00A776A0">
        <w:rPr>
          <w:rFonts w:ascii="Times New Roman" w:hAnsi="Times New Roman"/>
        </w:rPr>
        <w:t xml:space="preserve"> Art. 8 § 5 van richtlijn 95/46/EG; art. 7 § 2, g Privacywet; art. 21 § 1, e en art. 23 § 1, e Wbp; art. 9 van wet nr. 78-17 van 6 januari 1978, gewijzigd door art. 2 van wet nr. 2004-801 van 6 augustus 2004. Voor de mogelijk</w:t>
      </w:r>
      <w:r>
        <w:rPr>
          <w:rFonts w:ascii="Times New Roman" w:hAnsi="Times New Roman"/>
        </w:rPr>
        <w:t>-</w:t>
      </w:r>
      <w:r w:rsidRPr="00A776A0">
        <w:rPr>
          <w:rFonts w:ascii="Times New Roman" w:hAnsi="Times New Roman"/>
        </w:rPr>
        <w:t xml:space="preserve">heid om patiëntendossiers in beslag te nemen in het kader van een gerechtelijk onderzoek, zie: Art. 66 C.G.P.; </w:t>
      </w:r>
      <w:r w:rsidRPr="00E333B6">
        <w:rPr>
          <w:rFonts w:ascii="Times New Roman" w:eastAsia="Times New Roman" w:hAnsi="Times New Roman"/>
          <w:lang w:eastAsia="nl-BE"/>
        </w:rPr>
        <w:t>commentaren bij art.</w:t>
      </w:r>
      <w:r w:rsidRPr="00A776A0">
        <w:rPr>
          <w:rFonts w:ascii="Times New Roman" w:eastAsia="Times New Roman" w:hAnsi="Times New Roman"/>
          <w:lang w:eastAsia="nl-BE"/>
        </w:rPr>
        <w:t xml:space="preserve"> 45 Franse </w:t>
      </w:r>
      <w:r w:rsidRPr="00E333B6">
        <w:rPr>
          <w:rFonts w:ascii="Times New Roman" w:eastAsia="Times New Roman" w:hAnsi="Times New Roman"/>
          <w:lang w:eastAsia="nl-BE"/>
        </w:rPr>
        <w:t>C.G.P.</w:t>
      </w:r>
      <w:r w:rsidRPr="00A776A0">
        <w:rPr>
          <w:rFonts w:ascii="Times New Roman" w:eastAsia="Times New Roman" w:hAnsi="Times New Roman"/>
          <w:lang w:eastAsia="nl-BE"/>
        </w:rPr>
        <w:t xml:space="preserve">; </w:t>
      </w:r>
      <w:r w:rsidRPr="00A776A0">
        <w:rPr>
          <w:rFonts w:ascii="Times New Roman" w:hAnsi="Times New Roman"/>
        </w:rPr>
        <w:t xml:space="preserve"> ‘Huiszoeking en inbeslagneming van medische documenten – Rol van de afgevaardigde van de provinciale raad’, </w:t>
      </w:r>
      <w:r w:rsidRPr="00A776A0">
        <w:rPr>
          <w:rFonts w:ascii="Times New Roman" w:hAnsi="Times New Roman"/>
          <w:i/>
        </w:rPr>
        <w:t>T.N.R.</w:t>
      </w:r>
      <w:r w:rsidRPr="00A776A0">
        <w:rPr>
          <w:rFonts w:ascii="Times New Roman" w:hAnsi="Times New Roman"/>
        </w:rPr>
        <w:t xml:space="preserve">, 87 (1999), p. 29; ‘Inbeslagneming van medische attesten’, </w:t>
      </w:r>
      <w:r w:rsidRPr="00A776A0">
        <w:rPr>
          <w:rFonts w:ascii="Times New Roman" w:hAnsi="Times New Roman"/>
          <w:i/>
        </w:rPr>
        <w:t>T.N.R.</w:t>
      </w:r>
      <w:r w:rsidRPr="00A776A0">
        <w:rPr>
          <w:rFonts w:ascii="Times New Roman" w:hAnsi="Times New Roman"/>
        </w:rPr>
        <w:t xml:space="preserve">, 31 (1983), p. 37; BLOCKX, F., ‘Arts, Orde en onderzoeksrechter: huiszoekingen en inbeslagnames van medische stukken’, </w:t>
      </w:r>
      <w:r w:rsidRPr="00A776A0">
        <w:rPr>
          <w:rFonts w:ascii="Times New Roman" w:hAnsi="Times New Roman"/>
          <w:i/>
        </w:rPr>
        <w:t>T.Gez.</w:t>
      </w:r>
      <w:r w:rsidRPr="00A776A0">
        <w:rPr>
          <w:rFonts w:ascii="Times New Roman" w:hAnsi="Times New Roman"/>
        </w:rPr>
        <w:t xml:space="preserve">, 2006-2007, 3, p. 176-179; CELERIER, I., ‘Instruction et secret médical’, </w:t>
      </w:r>
      <w:r w:rsidRPr="00A776A0">
        <w:rPr>
          <w:rFonts w:ascii="Times New Roman" w:hAnsi="Times New Roman"/>
          <w:i/>
        </w:rPr>
        <w:t>SWAPS</w:t>
      </w:r>
      <w:r w:rsidRPr="00A776A0">
        <w:rPr>
          <w:rFonts w:ascii="Times New Roman" w:hAnsi="Times New Roman"/>
        </w:rPr>
        <w:t>, 18 (2000), p. 5; DECLOEDT, W.; ‘Overhandiging van medische gegevens op verzoek van een burgerlijke recht</w:t>
      </w:r>
      <w:r>
        <w:rPr>
          <w:rFonts w:ascii="Times New Roman" w:hAnsi="Times New Roman"/>
        </w:rPr>
        <w:t>-</w:t>
      </w:r>
      <w:r w:rsidRPr="00A776A0">
        <w:rPr>
          <w:rFonts w:ascii="Times New Roman" w:hAnsi="Times New Roman"/>
        </w:rPr>
        <w:t xml:space="preserve">bank’, WOSTYN, L.; SCHOCKAERT, F.; BOUCQUEY, K. (reds.); </w:t>
      </w:r>
      <w:r w:rsidRPr="00A776A0">
        <w:rPr>
          <w:rFonts w:ascii="Times New Roman" w:hAnsi="Times New Roman"/>
          <w:i/>
        </w:rPr>
        <w:t>Overhandigen medische gegevens</w:t>
      </w:r>
      <w:r w:rsidRPr="00A776A0">
        <w:rPr>
          <w:rFonts w:ascii="Times New Roman" w:hAnsi="Times New Roman"/>
        </w:rPr>
        <w:t xml:space="preserve">, p. 47-55; DUIJST-HEESTER, W.L.J.M., </w:t>
      </w:r>
      <w:r w:rsidRPr="00A776A0">
        <w:rPr>
          <w:rFonts w:ascii="Times New Roman" w:hAnsi="Times New Roman"/>
          <w:i/>
        </w:rPr>
        <w:t>Gezondheids</w:t>
      </w:r>
      <w:r>
        <w:rPr>
          <w:rFonts w:ascii="Times New Roman" w:hAnsi="Times New Roman"/>
          <w:i/>
        </w:rPr>
        <w:t xml:space="preserve">recht en </w:t>
      </w:r>
      <w:r w:rsidRPr="00A776A0">
        <w:rPr>
          <w:rFonts w:ascii="Times New Roman" w:hAnsi="Times New Roman"/>
          <w:i/>
        </w:rPr>
        <w:t>strafrecht</w:t>
      </w:r>
      <w:r w:rsidRPr="00A776A0">
        <w:rPr>
          <w:rFonts w:ascii="Times New Roman" w:hAnsi="Times New Roman"/>
        </w:rPr>
        <w:t>, p. 115-126;</w:t>
      </w:r>
      <w:r>
        <w:rPr>
          <w:rFonts w:ascii="Times New Roman" w:hAnsi="Times New Roman"/>
        </w:rPr>
        <w:t xml:space="preserve"> </w:t>
      </w:r>
      <w:r w:rsidRPr="00A776A0">
        <w:rPr>
          <w:rFonts w:ascii="Times New Roman" w:hAnsi="Times New Roman"/>
        </w:rPr>
        <w:t xml:space="preserve">GEVAERT, P.; WOSTYN, L.; ‘Inbeslagname medische dossiers en verhoor door de onderzoeksrechter’, WOSTYN, L.; SCHOCKAERT, F.; BOUCQUEY, K. (reds.); </w:t>
      </w:r>
      <w:r w:rsidRPr="00A776A0">
        <w:rPr>
          <w:rFonts w:ascii="Times New Roman" w:hAnsi="Times New Roman"/>
          <w:i/>
        </w:rPr>
        <w:t>Overhandigen medische gegevens</w:t>
      </w:r>
      <w:r w:rsidRPr="00A776A0">
        <w:rPr>
          <w:rFonts w:ascii="Times New Roman" w:hAnsi="Times New Roman"/>
        </w:rPr>
        <w:t>, Gent, Academia Press, 2009², p. 19-34; KALK</w:t>
      </w:r>
      <w:r>
        <w:rPr>
          <w:rFonts w:ascii="Times New Roman" w:hAnsi="Times New Roman"/>
        </w:rPr>
        <w:t>-</w:t>
      </w:r>
      <w:r w:rsidRPr="00A776A0">
        <w:rPr>
          <w:rFonts w:ascii="Times New Roman" w:hAnsi="Times New Roman"/>
        </w:rPr>
        <w:t xml:space="preserve">MAN-BOGERD, L.E., ‘Klachtrecht en aansprakelijkheid’, ENGBERTS, D.P.; KALKMAN-BOGERD, L.E. (reds.); </w:t>
      </w:r>
      <w:r w:rsidRPr="00A776A0">
        <w:rPr>
          <w:rFonts w:ascii="Times New Roman" w:hAnsi="Times New Roman"/>
          <w:i/>
        </w:rPr>
        <w:t>Gezondheidsrecht</w:t>
      </w:r>
      <w:r w:rsidRPr="00A776A0">
        <w:rPr>
          <w:rFonts w:ascii="Times New Roman" w:hAnsi="Times New Roman"/>
        </w:rPr>
        <w:t xml:space="preserve">, Houten, Bohn Stafleu van Loghum, 2009², p. 223 (voetnoot 176); NYS, H., </w:t>
      </w:r>
      <w:r w:rsidRPr="00A776A0">
        <w:rPr>
          <w:rFonts w:ascii="Times New Roman" w:hAnsi="Times New Roman"/>
          <w:i/>
        </w:rPr>
        <w:t>Genees</w:t>
      </w:r>
      <w:r>
        <w:rPr>
          <w:rFonts w:ascii="Times New Roman" w:hAnsi="Times New Roman"/>
          <w:i/>
        </w:rPr>
        <w:t>-</w:t>
      </w:r>
      <w:r w:rsidRPr="00A776A0">
        <w:rPr>
          <w:rFonts w:ascii="Times New Roman" w:hAnsi="Times New Roman"/>
          <w:i/>
        </w:rPr>
        <w:t>kunde – Recht en Medisch Handelen</w:t>
      </w:r>
      <w:r w:rsidRPr="00A776A0">
        <w:rPr>
          <w:rFonts w:ascii="Times New Roman" w:hAnsi="Times New Roman"/>
        </w:rPr>
        <w:t xml:space="preserve">, p. 563-564 (nr. 1317) en p. 566-567 (nr. 1322); SAINT-PIERRE, F., ‘Le secret médical face à la justice pénale’, </w:t>
      </w:r>
      <w:r w:rsidRPr="00A776A0">
        <w:rPr>
          <w:rFonts w:ascii="Times New Roman" w:hAnsi="Times New Roman"/>
          <w:i/>
        </w:rPr>
        <w:t>Droit déontologie soin</w:t>
      </w:r>
      <w:r w:rsidRPr="00A776A0">
        <w:rPr>
          <w:rFonts w:ascii="Times New Roman" w:hAnsi="Times New Roman"/>
        </w:rPr>
        <w:t xml:space="preserve">, 2/2 (2002), p. 148-151; SPEECKAERT, M.; VERHULST, S.; ‘Medische gegevens en privacy’, VERMEULEN, G. (red.), </w:t>
      </w:r>
      <w:r w:rsidRPr="00A776A0">
        <w:rPr>
          <w:rFonts w:ascii="Times New Roman" w:hAnsi="Times New Roman"/>
          <w:i/>
        </w:rPr>
        <w:t>Privacy en strafrecht: nieuwe en grensoverschrijdende verkenningen</w:t>
      </w:r>
      <w:r w:rsidRPr="00A776A0">
        <w:rPr>
          <w:rFonts w:ascii="Times New Roman" w:hAnsi="Times New Roman"/>
        </w:rPr>
        <w:t>, Nieuwe en gren</w:t>
      </w:r>
      <w:r>
        <w:rPr>
          <w:rFonts w:ascii="Times New Roman" w:hAnsi="Times New Roman"/>
        </w:rPr>
        <w:t>s</w:t>
      </w:r>
      <w:r w:rsidRPr="00A776A0">
        <w:rPr>
          <w:rFonts w:ascii="Times New Roman" w:hAnsi="Times New Roman"/>
        </w:rPr>
        <w:t>overschrijdende verkenningen, Antwerpen-Apeldoorn, Maklu,  2007, p. 167-168; THIBAULT, A., ‘Le secret professionnel et le droit au respect de la vie privée peu</w:t>
      </w:r>
      <w:r>
        <w:rPr>
          <w:rFonts w:ascii="Times New Roman" w:hAnsi="Times New Roman"/>
        </w:rPr>
        <w:t>-</w:t>
      </w:r>
      <w:r w:rsidRPr="00A776A0">
        <w:rPr>
          <w:rFonts w:ascii="Times New Roman" w:hAnsi="Times New Roman"/>
        </w:rPr>
        <w:t xml:space="preserve">vent-ils faire échec aux droits de la defense?’, </w:t>
      </w:r>
      <w:r w:rsidRPr="00A776A0">
        <w:rPr>
          <w:rFonts w:ascii="Times New Roman" w:hAnsi="Times New Roman"/>
          <w:i/>
        </w:rPr>
        <w:t>A.J.S.</w:t>
      </w:r>
      <w:r w:rsidRPr="00A776A0">
        <w:rPr>
          <w:rFonts w:ascii="Times New Roman" w:hAnsi="Times New Roman"/>
        </w:rPr>
        <w:t>, 60 (2007), p. 61-65; WAALWIJK, H., ‘Nederland contro</w:t>
      </w:r>
      <w:r>
        <w:rPr>
          <w:rFonts w:ascii="Times New Roman" w:hAnsi="Times New Roman"/>
        </w:rPr>
        <w:t>-</w:t>
      </w:r>
      <w:r w:rsidRPr="00A776A0">
        <w:rPr>
          <w:rFonts w:ascii="Times New Roman" w:hAnsi="Times New Roman"/>
        </w:rPr>
        <w:t>leland. Archiefdiensten en de Wet bevoegdheden vorderen gegevens’ in BIEMANS, J.; YAP, R.; ‘De Wet be</w:t>
      </w:r>
      <w:r>
        <w:rPr>
          <w:rFonts w:ascii="Times New Roman" w:hAnsi="Times New Roman"/>
        </w:rPr>
        <w:t>-</w:t>
      </w:r>
      <w:r w:rsidRPr="00A776A0">
        <w:rPr>
          <w:rFonts w:ascii="Times New Roman" w:hAnsi="Times New Roman"/>
        </w:rPr>
        <w:t xml:space="preserve">scherming persoonsgegevens: een vloek of een zegen’, </w:t>
      </w:r>
      <w:r w:rsidRPr="00A776A0">
        <w:rPr>
          <w:rFonts w:ascii="Times New Roman" w:hAnsi="Times New Roman"/>
          <w:i/>
        </w:rPr>
        <w:t>Archievenblad</w:t>
      </w:r>
      <w:r w:rsidRPr="00A776A0">
        <w:rPr>
          <w:rFonts w:ascii="Times New Roman" w:hAnsi="Times New Roman"/>
        </w:rPr>
        <w:t xml:space="preserve">, 113/5 (2009), p. 24-27; WOSTYN, L., </w:t>
      </w:r>
      <w:r w:rsidRPr="00A776A0">
        <w:rPr>
          <w:rFonts w:ascii="Times New Roman" w:hAnsi="Times New Roman"/>
          <w:i/>
        </w:rPr>
        <w:t>Het overmaken van medische gegevens na het overlijden van de patiënt</w:t>
      </w:r>
      <w:r w:rsidRPr="00A776A0">
        <w:rPr>
          <w:rFonts w:ascii="Times New Roman" w:hAnsi="Times New Roman"/>
        </w:rPr>
        <w:t>, Story dossiers, Gent, Story publishers, 2011, p. 36-40.</w:t>
      </w:r>
    </w:p>
  </w:footnote>
  <w:footnote w:id="1161">
    <w:p w:rsidR="00E82D16" w:rsidRPr="00A11C84"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w:t>
      </w:r>
      <w:r>
        <w:rPr>
          <w:rFonts w:ascii="Times New Roman" w:hAnsi="Times New Roman" w:cs="Times New Roman"/>
          <w:sz w:val="20"/>
          <w:szCs w:val="20"/>
        </w:rPr>
        <w:t>W</w:t>
      </w:r>
      <w:r w:rsidRPr="00E257EB">
        <w:rPr>
          <w:rFonts w:ascii="Times New Roman" w:hAnsi="Times New Roman" w:cs="Times New Roman"/>
          <w:sz w:val="20"/>
          <w:szCs w:val="20"/>
        </w:rPr>
        <w:t>et van 22 maart 1999 betreffende de identificatieprocedure via DNA-analyse in strafzaken (</w:t>
      </w:r>
      <w:r w:rsidRPr="00E257EB">
        <w:rPr>
          <w:rFonts w:ascii="Times New Roman" w:hAnsi="Times New Roman" w:cs="Times New Roman"/>
          <w:i/>
          <w:iCs/>
          <w:sz w:val="20"/>
          <w:szCs w:val="20"/>
        </w:rPr>
        <w:t xml:space="preserve">BS </w:t>
      </w:r>
      <w:r w:rsidRPr="00E257EB">
        <w:rPr>
          <w:rFonts w:ascii="Times New Roman" w:hAnsi="Times New Roman" w:cs="Times New Roman"/>
          <w:sz w:val="20"/>
          <w:szCs w:val="20"/>
        </w:rPr>
        <w:t>20 mei 1999)</w:t>
      </w:r>
      <w:r>
        <w:rPr>
          <w:rFonts w:ascii="Times New Roman" w:hAnsi="Times New Roman" w:cs="Times New Roman"/>
          <w:sz w:val="20"/>
          <w:szCs w:val="20"/>
        </w:rPr>
        <w:t>; wet van 16 september 2004 houdende regeling van DNA-onderzoeken bij veroordeelden (</w:t>
      </w:r>
      <w:r>
        <w:rPr>
          <w:rFonts w:ascii="Times New Roman" w:hAnsi="Times New Roman" w:cs="Times New Roman"/>
          <w:i/>
          <w:sz w:val="20"/>
          <w:szCs w:val="20"/>
        </w:rPr>
        <w:t xml:space="preserve">Stb. </w:t>
      </w:r>
      <w:r>
        <w:rPr>
          <w:rFonts w:ascii="Times New Roman" w:hAnsi="Times New Roman" w:cs="Times New Roman"/>
          <w:sz w:val="20"/>
          <w:szCs w:val="20"/>
        </w:rPr>
        <w:t xml:space="preserve">465, 28 september 2004); art. 706-56 CPP, gewijzigd door art. 49 van wet nr. 2004-204 van 9 maart 2004 houdende </w:t>
      </w:r>
      <w:r w:rsidRPr="00A11C84">
        <w:rPr>
          <w:rFonts w:ascii="Times New Roman" w:hAnsi="Times New Roman" w:cs="Times New Roman"/>
          <w:sz w:val="20"/>
          <w:szCs w:val="20"/>
        </w:rPr>
        <w:t>aan</w:t>
      </w:r>
      <w:r>
        <w:rPr>
          <w:rFonts w:ascii="Times New Roman" w:hAnsi="Times New Roman" w:cs="Times New Roman"/>
          <w:sz w:val="20"/>
          <w:szCs w:val="20"/>
        </w:rPr>
        <w:t>-</w:t>
      </w:r>
      <w:r w:rsidRPr="00A11C84">
        <w:rPr>
          <w:rFonts w:ascii="Times New Roman" w:hAnsi="Times New Roman" w:cs="Times New Roman"/>
          <w:sz w:val="20"/>
          <w:szCs w:val="20"/>
        </w:rPr>
        <w:t>passing van justitie aan de ontwikkelingen in de criminaliteit I (</w:t>
      </w:r>
      <w:r w:rsidRPr="00A11C84">
        <w:rPr>
          <w:rFonts w:ascii="Times New Roman" w:hAnsi="Times New Roman" w:cs="Times New Roman"/>
          <w:i/>
          <w:sz w:val="20"/>
          <w:szCs w:val="20"/>
        </w:rPr>
        <w:t xml:space="preserve">JORF </w:t>
      </w:r>
      <w:r w:rsidRPr="00A11C84">
        <w:rPr>
          <w:rFonts w:ascii="Times New Roman" w:hAnsi="Times New Roman" w:cs="Times New Roman"/>
          <w:sz w:val="20"/>
          <w:szCs w:val="20"/>
        </w:rPr>
        <w:t>59, 10 maart 2004); DE BOT, p. 160-161 (nr. 215); VANSWEEVELT; DEWALLENS; p. 51 (nr. 74).</w:t>
      </w:r>
    </w:p>
  </w:footnote>
  <w:footnote w:id="1162">
    <w:p w:rsidR="00E82D16" w:rsidRPr="00A11C84" w:rsidRDefault="00E82D16" w:rsidP="000F560E">
      <w:pPr>
        <w:pStyle w:val="Voetnoottekst"/>
        <w:jc w:val="both"/>
        <w:rPr>
          <w:rFonts w:ascii="Times New Roman" w:hAnsi="Times New Roman"/>
        </w:rPr>
      </w:pPr>
      <w:r w:rsidRPr="00562794">
        <w:rPr>
          <w:rStyle w:val="Voetnootmarkering"/>
          <w:rFonts w:ascii="Times New Roman" w:hAnsi="Times New Roman"/>
        </w:rPr>
        <w:footnoteRef/>
      </w:r>
      <w:r w:rsidRPr="00562794">
        <w:rPr>
          <w:rFonts w:ascii="Times New Roman" w:hAnsi="Times New Roman"/>
        </w:rPr>
        <w:t xml:space="preserve"> Punt 10.4 van aanbeveling nr. R(89)2; overweging 33 en art. 8 § 3 van richtlijn 95/46/EG; punt 3.2 van aan</w:t>
      </w:r>
      <w:r>
        <w:rPr>
          <w:rFonts w:ascii="Times New Roman" w:hAnsi="Times New Roman"/>
        </w:rPr>
        <w:t>-</w:t>
      </w:r>
      <w:r w:rsidRPr="00562794">
        <w:rPr>
          <w:rFonts w:ascii="Times New Roman" w:hAnsi="Times New Roman"/>
        </w:rPr>
        <w:t>beveling nr. R(97)5; art. 7 § 4, derde lid Privacywet; art. 21 § 2 Wbp; art. 8 § 2, 6° van wet nr. 78-17 van 6 janu</w:t>
      </w:r>
      <w:r>
        <w:rPr>
          <w:rFonts w:ascii="Times New Roman" w:hAnsi="Times New Roman"/>
        </w:rPr>
        <w:t>-</w:t>
      </w:r>
      <w:r w:rsidRPr="00562794">
        <w:rPr>
          <w:rFonts w:ascii="Times New Roman" w:hAnsi="Times New Roman"/>
        </w:rPr>
        <w:t>ari 1978, gewijzigd door art. 2 van wet nr. 2004-801 van 6 augustus 2004; CALLENS; GOOSSENS; CIER</w:t>
      </w:r>
      <w:r>
        <w:rPr>
          <w:rFonts w:ascii="Times New Roman" w:hAnsi="Times New Roman"/>
        </w:rPr>
        <w:t>-</w:t>
      </w:r>
      <w:r w:rsidRPr="00562794">
        <w:rPr>
          <w:rFonts w:ascii="Times New Roman" w:hAnsi="Times New Roman"/>
        </w:rPr>
        <w:t xml:space="preserve">KENS; p. 329 (nrs. 833-835); DE BOT, p. 162-164 (nrs. </w:t>
      </w:r>
      <w:r w:rsidRPr="00A11C84">
        <w:rPr>
          <w:rFonts w:ascii="Times New Roman" w:hAnsi="Times New Roman"/>
        </w:rPr>
        <w:t xml:space="preserve">218-223); DE HERT, P., ‘Het patiëntendossier en de verwerking van gezondheidsgegevens’, titel VI/166-titel VI/170; VERBRUGGEN, </w:t>
      </w:r>
      <w:r w:rsidRPr="00A11C84">
        <w:rPr>
          <w:rFonts w:ascii="Times New Roman" w:hAnsi="Times New Roman"/>
          <w:i/>
        </w:rPr>
        <w:t>Wet verwerking persoonsge</w:t>
      </w:r>
      <w:r>
        <w:rPr>
          <w:rFonts w:ascii="Times New Roman" w:hAnsi="Times New Roman"/>
          <w:i/>
        </w:rPr>
        <w:t>-</w:t>
      </w:r>
      <w:r w:rsidRPr="00A11C84">
        <w:rPr>
          <w:rFonts w:ascii="Times New Roman" w:hAnsi="Times New Roman"/>
          <w:i/>
        </w:rPr>
        <w:t>gevens: wet van 8 december 1992</w:t>
      </w:r>
      <w:r w:rsidRPr="00A11C84">
        <w:rPr>
          <w:rFonts w:ascii="Times New Roman" w:hAnsi="Times New Roman"/>
        </w:rPr>
        <w:t>, p. 113.</w:t>
      </w:r>
    </w:p>
  </w:footnote>
  <w:footnote w:id="1163">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w:t>
      </w:r>
      <w:r w:rsidRPr="00E257EB">
        <w:rPr>
          <w:rFonts w:ascii="Times New Roman" w:hAnsi="Times New Roman" w:cs="Times New Roman"/>
          <w:i/>
          <w:iCs/>
          <w:sz w:val="20"/>
          <w:szCs w:val="20"/>
        </w:rPr>
        <w:t>Parl.St.</w:t>
      </w:r>
      <w:r w:rsidRPr="00E257EB">
        <w:rPr>
          <w:rFonts w:ascii="Times New Roman" w:hAnsi="Times New Roman" w:cs="Times New Roman"/>
          <w:sz w:val="20"/>
          <w:szCs w:val="20"/>
        </w:rPr>
        <w:t xml:space="preserve"> Kamer, 1997-1998, nr. 1566/10, p. 148; art. 7 § 4 Privacywet.</w:t>
      </w:r>
    </w:p>
  </w:footnote>
  <w:footnote w:id="1164">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w:t>
      </w:r>
      <w:r w:rsidRPr="00E257EB">
        <w:rPr>
          <w:rFonts w:ascii="Times New Roman" w:hAnsi="Times New Roman" w:cs="Times New Roman"/>
          <w:i/>
          <w:iCs/>
          <w:sz w:val="20"/>
          <w:szCs w:val="20"/>
        </w:rPr>
        <w:t xml:space="preserve">Parl.St. </w:t>
      </w:r>
      <w:r w:rsidRPr="00E257EB">
        <w:rPr>
          <w:rFonts w:ascii="Times New Roman" w:hAnsi="Times New Roman" w:cs="Times New Roman"/>
          <w:sz w:val="20"/>
          <w:szCs w:val="20"/>
        </w:rPr>
        <w:t>Kamer, 1997-1998, nr. 1566/1, p. 39-40; art. 7 § 5 Privacywet; DE BOT, p. 165 (nr. 224).</w:t>
      </w:r>
    </w:p>
  </w:footnote>
  <w:footnote w:id="1165">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Cf. supra.</w:t>
      </w:r>
    </w:p>
  </w:footnote>
  <w:footnote w:id="1166">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VERBRUGGEN, V., </w:t>
      </w:r>
      <w:r w:rsidRPr="00E257EB">
        <w:rPr>
          <w:rFonts w:ascii="Times New Roman" w:hAnsi="Times New Roman"/>
          <w:i/>
        </w:rPr>
        <w:t>Wet verwerking persoonsgegevens: wet van 8 december 1992</w:t>
      </w:r>
      <w:r w:rsidRPr="00E257EB">
        <w:rPr>
          <w:rFonts w:ascii="Times New Roman" w:hAnsi="Times New Roman"/>
        </w:rPr>
        <w:t>, p. 114.</w:t>
      </w:r>
    </w:p>
  </w:footnote>
  <w:footnote w:id="1167">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DE HERT; SAELENS; ‘Ontwikkelingen in de bescherming van persoonsgegevens. Wat is de weerslag op de bibliotheek- en archiefsector?’, p. 34; VANSWEEVELT; DEWALLENS; p. 46 (nr. 63).</w:t>
      </w:r>
    </w:p>
  </w:footnote>
  <w:footnote w:id="1168">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Verslag aan de koning bij het </w:t>
      </w:r>
      <w:r>
        <w:rPr>
          <w:rFonts w:ascii="Times New Roman" w:hAnsi="Times New Roman" w:cs="Times New Roman"/>
          <w:sz w:val="20"/>
          <w:szCs w:val="20"/>
        </w:rPr>
        <w:t>Privacy</w:t>
      </w:r>
      <w:r w:rsidRPr="00E257EB">
        <w:rPr>
          <w:rFonts w:ascii="Times New Roman" w:hAnsi="Times New Roman" w:cs="Times New Roman"/>
          <w:sz w:val="20"/>
          <w:szCs w:val="20"/>
        </w:rPr>
        <w:t>KB</w:t>
      </w:r>
      <w:r w:rsidRPr="00E46775">
        <w:rPr>
          <w:rFonts w:ascii="Times New Roman" w:hAnsi="Times New Roman" w:cs="Times New Roman"/>
          <w:sz w:val="20"/>
          <w:szCs w:val="20"/>
        </w:rPr>
        <w:t>;</w:t>
      </w:r>
      <w:r w:rsidRPr="00E257EB">
        <w:rPr>
          <w:rFonts w:ascii="Times New Roman" w:hAnsi="Times New Roman" w:cs="Times New Roman"/>
          <w:sz w:val="20"/>
          <w:szCs w:val="20"/>
        </w:rPr>
        <w:t xml:space="preserve"> GRAUX, H.; DUMORTIER, J., </w:t>
      </w:r>
      <w:r w:rsidRPr="00E257EB">
        <w:rPr>
          <w:rFonts w:ascii="Times New Roman" w:hAnsi="Times New Roman" w:cs="Times New Roman"/>
          <w:i/>
          <w:iCs/>
          <w:sz w:val="20"/>
          <w:szCs w:val="20"/>
        </w:rPr>
        <w:t>Privacywetgeving in de praktijk</w:t>
      </w:r>
      <w:r w:rsidRPr="00E257EB">
        <w:rPr>
          <w:rFonts w:ascii="Times New Roman" w:hAnsi="Times New Roman" w:cs="Times New Roman"/>
          <w:sz w:val="20"/>
          <w:szCs w:val="20"/>
        </w:rPr>
        <w:t>, Kortrijk, UGA, 2009, p. 216.</w:t>
      </w:r>
    </w:p>
  </w:footnote>
  <w:footnote w:id="1169">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DE CORTE, R., ‘Verwerking persoonsgegevens nog strikter geregeld’, </w:t>
      </w:r>
      <w:r w:rsidRPr="00E257EB">
        <w:rPr>
          <w:rFonts w:ascii="Times New Roman" w:hAnsi="Times New Roman" w:cs="Times New Roman"/>
          <w:i/>
          <w:sz w:val="20"/>
          <w:szCs w:val="20"/>
        </w:rPr>
        <w:t>Juristenkrant</w:t>
      </w:r>
      <w:r w:rsidRPr="00E257EB">
        <w:rPr>
          <w:rFonts w:ascii="Times New Roman" w:hAnsi="Times New Roman" w:cs="Times New Roman"/>
          <w:sz w:val="20"/>
          <w:szCs w:val="20"/>
        </w:rPr>
        <w:t>, 33 (2001), p. 15</w:t>
      </w:r>
      <w:r>
        <w:rPr>
          <w:rFonts w:ascii="Times New Roman" w:hAnsi="Times New Roman" w:cs="Times New Roman"/>
          <w:sz w:val="20"/>
          <w:szCs w:val="20"/>
        </w:rPr>
        <w:t xml:space="preserve">; GUTWIRTH, S., ‘De toepassing van het finaliteitsbeginsel van de Privacywet van 8 december 1992 tot bescher-ming van de persoonlijke levenssfeer ten opzichte van de verwerking van persoonsgegevens’, </w:t>
      </w:r>
      <w:r>
        <w:rPr>
          <w:rFonts w:ascii="Times New Roman" w:hAnsi="Times New Roman" w:cs="Times New Roman"/>
          <w:i/>
          <w:sz w:val="20"/>
          <w:szCs w:val="20"/>
        </w:rPr>
        <w:t>T.P.R.</w:t>
      </w:r>
      <w:r>
        <w:rPr>
          <w:rFonts w:ascii="Times New Roman" w:hAnsi="Times New Roman" w:cs="Times New Roman"/>
          <w:sz w:val="20"/>
          <w:szCs w:val="20"/>
        </w:rPr>
        <w:t>, 1993, 4, p. 1409-1477</w:t>
      </w:r>
      <w:r w:rsidRPr="00E257EB">
        <w:rPr>
          <w:rFonts w:ascii="Times New Roman" w:hAnsi="Times New Roman" w:cs="Times New Roman"/>
          <w:sz w:val="20"/>
          <w:szCs w:val="20"/>
        </w:rPr>
        <w:t>.</w:t>
      </w:r>
    </w:p>
  </w:footnote>
  <w:footnote w:id="1170">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CALLENS; GOOSSENS; CIERKENS; p. 332-334 (nrs. 848-852)</w:t>
      </w:r>
      <w:r>
        <w:rPr>
          <w:rFonts w:ascii="Times New Roman" w:hAnsi="Times New Roman"/>
        </w:rPr>
        <w:t>.</w:t>
      </w:r>
    </w:p>
  </w:footnote>
  <w:footnote w:id="1171">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ANNE, I., ‘De verwerking van persoonsgegevens voor wetenschappelijk onderzoek’, </w:t>
      </w:r>
      <w:r w:rsidRPr="00E257EB">
        <w:rPr>
          <w:rFonts w:ascii="Times New Roman" w:hAnsi="Times New Roman" w:cs="Times New Roman"/>
          <w:i/>
          <w:iCs/>
          <w:sz w:val="20"/>
          <w:szCs w:val="20"/>
        </w:rPr>
        <w:t>Computerr.</w:t>
      </w:r>
      <w:r w:rsidRPr="00E257EB">
        <w:rPr>
          <w:rFonts w:ascii="Times New Roman" w:hAnsi="Times New Roman" w:cs="Times New Roman"/>
          <w:sz w:val="20"/>
          <w:szCs w:val="20"/>
        </w:rPr>
        <w:t>, 2000,</w:t>
      </w:r>
      <w:r>
        <w:rPr>
          <w:rFonts w:ascii="Times New Roman" w:hAnsi="Times New Roman" w:cs="Times New Roman"/>
          <w:sz w:val="20"/>
          <w:szCs w:val="20"/>
        </w:rPr>
        <w:t xml:space="preserve"> 6,</w:t>
      </w:r>
      <w:r w:rsidRPr="00E257EB">
        <w:rPr>
          <w:rFonts w:ascii="Times New Roman" w:hAnsi="Times New Roman" w:cs="Times New Roman"/>
          <w:sz w:val="20"/>
          <w:szCs w:val="20"/>
        </w:rPr>
        <w:t xml:space="preserve"> p. 293; DE BOT, p. 104</w:t>
      </w:r>
      <w:r>
        <w:rPr>
          <w:rFonts w:ascii="Times New Roman" w:hAnsi="Times New Roman" w:cs="Times New Roman"/>
          <w:sz w:val="20"/>
          <w:szCs w:val="20"/>
        </w:rPr>
        <w:t>-105</w:t>
      </w:r>
      <w:r w:rsidRPr="00E257EB">
        <w:rPr>
          <w:rFonts w:ascii="Times New Roman" w:hAnsi="Times New Roman" w:cs="Times New Roman"/>
          <w:sz w:val="20"/>
          <w:szCs w:val="20"/>
        </w:rPr>
        <w:t xml:space="preserve"> (</w:t>
      </w:r>
      <w:r w:rsidRPr="00E46775">
        <w:rPr>
          <w:rFonts w:ascii="Times New Roman" w:hAnsi="Times New Roman" w:cs="Times New Roman"/>
          <w:sz w:val="20"/>
          <w:szCs w:val="20"/>
        </w:rPr>
        <w:t>nr. 135);</w:t>
      </w:r>
      <w:r w:rsidRPr="00E257EB">
        <w:rPr>
          <w:rFonts w:ascii="Times New Roman" w:hAnsi="Times New Roman" w:cs="Times New Roman"/>
          <w:sz w:val="20"/>
          <w:szCs w:val="20"/>
        </w:rPr>
        <w:t xml:space="preserve"> VANDENDRIESSCHE, ‘De verwerking van persoonsgegevens voor histo</w:t>
      </w:r>
      <w:r>
        <w:rPr>
          <w:rFonts w:ascii="Times New Roman" w:hAnsi="Times New Roman" w:cs="Times New Roman"/>
          <w:sz w:val="20"/>
          <w:szCs w:val="20"/>
        </w:rPr>
        <w:t>-</w:t>
      </w:r>
      <w:r w:rsidRPr="00E257EB">
        <w:rPr>
          <w:rFonts w:ascii="Times New Roman" w:hAnsi="Times New Roman" w:cs="Times New Roman"/>
          <w:sz w:val="20"/>
          <w:szCs w:val="20"/>
        </w:rPr>
        <w:t>rische, statistische en wetenschappelijke doeleinden’, p. 539.</w:t>
      </w:r>
    </w:p>
  </w:footnote>
  <w:footnote w:id="1172">
    <w:p w:rsidR="00E82D16" w:rsidRPr="00E257EB" w:rsidRDefault="00E82D16" w:rsidP="000F560E">
      <w:pPr>
        <w:pStyle w:val="Geenafstand"/>
        <w:jc w:val="both"/>
        <w:rPr>
          <w:rFonts w:ascii="Times New Roman" w:hAnsi="Times New Roman" w:cs="Times New Roman"/>
          <w:b/>
          <w:sz w:val="20"/>
          <w:szCs w:val="20"/>
        </w:rPr>
      </w:pPr>
      <w:r w:rsidRPr="00E46775">
        <w:rPr>
          <w:rStyle w:val="Voetnootmarkering"/>
          <w:rFonts w:ascii="Times New Roman" w:hAnsi="Times New Roman" w:cs="Times New Roman"/>
          <w:sz w:val="20"/>
          <w:szCs w:val="20"/>
        </w:rPr>
        <w:footnoteRef/>
      </w:r>
      <w:r w:rsidRPr="00E46775">
        <w:rPr>
          <w:rFonts w:ascii="Times New Roman" w:hAnsi="Times New Roman" w:cs="Times New Roman"/>
          <w:sz w:val="20"/>
          <w:szCs w:val="20"/>
        </w:rPr>
        <w:t xml:space="preserve"> </w:t>
      </w:r>
      <w:r>
        <w:rPr>
          <w:rFonts w:ascii="Times New Roman" w:hAnsi="Times New Roman" w:cs="Times New Roman"/>
          <w:sz w:val="20"/>
          <w:szCs w:val="20"/>
        </w:rPr>
        <w:t>Art. 3 PrivacyKB</w:t>
      </w:r>
      <w:r>
        <w:rPr>
          <w:rFonts w:ascii="Times New Roman" w:hAnsi="Times New Roman" w:cs="Times New Roman"/>
          <w:b/>
          <w:sz w:val="20"/>
          <w:szCs w:val="20"/>
        </w:rPr>
        <w:t xml:space="preserve"> </w:t>
      </w:r>
    </w:p>
  </w:footnote>
  <w:footnote w:id="1173">
    <w:p w:rsidR="00E82D16" w:rsidRPr="006B4C46" w:rsidRDefault="00E82D16" w:rsidP="006B4C46">
      <w:pPr>
        <w:pStyle w:val="Voetnoottekst"/>
        <w:jc w:val="both"/>
        <w:rPr>
          <w:rFonts w:ascii="Times New Roman" w:hAnsi="Times New Roman"/>
        </w:rPr>
      </w:pPr>
      <w:r w:rsidRPr="006B4C46">
        <w:rPr>
          <w:rStyle w:val="Voetnootmarkering"/>
          <w:rFonts w:ascii="Times New Roman" w:hAnsi="Times New Roman"/>
        </w:rPr>
        <w:footnoteRef/>
      </w:r>
      <w:r w:rsidRPr="006B4C46">
        <w:rPr>
          <w:rFonts w:ascii="Times New Roman" w:hAnsi="Times New Roman"/>
        </w:rPr>
        <w:t xml:space="preserve"> Zie supra.</w:t>
      </w:r>
    </w:p>
  </w:footnote>
  <w:footnote w:id="1174">
    <w:p w:rsidR="00E82D16" w:rsidRPr="00FE7571" w:rsidRDefault="00E82D16" w:rsidP="000F560E">
      <w:pPr>
        <w:pStyle w:val="Voetnoottekst"/>
        <w:jc w:val="both"/>
        <w:rPr>
          <w:rFonts w:ascii="Times New Roman" w:hAnsi="Times New Roman"/>
        </w:rPr>
      </w:pPr>
      <w:r w:rsidRPr="00FE7571">
        <w:rPr>
          <w:rStyle w:val="Voetnootmarkering"/>
          <w:rFonts w:ascii="Times New Roman" w:hAnsi="Times New Roman"/>
        </w:rPr>
        <w:footnoteRef/>
      </w:r>
      <w:r w:rsidRPr="00FE7571">
        <w:rPr>
          <w:rFonts w:ascii="Times New Roman" w:hAnsi="Times New Roman"/>
        </w:rPr>
        <w:t xml:space="preserve"> Art. 42 § 2 van de wet van 13 december 2006 houdende diverse bepalingen betreffende gezondheid (</w:t>
      </w:r>
      <w:r w:rsidRPr="00FE7571">
        <w:rPr>
          <w:rFonts w:ascii="Times New Roman" w:hAnsi="Times New Roman"/>
          <w:i/>
        </w:rPr>
        <w:t>BS</w:t>
      </w:r>
      <w:r w:rsidRPr="00FE7571">
        <w:rPr>
          <w:rFonts w:ascii="Times New Roman" w:hAnsi="Times New Roman"/>
        </w:rPr>
        <w:t xml:space="preserve"> 22 december 2006).</w:t>
      </w:r>
    </w:p>
  </w:footnote>
  <w:footnote w:id="1175">
    <w:p w:rsidR="00E82D16" w:rsidRPr="006B007F" w:rsidRDefault="00E82D16" w:rsidP="000F560E">
      <w:pPr>
        <w:pStyle w:val="Voetnoottekst"/>
        <w:jc w:val="both"/>
        <w:rPr>
          <w:rFonts w:ascii="Times New Roman" w:hAnsi="Times New Roman"/>
        </w:rPr>
      </w:pPr>
      <w:r w:rsidRPr="006B007F">
        <w:rPr>
          <w:rStyle w:val="Voetnootmarkering"/>
          <w:rFonts w:ascii="Times New Roman" w:hAnsi="Times New Roman"/>
        </w:rPr>
        <w:footnoteRef/>
      </w:r>
      <w:r w:rsidRPr="006B007F">
        <w:rPr>
          <w:rFonts w:ascii="Times New Roman" w:hAnsi="Times New Roman"/>
        </w:rPr>
        <w:t xml:space="preserve"> DEBEUCKELAERE, </w:t>
      </w:r>
      <w:r w:rsidRPr="006B007F">
        <w:rPr>
          <w:rFonts w:ascii="Times New Roman" w:hAnsi="Times New Roman"/>
          <w:i/>
        </w:rPr>
        <w:t>Privacy: een vademecum voor de onderzoeker</w:t>
      </w:r>
      <w:r w:rsidRPr="006B007F">
        <w:rPr>
          <w:rFonts w:ascii="Times New Roman" w:hAnsi="Times New Roman"/>
        </w:rPr>
        <w:t>, p. 7.</w:t>
      </w:r>
    </w:p>
  </w:footnote>
  <w:footnote w:id="1176">
    <w:p w:rsidR="00E82D16" w:rsidRPr="00E46775" w:rsidRDefault="00E82D16" w:rsidP="000F560E">
      <w:pPr>
        <w:pStyle w:val="Voetnoottekst"/>
        <w:jc w:val="both"/>
        <w:rPr>
          <w:rFonts w:ascii="Times New Roman" w:hAnsi="Times New Roman"/>
        </w:rPr>
      </w:pPr>
      <w:r w:rsidRPr="00E46775">
        <w:rPr>
          <w:rStyle w:val="Voetnootmarkering"/>
          <w:rFonts w:ascii="Times New Roman" w:hAnsi="Times New Roman"/>
        </w:rPr>
        <w:footnoteRef/>
      </w:r>
      <w:r w:rsidRPr="00E46775">
        <w:rPr>
          <w:rFonts w:ascii="Times New Roman" w:hAnsi="Times New Roman"/>
        </w:rPr>
        <w:t xml:space="preserve"> DE CORTE, R., ‘Zeg niet anoniem tegen naamloos’, </w:t>
      </w:r>
      <w:r w:rsidRPr="00E46775">
        <w:rPr>
          <w:rFonts w:ascii="Times New Roman" w:hAnsi="Times New Roman"/>
          <w:i/>
        </w:rPr>
        <w:t>Juristenkrant</w:t>
      </w:r>
      <w:r w:rsidRPr="00E46775">
        <w:rPr>
          <w:rFonts w:ascii="Times New Roman" w:hAnsi="Times New Roman"/>
        </w:rPr>
        <w:t>, 74 (2003), p. 2.</w:t>
      </w:r>
    </w:p>
  </w:footnote>
  <w:footnote w:id="1177">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Verslag aan de koning bij het PrivacyKB</w:t>
      </w:r>
      <w:r w:rsidRPr="0011294A">
        <w:rPr>
          <w:rFonts w:ascii="Times New Roman" w:hAnsi="Times New Roman" w:cs="Times New Roman"/>
          <w:sz w:val="20"/>
          <w:szCs w:val="20"/>
        </w:rPr>
        <w:t>. Zie Deel 3.</w:t>
      </w:r>
      <w:r>
        <w:rPr>
          <w:rFonts w:ascii="Times New Roman" w:hAnsi="Times New Roman" w:cs="Times New Roman"/>
          <w:sz w:val="20"/>
          <w:szCs w:val="20"/>
        </w:rPr>
        <w:t xml:space="preserve"> </w:t>
      </w:r>
    </w:p>
  </w:footnote>
  <w:footnote w:id="1178">
    <w:p w:rsidR="00E82D16" w:rsidRPr="00883FAD" w:rsidRDefault="00E82D16" w:rsidP="000F560E">
      <w:pPr>
        <w:pStyle w:val="Geenafstand"/>
        <w:jc w:val="both"/>
        <w:rPr>
          <w:rFonts w:ascii="Times New Roman" w:hAnsi="Times New Roman" w:cs="Times New Roman"/>
          <w:sz w:val="20"/>
          <w:szCs w:val="20"/>
        </w:rPr>
      </w:pPr>
      <w:r w:rsidRPr="00883FAD">
        <w:rPr>
          <w:rStyle w:val="Voetnootmarkering"/>
          <w:rFonts w:ascii="Times New Roman" w:hAnsi="Times New Roman" w:cs="Times New Roman"/>
          <w:sz w:val="20"/>
          <w:szCs w:val="20"/>
        </w:rPr>
        <w:footnoteRef/>
      </w:r>
      <w:r w:rsidRPr="00883FAD">
        <w:rPr>
          <w:rFonts w:ascii="Times New Roman" w:hAnsi="Times New Roman" w:cs="Times New Roman"/>
          <w:sz w:val="20"/>
          <w:szCs w:val="20"/>
        </w:rPr>
        <w:t xml:space="preserve"> Art. 4 PrivacyKB; art. 55 van wet nr. 78-17 van 6 januari 1978, ingevoerd door art. 9 van wet nr. 2004-801 van 6 augustus 2004; CALLENS; GOOSSENS; CIERKENS; p. 334-336 (nrs. 853-859); PLOEM, </w:t>
      </w:r>
      <w:r w:rsidRPr="00883FAD">
        <w:rPr>
          <w:rFonts w:ascii="Times New Roman" w:hAnsi="Times New Roman" w:cs="Times New Roman"/>
          <w:i/>
          <w:sz w:val="20"/>
          <w:szCs w:val="20"/>
        </w:rPr>
        <w:t>Tussen priva</w:t>
      </w:r>
      <w:r>
        <w:rPr>
          <w:rFonts w:ascii="Times New Roman" w:hAnsi="Times New Roman" w:cs="Times New Roman"/>
          <w:i/>
          <w:sz w:val="20"/>
          <w:szCs w:val="20"/>
        </w:rPr>
        <w:t>-</w:t>
      </w:r>
      <w:r w:rsidRPr="00883FAD">
        <w:rPr>
          <w:rFonts w:ascii="Times New Roman" w:hAnsi="Times New Roman" w:cs="Times New Roman"/>
          <w:i/>
          <w:sz w:val="20"/>
          <w:szCs w:val="20"/>
        </w:rPr>
        <w:t xml:space="preserve">cy en wetenschapsvrijheid, </w:t>
      </w:r>
      <w:r w:rsidRPr="00883FAD">
        <w:rPr>
          <w:rFonts w:ascii="Times New Roman" w:hAnsi="Times New Roman" w:cs="Times New Roman"/>
          <w:sz w:val="20"/>
          <w:szCs w:val="20"/>
        </w:rPr>
        <w:t>p. 254.</w:t>
      </w:r>
    </w:p>
  </w:footnote>
  <w:footnote w:id="1179">
    <w:p w:rsidR="00E82D16" w:rsidRPr="006675ED" w:rsidRDefault="00E82D16" w:rsidP="000F560E">
      <w:pPr>
        <w:pStyle w:val="Voetnoottekst"/>
      </w:pPr>
      <w:r>
        <w:rPr>
          <w:rStyle w:val="Voetnootmarkering"/>
        </w:rPr>
        <w:footnoteRef/>
      </w:r>
      <w:r w:rsidRPr="006675ED">
        <w:t xml:space="preserve"> </w:t>
      </w:r>
      <w:r w:rsidRPr="006675ED">
        <w:rPr>
          <w:rFonts w:ascii="Times New Roman" w:hAnsi="Times New Roman"/>
        </w:rPr>
        <w:t>Art. 1, 6° PrivacyKB.</w:t>
      </w:r>
    </w:p>
  </w:footnote>
  <w:footnote w:id="1180">
    <w:p w:rsidR="00E82D16" w:rsidRPr="00752003" w:rsidRDefault="00E82D16" w:rsidP="000F560E">
      <w:pPr>
        <w:pStyle w:val="Voetnoottekst"/>
        <w:jc w:val="both"/>
        <w:rPr>
          <w:rFonts w:ascii="Times New Roman" w:hAnsi="Times New Roman"/>
        </w:rPr>
      </w:pPr>
      <w:r w:rsidRPr="00B10078">
        <w:rPr>
          <w:rStyle w:val="Voetnootmarkering"/>
          <w:rFonts w:ascii="Times New Roman" w:hAnsi="Times New Roman"/>
        </w:rPr>
        <w:footnoteRef/>
      </w:r>
      <w:r w:rsidRPr="00752003">
        <w:rPr>
          <w:rFonts w:ascii="Times New Roman" w:hAnsi="Times New Roman"/>
        </w:rPr>
        <w:t xml:space="preserve"> Art. 11 PrivacyKB; VELLE; VANDERMAESEN; p. </w:t>
      </w:r>
      <w:r>
        <w:rPr>
          <w:rFonts w:ascii="Times New Roman" w:hAnsi="Times New Roman"/>
        </w:rPr>
        <w:t>147.</w:t>
      </w:r>
    </w:p>
  </w:footnote>
  <w:footnote w:id="1181">
    <w:p w:rsidR="00E82D16" w:rsidRPr="00A02BB5" w:rsidRDefault="00E82D16" w:rsidP="000F560E">
      <w:pPr>
        <w:pStyle w:val="Voetnoottekst"/>
        <w:jc w:val="both"/>
        <w:rPr>
          <w:rFonts w:ascii="Times New Roman" w:hAnsi="Times New Roman"/>
        </w:rPr>
      </w:pPr>
      <w:r w:rsidRPr="00883FAD">
        <w:rPr>
          <w:rStyle w:val="Voetnootmarkering"/>
          <w:rFonts w:ascii="Times New Roman" w:hAnsi="Times New Roman"/>
        </w:rPr>
        <w:footnoteRef/>
      </w:r>
      <w:r w:rsidRPr="00CA60C4">
        <w:rPr>
          <w:rFonts w:ascii="Times New Roman" w:hAnsi="Times New Roman"/>
        </w:rPr>
        <w:t xml:space="preserve"> BORKING, J.J.F.M., </w:t>
      </w:r>
      <w:r w:rsidRPr="00CA60C4">
        <w:rPr>
          <w:rFonts w:ascii="Times New Roman" w:hAnsi="Times New Roman"/>
          <w:i/>
        </w:rPr>
        <w:t xml:space="preserve">Privacyrecht is code. </w:t>
      </w:r>
      <w:r w:rsidRPr="00264C7D">
        <w:rPr>
          <w:rFonts w:ascii="Times New Roman" w:hAnsi="Times New Roman"/>
          <w:i/>
        </w:rPr>
        <w:t>Over het</w:t>
      </w:r>
      <w:r>
        <w:rPr>
          <w:rFonts w:ascii="Times New Roman" w:hAnsi="Times New Roman"/>
          <w:i/>
        </w:rPr>
        <w:t xml:space="preserve"> gebruik van privacy enhancing technologies</w:t>
      </w:r>
      <w:r>
        <w:rPr>
          <w:rFonts w:ascii="Times New Roman" w:hAnsi="Times New Roman"/>
        </w:rPr>
        <w:t>, onuitgeg. doctoraatsverhandeling, Universiteit Leiden, faculteit Rechtsgeleerdheid, prof. dr. H. Franken, 2010, 474p.</w:t>
      </w:r>
      <w:r w:rsidRPr="00264C7D">
        <w:rPr>
          <w:rFonts w:ascii="Times New Roman" w:hAnsi="Times New Roman"/>
        </w:rPr>
        <w:t xml:space="preserve">; CLAERHOUT, B., ‘Moderne privacybescherming. </w:t>
      </w:r>
      <w:r w:rsidRPr="00CA60C4">
        <w:rPr>
          <w:rFonts w:ascii="Times New Roman" w:hAnsi="Times New Roman"/>
        </w:rPr>
        <w:t xml:space="preserve">Het nut van privacy enhancing techniques’, </w:t>
      </w:r>
      <w:r w:rsidRPr="00CA60C4">
        <w:rPr>
          <w:rFonts w:ascii="Times New Roman" w:hAnsi="Times New Roman"/>
          <w:i/>
        </w:rPr>
        <w:t>Hospitals</w:t>
      </w:r>
      <w:r w:rsidRPr="00CA60C4">
        <w:rPr>
          <w:rFonts w:ascii="Times New Roman" w:hAnsi="Times New Roman"/>
        </w:rPr>
        <w:t xml:space="preserve">, 1/3 (2005), p. 16; DE MOOR, G.; CLAERHOUT, B., ‘Privacy Enhancing Techniques in E-Health: An Overview’, DEMERIS, G. (red.), </w:t>
      </w:r>
      <w:r w:rsidRPr="00CA60C4">
        <w:rPr>
          <w:rFonts w:ascii="Times New Roman" w:hAnsi="Times New Roman"/>
          <w:i/>
        </w:rPr>
        <w:t>E-Health: current status en future trends</w:t>
      </w:r>
      <w:r w:rsidRPr="00CA60C4">
        <w:rPr>
          <w:rFonts w:ascii="Times New Roman" w:hAnsi="Times New Roman"/>
        </w:rPr>
        <w:t xml:space="preserve">, Amsterdam, IOS PRESS, 2004, p. 75; KOORN, R.; VAN GILS, H.; TER HATR, J.; OVERBEEK, P.; TELLEGEN, R.; </w:t>
      </w:r>
      <w:r w:rsidRPr="00CA60C4">
        <w:rPr>
          <w:rFonts w:ascii="Times New Roman" w:hAnsi="Times New Roman"/>
          <w:i/>
        </w:rPr>
        <w:t xml:space="preserve">Privacy Enhancing Technologies. </w:t>
      </w:r>
      <w:r w:rsidRPr="00883FAD">
        <w:rPr>
          <w:rFonts w:ascii="Times New Roman" w:hAnsi="Times New Roman"/>
          <w:i/>
        </w:rPr>
        <w:t>Wit</w:t>
      </w:r>
      <w:r>
        <w:rPr>
          <w:rFonts w:ascii="Times New Roman" w:hAnsi="Times New Roman"/>
          <w:i/>
        </w:rPr>
        <w:t>-</w:t>
      </w:r>
      <w:r w:rsidRPr="00883FAD">
        <w:rPr>
          <w:rFonts w:ascii="Times New Roman" w:hAnsi="Times New Roman"/>
          <w:i/>
        </w:rPr>
        <w:t>boek voor beslissers</w:t>
      </w:r>
      <w:r w:rsidRPr="00883FAD">
        <w:rPr>
          <w:rFonts w:ascii="Times New Roman" w:hAnsi="Times New Roman"/>
        </w:rPr>
        <w:t xml:space="preserve">, s.l., Ministerie van Binnenlandse Zaken en Koninkrijksrelaties, 2004, 92p.; PLOEM, </w:t>
      </w:r>
      <w:r w:rsidRPr="00883FAD">
        <w:rPr>
          <w:rFonts w:ascii="Times New Roman" w:hAnsi="Times New Roman"/>
          <w:i/>
        </w:rPr>
        <w:t>Tus</w:t>
      </w:r>
      <w:r>
        <w:rPr>
          <w:rFonts w:ascii="Times New Roman" w:hAnsi="Times New Roman"/>
          <w:i/>
        </w:rPr>
        <w:t>-</w:t>
      </w:r>
      <w:r w:rsidRPr="00883FAD">
        <w:rPr>
          <w:rFonts w:ascii="Times New Roman" w:hAnsi="Times New Roman"/>
          <w:i/>
        </w:rPr>
        <w:t>sen privacy en wetenschapsvrijheid</w:t>
      </w:r>
      <w:r w:rsidRPr="00883FAD">
        <w:rPr>
          <w:rFonts w:ascii="Times New Roman" w:hAnsi="Times New Roman"/>
        </w:rPr>
        <w:t>, p. 243-245</w:t>
      </w:r>
      <w:r>
        <w:rPr>
          <w:rFonts w:ascii="Times New Roman" w:hAnsi="Times New Roman"/>
        </w:rPr>
        <w:t>; SCHREUDERS, E.</w:t>
      </w:r>
      <w:r w:rsidRPr="00C359AA">
        <w:rPr>
          <w:rFonts w:ascii="Times New Roman" w:hAnsi="Times New Roman"/>
        </w:rPr>
        <w:t xml:space="preserve">, </w:t>
      </w:r>
      <w:r w:rsidRPr="00C359AA">
        <w:rPr>
          <w:rFonts w:ascii="Times New Roman" w:hAnsi="Times New Roman"/>
          <w:i/>
        </w:rPr>
        <w:t>Data mining, de toetsing van beslisregels &amp; privacy</w:t>
      </w:r>
      <w:r w:rsidRPr="00C359AA">
        <w:rPr>
          <w:rFonts w:ascii="Times New Roman" w:hAnsi="Times New Roman"/>
        </w:rPr>
        <w:t>, ITeR, 48, Tilburg, 2001, p. 31-60</w:t>
      </w:r>
      <w:r w:rsidRPr="00883FAD">
        <w:rPr>
          <w:rFonts w:ascii="Times New Roman" w:hAnsi="Times New Roman"/>
        </w:rPr>
        <w:t xml:space="preserve">. </w:t>
      </w:r>
      <w:r w:rsidRPr="00A02BB5">
        <w:rPr>
          <w:rFonts w:ascii="Times New Roman" w:hAnsi="Times New Roman"/>
        </w:rPr>
        <w:t>Zie ook: Mededeling van de Commissie aan het Europees Parle</w:t>
      </w:r>
      <w:r>
        <w:rPr>
          <w:rFonts w:ascii="Times New Roman" w:hAnsi="Times New Roman"/>
        </w:rPr>
        <w:t>-</w:t>
      </w:r>
      <w:r w:rsidRPr="00A02BB5">
        <w:rPr>
          <w:rFonts w:ascii="Times New Roman" w:hAnsi="Times New Roman"/>
        </w:rPr>
        <w:t xml:space="preserve">ment en de Raad inzake de verbetering van de gegevensbescherming door technologieën ter bevordering van de persoonlijke levenssfeer, COM(2007)228 def. </w:t>
      </w:r>
    </w:p>
  </w:footnote>
  <w:footnote w:id="1182">
    <w:p w:rsidR="00E82D16" w:rsidRPr="00E40390" w:rsidRDefault="00E82D16" w:rsidP="000F560E">
      <w:pPr>
        <w:pStyle w:val="Voetnoottekst"/>
        <w:jc w:val="both"/>
        <w:rPr>
          <w:rFonts w:ascii="Times New Roman" w:hAnsi="Times New Roman"/>
          <w:lang w:val="en-US"/>
        </w:rPr>
      </w:pPr>
      <w:r w:rsidRPr="006B007F">
        <w:rPr>
          <w:rStyle w:val="Voetnootmarkering"/>
          <w:rFonts w:ascii="Times New Roman" w:hAnsi="Times New Roman"/>
        </w:rPr>
        <w:footnoteRef/>
      </w:r>
      <w:r w:rsidRPr="006B007F">
        <w:rPr>
          <w:rFonts w:ascii="Times New Roman" w:hAnsi="Times New Roman"/>
        </w:rPr>
        <w:t xml:space="preserve"> DEBEUCKELAERE, </w:t>
      </w:r>
      <w:r w:rsidRPr="006B007F">
        <w:rPr>
          <w:rFonts w:ascii="Times New Roman" w:hAnsi="Times New Roman"/>
          <w:i/>
        </w:rPr>
        <w:t>Privacy: een vademecum voor de onderzoeker</w:t>
      </w:r>
      <w:r w:rsidRPr="006B007F">
        <w:rPr>
          <w:rFonts w:ascii="Times New Roman" w:hAnsi="Times New Roman"/>
        </w:rPr>
        <w:t xml:space="preserve">, p. 7. </w:t>
      </w:r>
      <w:r w:rsidRPr="00E40390">
        <w:rPr>
          <w:rFonts w:ascii="Times New Roman" w:hAnsi="Times New Roman"/>
          <w:i/>
          <w:lang w:val="en-US"/>
        </w:rPr>
        <w:t>Contra</w:t>
      </w:r>
      <w:r w:rsidRPr="00E40390">
        <w:rPr>
          <w:rFonts w:ascii="Times New Roman" w:hAnsi="Times New Roman"/>
          <w:lang w:val="en-US"/>
        </w:rPr>
        <w:t>: art. 14 tot art. 16 Privacy-KB.</w:t>
      </w:r>
    </w:p>
  </w:footnote>
  <w:footnote w:id="1183">
    <w:p w:rsidR="00E82D16" w:rsidRPr="00E40390" w:rsidRDefault="00E82D16" w:rsidP="000F560E">
      <w:pPr>
        <w:pStyle w:val="Voetnoottekst"/>
        <w:jc w:val="both"/>
        <w:rPr>
          <w:rFonts w:ascii="Times New Roman" w:hAnsi="Times New Roman"/>
          <w:lang w:val="en-US"/>
        </w:rPr>
      </w:pPr>
      <w:r w:rsidRPr="006B007F">
        <w:rPr>
          <w:rStyle w:val="Voetnootmarkering"/>
          <w:rFonts w:ascii="Times New Roman" w:hAnsi="Times New Roman"/>
        </w:rPr>
        <w:footnoteRef/>
      </w:r>
      <w:r w:rsidRPr="00E40390">
        <w:rPr>
          <w:rFonts w:ascii="Times New Roman" w:hAnsi="Times New Roman"/>
          <w:lang w:val="en-US"/>
        </w:rPr>
        <w:t xml:space="preserve"> Art. 15, tweede lid PrivacyKB.</w:t>
      </w:r>
    </w:p>
  </w:footnote>
  <w:footnote w:id="1184">
    <w:p w:rsidR="00E82D16" w:rsidRPr="006B007F" w:rsidRDefault="00E82D16" w:rsidP="000F560E">
      <w:pPr>
        <w:pStyle w:val="Voetnoottekst"/>
        <w:jc w:val="both"/>
        <w:rPr>
          <w:rFonts w:ascii="Times New Roman" w:hAnsi="Times New Roman"/>
        </w:rPr>
      </w:pPr>
      <w:r w:rsidRPr="006B007F">
        <w:rPr>
          <w:rStyle w:val="Voetnootmarkering"/>
          <w:rFonts w:ascii="Times New Roman" w:hAnsi="Times New Roman"/>
        </w:rPr>
        <w:footnoteRef/>
      </w:r>
      <w:r w:rsidRPr="006B007F">
        <w:rPr>
          <w:rFonts w:ascii="Times New Roman" w:hAnsi="Times New Roman"/>
        </w:rPr>
        <w:t xml:space="preserve"> DEBEUCKELAERE, </w:t>
      </w:r>
      <w:r w:rsidRPr="006B007F">
        <w:rPr>
          <w:rFonts w:ascii="Times New Roman" w:hAnsi="Times New Roman"/>
          <w:i/>
        </w:rPr>
        <w:t>Privacy: een vademecum voor de onderzoeker</w:t>
      </w:r>
      <w:r w:rsidRPr="006B007F">
        <w:rPr>
          <w:rFonts w:ascii="Times New Roman" w:hAnsi="Times New Roman"/>
        </w:rPr>
        <w:t>, p. 12.</w:t>
      </w:r>
    </w:p>
  </w:footnote>
  <w:footnote w:id="1185">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Art. 5 PrivacyKB; </w:t>
      </w:r>
      <w:r>
        <w:rPr>
          <w:rFonts w:ascii="Times New Roman" w:hAnsi="Times New Roman" w:cs="Times New Roman"/>
          <w:sz w:val="20"/>
          <w:szCs w:val="20"/>
        </w:rPr>
        <w:t xml:space="preserve">art. 8 § 3 van wet nr. 78-17 van 6 januari 1978, ingevoerd door art. 2 van wet nr. 2004-801 van 6 augustus 2004; </w:t>
      </w:r>
      <w:r w:rsidRPr="00E257EB">
        <w:rPr>
          <w:rFonts w:ascii="Times New Roman" w:hAnsi="Times New Roman" w:cs="Times New Roman"/>
          <w:sz w:val="20"/>
          <w:szCs w:val="20"/>
        </w:rPr>
        <w:t>CALLENS; GOOSSENS; CIERKENS; p. 336-337 (nrs. 860-862)</w:t>
      </w:r>
      <w:r>
        <w:rPr>
          <w:rFonts w:ascii="Times New Roman" w:hAnsi="Times New Roman" w:cs="Times New Roman"/>
          <w:sz w:val="20"/>
          <w:szCs w:val="20"/>
        </w:rPr>
        <w:t xml:space="preserve">; STRUIJS, J.N.; BAAN, C.A.; HUTTEN, J.B.F.; WESTERT, G.P.; ‘De mogelijkheden van geanonimiseerde huisarts- en zieken-huisgegevens: een vooronderzoek’, </w:t>
      </w:r>
      <w:r>
        <w:rPr>
          <w:rFonts w:ascii="Times New Roman" w:hAnsi="Times New Roman" w:cs="Times New Roman"/>
          <w:i/>
          <w:sz w:val="20"/>
          <w:szCs w:val="20"/>
        </w:rPr>
        <w:t>T.S.G.</w:t>
      </w:r>
      <w:r>
        <w:rPr>
          <w:rFonts w:ascii="Times New Roman" w:hAnsi="Times New Roman" w:cs="Times New Roman"/>
          <w:sz w:val="20"/>
          <w:szCs w:val="20"/>
        </w:rPr>
        <w:t xml:space="preserve">, 81/5 (2003), p. 281-289; VAN ES, J.C., ‘Integratie medische gege-vens: waterdicht systeem van geanonimiseerde gegevens. Een eerste voorwaarde’, </w:t>
      </w:r>
      <w:r>
        <w:rPr>
          <w:rFonts w:ascii="Times New Roman" w:hAnsi="Times New Roman" w:cs="Times New Roman"/>
          <w:i/>
          <w:sz w:val="20"/>
          <w:szCs w:val="20"/>
        </w:rPr>
        <w:t>M.C.</w:t>
      </w:r>
      <w:r>
        <w:rPr>
          <w:rFonts w:ascii="Times New Roman" w:hAnsi="Times New Roman" w:cs="Times New Roman"/>
          <w:sz w:val="20"/>
          <w:szCs w:val="20"/>
        </w:rPr>
        <w:t>, 41/19 (1986), p. 591</w:t>
      </w:r>
      <w:r w:rsidRPr="00E257EB">
        <w:rPr>
          <w:rFonts w:ascii="Times New Roman" w:hAnsi="Times New Roman" w:cs="Times New Roman"/>
          <w:sz w:val="20"/>
          <w:szCs w:val="20"/>
        </w:rPr>
        <w:t>.</w:t>
      </w:r>
    </w:p>
  </w:footnote>
  <w:footnote w:id="1186">
    <w:p w:rsidR="00E82D16" w:rsidRPr="00CA60C4"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CA60C4">
        <w:rPr>
          <w:rFonts w:ascii="Times New Roman" w:hAnsi="Times New Roman" w:cs="Times New Roman"/>
          <w:sz w:val="20"/>
          <w:szCs w:val="20"/>
        </w:rPr>
        <w:t xml:space="preserve"> Art. 7 §2, a Privacywet.</w:t>
      </w:r>
    </w:p>
  </w:footnote>
  <w:footnote w:id="1187">
    <w:p w:rsidR="00E82D16" w:rsidRPr="00CA60C4"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CA60C4">
        <w:rPr>
          <w:rFonts w:ascii="Times New Roman" w:hAnsi="Times New Roman" w:cs="Times New Roman"/>
          <w:sz w:val="20"/>
          <w:szCs w:val="20"/>
        </w:rPr>
        <w:t xml:space="preserve"> Art. 19 PrivacyKB.</w:t>
      </w:r>
    </w:p>
  </w:footnote>
  <w:footnote w:id="1188">
    <w:p w:rsidR="00E82D16" w:rsidRPr="00E257EB" w:rsidRDefault="00E82D16" w:rsidP="000F560E">
      <w:pPr>
        <w:pStyle w:val="Voetnoottekst"/>
        <w:jc w:val="both"/>
        <w:rPr>
          <w:rFonts w:ascii="Times New Roman" w:hAnsi="Times New Roman"/>
        </w:rPr>
      </w:pPr>
      <w:r w:rsidRPr="00E257EB">
        <w:rPr>
          <w:rStyle w:val="Voetnootmarkering"/>
          <w:rFonts w:ascii="Times New Roman" w:hAnsi="Times New Roman"/>
        </w:rPr>
        <w:footnoteRef/>
      </w:r>
      <w:r w:rsidRPr="00E257EB">
        <w:rPr>
          <w:rFonts w:ascii="Times New Roman" w:hAnsi="Times New Roman"/>
        </w:rPr>
        <w:t xml:space="preserve"> </w:t>
      </w:r>
      <w:r w:rsidRPr="00E257EB">
        <w:rPr>
          <w:rFonts w:ascii="Times New Roman" w:hAnsi="Times New Roman"/>
          <w:i/>
          <w:iCs/>
        </w:rPr>
        <w:t>Parl.St.</w:t>
      </w:r>
      <w:r w:rsidRPr="00E257EB">
        <w:rPr>
          <w:rFonts w:ascii="Times New Roman" w:hAnsi="Times New Roman"/>
        </w:rPr>
        <w:t xml:space="preserve"> Kamer, 1997-1998, nr. 1566/1, p. 41.</w:t>
      </w:r>
    </w:p>
  </w:footnote>
  <w:footnote w:id="1189">
    <w:p w:rsidR="00E82D16" w:rsidRPr="00CA60C4" w:rsidRDefault="00E82D16" w:rsidP="000F560E">
      <w:pPr>
        <w:pStyle w:val="Geenafstand"/>
        <w:jc w:val="both"/>
        <w:rPr>
          <w:rFonts w:ascii="Times New Roman" w:hAnsi="Times New Roman" w:cs="Times New Roman"/>
          <w:sz w:val="20"/>
          <w:szCs w:val="20"/>
          <w:lang w:val="en-US"/>
        </w:rPr>
      </w:pPr>
      <w:r w:rsidRPr="00E257EB">
        <w:rPr>
          <w:rStyle w:val="Voetnootmarkering"/>
          <w:rFonts w:ascii="Times New Roman" w:hAnsi="Times New Roman" w:cs="Times New Roman"/>
          <w:sz w:val="20"/>
          <w:szCs w:val="20"/>
        </w:rPr>
        <w:footnoteRef/>
      </w:r>
      <w:r w:rsidRPr="00CA60C4">
        <w:rPr>
          <w:rFonts w:ascii="Times New Roman" w:hAnsi="Times New Roman" w:cs="Times New Roman"/>
          <w:sz w:val="20"/>
          <w:szCs w:val="20"/>
          <w:lang w:val="en-US"/>
        </w:rPr>
        <w:t xml:space="preserve"> Art. 20 en art. 21 PrivacyKB.</w:t>
      </w:r>
    </w:p>
  </w:footnote>
  <w:footnote w:id="1190">
    <w:p w:rsidR="00E82D16" w:rsidRPr="00E257EB" w:rsidRDefault="00E82D16" w:rsidP="000F560E">
      <w:pPr>
        <w:pStyle w:val="Geenafstand"/>
        <w:jc w:val="both"/>
        <w:rPr>
          <w:rFonts w:ascii="Times New Roman" w:hAnsi="Times New Roman" w:cs="Times New Roman"/>
          <w:sz w:val="20"/>
          <w:szCs w:val="20"/>
          <w:lang w:val="en-US"/>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lang w:val="en-US"/>
        </w:rPr>
        <w:t xml:space="preserve"> COLE, A., </w:t>
      </w:r>
      <w:r w:rsidRPr="00E257EB">
        <w:rPr>
          <w:rFonts w:ascii="Times New Roman" w:hAnsi="Times New Roman" w:cs="Times New Roman"/>
          <w:i/>
          <w:sz w:val="20"/>
          <w:szCs w:val="20"/>
          <w:lang w:val="en-US"/>
        </w:rPr>
        <w:t>François Mitterrand: A Study in Political Leadership</w:t>
      </w:r>
      <w:r w:rsidRPr="00E257EB">
        <w:rPr>
          <w:rFonts w:ascii="Times New Roman" w:hAnsi="Times New Roman" w:cs="Times New Roman"/>
          <w:sz w:val="20"/>
          <w:szCs w:val="20"/>
          <w:lang w:val="en-US"/>
        </w:rPr>
        <w:t>, Londen, Routledge, 1994, p. 112 en p. 197 (noot 34).</w:t>
      </w:r>
    </w:p>
  </w:footnote>
  <w:footnote w:id="1191">
    <w:p w:rsidR="00E82D16" w:rsidRPr="00E333B6" w:rsidRDefault="00E82D16" w:rsidP="000F560E">
      <w:pPr>
        <w:pStyle w:val="Geenafstand"/>
        <w:jc w:val="both"/>
        <w:rPr>
          <w:rFonts w:ascii="Times New Roman" w:hAnsi="Times New Roman" w:cs="Times New Roman"/>
          <w:sz w:val="20"/>
          <w:szCs w:val="20"/>
          <w:lang w:val="fr-BE"/>
        </w:rPr>
      </w:pPr>
      <w:r w:rsidRPr="00E257E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GUBLER, C.; GONOD, M.; </w:t>
      </w:r>
      <w:r w:rsidRPr="00E333B6">
        <w:rPr>
          <w:rFonts w:ascii="Times New Roman" w:hAnsi="Times New Roman" w:cs="Times New Roman"/>
          <w:i/>
          <w:sz w:val="20"/>
          <w:szCs w:val="20"/>
          <w:lang w:val="fr-BE"/>
        </w:rPr>
        <w:t>Le Grand Secret</w:t>
      </w:r>
      <w:r w:rsidRPr="00E333B6">
        <w:rPr>
          <w:rFonts w:ascii="Times New Roman" w:hAnsi="Times New Roman" w:cs="Times New Roman"/>
          <w:sz w:val="20"/>
          <w:szCs w:val="20"/>
          <w:lang w:val="fr-BE"/>
        </w:rPr>
        <w:t xml:space="preserve">, Parijs, Plon, 1995, 198p.; GONOD, M., </w:t>
      </w:r>
      <w:r w:rsidRPr="00E333B6">
        <w:rPr>
          <w:rFonts w:ascii="Times New Roman" w:hAnsi="Times New Roman" w:cs="Times New Roman"/>
          <w:i/>
          <w:sz w:val="20"/>
          <w:szCs w:val="20"/>
          <w:lang w:val="fr-BE"/>
        </w:rPr>
        <w:t>Le Secret Du Docteur Gubler</w:t>
      </w:r>
      <w:r w:rsidRPr="00E333B6">
        <w:rPr>
          <w:rFonts w:ascii="Times New Roman" w:hAnsi="Times New Roman" w:cs="Times New Roman"/>
          <w:sz w:val="20"/>
          <w:szCs w:val="20"/>
          <w:lang w:val="fr-BE"/>
        </w:rPr>
        <w:t xml:space="preserve">, Parijs-Monaco, Editions du Rocher, 1997, 181p.; HOEBEKE, S., ‘Le grand secret’, </w:t>
      </w:r>
      <w:r w:rsidRPr="00E333B6">
        <w:rPr>
          <w:rFonts w:ascii="Times New Roman" w:hAnsi="Times New Roman" w:cs="Times New Roman"/>
          <w:i/>
          <w:sz w:val="20"/>
          <w:szCs w:val="20"/>
          <w:lang w:val="fr-BE"/>
        </w:rPr>
        <w:t>Le Journal du Juris</w:t>
      </w:r>
      <w:r>
        <w:rPr>
          <w:rFonts w:ascii="Times New Roman" w:hAnsi="Times New Roman" w:cs="Times New Roman"/>
          <w:i/>
          <w:sz w:val="20"/>
          <w:szCs w:val="20"/>
          <w:lang w:val="fr-BE"/>
        </w:rPr>
        <w:t>-</w:t>
      </w:r>
      <w:r w:rsidRPr="00E333B6">
        <w:rPr>
          <w:rFonts w:ascii="Times New Roman" w:hAnsi="Times New Roman" w:cs="Times New Roman"/>
          <w:i/>
          <w:sz w:val="20"/>
          <w:szCs w:val="20"/>
          <w:lang w:val="fr-BE"/>
        </w:rPr>
        <w:t>te</w:t>
      </w:r>
      <w:r w:rsidRPr="00E333B6">
        <w:rPr>
          <w:rFonts w:ascii="Times New Roman" w:hAnsi="Times New Roman" w:cs="Times New Roman"/>
          <w:sz w:val="20"/>
          <w:szCs w:val="20"/>
          <w:lang w:val="fr-BE"/>
        </w:rPr>
        <w:t>, 33 (2004), p. 4.</w:t>
      </w:r>
    </w:p>
  </w:footnote>
  <w:footnote w:id="1192">
    <w:p w:rsidR="00E82D16" w:rsidRPr="00E257EB" w:rsidRDefault="00E82D16" w:rsidP="000F560E">
      <w:pPr>
        <w:pStyle w:val="Geenafstand"/>
        <w:jc w:val="both"/>
        <w:rPr>
          <w:rFonts w:ascii="Times New Roman" w:hAnsi="Times New Roman" w:cs="Times New Roman"/>
          <w:sz w:val="20"/>
          <w:szCs w:val="20"/>
          <w:lang w:val="en-US"/>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lang w:val="en-US"/>
        </w:rPr>
        <w:t xml:space="preserve"> POST, J.M., Leaders and their followers in a dangerous world: the psychology of political behavior, Psycho</w:t>
      </w:r>
      <w:r>
        <w:rPr>
          <w:rFonts w:ascii="Times New Roman" w:hAnsi="Times New Roman" w:cs="Times New Roman"/>
          <w:sz w:val="20"/>
          <w:szCs w:val="20"/>
          <w:lang w:val="en-US"/>
        </w:rPr>
        <w:t>-</w:t>
      </w:r>
      <w:r w:rsidRPr="00E257EB">
        <w:rPr>
          <w:rFonts w:ascii="Times New Roman" w:hAnsi="Times New Roman" w:cs="Times New Roman"/>
          <w:sz w:val="20"/>
          <w:szCs w:val="20"/>
          <w:lang w:val="en-US"/>
        </w:rPr>
        <w:t>analysis and Social Theory, New York, Cornell University Press, 2004, p. 59.</w:t>
      </w:r>
    </w:p>
  </w:footnote>
  <w:footnote w:id="1193">
    <w:p w:rsidR="00E82D16" w:rsidRPr="00E333B6" w:rsidRDefault="00E82D16" w:rsidP="000F560E">
      <w:pPr>
        <w:pStyle w:val="Voetnoottekst"/>
        <w:jc w:val="both"/>
        <w:rPr>
          <w:lang w:val="fr-BE"/>
        </w:rPr>
      </w:pPr>
      <w:r>
        <w:rPr>
          <w:rStyle w:val="Voetnootmarkering"/>
        </w:rPr>
        <w:footnoteRef/>
      </w:r>
      <w:r w:rsidRPr="00E333B6">
        <w:rPr>
          <w:lang w:val="fr-BE"/>
        </w:rPr>
        <w:t xml:space="preserve"> </w:t>
      </w:r>
      <w:r w:rsidRPr="00E333B6">
        <w:rPr>
          <w:rFonts w:ascii="Times New Roman" w:hAnsi="Times New Roman"/>
          <w:lang w:val="fr-BE"/>
        </w:rPr>
        <w:t xml:space="preserve">MANAOUIL, C., ‘La santé du chef de l’Etat, le secret médical et l’information dans une démocratie’, </w:t>
      </w:r>
      <w:r w:rsidRPr="00E333B6">
        <w:rPr>
          <w:rFonts w:ascii="Times New Roman" w:hAnsi="Times New Roman"/>
          <w:i/>
          <w:lang w:val="fr-BE"/>
        </w:rPr>
        <w:t>Droit déontologie soin</w:t>
      </w:r>
      <w:r w:rsidRPr="00E333B6">
        <w:rPr>
          <w:rFonts w:ascii="Times New Roman" w:hAnsi="Times New Roman"/>
          <w:lang w:val="fr-BE"/>
        </w:rPr>
        <w:t xml:space="preserve">, 7/2 (2007), p. 148-168; TIERSKY, R., </w:t>
      </w:r>
      <w:r w:rsidRPr="00E333B6">
        <w:rPr>
          <w:rFonts w:ascii="Times New Roman" w:hAnsi="Times New Roman"/>
          <w:i/>
          <w:lang w:val="fr-BE"/>
        </w:rPr>
        <w:t>François Mitterrand: A Very French President</w:t>
      </w:r>
      <w:r w:rsidRPr="00E333B6">
        <w:rPr>
          <w:rFonts w:ascii="Times New Roman" w:hAnsi="Times New Roman"/>
          <w:lang w:val="fr-BE"/>
        </w:rPr>
        <w:t>, Lan</w:t>
      </w:r>
      <w:r>
        <w:rPr>
          <w:rFonts w:ascii="Times New Roman" w:hAnsi="Times New Roman"/>
          <w:lang w:val="fr-BE"/>
        </w:rPr>
        <w:t>-</w:t>
      </w:r>
      <w:r w:rsidRPr="00E333B6">
        <w:rPr>
          <w:rFonts w:ascii="Times New Roman" w:hAnsi="Times New Roman"/>
          <w:lang w:val="fr-BE"/>
        </w:rPr>
        <w:t>ham, Rowman and Littlefield, 2000, p. 336.</w:t>
      </w:r>
    </w:p>
  </w:footnote>
  <w:footnote w:id="1194">
    <w:p w:rsidR="00E82D16" w:rsidRPr="00523E31" w:rsidRDefault="00E82D16" w:rsidP="000F560E">
      <w:pPr>
        <w:pStyle w:val="Geenafstand"/>
        <w:jc w:val="both"/>
        <w:rPr>
          <w:rFonts w:ascii="Times New Roman" w:hAnsi="Times New Roman" w:cs="Times New Roman"/>
          <w:sz w:val="20"/>
          <w:szCs w:val="20"/>
        </w:rPr>
      </w:pPr>
      <w:r w:rsidRPr="00523E31">
        <w:rPr>
          <w:rStyle w:val="Voetnootmarkering"/>
        </w:rPr>
        <w:footnoteRef/>
      </w:r>
      <w:r w:rsidRPr="00523E31">
        <w:t xml:space="preserve"> </w:t>
      </w:r>
      <w:r w:rsidRPr="00523E31">
        <w:rPr>
          <w:rFonts w:ascii="Times New Roman" w:hAnsi="Times New Roman" w:cs="Times New Roman"/>
          <w:sz w:val="20"/>
          <w:szCs w:val="20"/>
        </w:rPr>
        <w:t xml:space="preserve">VOORHOOF, D., ‘Franse rechter mocht boek over Mitterrand niet blijven verbieden’, </w:t>
      </w:r>
      <w:r w:rsidRPr="00523E31">
        <w:rPr>
          <w:rFonts w:ascii="Times New Roman" w:hAnsi="Times New Roman" w:cs="Times New Roman"/>
          <w:i/>
          <w:sz w:val="20"/>
          <w:szCs w:val="20"/>
        </w:rPr>
        <w:t>Juristenkrant</w:t>
      </w:r>
      <w:r w:rsidRPr="00523E31">
        <w:rPr>
          <w:rFonts w:ascii="Times New Roman" w:hAnsi="Times New Roman" w:cs="Times New Roman"/>
          <w:sz w:val="20"/>
          <w:szCs w:val="20"/>
        </w:rPr>
        <w:t>, 92 (2004), p. 12.</w:t>
      </w:r>
    </w:p>
  </w:footnote>
  <w:footnote w:id="1195">
    <w:p w:rsidR="00E82D16" w:rsidRPr="00523E31" w:rsidRDefault="00E82D16" w:rsidP="000F560E">
      <w:pPr>
        <w:pStyle w:val="Geenafstand"/>
        <w:jc w:val="both"/>
        <w:rPr>
          <w:rFonts w:ascii="Times New Roman" w:hAnsi="Times New Roman" w:cs="Times New Roman"/>
          <w:sz w:val="20"/>
          <w:szCs w:val="20"/>
          <w:lang w:val="en-US"/>
        </w:rPr>
      </w:pPr>
      <w:r w:rsidRPr="00523E31">
        <w:rPr>
          <w:rStyle w:val="Voetnootmarkering"/>
          <w:rFonts w:ascii="Times New Roman" w:hAnsi="Times New Roman" w:cs="Times New Roman"/>
          <w:sz w:val="20"/>
          <w:szCs w:val="20"/>
        </w:rPr>
        <w:footnoteRef/>
      </w:r>
      <w:r w:rsidRPr="00523E31">
        <w:rPr>
          <w:rFonts w:ascii="Times New Roman" w:hAnsi="Times New Roman" w:cs="Times New Roman"/>
          <w:sz w:val="20"/>
          <w:szCs w:val="20"/>
          <w:lang w:val="en-US"/>
        </w:rPr>
        <w:t xml:space="preserve"> BAUDRILLARD, J.; TURNER, C. (vert.); </w:t>
      </w:r>
      <w:r w:rsidRPr="00523E31">
        <w:rPr>
          <w:rFonts w:ascii="Times New Roman" w:hAnsi="Times New Roman" w:cs="Times New Roman"/>
          <w:i/>
          <w:sz w:val="20"/>
          <w:szCs w:val="20"/>
          <w:lang w:val="en-US"/>
        </w:rPr>
        <w:t>Screened out</w:t>
      </w:r>
      <w:r w:rsidRPr="00523E31">
        <w:rPr>
          <w:rFonts w:ascii="Times New Roman" w:hAnsi="Times New Roman" w:cs="Times New Roman"/>
          <w:sz w:val="20"/>
          <w:szCs w:val="20"/>
          <w:lang w:val="en-US"/>
        </w:rPr>
        <w:t>, p. 138.</w:t>
      </w:r>
    </w:p>
  </w:footnote>
  <w:footnote w:id="1196">
    <w:p w:rsidR="00E82D16" w:rsidRPr="00523E31" w:rsidRDefault="00E82D16" w:rsidP="000F560E">
      <w:pPr>
        <w:pStyle w:val="Geenafstand"/>
        <w:jc w:val="both"/>
        <w:rPr>
          <w:rFonts w:ascii="Times New Roman" w:hAnsi="Times New Roman" w:cs="Times New Roman"/>
          <w:sz w:val="20"/>
          <w:szCs w:val="20"/>
        </w:rPr>
      </w:pPr>
      <w:r w:rsidRPr="00523E31">
        <w:rPr>
          <w:rStyle w:val="Voetnootmarkering"/>
          <w:rFonts w:ascii="Times New Roman" w:hAnsi="Times New Roman" w:cs="Times New Roman"/>
          <w:sz w:val="20"/>
          <w:szCs w:val="20"/>
        </w:rPr>
        <w:footnoteRef/>
      </w:r>
      <w:r w:rsidRPr="00523E31">
        <w:rPr>
          <w:rFonts w:ascii="Times New Roman" w:hAnsi="Times New Roman" w:cs="Times New Roman"/>
          <w:sz w:val="20"/>
          <w:szCs w:val="20"/>
        </w:rPr>
        <w:t xml:space="preserve"> DE BAETS, A., </w:t>
      </w:r>
      <w:r w:rsidRPr="00523E31">
        <w:rPr>
          <w:rFonts w:ascii="Times New Roman" w:hAnsi="Times New Roman" w:cs="Times New Roman"/>
          <w:i/>
          <w:sz w:val="20"/>
          <w:szCs w:val="20"/>
        </w:rPr>
        <w:t>Responsible History</w:t>
      </w:r>
      <w:r w:rsidRPr="00523E31">
        <w:rPr>
          <w:rFonts w:ascii="Times New Roman" w:hAnsi="Times New Roman" w:cs="Times New Roman"/>
          <w:sz w:val="20"/>
          <w:szCs w:val="20"/>
        </w:rPr>
        <w:t>, New York, Berghahn Books, 2009, p. 97; VENEMA, S., ‘Nabestaan</w:t>
      </w:r>
      <w:r>
        <w:rPr>
          <w:rFonts w:ascii="Times New Roman" w:hAnsi="Times New Roman" w:cs="Times New Roman"/>
          <w:sz w:val="20"/>
          <w:szCs w:val="20"/>
        </w:rPr>
        <w:t>-</w:t>
      </w:r>
      <w:r w:rsidRPr="00523E31">
        <w:rPr>
          <w:rFonts w:ascii="Times New Roman" w:hAnsi="Times New Roman" w:cs="Times New Roman"/>
          <w:sz w:val="20"/>
          <w:szCs w:val="20"/>
        </w:rPr>
        <w:t xml:space="preserve">den Mitterrand klagen loslippige lijfarts aan’, </w:t>
      </w:r>
      <w:r w:rsidRPr="00523E31">
        <w:rPr>
          <w:rFonts w:ascii="Times New Roman" w:hAnsi="Times New Roman" w:cs="Times New Roman"/>
          <w:i/>
          <w:sz w:val="20"/>
          <w:szCs w:val="20"/>
        </w:rPr>
        <w:t>Volkskrant</w:t>
      </w:r>
      <w:r w:rsidRPr="00523E31">
        <w:rPr>
          <w:rFonts w:ascii="Times New Roman" w:hAnsi="Times New Roman" w:cs="Times New Roman"/>
          <w:sz w:val="20"/>
          <w:szCs w:val="20"/>
        </w:rPr>
        <w:t xml:space="preserve">, 17 januari 1996; ID., ‘Boek van lijfarts Mitterrand moet uit de handel’, </w:t>
      </w:r>
      <w:r w:rsidRPr="00523E31">
        <w:rPr>
          <w:rFonts w:ascii="Times New Roman" w:hAnsi="Times New Roman" w:cs="Times New Roman"/>
          <w:i/>
          <w:sz w:val="20"/>
          <w:szCs w:val="20"/>
        </w:rPr>
        <w:t>Volkskrant</w:t>
      </w:r>
      <w:r w:rsidRPr="00523E31">
        <w:rPr>
          <w:rFonts w:ascii="Times New Roman" w:hAnsi="Times New Roman" w:cs="Times New Roman"/>
          <w:sz w:val="20"/>
          <w:szCs w:val="20"/>
        </w:rPr>
        <w:t xml:space="preserve">, 19 januari 1996. </w:t>
      </w:r>
    </w:p>
  </w:footnote>
  <w:footnote w:id="1197">
    <w:p w:rsidR="00E82D16" w:rsidRPr="00E333B6" w:rsidRDefault="00E82D16" w:rsidP="000F560E">
      <w:pPr>
        <w:pStyle w:val="Voetnoottekst"/>
        <w:jc w:val="both"/>
        <w:rPr>
          <w:lang w:val="fr-BE"/>
        </w:rPr>
      </w:pPr>
      <w:r w:rsidRPr="00523E31">
        <w:rPr>
          <w:rStyle w:val="Voetnootmarkering"/>
        </w:rPr>
        <w:footnoteRef/>
      </w:r>
      <w:r w:rsidRPr="00E333B6">
        <w:rPr>
          <w:lang w:val="fr-BE"/>
        </w:rPr>
        <w:t xml:space="preserve"> </w:t>
      </w:r>
      <w:r w:rsidRPr="00E333B6">
        <w:rPr>
          <w:rFonts w:ascii="Times New Roman" w:hAnsi="Times New Roman"/>
          <w:lang w:val="fr-BE"/>
        </w:rPr>
        <w:t xml:space="preserve">RATTEZ, M., ‘Le renoncement du patient au secret médical. Une autorisation sans valeur pour le médecin’, </w:t>
      </w:r>
      <w:r w:rsidRPr="00E333B6">
        <w:rPr>
          <w:rFonts w:ascii="Times New Roman" w:hAnsi="Times New Roman"/>
          <w:i/>
          <w:lang w:val="fr-BE"/>
        </w:rPr>
        <w:t>G.H.</w:t>
      </w:r>
      <w:r w:rsidRPr="00E333B6">
        <w:rPr>
          <w:rFonts w:ascii="Times New Roman" w:hAnsi="Times New Roman"/>
          <w:lang w:val="fr-BE"/>
        </w:rPr>
        <w:t>, 438 (2004), p. 571-573.</w:t>
      </w:r>
    </w:p>
  </w:footnote>
  <w:footnote w:id="1198">
    <w:p w:rsidR="00E82D16" w:rsidRPr="00FC1540" w:rsidRDefault="00E82D16" w:rsidP="000F560E">
      <w:pPr>
        <w:pStyle w:val="Geenafstand"/>
        <w:jc w:val="both"/>
        <w:rPr>
          <w:rFonts w:ascii="Times New Roman" w:hAnsi="Times New Roman" w:cs="Times New Roman"/>
          <w:sz w:val="20"/>
          <w:szCs w:val="20"/>
        </w:rPr>
      </w:pPr>
      <w:r w:rsidRPr="00523E31">
        <w:rPr>
          <w:rStyle w:val="Voetnootmarkering"/>
          <w:rFonts w:ascii="Times New Roman" w:hAnsi="Times New Roman" w:cs="Times New Roman"/>
          <w:sz w:val="20"/>
          <w:szCs w:val="20"/>
        </w:rPr>
        <w:footnoteRef/>
      </w:r>
      <w:r w:rsidRPr="00FC1540">
        <w:rPr>
          <w:rFonts w:ascii="Times New Roman" w:hAnsi="Times New Roman" w:cs="Times New Roman"/>
          <w:sz w:val="20"/>
          <w:szCs w:val="20"/>
        </w:rPr>
        <w:t xml:space="preserve"> BAUDRILLARD; TURNER; p. 138.</w:t>
      </w:r>
    </w:p>
  </w:footnote>
  <w:footnote w:id="1199">
    <w:p w:rsidR="00E82D16" w:rsidRPr="00523E31" w:rsidRDefault="00E82D16" w:rsidP="000F560E">
      <w:pPr>
        <w:pStyle w:val="Geenafstand"/>
        <w:jc w:val="both"/>
        <w:rPr>
          <w:rFonts w:ascii="Times New Roman" w:hAnsi="Times New Roman" w:cs="Times New Roman"/>
          <w:sz w:val="20"/>
          <w:szCs w:val="20"/>
        </w:rPr>
      </w:pPr>
      <w:r w:rsidRPr="00523E31">
        <w:rPr>
          <w:rStyle w:val="Voetnootmarkering"/>
          <w:rFonts w:ascii="Times New Roman" w:hAnsi="Times New Roman" w:cs="Times New Roman"/>
          <w:sz w:val="20"/>
          <w:szCs w:val="20"/>
        </w:rPr>
        <w:footnoteRef/>
      </w:r>
      <w:r w:rsidRPr="00523E31">
        <w:rPr>
          <w:rFonts w:ascii="Times New Roman" w:hAnsi="Times New Roman" w:cs="Times New Roman"/>
          <w:sz w:val="20"/>
          <w:szCs w:val="20"/>
        </w:rPr>
        <w:t xml:space="preserve"> </w:t>
      </w:r>
      <w:r>
        <w:rPr>
          <w:rFonts w:ascii="Times New Roman" w:hAnsi="Times New Roman" w:cs="Times New Roman"/>
          <w:sz w:val="20"/>
          <w:szCs w:val="20"/>
        </w:rPr>
        <w:t>ID.</w:t>
      </w:r>
      <w:r w:rsidRPr="00523E31">
        <w:rPr>
          <w:rFonts w:ascii="Times New Roman" w:hAnsi="Times New Roman" w:cs="Times New Roman"/>
          <w:sz w:val="20"/>
          <w:szCs w:val="20"/>
        </w:rPr>
        <w:t>, p. 138-139; VELAERS, J., ‘«De censuur kan nooit worden ingevoerd». Over de motieven van het cen</w:t>
      </w:r>
      <w:r>
        <w:rPr>
          <w:rFonts w:ascii="Times New Roman" w:hAnsi="Times New Roman" w:cs="Times New Roman"/>
          <w:sz w:val="20"/>
          <w:szCs w:val="20"/>
        </w:rPr>
        <w:t>-</w:t>
      </w:r>
      <w:r w:rsidRPr="00523E31">
        <w:rPr>
          <w:rFonts w:ascii="Times New Roman" w:hAnsi="Times New Roman" w:cs="Times New Roman"/>
          <w:sz w:val="20"/>
          <w:szCs w:val="20"/>
        </w:rPr>
        <w:t xml:space="preserve">suurverbod’, CORBET, J. (red.), </w:t>
      </w:r>
      <w:r w:rsidRPr="00523E31">
        <w:rPr>
          <w:rFonts w:ascii="Times New Roman" w:hAnsi="Times New Roman" w:cs="Times New Roman"/>
          <w:i/>
          <w:sz w:val="20"/>
          <w:szCs w:val="20"/>
        </w:rPr>
        <w:t>Censuur: Referaten van het colloquium van 16 mei 2003</w:t>
      </w:r>
      <w:r w:rsidRPr="00523E31">
        <w:rPr>
          <w:rFonts w:ascii="Times New Roman" w:hAnsi="Times New Roman" w:cs="Times New Roman"/>
          <w:sz w:val="20"/>
          <w:szCs w:val="20"/>
        </w:rPr>
        <w:t>, Auteurs &amp; Media, Brussel, De Boeck &amp; Larcier, 2003, p. 47.</w:t>
      </w:r>
    </w:p>
  </w:footnote>
  <w:footnote w:id="1200">
    <w:p w:rsidR="00E82D16" w:rsidRDefault="00E82D16" w:rsidP="000F560E">
      <w:pPr>
        <w:pStyle w:val="Voetnoottekst"/>
        <w:jc w:val="both"/>
      </w:pPr>
      <w:r w:rsidRPr="00523E31">
        <w:rPr>
          <w:rStyle w:val="Voetnootmarkering"/>
        </w:rPr>
        <w:footnoteRef/>
      </w:r>
      <w:r w:rsidRPr="00523E31">
        <w:t xml:space="preserve"> </w:t>
      </w:r>
      <w:r w:rsidRPr="00523E31">
        <w:rPr>
          <w:rFonts w:ascii="Times New Roman" w:hAnsi="Times New Roman"/>
        </w:rPr>
        <w:t>VOORHOOF, D., ‘Franse rechter mocht boek over Mitt</w:t>
      </w:r>
      <w:r>
        <w:rPr>
          <w:rFonts w:ascii="Times New Roman" w:hAnsi="Times New Roman"/>
        </w:rPr>
        <w:t>errand niet blijven verbieden’</w:t>
      </w:r>
      <w:r w:rsidRPr="00523E31">
        <w:rPr>
          <w:rFonts w:ascii="Times New Roman" w:hAnsi="Times New Roman"/>
        </w:rPr>
        <w:t>, p. 12.</w:t>
      </w:r>
    </w:p>
  </w:footnote>
  <w:footnote w:id="1201">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Europees Hof voor de Rechten van de Mens, Gubler vs. Frankrijk, 27 juli 2006, verzoekschrift nr. 69742/01</w:t>
      </w:r>
      <w:r>
        <w:rPr>
          <w:rFonts w:ascii="Times New Roman" w:hAnsi="Times New Roman" w:cs="Times New Roman"/>
          <w:sz w:val="20"/>
          <w:szCs w:val="20"/>
        </w:rPr>
        <w:t>; b</w:t>
      </w:r>
      <w:r w:rsidRPr="00E257EB">
        <w:rPr>
          <w:rFonts w:ascii="Times New Roman" w:hAnsi="Times New Roman" w:cs="Times New Roman"/>
          <w:sz w:val="20"/>
          <w:szCs w:val="20"/>
        </w:rPr>
        <w:t>eslissing nr. 211240 van de Raad van State, 29 december 2000</w:t>
      </w:r>
      <w:r>
        <w:rPr>
          <w:rFonts w:ascii="Times New Roman" w:hAnsi="Times New Roman" w:cs="Times New Roman"/>
          <w:sz w:val="20"/>
          <w:szCs w:val="20"/>
        </w:rPr>
        <w:t>.</w:t>
      </w:r>
      <w:r w:rsidRPr="00A76D3D">
        <w:rPr>
          <w:rFonts w:ascii="Times New Roman" w:hAnsi="Times New Roman" w:cs="Times New Roman"/>
          <w:sz w:val="20"/>
          <w:szCs w:val="20"/>
        </w:rPr>
        <w:t xml:space="preserve"> </w:t>
      </w:r>
    </w:p>
  </w:footnote>
  <w:footnote w:id="1202">
    <w:p w:rsidR="00E82D16" w:rsidRDefault="00E82D16" w:rsidP="000F560E">
      <w:pPr>
        <w:pStyle w:val="Voetnoottekst"/>
        <w:jc w:val="both"/>
      </w:pPr>
      <w:r>
        <w:rPr>
          <w:rStyle w:val="Voetnootmarkering"/>
        </w:rPr>
        <w:footnoteRef/>
      </w:r>
      <w:r>
        <w:t xml:space="preserve"> </w:t>
      </w:r>
      <w:r>
        <w:rPr>
          <w:rFonts w:ascii="Times New Roman" w:hAnsi="Times New Roman"/>
        </w:rPr>
        <w:t>Besluit</w:t>
      </w:r>
      <w:r w:rsidRPr="00E257EB">
        <w:rPr>
          <w:rFonts w:ascii="Times New Roman" w:hAnsi="Times New Roman"/>
        </w:rPr>
        <w:t xml:space="preserve"> van 16 november 1999 betreffende de tucht van de leden van het Legioen van Eer </w:t>
      </w:r>
      <w:r>
        <w:rPr>
          <w:rFonts w:ascii="Times New Roman" w:hAnsi="Times New Roman"/>
        </w:rPr>
        <w:t>(</w:t>
      </w:r>
      <w:r w:rsidRPr="004E6CF7">
        <w:rPr>
          <w:rFonts w:ascii="Times New Roman" w:hAnsi="Times New Roman"/>
          <w:i/>
        </w:rPr>
        <w:t>JORF</w:t>
      </w:r>
      <w:r>
        <w:rPr>
          <w:rFonts w:ascii="Times New Roman" w:hAnsi="Times New Roman"/>
        </w:rPr>
        <w:t xml:space="preserve"> 267, 18 no-vember 1999); besluit</w:t>
      </w:r>
      <w:r w:rsidRPr="00E257EB">
        <w:rPr>
          <w:rFonts w:ascii="Times New Roman" w:hAnsi="Times New Roman"/>
        </w:rPr>
        <w:t xml:space="preserve"> van 16 november 1999 betreffende de tucht van de leden van de Orde van Verdienste</w:t>
      </w:r>
      <w:r>
        <w:rPr>
          <w:rFonts w:ascii="Times New Roman" w:hAnsi="Times New Roman"/>
        </w:rPr>
        <w:t xml:space="preserve"> (</w:t>
      </w:r>
      <w:r w:rsidRPr="00E257EB">
        <w:rPr>
          <w:rFonts w:ascii="Times New Roman" w:hAnsi="Times New Roman"/>
          <w:i/>
        </w:rPr>
        <w:t>JORF</w:t>
      </w:r>
      <w:r w:rsidRPr="00E257EB">
        <w:rPr>
          <w:rFonts w:ascii="Times New Roman" w:hAnsi="Times New Roman"/>
        </w:rPr>
        <w:t xml:space="preserve"> 267, 18 no</w:t>
      </w:r>
      <w:r>
        <w:rPr>
          <w:rFonts w:ascii="Times New Roman" w:hAnsi="Times New Roman"/>
        </w:rPr>
        <w:t>ve</w:t>
      </w:r>
      <w:r w:rsidRPr="00E257EB">
        <w:rPr>
          <w:rFonts w:ascii="Times New Roman" w:hAnsi="Times New Roman"/>
        </w:rPr>
        <w:t>mber 1999</w:t>
      </w:r>
      <w:r>
        <w:rPr>
          <w:rFonts w:ascii="Times New Roman" w:hAnsi="Times New Roman"/>
        </w:rPr>
        <w:t>)</w:t>
      </w:r>
      <w:r w:rsidRPr="00E257EB">
        <w:rPr>
          <w:rFonts w:ascii="Times New Roman" w:hAnsi="Times New Roman"/>
        </w:rPr>
        <w:t>.</w:t>
      </w:r>
    </w:p>
  </w:footnote>
  <w:footnote w:id="1203">
    <w:p w:rsidR="00E82D16" w:rsidRPr="00E333B6" w:rsidRDefault="00E82D16" w:rsidP="000F560E">
      <w:pPr>
        <w:pStyle w:val="Geenafstand"/>
        <w:jc w:val="both"/>
        <w:rPr>
          <w:rFonts w:ascii="Times New Roman" w:hAnsi="Times New Roman" w:cs="Times New Roman"/>
          <w:sz w:val="20"/>
          <w:szCs w:val="20"/>
          <w:lang w:val="fr-BE"/>
        </w:rPr>
      </w:pPr>
      <w:r w:rsidRPr="00E257E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‘Cour eur. D.H. (2</w:t>
      </w:r>
      <w:r w:rsidRPr="00E333B6">
        <w:rPr>
          <w:rFonts w:ascii="Times New Roman" w:hAnsi="Times New Roman" w:cs="Times New Roman"/>
          <w:sz w:val="20"/>
          <w:szCs w:val="20"/>
          <w:vertAlign w:val="superscript"/>
          <w:lang w:val="fr-BE"/>
        </w:rPr>
        <w:t>e</w:t>
      </w:r>
      <w:r w:rsidRPr="00E333B6">
        <w:rPr>
          <w:rFonts w:ascii="Times New Roman" w:hAnsi="Times New Roman" w:cs="Times New Roman"/>
          <w:sz w:val="20"/>
          <w:szCs w:val="20"/>
          <w:lang w:val="fr-BE"/>
        </w:rPr>
        <w:t xml:space="preserve"> sect.) n° 58148/00, 18 mai 2004 (Plon/France)’, </w:t>
      </w:r>
      <w:r w:rsidRPr="00E333B6">
        <w:rPr>
          <w:rFonts w:ascii="Times New Roman" w:hAnsi="Times New Roman" w:cs="Times New Roman"/>
          <w:i/>
          <w:sz w:val="20"/>
          <w:szCs w:val="20"/>
          <w:lang w:val="fr-BE"/>
        </w:rPr>
        <w:t>N.J.W.</w:t>
      </w:r>
      <w:r w:rsidRPr="00E333B6">
        <w:rPr>
          <w:rFonts w:ascii="Times New Roman" w:hAnsi="Times New Roman" w:cs="Times New Roman"/>
          <w:sz w:val="20"/>
          <w:szCs w:val="20"/>
          <w:lang w:val="fr-BE"/>
        </w:rPr>
        <w:t>, 91 (2004), p. 1309-1313; ‘Ver</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bod boek lijfarts Mitterand was fout’, </w:t>
      </w:r>
      <w:r w:rsidRPr="00E333B6">
        <w:rPr>
          <w:rFonts w:ascii="Times New Roman" w:hAnsi="Times New Roman" w:cs="Times New Roman"/>
          <w:i/>
          <w:sz w:val="20"/>
          <w:szCs w:val="20"/>
          <w:lang w:val="fr-BE"/>
        </w:rPr>
        <w:t>De Standaard</w:t>
      </w:r>
      <w:r w:rsidRPr="00E333B6">
        <w:rPr>
          <w:rFonts w:ascii="Times New Roman" w:hAnsi="Times New Roman" w:cs="Times New Roman"/>
          <w:sz w:val="20"/>
          <w:szCs w:val="20"/>
          <w:lang w:val="fr-BE"/>
        </w:rPr>
        <w:t xml:space="preserve">, 26 mei 2004; BREMS, E., ‘Europees Hof voor de Rechten van de Mens [Arresten mei-december 2004]’, </w:t>
      </w:r>
      <w:r w:rsidRPr="00E333B6">
        <w:rPr>
          <w:rFonts w:ascii="Times New Roman" w:hAnsi="Times New Roman" w:cs="Times New Roman"/>
          <w:i/>
          <w:sz w:val="20"/>
          <w:szCs w:val="20"/>
          <w:lang w:val="fr-BE"/>
        </w:rPr>
        <w:t>T.B.P.</w:t>
      </w:r>
      <w:r w:rsidRPr="00E333B6">
        <w:rPr>
          <w:rFonts w:ascii="Times New Roman" w:hAnsi="Times New Roman" w:cs="Times New Roman"/>
          <w:sz w:val="20"/>
          <w:szCs w:val="20"/>
          <w:lang w:val="fr-BE"/>
        </w:rPr>
        <w:t>, 2006, 1, p. 30-47; BRONDEL, S., ‘Le livre Le Grand Se</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cret ne pouvait pas être définitivement censuré’, </w:t>
      </w:r>
      <w:r w:rsidRPr="00E333B6">
        <w:rPr>
          <w:rFonts w:ascii="Times New Roman" w:hAnsi="Times New Roman" w:cs="Times New Roman"/>
          <w:i/>
          <w:sz w:val="20"/>
          <w:szCs w:val="20"/>
          <w:lang w:val="fr-BE"/>
        </w:rPr>
        <w:t>A.J.D.A.</w:t>
      </w:r>
      <w:r w:rsidRPr="00E333B6">
        <w:rPr>
          <w:rFonts w:ascii="Times New Roman" w:hAnsi="Times New Roman" w:cs="Times New Roman"/>
          <w:sz w:val="20"/>
          <w:szCs w:val="20"/>
          <w:lang w:val="fr-BE"/>
        </w:rPr>
        <w:t xml:space="preserve">, 2004, 21, p. 1110; DELPRAT, L., ‘Du secret médical au secret d’Etat… ou la justification d’une violation du secret médical par la protection de liberté d’expression’, </w:t>
      </w:r>
      <w:r w:rsidRPr="00E333B6">
        <w:rPr>
          <w:rFonts w:ascii="Times New Roman" w:hAnsi="Times New Roman" w:cs="Times New Roman"/>
          <w:i/>
          <w:sz w:val="20"/>
          <w:szCs w:val="20"/>
          <w:lang w:val="fr-BE"/>
        </w:rPr>
        <w:t>Médécine &amp; Droit</w:t>
      </w:r>
      <w:r w:rsidRPr="00E333B6">
        <w:rPr>
          <w:rFonts w:ascii="Times New Roman" w:hAnsi="Times New Roman" w:cs="Times New Roman"/>
          <w:sz w:val="20"/>
          <w:szCs w:val="20"/>
          <w:lang w:val="fr-BE"/>
        </w:rPr>
        <w:t xml:space="preserve">, 76 (2006), p. 1-10; DUBOUT, E., ‘Le passé, l’histoire et la politique (arrêts Plon (société) du 18 mai 2004 [Affaire du ‘grand secret’] et Chauvy et autres du 29 juin 2004 [Affaire des époux Aubrac])’, </w:t>
      </w:r>
      <w:r w:rsidRPr="00E333B6">
        <w:rPr>
          <w:rFonts w:ascii="Times New Roman" w:hAnsi="Times New Roman" w:cs="Times New Roman"/>
          <w:i/>
          <w:sz w:val="20"/>
          <w:szCs w:val="20"/>
          <w:lang w:val="fr-BE"/>
        </w:rPr>
        <w:t>La France et la Cour européenne des droits de l’homme. La jurisprudence en 2004. Présentation, commentaires et débats</w:t>
      </w:r>
      <w:r w:rsidRPr="00E333B6">
        <w:rPr>
          <w:rFonts w:ascii="Times New Roman" w:hAnsi="Times New Roman" w:cs="Times New Roman"/>
          <w:sz w:val="20"/>
          <w:szCs w:val="20"/>
          <w:lang w:val="fr-BE"/>
        </w:rPr>
        <w:t>, Cahiers du CREDHO, 11/2005, 2006, p. 185-216; MAIGRET, J., ‘Le caractère général et absolu du se</w:t>
      </w:r>
      <w:r>
        <w:rPr>
          <w:rFonts w:ascii="Times New Roman" w:hAnsi="Times New Roman" w:cs="Times New Roman"/>
          <w:sz w:val="20"/>
          <w:szCs w:val="20"/>
          <w:lang w:val="fr-BE"/>
        </w:rPr>
        <w:t>-</w:t>
      </w:r>
      <w:r w:rsidRPr="00E333B6">
        <w:rPr>
          <w:rFonts w:ascii="Times New Roman" w:hAnsi="Times New Roman" w:cs="Times New Roman"/>
          <w:sz w:val="20"/>
          <w:szCs w:val="20"/>
          <w:lang w:val="fr-BE"/>
        </w:rPr>
        <w:t xml:space="preserve">cret médical: Le Grand Secret et la France devant la Cour européenne des droits de l’homme’, </w:t>
      </w:r>
      <w:r w:rsidRPr="00E333B6">
        <w:rPr>
          <w:rFonts w:ascii="Times New Roman" w:hAnsi="Times New Roman" w:cs="Times New Roman"/>
          <w:i/>
          <w:sz w:val="20"/>
          <w:szCs w:val="20"/>
          <w:lang w:val="fr-BE"/>
        </w:rPr>
        <w:t>R.G.D.M.</w:t>
      </w:r>
      <w:r w:rsidRPr="00E333B6">
        <w:rPr>
          <w:rFonts w:ascii="Times New Roman" w:hAnsi="Times New Roman" w:cs="Times New Roman"/>
          <w:sz w:val="20"/>
          <w:szCs w:val="20"/>
          <w:lang w:val="fr-BE"/>
        </w:rPr>
        <w:t xml:space="preserve">, 2005, 15, p. 163-173; POPELIER, P., ‘Behoorlijke wetgeving in de rechtspraak van het Europees Hof voor de Rechten van de Mens (2004)’, </w:t>
      </w:r>
      <w:r w:rsidRPr="00E333B6">
        <w:rPr>
          <w:rFonts w:ascii="Times New Roman" w:hAnsi="Times New Roman" w:cs="Times New Roman"/>
          <w:i/>
          <w:sz w:val="20"/>
          <w:szCs w:val="20"/>
          <w:lang w:val="fr-BE"/>
        </w:rPr>
        <w:t>T.V.W.</w:t>
      </w:r>
      <w:r w:rsidRPr="00E333B6">
        <w:rPr>
          <w:rFonts w:ascii="Times New Roman" w:hAnsi="Times New Roman" w:cs="Times New Roman"/>
          <w:sz w:val="20"/>
          <w:szCs w:val="20"/>
          <w:lang w:val="fr-BE"/>
        </w:rPr>
        <w:t>, 2005, 6, p. 142-153.</w:t>
      </w:r>
    </w:p>
  </w:footnote>
  <w:footnote w:id="1204">
    <w:p w:rsidR="00E82D16" w:rsidRPr="00E333B6" w:rsidRDefault="00E82D16" w:rsidP="000F560E">
      <w:pPr>
        <w:pStyle w:val="Geenafstand"/>
        <w:jc w:val="both"/>
        <w:rPr>
          <w:rFonts w:ascii="Times New Roman" w:hAnsi="Times New Roman" w:cs="Times New Roman"/>
          <w:sz w:val="20"/>
          <w:szCs w:val="20"/>
          <w:lang w:val="fr-BE"/>
        </w:rPr>
      </w:pPr>
      <w:r w:rsidRPr="00E257E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DEMONPION, D.; LEGER, L.; </w:t>
      </w:r>
      <w:r w:rsidRPr="00E333B6">
        <w:rPr>
          <w:rFonts w:ascii="Times New Roman" w:hAnsi="Times New Roman" w:cs="Times New Roman"/>
          <w:i/>
          <w:sz w:val="20"/>
          <w:szCs w:val="20"/>
          <w:lang w:val="fr-BE"/>
        </w:rPr>
        <w:t>Le Dernier Tabou: révélations sur la santé des présidents</w:t>
      </w:r>
      <w:r w:rsidRPr="00E333B6">
        <w:rPr>
          <w:rFonts w:ascii="Times New Roman" w:hAnsi="Times New Roman" w:cs="Times New Roman"/>
          <w:sz w:val="20"/>
          <w:szCs w:val="20"/>
          <w:lang w:val="fr-BE"/>
        </w:rPr>
        <w:t>, Histoire secrete, Parijs, Pygmalion, 2012, 320p.</w:t>
      </w:r>
    </w:p>
  </w:footnote>
  <w:footnote w:id="1205">
    <w:p w:rsidR="00E82D16" w:rsidRPr="00E333B6" w:rsidRDefault="00E82D16" w:rsidP="000F560E">
      <w:pPr>
        <w:pStyle w:val="Geenafstand"/>
        <w:jc w:val="both"/>
        <w:rPr>
          <w:rFonts w:ascii="Times New Roman" w:hAnsi="Times New Roman" w:cs="Times New Roman"/>
          <w:sz w:val="20"/>
          <w:szCs w:val="20"/>
          <w:lang w:val="fr-BE"/>
        </w:rPr>
      </w:pPr>
      <w:r w:rsidRPr="00E257E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‘Mitterrand stierf door euthanasie’, </w:t>
      </w:r>
      <w:r w:rsidRPr="00E333B6">
        <w:rPr>
          <w:rFonts w:ascii="Times New Roman" w:hAnsi="Times New Roman" w:cs="Times New Roman"/>
          <w:i/>
          <w:sz w:val="20"/>
          <w:szCs w:val="20"/>
          <w:lang w:val="fr-BE"/>
        </w:rPr>
        <w:t>De Standaard</w:t>
      </w:r>
      <w:r w:rsidRPr="00E333B6">
        <w:rPr>
          <w:rFonts w:ascii="Times New Roman" w:hAnsi="Times New Roman" w:cs="Times New Roman"/>
          <w:sz w:val="20"/>
          <w:szCs w:val="20"/>
          <w:lang w:val="fr-BE"/>
        </w:rPr>
        <w:t>, 11 april 2012;</w:t>
      </w:r>
      <w:r w:rsidRPr="00E333B6">
        <w:rPr>
          <w:rFonts w:ascii="Times New Roman" w:hAnsi="Times New Roman" w:cs="Times New Roman"/>
          <w:i/>
          <w:sz w:val="20"/>
          <w:szCs w:val="20"/>
          <w:lang w:val="fr-BE"/>
        </w:rPr>
        <w:t xml:space="preserve"> </w:t>
      </w:r>
      <w:r w:rsidRPr="00E333B6">
        <w:rPr>
          <w:rFonts w:ascii="Times New Roman" w:hAnsi="Times New Roman" w:cs="Times New Roman"/>
          <w:sz w:val="20"/>
          <w:szCs w:val="20"/>
          <w:lang w:val="fr-BE"/>
        </w:rPr>
        <w:t>FREOUR, P., ‘Santé: «Tous les présidents français ont menti»’, Le Figaro, 10 april 2012.</w:t>
      </w:r>
    </w:p>
  </w:footnote>
  <w:footnote w:id="1206">
    <w:p w:rsidR="00E82D16" w:rsidRPr="00E257EB" w:rsidRDefault="00E82D16" w:rsidP="000F560E">
      <w:pPr>
        <w:pStyle w:val="Geenafstand"/>
        <w:jc w:val="both"/>
        <w:rPr>
          <w:rFonts w:ascii="Times New Roman" w:hAnsi="Times New Roman" w:cs="Times New Roman"/>
          <w:sz w:val="20"/>
          <w:szCs w:val="20"/>
        </w:rPr>
      </w:pPr>
      <w:r w:rsidRPr="00E257EB">
        <w:rPr>
          <w:rStyle w:val="Voetnootmarkering"/>
          <w:rFonts w:ascii="Times New Roman" w:hAnsi="Times New Roman" w:cs="Times New Roman"/>
          <w:sz w:val="20"/>
          <w:szCs w:val="20"/>
        </w:rPr>
        <w:footnoteRef/>
      </w:r>
      <w:r w:rsidRPr="00E257EB">
        <w:rPr>
          <w:rFonts w:ascii="Times New Roman" w:hAnsi="Times New Roman" w:cs="Times New Roman"/>
          <w:sz w:val="20"/>
          <w:szCs w:val="20"/>
        </w:rPr>
        <w:t xml:space="preserve"> Wet nr. 2005-370 van 22 april 2005 betreffende de rechten van de patiënten en aan het levenseinde I (</w:t>
      </w:r>
      <w:r w:rsidRPr="00E257EB">
        <w:rPr>
          <w:rFonts w:ascii="Times New Roman" w:hAnsi="Times New Roman" w:cs="Times New Roman"/>
          <w:i/>
          <w:sz w:val="20"/>
          <w:szCs w:val="20"/>
        </w:rPr>
        <w:t>JORF</w:t>
      </w:r>
      <w:r w:rsidRPr="00E257EB">
        <w:rPr>
          <w:rFonts w:ascii="Times New Roman" w:hAnsi="Times New Roman" w:cs="Times New Roman"/>
          <w:sz w:val="20"/>
          <w:szCs w:val="20"/>
        </w:rPr>
        <w:t xml:space="preserve"> 95, 23 april 2005).</w:t>
      </w:r>
    </w:p>
  </w:footnote>
  <w:footnote w:id="1207">
    <w:p w:rsidR="00E82D16" w:rsidRPr="00010B6E" w:rsidRDefault="00E82D16" w:rsidP="001C0D44">
      <w:pPr>
        <w:pStyle w:val="Voetnoottekst"/>
        <w:jc w:val="both"/>
        <w:rPr>
          <w:rFonts w:ascii="Times New Roman" w:hAnsi="Times New Roman"/>
        </w:rPr>
      </w:pPr>
      <w:r w:rsidRPr="00010B6E">
        <w:rPr>
          <w:rStyle w:val="Voetnootmarkering"/>
          <w:rFonts w:ascii="Times New Roman" w:hAnsi="Times New Roman"/>
        </w:rPr>
        <w:footnoteRef/>
      </w:r>
      <w:r w:rsidRPr="00010B6E">
        <w:rPr>
          <w:rFonts w:ascii="Times New Roman" w:hAnsi="Times New Roman"/>
        </w:rPr>
        <w:t xml:space="preserve"> </w:t>
      </w:r>
      <w:r>
        <w:rPr>
          <w:rFonts w:ascii="Times New Roman" w:hAnsi="Times New Roman"/>
        </w:rPr>
        <w:t>Overweging 17, overweging 37 en a</w:t>
      </w:r>
      <w:r w:rsidRPr="00010B6E">
        <w:rPr>
          <w:rFonts w:ascii="Times New Roman" w:hAnsi="Times New Roman"/>
        </w:rPr>
        <w:t>rt. 9 van richtlijn 95/46/EG; art. 3 § 3, a Privacywet; art. 3 § 1 Wbp; art. 67 van wet nr. 78-17 van 6 januari 1978, gewijzigd door art. 11 van wet nr. 2004-801 van 6 augustus 2004.</w:t>
      </w:r>
    </w:p>
  </w:footnote>
  <w:footnote w:id="1208">
    <w:p w:rsidR="00E82D16" w:rsidRDefault="00E82D16" w:rsidP="000F560E">
      <w:pPr>
        <w:pStyle w:val="Voetnoottekst"/>
        <w:jc w:val="both"/>
      </w:pPr>
      <w:r>
        <w:rPr>
          <w:rStyle w:val="Voetnootmarkering"/>
        </w:rPr>
        <w:footnoteRef/>
      </w:r>
      <w:r>
        <w:t xml:space="preserve"> </w:t>
      </w:r>
      <w:r w:rsidRPr="007B3BCE">
        <w:rPr>
          <w:rFonts w:ascii="Times New Roman" w:hAnsi="Times New Roman"/>
        </w:rPr>
        <w:t xml:space="preserve">RATHE, J.; GORIS, G.; VANDECRUYS, G.; </w:t>
      </w:r>
      <w:r w:rsidRPr="007B3BCE">
        <w:rPr>
          <w:rFonts w:ascii="Times New Roman" w:hAnsi="Times New Roman"/>
          <w:i/>
          <w:iCs/>
        </w:rPr>
        <w:t>De Duitsers kwamen niet. De lotgevallen van de joodse pa</w:t>
      </w:r>
      <w:r>
        <w:rPr>
          <w:rFonts w:ascii="Times New Roman" w:hAnsi="Times New Roman"/>
          <w:i/>
          <w:iCs/>
        </w:rPr>
        <w:t>-</w:t>
      </w:r>
      <w:r w:rsidRPr="007B3BCE">
        <w:rPr>
          <w:rFonts w:ascii="Times New Roman" w:hAnsi="Times New Roman"/>
          <w:i/>
          <w:iCs/>
        </w:rPr>
        <w:t>tiënten in de Geelse Kolonie (1940-1945)</w:t>
      </w:r>
      <w:r w:rsidRPr="007B3BCE">
        <w:rPr>
          <w:rFonts w:ascii="Times New Roman" w:hAnsi="Times New Roman"/>
        </w:rPr>
        <w:t>, Geel, MGraphics, 2011, 189p.</w:t>
      </w:r>
      <w:r w:rsidRPr="003364CF">
        <w:rPr>
          <w:rFonts w:ascii="Times New Roman" w:hAnsi="Times New Roman"/>
        </w:rPr>
        <w:t xml:space="preserve"> </w:t>
      </w:r>
      <w:r w:rsidRPr="00E257EB">
        <w:rPr>
          <w:rFonts w:ascii="Times New Roman" w:hAnsi="Times New Roman"/>
        </w:rPr>
        <w:t xml:space="preserve">Met dank aan Filip Strubbe en Guy Coppieters </w:t>
      </w:r>
      <w:r>
        <w:rPr>
          <w:rFonts w:ascii="Times New Roman" w:hAnsi="Times New Roman"/>
        </w:rPr>
        <w:t>die mij op de hoogte brachten van het bestaan van dit werk</w:t>
      </w:r>
      <w:r w:rsidRPr="00E257EB">
        <w:rPr>
          <w:rFonts w:ascii="Times New Roman" w:hAnsi="Times New Roman"/>
        </w:rPr>
        <w:t>.</w:t>
      </w:r>
    </w:p>
  </w:footnote>
  <w:footnote w:id="1209">
    <w:p w:rsidR="00E82D16" w:rsidRPr="00CE0BCC" w:rsidRDefault="00E82D16" w:rsidP="000F560E">
      <w:pPr>
        <w:pStyle w:val="Voetnoottekst"/>
        <w:jc w:val="both"/>
        <w:rPr>
          <w:rFonts w:ascii="Times New Roman" w:hAnsi="Times New Roman"/>
        </w:rPr>
      </w:pPr>
      <w:r w:rsidRPr="00CE0BCC">
        <w:rPr>
          <w:rStyle w:val="Voetnootmarkering"/>
          <w:rFonts w:ascii="Times New Roman" w:hAnsi="Times New Roman"/>
        </w:rPr>
        <w:footnoteRef/>
      </w:r>
      <w:r w:rsidRPr="00CE0BCC">
        <w:rPr>
          <w:rFonts w:ascii="Times New Roman" w:hAnsi="Times New Roman"/>
        </w:rPr>
        <w:t xml:space="preserve"> ID., p. 13-14.</w:t>
      </w:r>
    </w:p>
  </w:footnote>
  <w:footnote w:id="1210">
    <w:p w:rsidR="00E82D16" w:rsidRPr="00010B6E" w:rsidRDefault="00E82D16" w:rsidP="000F560E">
      <w:pPr>
        <w:pStyle w:val="Voetnoottekst"/>
        <w:jc w:val="both"/>
        <w:rPr>
          <w:rFonts w:ascii="Times New Roman" w:hAnsi="Times New Roman"/>
        </w:rPr>
      </w:pPr>
      <w:r w:rsidRPr="00010B6E">
        <w:rPr>
          <w:rStyle w:val="Voetnootmarkering"/>
          <w:rFonts w:ascii="Times New Roman" w:hAnsi="Times New Roman"/>
        </w:rPr>
        <w:footnoteRef/>
      </w:r>
      <w:r w:rsidRPr="00010B6E">
        <w:rPr>
          <w:rFonts w:ascii="Times New Roman" w:hAnsi="Times New Roman"/>
        </w:rPr>
        <w:t xml:space="preserve"> Aanbevelingen nr. 06/2007 van 9 juli 2007 en nr. 05/2008 van 4 maart 2008 betreffende de latere verwerking (LV) van niet-gecodeerde persoonsgegevens in het kader van een onderzoek genaamd «Histoire de la Psychiatrie en Belgique au vingtième siècle» onder leiding van professor Pieter Lagrou van de ULB</w:t>
      </w:r>
      <w:r>
        <w:rPr>
          <w:rFonts w:ascii="Times New Roman" w:hAnsi="Times New Roman"/>
        </w:rPr>
        <w:t>.</w:t>
      </w:r>
    </w:p>
  </w:footnote>
  <w:footnote w:id="1211">
    <w:p w:rsidR="00E82D16" w:rsidRPr="00010B6E" w:rsidRDefault="00E82D16" w:rsidP="000F560E">
      <w:pPr>
        <w:pStyle w:val="Voetnoottekst"/>
        <w:jc w:val="both"/>
        <w:rPr>
          <w:rFonts w:ascii="Times New Roman" w:hAnsi="Times New Roman"/>
        </w:rPr>
      </w:pPr>
      <w:r w:rsidRPr="00010B6E">
        <w:rPr>
          <w:rStyle w:val="Voetnootmarkering"/>
          <w:rFonts w:ascii="Times New Roman" w:hAnsi="Times New Roman"/>
        </w:rPr>
        <w:footnoteRef/>
      </w:r>
      <w:r w:rsidRPr="00010B6E">
        <w:rPr>
          <w:rFonts w:ascii="Times New Roman" w:hAnsi="Times New Roman"/>
        </w:rPr>
        <w:t xml:space="preserve"> </w:t>
      </w:r>
      <w:r>
        <w:rPr>
          <w:rFonts w:ascii="Times New Roman" w:hAnsi="Times New Roman"/>
        </w:rPr>
        <w:t>Overweging 17, overweging 37 en a</w:t>
      </w:r>
      <w:r w:rsidRPr="00010B6E">
        <w:rPr>
          <w:rFonts w:ascii="Times New Roman" w:hAnsi="Times New Roman"/>
        </w:rPr>
        <w:t>rt. 9 van richtlijn 95/46/EG; art. 3 § 3, a Privacywet; art. 3 § 1 Wbp; art. 67 van wet nr. 78-17 van 6 januari 1978, gewijzigd door art. 11 van wet nr. 2004-801 van 6 augustus 2004.</w:t>
      </w:r>
    </w:p>
  </w:footnote>
  <w:footnote w:id="1212">
    <w:p w:rsidR="00E82D16" w:rsidRDefault="00E82D16" w:rsidP="000F560E">
      <w:pPr>
        <w:pStyle w:val="Voetnoottekst"/>
      </w:pPr>
      <w:r w:rsidRPr="00002821">
        <w:rPr>
          <w:rStyle w:val="Voetnootmarkering"/>
          <w:rFonts w:ascii="Times New Roman" w:hAnsi="Times New Roman"/>
        </w:rPr>
        <w:footnoteRef/>
      </w:r>
      <w:r w:rsidRPr="00002821">
        <w:rPr>
          <w:rFonts w:ascii="Times New Roman" w:hAnsi="Times New Roman"/>
        </w:rPr>
        <w:t xml:space="preserve"> </w:t>
      </w:r>
      <w:r>
        <w:rPr>
          <w:rFonts w:ascii="Times New Roman" w:hAnsi="Times New Roman"/>
        </w:rPr>
        <w:t xml:space="preserve">Overweging 14, overweging 15 en art. 33 van richtlijn 95/46/EG; </w:t>
      </w:r>
      <w:r w:rsidRPr="00002821">
        <w:rPr>
          <w:rFonts w:ascii="Times New Roman" w:hAnsi="Times New Roman"/>
        </w:rPr>
        <w:t xml:space="preserve">BREWAEYS, E., ‘Recht op afbeelding’, </w:t>
      </w:r>
      <w:r w:rsidRPr="00002821">
        <w:rPr>
          <w:rFonts w:ascii="Times New Roman" w:hAnsi="Times New Roman"/>
          <w:i/>
        </w:rPr>
        <w:t>N.J.W.</w:t>
      </w:r>
      <w:r w:rsidRPr="00002821">
        <w:rPr>
          <w:rFonts w:ascii="Times New Roman" w:hAnsi="Times New Roman"/>
        </w:rPr>
        <w:t>, 218 (2010), p. 206;</w:t>
      </w:r>
      <w:r>
        <w:t xml:space="preserve"> </w:t>
      </w:r>
      <w:r w:rsidRPr="001B61ED">
        <w:rPr>
          <w:rFonts w:ascii="Times New Roman" w:hAnsi="Times New Roman"/>
        </w:rPr>
        <w:t xml:space="preserve">MORBE, </w:t>
      </w:r>
      <w:r>
        <w:rPr>
          <w:rFonts w:ascii="Times New Roman" w:hAnsi="Times New Roman"/>
        </w:rPr>
        <w:t xml:space="preserve">p. </w:t>
      </w:r>
      <w:r w:rsidRPr="001B61ED">
        <w:rPr>
          <w:rFonts w:ascii="Times New Roman" w:hAnsi="Times New Roman"/>
        </w:rPr>
        <w:t>121</w:t>
      </w:r>
      <w:r>
        <w:rPr>
          <w:rFonts w:ascii="Times New Roman" w:hAnsi="Times New Roman"/>
        </w:rPr>
        <w:t>.</w:t>
      </w:r>
    </w:p>
  </w:footnote>
  <w:footnote w:id="1213">
    <w:p w:rsidR="00E82D16" w:rsidRPr="006B007F" w:rsidRDefault="00E82D16" w:rsidP="000F560E">
      <w:pPr>
        <w:pStyle w:val="Voetnoottekst"/>
        <w:jc w:val="both"/>
        <w:rPr>
          <w:rFonts w:ascii="Times New Roman" w:hAnsi="Times New Roman"/>
        </w:rPr>
      </w:pPr>
      <w:r w:rsidRPr="006B007F">
        <w:rPr>
          <w:rStyle w:val="Voetnootmarkering"/>
          <w:rFonts w:ascii="Times New Roman" w:hAnsi="Times New Roman"/>
        </w:rPr>
        <w:footnoteRef/>
      </w:r>
      <w:r w:rsidRPr="006B007F">
        <w:rPr>
          <w:rFonts w:ascii="Times New Roman" w:hAnsi="Times New Roman"/>
        </w:rPr>
        <w:t xml:space="preserve"> VELLE; VANDERMAESEN; p. 159-160.</w:t>
      </w:r>
    </w:p>
  </w:footnote>
  <w:footnote w:id="1214">
    <w:p w:rsidR="00E82D16" w:rsidRPr="00E333B6" w:rsidRDefault="00E82D16" w:rsidP="006A58E2">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ATNV, lemma 15.</w:t>
      </w:r>
    </w:p>
  </w:footnote>
  <w:footnote w:id="1215">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ATNV, lemma 112.</w:t>
      </w:r>
    </w:p>
  </w:footnote>
  <w:footnote w:id="1216">
    <w:p w:rsidR="00E82D16" w:rsidRPr="00E333B6" w:rsidRDefault="00E82D16" w:rsidP="000F560E">
      <w:pPr>
        <w:pStyle w:val="Voetnoottekst"/>
        <w:jc w:val="both"/>
        <w:rPr>
          <w:rFonts w:ascii="Times New Roman" w:hAnsi="Times New Roman"/>
          <w:lang w:val="fr-BE"/>
        </w:rPr>
      </w:pPr>
      <w:r w:rsidRPr="00411C36">
        <w:rPr>
          <w:rStyle w:val="Voetnootmarkering"/>
          <w:rFonts w:ascii="Times New Roman" w:hAnsi="Times New Roman"/>
        </w:rPr>
        <w:footnoteRef/>
      </w:r>
      <w:r w:rsidRPr="00E333B6">
        <w:rPr>
          <w:rFonts w:ascii="Times New Roman" w:hAnsi="Times New Roman"/>
          <w:lang w:val="fr-BE"/>
        </w:rPr>
        <w:t xml:space="preserve"> FAVIER, J.; NEIRINCK, D.; Direction des Archives de France; </w:t>
      </w:r>
      <w:r w:rsidRPr="00E333B6">
        <w:rPr>
          <w:rFonts w:ascii="Times New Roman" w:hAnsi="Times New Roman"/>
          <w:i/>
          <w:lang w:val="fr-BE"/>
        </w:rPr>
        <w:t>La pratique archivistique française</w:t>
      </w:r>
      <w:r w:rsidRPr="00E333B6">
        <w:rPr>
          <w:rFonts w:ascii="Times New Roman" w:hAnsi="Times New Roman"/>
          <w:lang w:val="fr-BE"/>
        </w:rPr>
        <w:t>, Parijs, Archives nationales, 2008², p. 257.</w:t>
      </w:r>
    </w:p>
  </w:footnote>
  <w:footnote w:id="1217">
    <w:p w:rsidR="00E82D16" w:rsidRPr="007866A1" w:rsidRDefault="00E82D16" w:rsidP="007866A1">
      <w:pPr>
        <w:pStyle w:val="Voetnoottekst"/>
        <w:jc w:val="both"/>
        <w:rPr>
          <w:rFonts w:ascii="Times New Roman" w:hAnsi="Times New Roman"/>
          <w:lang w:val="fr-BE"/>
        </w:rPr>
      </w:pPr>
      <w:r w:rsidRPr="00251DF1">
        <w:rPr>
          <w:rStyle w:val="Voetnootmarkering"/>
          <w:rFonts w:ascii="Times New Roman" w:hAnsi="Times New Roman"/>
        </w:rPr>
        <w:footnoteRef/>
      </w:r>
      <w:r w:rsidRPr="007866A1">
        <w:rPr>
          <w:rFonts w:ascii="Times New Roman" w:hAnsi="Times New Roman"/>
          <w:lang w:val="fr-BE"/>
        </w:rPr>
        <w:t xml:space="preserve"> Cf. ATNV, lemma 15.</w:t>
      </w:r>
    </w:p>
  </w:footnote>
  <w:footnote w:id="1218">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ATNV, lemma 113.</w:t>
      </w:r>
    </w:p>
  </w:footnote>
  <w:footnote w:id="1219">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BUSCAL, C., ‘Tableau de gestion: repérez, triez, tracez, conservez, détruisez’, </w:t>
      </w:r>
      <w:r w:rsidRPr="00E333B6">
        <w:rPr>
          <w:rFonts w:ascii="Times New Roman" w:hAnsi="Times New Roman"/>
          <w:i/>
          <w:lang w:val="fr-BE"/>
        </w:rPr>
        <w:t>Archimag</w:t>
      </w:r>
      <w:r w:rsidRPr="00E333B6">
        <w:rPr>
          <w:rFonts w:ascii="Times New Roman" w:hAnsi="Times New Roman"/>
          <w:lang w:val="fr-BE"/>
        </w:rPr>
        <w:t xml:space="preserve">, 159 (2002), p. 40-43; FOURNIER, D., ‘Les tableaux de gestion de documents: une des clés du record management’, </w:t>
      </w:r>
      <w:r w:rsidRPr="00E333B6">
        <w:rPr>
          <w:rFonts w:ascii="Times New Roman" w:hAnsi="Times New Roman"/>
          <w:i/>
          <w:lang w:val="fr-BE"/>
        </w:rPr>
        <w:t>Documenta</w:t>
      </w:r>
      <w:r>
        <w:rPr>
          <w:rFonts w:ascii="Times New Roman" w:hAnsi="Times New Roman"/>
          <w:i/>
          <w:lang w:val="fr-BE"/>
        </w:rPr>
        <w:t>-</w:t>
      </w:r>
      <w:r w:rsidRPr="00E333B6">
        <w:rPr>
          <w:rFonts w:ascii="Times New Roman" w:hAnsi="Times New Roman"/>
          <w:i/>
          <w:lang w:val="fr-BE"/>
        </w:rPr>
        <w:t>liste</w:t>
      </w:r>
      <w:r w:rsidRPr="00E333B6">
        <w:rPr>
          <w:rFonts w:ascii="Times New Roman" w:hAnsi="Times New Roman"/>
          <w:lang w:val="fr-BE"/>
        </w:rPr>
        <w:t>, 36/2 (1999), p. 89-96.</w:t>
      </w:r>
    </w:p>
  </w:footnote>
  <w:footnote w:id="1220">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FAVIER; NEIRINCK; Direction des Archives de France; </w:t>
      </w:r>
      <w:r w:rsidRPr="00E333B6">
        <w:rPr>
          <w:rFonts w:ascii="Times New Roman" w:hAnsi="Times New Roman"/>
          <w:i/>
          <w:lang w:val="fr-BE"/>
        </w:rPr>
        <w:t>La pratique archivistique française</w:t>
      </w:r>
      <w:r w:rsidRPr="00E333B6">
        <w:rPr>
          <w:rFonts w:ascii="Times New Roman" w:hAnsi="Times New Roman"/>
          <w:lang w:val="fr-BE"/>
        </w:rPr>
        <w:t>, p. 591.</w:t>
      </w:r>
    </w:p>
  </w:footnote>
  <w:footnote w:id="1221">
    <w:p w:rsidR="00E82D16" w:rsidRPr="00B47C01" w:rsidRDefault="00E82D16" w:rsidP="000F560E">
      <w:pPr>
        <w:pStyle w:val="Voetnoottekst"/>
        <w:rPr>
          <w:rFonts w:ascii="Times New Roman" w:hAnsi="Times New Roman"/>
        </w:rPr>
      </w:pPr>
      <w:r w:rsidRPr="00B47C01">
        <w:rPr>
          <w:rStyle w:val="Voetnootmarkering"/>
          <w:rFonts w:ascii="Times New Roman" w:hAnsi="Times New Roman"/>
        </w:rPr>
        <w:footnoteRef/>
      </w:r>
      <w:r w:rsidRPr="00B47C01">
        <w:rPr>
          <w:rFonts w:ascii="Times New Roman" w:hAnsi="Times New Roman"/>
        </w:rPr>
        <w:t xml:space="preserve"> Zie: LELOUP, G., </w:t>
      </w:r>
      <w:r w:rsidRPr="00B47C01">
        <w:rPr>
          <w:rFonts w:ascii="Times New Roman" w:hAnsi="Times New Roman"/>
          <w:i/>
        </w:rPr>
        <w:t>Archiefselectie. Stappenplan voor de opmaak van een archiefselectielijst</w:t>
      </w:r>
      <w:r w:rsidRPr="00B47C01">
        <w:rPr>
          <w:rFonts w:ascii="Times New Roman" w:hAnsi="Times New Roman"/>
        </w:rPr>
        <w:t>, Brochures: aan</w:t>
      </w:r>
      <w:r>
        <w:rPr>
          <w:rFonts w:ascii="Times New Roman" w:hAnsi="Times New Roman"/>
        </w:rPr>
        <w:t>-</w:t>
      </w:r>
      <w:r w:rsidRPr="00B47C01">
        <w:rPr>
          <w:rFonts w:ascii="Times New Roman" w:hAnsi="Times New Roman"/>
        </w:rPr>
        <w:t>bevelingen en advies, 11, Brussel, Algemeen Rijksarchief en Rijksarchief in de Provinciën – Afdeling Toezicht, advisering en coördinatie van verwerving en selectie, s.d., 18p.</w:t>
      </w:r>
    </w:p>
  </w:footnote>
  <w:footnote w:id="1222">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SALIOU, A.P., ‘Classement et tri’, </w:t>
      </w:r>
      <w:r w:rsidRPr="00E333B6">
        <w:rPr>
          <w:rFonts w:ascii="Times New Roman" w:hAnsi="Times New Roman"/>
          <w:i/>
          <w:lang w:val="fr-BE"/>
        </w:rPr>
        <w:t>Guide des archives hospitalières. Volume 1: méthodologie et procedures</w:t>
      </w:r>
      <w:r w:rsidRPr="00E333B6">
        <w:rPr>
          <w:rFonts w:ascii="Times New Roman" w:hAnsi="Times New Roman"/>
          <w:lang w:val="fr-BE"/>
        </w:rPr>
        <w:t>, 2008, p. 8 (</w:t>
      </w:r>
      <w:hyperlink r:id="rId194" w:history="1">
        <w:r w:rsidRPr="00E333B6">
          <w:rPr>
            <w:rStyle w:val="Hyperlink"/>
            <w:rFonts w:ascii="Times New Roman" w:hAnsi="Times New Roman"/>
            <w:lang w:val="fr-BE"/>
          </w:rPr>
          <w:t>http://www.ascodocpsy.org/IMG/pdf/GuideArchives_Classement_Tri_fev2008.pdf</w:t>
        </w:r>
      </w:hyperlink>
      <w:r w:rsidRPr="00E333B6">
        <w:rPr>
          <w:rFonts w:ascii="Times New Roman" w:hAnsi="Times New Roman"/>
          <w:lang w:val="fr-BE"/>
        </w:rPr>
        <w:t>).</w:t>
      </w:r>
    </w:p>
  </w:footnote>
  <w:footnote w:id="1223">
    <w:p w:rsidR="00E82D16" w:rsidRPr="002C2399" w:rsidRDefault="00E82D16" w:rsidP="000F560E">
      <w:pPr>
        <w:pStyle w:val="Voetnoottekst"/>
        <w:jc w:val="both"/>
        <w:rPr>
          <w:rFonts w:ascii="Times New Roman" w:hAnsi="Times New Roman"/>
          <w:lang w:val="en-US"/>
        </w:rPr>
      </w:pPr>
      <w:r w:rsidRPr="002C2399">
        <w:rPr>
          <w:rStyle w:val="Voetnootmarkering"/>
          <w:rFonts w:ascii="Times New Roman" w:hAnsi="Times New Roman"/>
        </w:rPr>
        <w:footnoteRef/>
      </w:r>
      <w:r w:rsidRPr="002C2399">
        <w:rPr>
          <w:rFonts w:ascii="Times New Roman" w:hAnsi="Times New Roman"/>
          <w:lang w:val="en-US"/>
        </w:rPr>
        <w:t xml:space="preserve"> MAXWELL-STEWART, H.; SHEPPARD, J.; YEO, G.; </w:t>
      </w:r>
      <w:r w:rsidRPr="002C2399">
        <w:rPr>
          <w:rFonts w:ascii="Times New Roman" w:hAnsi="Times New Roman"/>
          <w:i/>
          <w:lang w:val="en-US"/>
        </w:rPr>
        <w:t>Hospital Patient Case Records. A Guide to Their Retention and Disposal</w:t>
      </w:r>
      <w:r w:rsidRPr="002C2399">
        <w:rPr>
          <w:rFonts w:ascii="Times New Roman" w:hAnsi="Times New Roman"/>
          <w:lang w:val="en-US"/>
        </w:rPr>
        <w:t>, s.l., Health Archives Group, 1996, p. 18-19.</w:t>
      </w:r>
    </w:p>
  </w:footnote>
  <w:footnote w:id="1224">
    <w:p w:rsidR="00E82D16" w:rsidRPr="00B45CA8" w:rsidRDefault="00E82D16" w:rsidP="000F560E">
      <w:pPr>
        <w:pStyle w:val="Voetnoottekst"/>
        <w:jc w:val="both"/>
        <w:rPr>
          <w:rFonts w:ascii="Times New Roman" w:hAnsi="Times New Roman"/>
        </w:rPr>
      </w:pPr>
      <w:r w:rsidRPr="00251DF1">
        <w:rPr>
          <w:rStyle w:val="Voetnootmarkering"/>
          <w:rFonts w:ascii="Times New Roman" w:hAnsi="Times New Roman"/>
        </w:rPr>
        <w:footnoteRef/>
      </w:r>
      <w:r w:rsidRPr="00B45CA8">
        <w:rPr>
          <w:rFonts w:ascii="Times New Roman" w:hAnsi="Times New Roman"/>
        </w:rPr>
        <w:t xml:space="preserve"> Zie grafieken 10 en 11.</w:t>
      </w:r>
    </w:p>
  </w:footnote>
  <w:footnote w:id="1225">
    <w:p w:rsidR="00E82D16" w:rsidRPr="00251DF1" w:rsidRDefault="00E82D16" w:rsidP="000F560E">
      <w:pPr>
        <w:pStyle w:val="Voetnoottekst"/>
        <w:jc w:val="both"/>
        <w:rPr>
          <w:rFonts w:ascii="Times New Roman" w:hAnsi="Times New Roman"/>
        </w:rPr>
      </w:pPr>
      <w:r w:rsidRPr="00251DF1">
        <w:rPr>
          <w:rStyle w:val="Voetnootmarkering"/>
          <w:rFonts w:ascii="Times New Roman" w:hAnsi="Times New Roman"/>
        </w:rPr>
        <w:footnoteRef/>
      </w:r>
      <w:r w:rsidRPr="00E40390">
        <w:rPr>
          <w:rFonts w:ascii="Times New Roman" w:hAnsi="Times New Roman"/>
        </w:rPr>
        <w:t xml:space="preserve"> Hitachi Data Systems </w:t>
      </w:r>
      <w:hyperlink r:id="rId195" w:history="1">
        <w:r w:rsidRPr="00E40390">
          <w:rPr>
            <w:rStyle w:val="Hyperlink"/>
            <w:rFonts w:ascii="Times New Roman" w:hAnsi="Times New Roman"/>
          </w:rPr>
          <w:t>http://internet.ziffdavisenterprise.com/podcasts/eWeek/channel02252009.mp3</w:t>
        </w:r>
      </w:hyperlink>
      <w:r w:rsidRPr="00E40390">
        <w:rPr>
          <w:rFonts w:ascii="Times New Roman" w:hAnsi="Times New Roman"/>
        </w:rPr>
        <w:t xml:space="preserve">, IDC </w:t>
      </w:r>
      <w:hyperlink r:id="rId196" w:history="1">
        <w:r w:rsidRPr="00E40390">
          <w:rPr>
            <w:rStyle w:val="Hyperlink"/>
            <w:rFonts w:ascii="Times New Roman" w:hAnsi="Times New Roman"/>
          </w:rPr>
          <w:t>http://www.lemagit.fr/article/stockage-numerique-idc-nuage-donnees-cloud/6254/1/idc-pronostique-une-explosion-volumedonnees-produites-dans-monde-ici-ans/</w:t>
        </w:r>
      </w:hyperlink>
      <w:r w:rsidRPr="00E40390">
        <w:rPr>
          <w:rFonts w:ascii="Times New Roman" w:hAnsi="Times New Roman"/>
        </w:rPr>
        <w:t xml:space="preserve">, geciteerd door  SOYEZ, S., ‘Attardons-nous sur… </w:t>
      </w:r>
      <w:r w:rsidRPr="00E333B6">
        <w:rPr>
          <w:rFonts w:ascii="Times New Roman" w:hAnsi="Times New Roman"/>
          <w:lang w:val="fr-BE"/>
        </w:rPr>
        <w:t xml:space="preserve">Dossiers médicaux’, VASTESAEGER, A.M.; SOYEZ, S.; DELPLANCQ, T.; </w:t>
      </w:r>
      <w:r w:rsidRPr="00E333B6">
        <w:rPr>
          <w:rFonts w:ascii="Times New Roman" w:hAnsi="Times New Roman"/>
          <w:i/>
          <w:lang w:val="fr-BE"/>
        </w:rPr>
        <w:t>Questions d’archivage</w:t>
      </w:r>
      <w:r w:rsidRPr="00E333B6">
        <w:rPr>
          <w:rFonts w:ascii="Times New Roman" w:hAnsi="Times New Roman"/>
          <w:lang w:val="fr-BE"/>
        </w:rPr>
        <w:t xml:space="preserve">, Brussel, Politeia, 2012², p. 219 (voetnoot 1). </w:t>
      </w:r>
      <w:r w:rsidRPr="00251DF1">
        <w:rPr>
          <w:rFonts w:ascii="Times New Roman" w:hAnsi="Times New Roman"/>
        </w:rPr>
        <w:t>Met dank aan Sébastien Soyez en Kathleen Devolder, die mij een proefver</w:t>
      </w:r>
      <w:r>
        <w:rPr>
          <w:rFonts w:ascii="Times New Roman" w:hAnsi="Times New Roman"/>
        </w:rPr>
        <w:t>-</w:t>
      </w:r>
      <w:r w:rsidRPr="00251DF1">
        <w:rPr>
          <w:rFonts w:ascii="Times New Roman" w:hAnsi="Times New Roman"/>
        </w:rPr>
        <w:t>sie van dit artikel bezorgden.</w:t>
      </w:r>
    </w:p>
  </w:footnote>
  <w:footnote w:id="1226">
    <w:p w:rsidR="00E82D16" w:rsidRPr="00251DF1" w:rsidRDefault="00E82D16" w:rsidP="000F560E">
      <w:pPr>
        <w:pStyle w:val="Voetnoottekst"/>
        <w:jc w:val="both"/>
        <w:rPr>
          <w:rFonts w:ascii="Times New Roman" w:hAnsi="Times New Roman"/>
        </w:rPr>
      </w:pPr>
      <w:r w:rsidRPr="00251DF1">
        <w:rPr>
          <w:rStyle w:val="Voetnootmarkering"/>
          <w:rFonts w:ascii="Times New Roman" w:hAnsi="Times New Roman"/>
        </w:rPr>
        <w:footnoteRef/>
      </w:r>
      <w:r w:rsidRPr="00251DF1">
        <w:rPr>
          <w:rFonts w:ascii="Times New Roman" w:hAnsi="Times New Roman"/>
        </w:rPr>
        <w:t xml:space="preserve"> Bron: VAN HUTTEN, R.W.; SCHERMER VOEST, S.A.M.; VERHOEVEN, M.; VERSCHOOR, N.; </w:t>
      </w:r>
      <w:r w:rsidRPr="00251DF1">
        <w:rPr>
          <w:rFonts w:ascii="Times New Roman" w:hAnsi="Times New Roman"/>
          <w:i/>
        </w:rPr>
        <w:t>Be</w:t>
      </w:r>
      <w:r>
        <w:rPr>
          <w:rFonts w:ascii="Times New Roman" w:hAnsi="Times New Roman"/>
          <w:i/>
        </w:rPr>
        <w:t>-</w:t>
      </w:r>
      <w:r w:rsidRPr="00251DF1">
        <w:rPr>
          <w:rFonts w:ascii="Times New Roman" w:hAnsi="Times New Roman"/>
          <w:i/>
        </w:rPr>
        <w:t>waartermijnen Patiëntendossiers. Een pragmatische oplossing</w:t>
      </w:r>
      <w:r w:rsidRPr="00251DF1">
        <w:rPr>
          <w:rFonts w:ascii="Times New Roman" w:hAnsi="Times New Roman"/>
        </w:rPr>
        <w:t xml:space="preserve">, </w:t>
      </w:r>
      <w:r>
        <w:rPr>
          <w:rFonts w:ascii="Times New Roman" w:hAnsi="Times New Roman"/>
        </w:rPr>
        <w:t xml:space="preserve">Hoorn, </w:t>
      </w:r>
      <w:r w:rsidRPr="00251DF1">
        <w:rPr>
          <w:rFonts w:ascii="Times New Roman" w:hAnsi="Times New Roman"/>
        </w:rPr>
        <w:t>Nederlandse Vereniging voor Medische Administratie, 1994, p. 13. Het spreekt natuurlijk voor zich dat – ten gevolge van de digitalisering – het aantal strekkende meter vandaag de dag afneemt.</w:t>
      </w:r>
    </w:p>
  </w:footnote>
  <w:footnote w:id="1227">
    <w:p w:rsidR="00E82D16" w:rsidRPr="00E333B6" w:rsidRDefault="00E82D16" w:rsidP="000F560E">
      <w:pPr>
        <w:pStyle w:val="Voetnoottekst"/>
        <w:jc w:val="both"/>
        <w:rPr>
          <w:rFonts w:ascii="Times New Roman" w:hAnsi="Times New Roman"/>
          <w:lang w:val="fr-BE"/>
        </w:rPr>
      </w:pPr>
      <w:r w:rsidRPr="00251DF1">
        <w:rPr>
          <w:rStyle w:val="Voetnootmarkering"/>
          <w:rFonts w:ascii="Times New Roman" w:hAnsi="Times New Roman"/>
        </w:rPr>
        <w:footnoteRef/>
      </w:r>
      <w:r w:rsidRPr="00E333B6">
        <w:rPr>
          <w:rFonts w:ascii="Times New Roman" w:hAnsi="Times New Roman"/>
          <w:lang w:val="fr-BE"/>
        </w:rPr>
        <w:t xml:space="preserve"> Idem. Cf.: ZELLER, J.D., ‘L’exemple des hôpitaux universitaires de Genève’, </w:t>
      </w:r>
      <w:r w:rsidRPr="00E333B6">
        <w:rPr>
          <w:rFonts w:ascii="Times New Roman" w:hAnsi="Times New Roman"/>
          <w:i/>
          <w:lang w:val="fr-BE"/>
        </w:rPr>
        <w:t>G.A.N.S.</w:t>
      </w:r>
      <w:r w:rsidRPr="00E333B6">
        <w:rPr>
          <w:rFonts w:ascii="Times New Roman" w:hAnsi="Times New Roman"/>
          <w:lang w:val="fr-BE"/>
        </w:rPr>
        <w:t>, 205 (2007), p. 79.</w:t>
      </w:r>
    </w:p>
  </w:footnote>
  <w:footnote w:id="1228">
    <w:p w:rsidR="00E82D16" w:rsidRPr="00F538FE" w:rsidRDefault="00E82D16" w:rsidP="000F560E">
      <w:pPr>
        <w:pStyle w:val="Voetnoottekst"/>
      </w:pPr>
      <w:r w:rsidRPr="00F538FE">
        <w:rPr>
          <w:rStyle w:val="Voetnootmarkering"/>
          <w:rFonts w:ascii="Times New Roman" w:hAnsi="Times New Roman"/>
        </w:rPr>
        <w:footnoteRef/>
      </w:r>
      <w:r w:rsidRPr="00F538FE">
        <w:rPr>
          <w:rFonts w:ascii="Times New Roman" w:hAnsi="Times New Roman"/>
        </w:rPr>
        <w:t xml:space="preserve"> DEN TEULING, A.J.M., ‘Inleiding; motieven voor selectieve vernietiging en bewaring’, </w:t>
      </w:r>
      <w:r w:rsidRPr="00E92A26">
        <w:rPr>
          <w:rFonts w:ascii="Times New Roman" w:hAnsi="Times New Roman"/>
        </w:rPr>
        <w:t xml:space="preserve">KETELAAR, E.; DEN TEULING, A.J.M.; WIJNGAARDEN, J.U. (reds.); </w:t>
      </w:r>
      <w:r w:rsidRPr="00E30116">
        <w:rPr>
          <w:rFonts w:ascii="Times New Roman" w:hAnsi="Times New Roman"/>
          <w:i/>
        </w:rPr>
        <w:t>Archiefbeheer in de praktijk</w:t>
      </w:r>
      <w:r>
        <w:rPr>
          <w:rFonts w:ascii="Times New Roman" w:hAnsi="Times New Roman"/>
        </w:rPr>
        <w:t>, Deventer, Kluwer, 2007, p. 4005-1 (</w:t>
      </w:r>
      <w:hyperlink r:id="rId197" w:history="1">
        <w:r w:rsidRPr="007411C3">
          <w:rPr>
            <w:rStyle w:val="Hyperlink"/>
            <w:rFonts w:ascii="Times New Roman" w:hAnsi="Times New Roman"/>
          </w:rPr>
          <w:t>www.iwabase.nl</w:t>
        </w:r>
      </w:hyperlink>
      <w:r>
        <w:rPr>
          <w:rFonts w:ascii="Times New Roman" w:hAnsi="Times New Roman"/>
        </w:rPr>
        <w:t>).</w:t>
      </w:r>
    </w:p>
  </w:footnote>
  <w:footnote w:id="1229">
    <w:p w:rsidR="00E82D16" w:rsidRPr="00CB2037" w:rsidRDefault="00E82D16" w:rsidP="000F560E">
      <w:pPr>
        <w:pStyle w:val="Voetnoottekst"/>
        <w:jc w:val="both"/>
        <w:rPr>
          <w:rFonts w:ascii="Times New Roman" w:hAnsi="Times New Roman"/>
          <w:lang w:val="en-US"/>
        </w:rPr>
      </w:pPr>
      <w:r w:rsidRPr="00CB2037">
        <w:rPr>
          <w:rStyle w:val="Voetnootmarkering"/>
          <w:rFonts w:ascii="Times New Roman" w:hAnsi="Times New Roman"/>
        </w:rPr>
        <w:footnoteRef/>
      </w:r>
      <w:r w:rsidRPr="00CB2037">
        <w:rPr>
          <w:rFonts w:ascii="Times New Roman" w:hAnsi="Times New Roman"/>
          <w:lang w:val="en-US"/>
        </w:rPr>
        <w:t xml:space="preserve"> SCHELLENBERG, T.R., </w:t>
      </w:r>
      <w:r w:rsidRPr="00CB2037">
        <w:rPr>
          <w:rFonts w:ascii="Times New Roman" w:hAnsi="Times New Roman"/>
          <w:i/>
          <w:lang w:val="en-US"/>
        </w:rPr>
        <w:t>Modern Archives. Principles &amp; Techniques</w:t>
      </w:r>
      <w:r w:rsidRPr="00CB2037">
        <w:rPr>
          <w:rFonts w:ascii="Times New Roman" w:hAnsi="Times New Roman"/>
          <w:lang w:val="en-US"/>
        </w:rPr>
        <w:t>, Chicago, The Society of American Archivists, 2003³, p. 28-30.</w:t>
      </w:r>
    </w:p>
  </w:footnote>
  <w:footnote w:id="1230">
    <w:p w:rsidR="00E82D16" w:rsidRPr="00CB2037" w:rsidRDefault="00E82D16" w:rsidP="008C135C">
      <w:pPr>
        <w:pStyle w:val="Voetnoottekst"/>
        <w:jc w:val="both"/>
      </w:pPr>
      <w:r w:rsidRPr="00CB2037">
        <w:rPr>
          <w:rStyle w:val="Voetnootmarkering"/>
          <w:rFonts w:ascii="Times New Roman" w:hAnsi="Times New Roman"/>
        </w:rPr>
        <w:footnoteRef/>
      </w:r>
      <w:r w:rsidRPr="00CB2037">
        <w:rPr>
          <w:rFonts w:ascii="Times New Roman" w:hAnsi="Times New Roman"/>
        </w:rPr>
        <w:t xml:space="preserve"> DEN TEULING</w:t>
      </w:r>
      <w:r w:rsidRPr="00F538FE">
        <w:rPr>
          <w:rFonts w:ascii="Times New Roman" w:hAnsi="Times New Roman"/>
        </w:rPr>
        <w:t>, A.J.M., ‘</w:t>
      </w:r>
      <w:r>
        <w:rPr>
          <w:rFonts w:ascii="Times New Roman" w:hAnsi="Times New Roman"/>
        </w:rPr>
        <w:t>Criteria voor bewaren of vernietigen</w:t>
      </w:r>
      <w:r w:rsidRPr="00F538FE">
        <w:rPr>
          <w:rFonts w:ascii="Times New Roman" w:hAnsi="Times New Roman"/>
        </w:rPr>
        <w:t xml:space="preserve">’, </w:t>
      </w:r>
      <w:r>
        <w:rPr>
          <w:rFonts w:ascii="Times New Roman" w:hAnsi="Times New Roman"/>
        </w:rPr>
        <w:t xml:space="preserve">KETELAAR; DEN TEULING; </w:t>
      </w:r>
      <w:r w:rsidRPr="00E92A26">
        <w:rPr>
          <w:rFonts w:ascii="Times New Roman" w:hAnsi="Times New Roman"/>
        </w:rPr>
        <w:t>WIJN</w:t>
      </w:r>
      <w:r>
        <w:rPr>
          <w:rFonts w:ascii="Times New Roman" w:hAnsi="Times New Roman"/>
        </w:rPr>
        <w:t>-</w:t>
      </w:r>
      <w:r w:rsidRPr="00E92A26">
        <w:rPr>
          <w:rFonts w:ascii="Times New Roman" w:hAnsi="Times New Roman"/>
        </w:rPr>
        <w:t xml:space="preserve">GAARDEN; </w:t>
      </w:r>
      <w:r w:rsidRPr="00E30116">
        <w:rPr>
          <w:rFonts w:ascii="Times New Roman" w:hAnsi="Times New Roman"/>
          <w:i/>
        </w:rPr>
        <w:t>Archiefbeheer in de praktijk</w:t>
      </w:r>
      <w:r>
        <w:rPr>
          <w:rFonts w:ascii="Times New Roman" w:hAnsi="Times New Roman"/>
        </w:rPr>
        <w:t>, p. 4010-3 – 4010-4.</w:t>
      </w:r>
    </w:p>
  </w:footnote>
  <w:footnote w:id="1231">
    <w:p w:rsidR="00E82D16" w:rsidRPr="00CB2037" w:rsidRDefault="00E82D16" w:rsidP="000F560E">
      <w:pPr>
        <w:pStyle w:val="Voetnoottekst"/>
        <w:rPr>
          <w:rFonts w:ascii="Times New Roman" w:hAnsi="Times New Roman"/>
          <w:lang w:val="en-US"/>
        </w:rPr>
      </w:pPr>
      <w:r w:rsidRPr="00CB2037">
        <w:rPr>
          <w:rStyle w:val="Voetnootmarkering"/>
          <w:rFonts w:ascii="Times New Roman" w:hAnsi="Times New Roman"/>
        </w:rPr>
        <w:footnoteRef/>
      </w:r>
      <w:r w:rsidRPr="00CB2037">
        <w:rPr>
          <w:rFonts w:ascii="Times New Roman" w:hAnsi="Times New Roman"/>
          <w:lang w:val="en-US"/>
        </w:rPr>
        <w:t xml:space="preserve"> Idem, p. 4010-4 – 4010-5.</w:t>
      </w:r>
    </w:p>
  </w:footnote>
  <w:footnote w:id="1232">
    <w:p w:rsidR="00E82D16" w:rsidRPr="00251DF1" w:rsidRDefault="00E82D16" w:rsidP="000F560E">
      <w:pPr>
        <w:pStyle w:val="Voetnoottekst"/>
        <w:jc w:val="both"/>
        <w:rPr>
          <w:rFonts w:ascii="Times New Roman" w:hAnsi="Times New Roman"/>
          <w:lang w:val="en-US"/>
        </w:rPr>
      </w:pPr>
      <w:r w:rsidRPr="00251DF1">
        <w:rPr>
          <w:rStyle w:val="Voetnootmarkering"/>
          <w:rFonts w:ascii="Times New Roman" w:hAnsi="Times New Roman"/>
        </w:rPr>
        <w:footnoteRef/>
      </w:r>
      <w:r w:rsidRPr="00251DF1">
        <w:rPr>
          <w:rFonts w:ascii="Times New Roman" w:hAnsi="Times New Roman"/>
          <w:lang w:val="en-US"/>
        </w:rPr>
        <w:t xml:space="preserve"> Bron: SHEPHERD, E.; YEO, G.; </w:t>
      </w:r>
      <w:r w:rsidRPr="00251DF1">
        <w:rPr>
          <w:rFonts w:ascii="Times New Roman" w:hAnsi="Times New Roman"/>
          <w:i/>
          <w:lang w:val="en-US"/>
        </w:rPr>
        <w:t>Managing records: a handbook of principles and practice</w:t>
      </w:r>
      <w:r w:rsidRPr="00251DF1">
        <w:rPr>
          <w:rFonts w:ascii="Times New Roman" w:hAnsi="Times New Roman"/>
          <w:lang w:val="en-US"/>
        </w:rPr>
        <w:t>, Londen, Facet Publishing, 2003, p. 148 (figuur 5.1).</w:t>
      </w:r>
    </w:p>
  </w:footnote>
  <w:footnote w:id="1233">
    <w:p w:rsidR="00E82D16" w:rsidRPr="00251DF1" w:rsidRDefault="00E82D16" w:rsidP="000F560E">
      <w:pPr>
        <w:pStyle w:val="Voetnoottekst"/>
        <w:jc w:val="both"/>
        <w:rPr>
          <w:rFonts w:ascii="Times New Roman" w:hAnsi="Times New Roman"/>
        </w:rPr>
      </w:pPr>
      <w:r w:rsidRPr="00251DF1">
        <w:rPr>
          <w:rStyle w:val="Voetnootmarkering"/>
          <w:rFonts w:ascii="Times New Roman" w:hAnsi="Times New Roman"/>
        </w:rPr>
        <w:footnoteRef/>
      </w:r>
      <w:r w:rsidRPr="00251DF1">
        <w:rPr>
          <w:rFonts w:ascii="Times New Roman" w:hAnsi="Times New Roman"/>
        </w:rPr>
        <w:t xml:space="preserve"> VAN DEN ASSEM, R.; WALGEMOED, P.; ‘Medische gegevens, de uitdaging van het bewaren, ontsluiten en vernietigen’, </w:t>
      </w:r>
      <w:r w:rsidRPr="00251DF1">
        <w:rPr>
          <w:rFonts w:ascii="Times New Roman" w:hAnsi="Times New Roman"/>
          <w:i/>
        </w:rPr>
        <w:t>Zorgspecial</w:t>
      </w:r>
      <w:r w:rsidRPr="00251DF1">
        <w:rPr>
          <w:rFonts w:ascii="Times New Roman" w:hAnsi="Times New Roman"/>
        </w:rPr>
        <w:t xml:space="preserve">, </w:t>
      </w:r>
      <w:r>
        <w:rPr>
          <w:rFonts w:ascii="Times New Roman" w:hAnsi="Times New Roman"/>
        </w:rPr>
        <w:t>8/1 (</w:t>
      </w:r>
      <w:r w:rsidRPr="00251DF1">
        <w:rPr>
          <w:rFonts w:ascii="Times New Roman" w:hAnsi="Times New Roman"/>
        </w:rPr>
        <w:t>2006</w:t>
      </w:r>
      <w:r>
        <w:rPr>
          <w:rFonts w:ascii="Times New Roman" w:hAnsi="Times New Roman"/>
        </w:rPr>
        <w:t>)</w:t>
      </w:r>
      <w:r w:rsidRPr="00251DF1">
        <w:rPr>
          <w:rFonts w:ascii="Times New Roman" w:hAnsi="Times New Roman"/>
        </w:rPr>
        <w:t>, p. 19.</w:t>
      </w:r>
    </w:p>
  </w:footnote>
  <w:footnote w:id="1234">
    <w:p w:rsidR="00E82D16" w:rsidRPr="002C2399" w:rsidRDefault="00E82D16" w:rsidP="000F560E">
      <w:pPr>
        <w:pStyle w:val="Voetnoottekst"/>
        <w:jc w:val="both"/>
        <w:rPr>
          <w:rFonts w:ascii="Times New Roman" w:hAnsi="Times New Roman"/>
        </w:rPr>
      </w:pPr>
      <w:r w:rsidRPr="002C2399">
        <w:rPr>
          <w:rStyle w:val="Voetnootmarkering"/>
          <w:rFonts w:ascii="Times New Roman" w:hAnsi="Times New Roman"/>
        </w:rPr>
        <w:footnoteRef/>
      </w:r>
      <w:r w:rsidRPr="002C2399">
        <w:rPr>
          <w:rFonts w:ascii="Times New Roman" w:hAnsi="Times New Roman"/>
        </w:rPr>
        <w:t xml:space="preserve"> Voor het trekken van steekproeven als selectiemethode, zie: AERTS, E., </w:t>
      </w:r>
      <w:r w:rsidRPr="002C2399">
        <w:rPr>
          <w:rFonts w:ascii="Times New Roman" w:hAnsi="Times New Roman"/>
          <w:i/>
        </w:rPr>
        <w:t>Archiefselectie vanuit de statistiek: de steekproef in de archivistiek</w:t>
      </w:r>
      <w:r w:rsidRPr="002C2399">
        <w:rPr>
          <w:rFonts w:ascii="Times New Roman" w:hAnsi="Times New Roman"/>
        </w:rPr>
        <w:t>, Miscellanea Archivistica Manuale, 28, Brussel, Algemeen Rijksarchief en Rijks</w:t>
      </w:r>
      <w:r>
        <w:rPr>
          <w:rFonts w:ascii="Times New Roman" w:hAnsi="Times New Roman"/>
        </w:rPr>
        <w:t>-</w:t>
      </w:r>
      <w:r w:rsidRPr="002C2399">
        <w:rPr>
          <w:rFonts w:ascii="Times New Roman" w:hAnsi="Times New Roman"/>
        </w:rPr>
        <w:t>archief in de Provinciën, 1998, 49p.</w:t>
      </w:r>
    </w:p>
  </w:footnote>
  <w:footnote w:id="1235">
    <w:p w:rsidR="00E82D16" w:rsidRPr="00B45CA8" w:rsidRDefault="00E82D16" w:rsidP="000F560E">
      <w:pPr>
        <w:pStyle w:val="Voetnoottekst"/>
        <w:jc w:val="both"/>
        <w:rPr>
          <w:rFonts w:ascii="Times New Roman" w:hAnsi="Times New Roman"/>
          <w:lang w:val="en-US"/>
        </w:rPr>
      </w:pPr>
      <w:r w:rsidRPr="00251DF1">
        <w:rPr>
          <w:rStyle w:val="Voetnootmarkering"/>
          <w:rFonts w:ascii="Times New Roman" w:hAnsi="Times New Roman"/>
        </w:rPr>
        <w:footnoteRef/>
      </w:r>
      <w:r w:rsidRPr="00251DF1">
        <w:rPr>
          <w:rFonts w:ascii="Times New Roman" w:hAnsi="Times New Roman"/>
        </w:rPr>
        <w:t xml:space="preserve"> NUYTTENS, </w:t>
      </w:r>
      <w:r>
        <w:rPr>
          <w:rFonts w:ascii="Times New Roman" w:hAnsi="Times New Roman"/>
        </w:rPr>
        <w:t xml:space="preserve">M., </w:t>
      </w:r>
      <w:r w:rsidRPr="00251DF1">
        <w:rPr>
          <w:rFonts w:ascii="Times New Roman" w:hAnsi="Times New Roman"/>
          <w:i/>
          <w:iCs/>
        </w:rPr>
        <w:t>Inspectieverslag betreffende het archief van openbare ziekenhuizen in de provincie West-Vlaanderen: met voorstel van richtlijnen voor het beheer en de selectie van ziekenhuisarchieven</w:t>
      </w:r>
      <w:r w:rsidRPr="00251DF1">
        <w:rPr>
          <w:rFonts w:ascii="Times New Roman" w:hAnsi="Times New Roman"/>
        </w:rPr>
        <w:t>, Miscellania ar</w:t>
      </w:r>
      <w:r>
        <w:rPr>
          <w:rFonts w:ascii="Times New Roman" w:hAnsi="Times New Roman"/>
        </w:rPr>
        <w:t>-</w:t>
      </w:r>
      <w:r w:rsidRPr="00251DF1">
        <w:rPr>
          <w:rFonts w:ascii="Times New Roman" w:hAnsi="Times New Roman"/>
        </w:rPr>
        <w:t xml:space="preserve">chivistica. </w:t>
      </w:r>
      <w:r w:rsidRPr="00B45CA8">
        <w:rPr>
          <w:rFonts w:ascii="Times New Roman" w:hAnsi="Times New Roman"/>
          <w:lang w:val="en-US"/>
        </w:rPr>
        <w:t>Studia 165, Brussel, Algemeen rijksarchief, 2005, p. 64.</w:t>
      </w:r>
    </w:p>
  </w:footnote>
  <w:footnote w:id="1236">
    <w:p w:rsidR="00E82D16" w:rsidRPr="00E333B6" w:rsidRDefault="00E82D16" w:rsidP="000F560E">
      <w:pPr>
        <w:pStyle w:val="Voetnoottekst"/>
        <w:jc w:val="both"/>
        <w:rPr>
          <w:rFonts w:ascii="Times New Roman" w:hAnsi="Times New Roman"/>
        </w:rPr>
      </w:pPr>
      <w:r w:rsidRPr="002C2399">
        <w:rPr>
          <w:rStyle w:val="Voetnootmarkering"/>
          <w:rFonts w:ascii="Times New Roman" w:hAnsi="Times New Roman"/>
        </w:rPr>
        <w:footnoteRef/>
      </w:r>
      <w:r w:rsidRPr="002C2399">
        <w:rPr>
          <w:rFonts w:ascii="Times New Roman" w:hAnsi="Times New Roman"/>
          <w:lang w:val="en-US"/>
        </w:rPr>
        <w:t xml:space="preserve"> Bron: MAXWELL-STEWART; SHEPPARD; YEO; </w:t>
      </w:r>
      <w:r w:rsidRPr="002C2399">
        <w:rPr>
          <w:rFonts w:ascii="Times New Roman" w:hAnsi="Times New Roman"/>
          <w:i/>
          <w:lang w:val="en-US"/>
        </w:rPr>
        <w:t xml:space="preserve">Hospital Patient Case Records. </w:t>
      </w:r>
      <w:r w:rsidRPr="00E333B6">
        <w:rPr>
          <w:rFonts w:ascii="Times New Roman" w:hAnsi="Times New Roman"/>
          <w:i/>
        </w:rPr>
        <w:t>A Guide to Their Re</w:t>
      </w:r>
      <w:r>
        <w:rPr>
          <w:rFonts w:ascii="Times New Roman" w:hAnsi="Times New Roman"/>
          <w:i/>
        </w:rPr>
        <w:t>-</w:t>
      </w:r>
      <w:r w:rsidRPr="00E333B6">
        <w:rPr>
          <w:rFonts w:ascii="Times New Roman" w:hAnsi="Times New Roman"/>
          <w:i/>
        </w:rPr>
        <w:t>tention and Disposal</w:t>
      </w:r>
      <w:r w:rsidRPr="00E333B6">
        <w:rPr>
          <w:rFonts w:ascii="Times New Roman" w:hAnsi="Times New Roman"/>
        </w:rPr>
        <w:t>, p. 6.</w:t>
      </w:r>
    </w:p>
  </w:footnote>
  <w:footnote w:id="123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 2° van het KB van 15 juni 1998 tot uitvoering van artikel 86</w:t>
      </w:r>
      <w:r w:rsidRPr="00052001">
        <w:rPr>
          <w:rFonts w:ascii="Times New Roman" w:hAnsi="Times New Roman"/>
          <w:i/>
        </w:rPr>
        <w:t xml:space="preserve">bis </w:t>
      </w:r>
      <w:r w:rsidRPr="00052001">
        <w:rPr>
          <w:rFonts w:ascii="Times New Roman" w:hAnsi="Times New Roman"/>
        </w:rPr>
        <w:t>van de wet op de openbare zieken</w:t>
      </w:r>
      <w:r>
        <w:rPr>
          <w:rFonts w:ascii="Times New Roman" w:hAnsi="Times New Roman"/>
        </w:rPr>
        <w:t>-</w:t>
      </w:r>
      <w:r w:rsidRPr="00052001">
        <w:rPr>
          <w:rFonts w:ascii="Times New Roman" w:hAnsi="Times New Roman"/>
        </w:rPr>
        <w:t>huizen, gecoördineerd op 7 augustus 1987 (</w:t>
      </w:r>
      <w:r w:rsidRPr="00052001">
        <w:rPr>
          <w:rFonts w:ascii="Times New Roman" w:hAnsi="Times New Roman"/>
          <w:i/>
        </w:rPr>
        <w:t>BS</w:t>
      </w:r>
      <w:r w:rsidRPr="00052001">
        <w:rPr>
          <w:rFonts w:ascii="Times New Roman" w:hAnsi="Times New Roman"/>
        </w:rPr>
        <w:t xml:space="preserve"> 17 juli 1998), gewijzigd door art. 1 van het KB van 2 oktober 2000 (</w:t>
      </w:r>
      <w:r w:rsidRPr="00052001">
        <w:rPr>
          <w:rFonts w:ascii="Times New Roman" w:hAnsi="Times New Roman"/>
          <w:i/>
        </w:rPr>
        <w:t>BS</w:t>
      </w:r>
      <w:r w:rsidRPr="00052001">
        <w:rPr>
          <w:rFonts w:ascii="Times New Roman" w:hAnsi="Times New Roman"/>
        </w:rPr>
        <w:t xml:space="preserve"> 25 oktober 2000). Met dank aan Kathleen Devolder, die mij hier attent op maakte.</w:t>
      </w:r>
    </w:p>
  </w:footnote>
  <w:footnote w:id="123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Brief van Karel Velle aan Willem Debeuckelaere, opgesteld te Brussel op 22 oktober 2008. Met dank aan mijn promotor, prof. dr. Karel Velle, die mij de documenten van deze briefwisseling bezorgde. </w:t>
      </w:r>
    </w:p>
  </w:footnote>
  <w:footnote w:id="123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Ontvangstmelding van Patrick Van Wouwe aan Karel Velle, verzonden te Brussel op 27 oktober 2008. Twee dagen later kwam deze ontvangstmelding op de plaats van bestemming aan.</w:t>
      </w:r>
    </w:p>
  </w:footnote>
  <w:footnote w:id="1240">
    <w:p w:rsidR="00E82D16" w:rsidRPr="00052001" w:rsidRDefault="00E82D16" w:rsidP="000F560E">
      <w:pPr>
        <w:pStyle w:val="Voetnoottekst"/>
        <w:jc w:val="both"/>
        <w:rPr>
          <w:rFonts w:ascii="Times New Roman" w:hAnsi="Times New Roman"/>
          <w:i/>
        </w:rPr>
      </w:pPr>
      <w:r w:rsidRPr="00052001">
        <w:rPr>
          <w:rStyle w:val="Voetnootmarkering"/>
          <w:rFonts w:ascii="Times New Roman" w:hAnsi="Times New Roman"/>
        </w:rPr>
        <w:footnoteRef/>
      </w:r>
      <w:r w:rsidRPr="00052001">
        <w:rPr>
          <w:rFonts w:ascii="Times New Roman" w:hAnsi="Times New Roman"/>
        </w:rPr>
        <w:t xml:space="preserve"> DEKEYSER, H., </w:t>
      </w:r>
      <w:r w:rsidRPr="00052001">
        <w:rPr>
          <w:rFonts w:ascii="Times New Roman" w:hAnsi="Times New Roman"/>
          <w:i/>
        </w:rPr>
        <w:t>Dossier betreffende de bewaring van medische dossiers langer dan 30 jaar voor historisch, statistisch en wetenschappelijk onderzoek – Wet van 8 december 1992 (hierna de “privacywet”)</w:t>
      </w:r>
      <w:r w:rsidRPr="00052001">
        <w:rPr>
          <w:rFonts w:ascii="Times New Roman" w:hAnsi="Times New Roman"/>
        </w:rPr>
        <w:t>, Brussel, 20 de</w:t>
      </w:r>
      <w:r>
        <w:rPr>
          <w:rFonts w:ascii="Times New Roman" w:hAnsi="Times New Roman"/>
        </w:rPr>
        <w:t>-</w:t>
      </w:r>
      <w:r w:rsidRPr="00052001">
        <w:rPr>
          <w:rFonts w:ascii="Times New Roman" w:hAnsi="Times New Roman"/>
        </w:rPr>
        <w:t>cember 2011, 9p. Het Algemeen Rijksarchief ontving het rapport twee dagen verzending.</w:t>
      </w:r>
    </w:p>
  </w:footnote>
  <w:footnote w:id="124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MEURISSE, F., ‘OCMW Izegem doet haar 54 revalidatiebedden van de hand. Sint-Jozefskliniek neemt Ten Bos over’, </w:t>
      </w:r>
      <w:r w:rsidRPr="00052001">
        <w:rPr>
          <w:rFonts w:ascii="Times New Roman" w:hAnsi="Times New Roman"/>
          <w:i/>
        </w:rPr>
        <w:t>Het Nieuwsblad</w:t>
      </w:r>
      <w:r w:rsidRPr="00052001">
        <w:rPr>
          <w:rFonts w:ascii="Times New Roman" w:hAnsi="Times New Roman"/>
        </w:rPr>
        <w:t>, 26 augustus 2011.</w:t>
      </w:r>
    </w:p>
  </w:footnote>
  <w:footnote w:id="1242">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VERSCHAEREN, J., ‘O.C.M.W.-ziekenhuisarchieven: problemen van selectie en bewaring’, MARÉCHAL, G.</w:t>
      </w:r>
      <w:r>
        <w:rPr>
          <w:rFonts w:ascii="Times New Roman" w:hAnsi="Times New Roman"/>
        </w:rPr>
        <w:t xml:space="preserve"> (red.)</w:t>
      </w:r>
      <w:r w:rsidRPr="00052001">
        <w:rPr>
          <w:rFonts w:ascii="Times New Roman" w:hAnsi="Times New Roman"/>
        </w:rPr>
        <w:t xml:space="preserve">, </w:t>
      </w:r>
      <w:r w:rsidRPr="00052001">
        <w:rPr>
          <w:rFonts w:ascii="Times New Roman" w:hAnsi="Times New Roman"/>
          <w:i/>
        </w:rPr>
        <w:t>‘Een kompas met vele streken’. Studies over Antwerpen, scheepvaart en archivistiek aangeboden aan dr. Gustaaf Asaert ter gelegenheid van zijn 65ste verjaardag</w:t>
      </w:r>
      <w:r w:rsidRPr="00052001">
        <w:rPr>
          <w:rFonts w:ascii="Times New Roman" w:hAnsi="Times New Roman"/>
        </w:rPr>
        <w:t>, Antwerpen, VVBAD, 1994, p. 216.</w:t>
      </w:r>
    </w:p>
  </w:footnote>
  <w:footnote w:id="124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Acuut ziekenhuis.</w:t>
      </w:r>
    </w:p>
  </w:footnote>
  <w:footnote w:id="124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Algemeen ziekenhuis met een universitair karakter.</w:t>
      </w:r>
    </w:p>
  </w:footnote>
  <w:footnote w:id="124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Gespecialiseerd geriatrisch ziekenhuis.</w:t>
      </w:r>
    </w:p>
  </w:footnote>
  <w:footnote w:id="1246">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Geriatrisch ziekenhuis.</w:t>
      </w:r>
    </w:p>
  </w:footnote>
  <w:footnote w:id="124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Gespecialiseerd ziekenhuis.</w:t>
      </w:r>
    </w:p>
  </w:footnote>
  <w:footnote w:id="124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Universitair ziekenhuis.</w:t>
      </w:r>
    </w:p>
  </w:footnote>
  <w:footnote w:id="1249">
    <w:p w:rsidR="00E82D16" w:rsidRPr="00BA3668" w:rsidRDefault="00E82D16" w:rsidP="000F560E">
      <w:pPr>
        <w:pStyle w:val="Voetnoottekst"/>
        <w:jc w:val="both"/>
        <w:rPr>
          <w:rFonts w:ascii="Times New Roman" w:hAnsi="Times New Roman"/>
        </w:rPr>
      </w:pPr>
      <w:r w:rsidRPr="00BA3668">
        <w:rPr>
          <w:rStyle w:val="Voetnootmarkering"/>
          <w:rFonts w:ascii="Times New Roman" w:hAnsi="Times New Roman"/>
        </w:rPr>
        <w:footnoteRef/>
      </w:r>
      <w:r w:rsidRPr="00BA3668">
        <w:rPr>
          <w:rFonts w:ascii="Times New Roman" w:hAnsi="Times New Roman"/>
        </w:rPr>
        <w:t xml:space="preserve"> De lijst met privaat- en publiekrechtelijke algemene en psychiatrische ziekenhuizen op 1 januari 2012 werd mij op 5 april 2012 per e-mail bezorgd door Kathleen Devolder, waarvoor dank. Deze lijst werd aangevuld met gegevens van diverse websites:  </w:t>
      </w:r>
      <w:hyperlink r:id="rId198" w:history="1">
        <w:r w:rsidRPr="002E0847">
          <w:rPr>
            <w:rStyle w:val="Hyperlink"/>
            <w:rFonts w:ascii="Times New Roman" w:hAnsi="Times New Roman"/>
          </w:rPr>
          <w:t>http://www.belgium.be/nl/gezondheid/gezondheidszorg/medische_diensten/ ziekenhuizen/</w:t>
        </w:r>
      </w:hyperlink>
      <w:r>
        <w:rPr>
          <w:rFonts w:ascii="Times New Roman" w:hAnsi="Times New Roman"/>
        </w:rPr>
        <w:t xml:space="preserve">; </w:t>
      </w:r>
      <w:hyperlink r:id="rId199" w:history="1">
        <w:r w:rsidRPr="00BA3668">
          <w:rPr>
            <w:rStyle w:val="Hyperlink"/>
            <w:rFonts w:ascii="Times New Roman" w:hAnsi="Times New Roman"/>
          </w:rPr>
          <w:t>http://www.ccc-ggc.irisnet.be/nl/erkende-instellingen/gezondheidzorg/</w:t>
        </w:r>
      </w:hyperlink>
      <w:r>
        <w:rPr>
          <w:rFonts w:ascii="Times New Roman" w:hAnsi="Times New Roman"/>
        </w:rPr>
        <w:t xml:space="preserve">; </w:t>
      </w:r>
      <w:hyperlink r:id="rId200" w:history="1">
        <w:r w:rsidRPr="00BA3668">
          <w:rPr>
            <w:rStyle w:val="Hyperlink"/>
            <w:rFonts w:ascii="Times New Roman" w:hAnsi="Times New Roman"/>
          </w:rPr>
          <w:t>http://www.hospindex.be</w:t>
        </w:r>
      </w:hyperlink>
      <w:r w:rsidRPr="00BA3668">
        <w:rPr>
          <w:rFonts w:ascii="Times New Roman" w:hAnsi="Times New Roman"/>
        </w:rPr>
        <w:t xml:space="preserve">; </w:t>
      </w:r>
      <w:hyperlink r:id="rId201" w:history="1">
        <w:r w:rsidRPr="00EA26DD">
          <w:rPr>
            <w:rStyle w:val="Hyperlink"/>
            <w:rFonts w:ascii="Times New Roman" w:hAnsi="Times New Roman"/>
          </w:rPr>
          <w:t>http://www.hospitals.be/nederlands/ziekenhuizen.html</w:t>
        </w:r>
      </w:hyperlink>
      <w:r w:rsidRPr="00BA3668">
        <w:rPr>
          <w:rFonts w:ascii="Times New Roman" w:hAnsi="Times New Roman"/>
        </w:rPr>
        <w:t xml:space="preserve"> en </w:t>
      </w:r>
      <w:hyperlink r:id="rId202" w:history="1">
        <w:r w:rsidRPr="00EA26DD">
          <w:rPr>
            <w:rStyle w:val="Hyperlink"/>
            <w:rFonts w:ascii="Times New Roman" w:hAnsi="Times New Roman"/>
          </w:rPr>
          <w:t>http://www.zorg-en-gezondheid.be/uploadedFiles/ NLsite_v2/Rapporten/p_v_i_im_020_e007_overzicht%20algemene%20ziekenhuizen%20met%20vermelding%20van%20uitbatingsplaatsen.pdf</w:t>
        </w:r>
      </w:hyperlink>
      <w:r w:rsidRPr="00BA3668">
        <w:rPr>
          <w:rFonts w:ascii="Times New Roman" w:hAnsi="Times New Roman"/>
        </w:rPr>
        <w:t xml:space="preserve">. </w:t>
      </w:r>
    </w:p>
  </w:footnote>
  <w:footnote w:id="1250">
    <w:p w:rsidR="00E82D16" w:rsidRPr="00BA3668" w:rsidRDefault="00E82D16" w:rsidP="000F560E">
      <w:pPr>
        <w:pStyle w:val="Voetnoottekst"/>
        <w:rPr>
          <w:rFonts w:ascii="Times New Roman" w:hAnsi="Times New Roman"/>
        </w:rPr>
      </w:pPr>
      <w:r w:rsidRPr="00BA3668">
        <w:rPr>
          <w:rStyle w:val="Voetnootmarkering"/>
          <w:rFonts w:ascii="Times New Roman" w:hAnsi="Times New Roman"/>
        </w:rPr>
        <w:footnoteRef/>
      </w:r>
      <w:r w:rsidRPr="00BA3668">
        <w:rPr>
          <w:rFonts w:ascii="Times New Roman" w:hAnsi="Times New Roman"/>
        </w:rPr>
        <w:t xml:space="preserve"> Idem.</w:t>
      </w:r>
    </w:p>
  </w:footnote>
  <w:footnote w:id="1251">
    <w:p w:rsidR="00E82D16" w:rsidRPr="00BA3668" w:rsidRDefault="00E82D16" w:rsidP="000F560E">
      <w:pPr>
        <w:pStyle w:val="Voetnoottekst"/>
        <w:rPr>
          <w:rFonts w:ascii="Times New Roman" w:hAnsi="Times New Roman"/>
        </w:rPr>
      </w:pPr>
      <w:r w:rsidRPr="00BA3668">
        <w:rPr>
          <w:rStyle w:val="Voetnootmarkering"/>
          <w:rFonts w:ascii="Times New Roman" w:hAnsi="Times New Roman"/>
        </w:rPr>
        <w:footnoteRef/>
      </w:r>
      <w:r w:rsidRPr="00BA3668">
        <w:rPr>
          <w:rFonts w:ascii="Times New Roman" w:hAnsi="Times New Roman"/>
        </w:rPr>
        <w:t xml:space="preserve"> Idem.</w:t>
      </w:r>
      <w:r>
        <w:rPr>
          <w:rFonts w:ascii="Times New Roman" w:hAnsi="Times New Roman"/>
        </w:rPr>
        <w:t xml:space="preserve"> </w:t>
      </w:r>
    </w:p>
  </w:footnote>
  <w:footnote w:id="1252">
    <w:p w:rsidR="00E82D16" w:rsidRDefault="00E82D16" w:rsidP="000F560E">
      <w:pPr>
        <w:pStyle w:val="Voetnoottekst"/>
      </w:pPr>
      <w:r w:rsidRPr="00BA3668">
        <w:rPr>
          <w:rStyle w:val="Voetnootmarkering"/>
          <w:rFonts w:ascii="Times New Roman" w:hAnsi="Times New Roman"/>
        </w:rPr>
        <w:footnoteRef/>
      </w:r>
      <w:r w:rsidRPr="00BA3668">
        <w:rPr>
          <w:rFonts w:ascii="Times New Roman" w:hAnsi="Times New Roman"/>
        </w:rPr>
        <w:t xml:space="preserve"> Idem.</w:t>
      </w:r>
    </w:p>
  </w:footnote>
  <w:footnote w:id="125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Ze zijn immers niet opgenomen in in Hoofdstuk III: Vrijstellingen van het KB van 18 augustus 2010 </w:t>
      </w:r>
      <w:r>
        <w:rPr>
          <w:rFonts w:ascii="Times New Roman" w:hAnsi="Times New Roman"/>
        </w:rPr>
        <w:t>(1)</w:t>
      </w:r>
      <w:r w:rsidRPr="00052001">
        <w:rPr>
          <w:rFonts w:ascii="Times New Roman" w:hAnsi="Times New Roman"/>
        </w:rPr>
        <w:t>.</w:t>
      </w:r>
    </w:p>
  </w:footnote>
  <w:footnote w:id="125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Cf. art. 1 § 1 Archiefwet</w:t>
      </w:r>
      <w:r>
        <w:rPr>
          <w:rFonts w:ascii="Times New Roman" w:hAnsi="Times New Roman"/>
        </w:rPr>
        <w:t xml:space="preserve">; ‘Oude archieven [overbrenging naar Rijksarchief ingekort van 100 naar 30 jaar]’, </w:t>
      </w:r>
      <w:r>
        <w:rPr>
          <w:rFonts w:ascii="Times New Roman" w:hAnsi="Times New Roman"/>
          <w:i/>
        </w:rPr>
        <w:t>Juristenkrant</w:t>
      </w:r>
      <w:r>
        <w:rPr>
          <w:rFonts w:ascii="Times New Roman" w:hAnsi="Times New Roman"/>
        </w:rPr>
        <w:t xml:space="preserve">, 215 (2010), p. 7; ‘Oude archieven’, </w:t>
      </w:r>
      <w:r>
        <w:rPr>
          <w:rFonts w:ascii="Times New Roman" w:hAnsi="Times New Roman"/>
          <w:i/>
        </w:rPr>
        <w:t>N.J.W.</w:t>
      </w:r>
      <w:r>
        <w:rPr>
          <w:rFonts w:ascii="Times New Roman" w:hAnsi="Times New Roman"/>
        </w:rPr>
        <w:t>, 229 (2010), p. 656-657</w:t>
      </w:r>
      <w:r w:rsidRPr="00052001">
        <w:rPr>
          <w:rFonts w:ascii="Times New Roman" w:hAnsi="Times New Roman"/>
        </w:rPr>
        <w:t>. Het stappenplan voor de over</w:t>
      </w:r>
      <w:r>
        <w:rPr>
          <w:rFonts w:ascii="Times New Roman" w:hAnsi="Times New Roman"/>
        </w:rPr>
        <w:t>-</w:t>
      </w:r>
      <w:r w:rsidRPr="00052001">
        <w:rPr>
          <w:rFonts w:ascii="Times New Roman" w:hAnsi="Times New Roman"/>
        </w:rPr>
        <w:t xml:space="preserve">brenging van niet-digitaal overheidsarchief naar het Rijksarchief kan geraadpleegd worden op: </w:t>
      </w:r>
      <w:hyperlink r:id="rId203" w:history="1">
        <w:r w:rsidRPr="00052001">
          <w:rPr>
            <w:rStyle w:val="Hyperlink"/>
            <w:rFonts w:ascii="Times New Roman" w:hAnsi="Times New Roman"/>
          </w:rPr>
          <w:t>arch.arch.be/</w:t>
        </w:r>
        <w:r>
          <w:rPr>
            <w:rStyle w:val="Hyperlink"/>
            <w:rFonts w:ascii="Times New Roman" w:hAnsi="Times New Roman"/>
          </w:rPr>
          <w:t xml:space="preserve"> </w:t>
        </w:r>
        <w:r w:rsidRPr="00052001">
          <w:rPr>
            <w:rStyle w:val="Hyperlink"/>
            <w:rFonts w:ascii="Times New Roman" w:hAnsi="Times New Roman"/>
          </w:rPr>
          <w:t>images/stories/brochure_surveillance/archiefoverbrenging.pdf</w:t>
        </w:r>
      </w:hyperlink>
      <w:r w:rsidRPr="00052001">
        <w:rPr>
          <w:rFonts w:ascii="Times New Roman" w:hAnsi="Times New Roman"/>
        </w:rPr>
        <w:t>.</w:t>
      </w:r>
    </w:p>
  </w:footnote>
  <w:footnote w:id="125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12 § 1 van het KB van 18 augustus 2010 </w:t>
      </w:r>
      <w:r>
        <w:rPr>
          <w:rFonts w:ascii="Times New Roman" w:hAnsi="Times New Roman"/>
        </w:rPr>
        <w:t xml:space="preserve">(1); ‘Toezicht en vernietiging archieven’, </w:t>
      </w:r>
      <w:r>
        <w:rPr>
          <w:rFonts w:ascii="Times New Roman" w:hAnsi="Times New Roman"/>
          <w:i/>
        </w:rPr>
        <w:t>N.J.W.</w:t>
      </w:r>
      <w:r>
        <w:rPr>
          <w:rFonts w:ascii="Times New Roman" w:hAnsi="Times New Roman"/>
        </w:rPr>
        <w:t>, 229 (2010), p. 656</w:t>
      </w:r>
      <w:r w:rsidRPr="00052001">
        <w:rPr>
          <w:rFonts w:ascii="Times New Roman" w:hAnsi="Times New Roman"/>
        </w:rPr>
        <w:t>.</w:t>
      </w:r>
    </w:p>
  </w:footnote>
  <w:footnote w:id="1256">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16 van het KB van 18 augustus 2010 </w:t>
      </w:r>
      <w:r>
        <w:rPr>
          <w:rFonts w:ascii="Times New Roman" w:hAnsi="Times New Roman"/>
        </w:rPr>
        <w:t>(1)</w:t>
      </w:r>
      <w:r w:rsidRPr="00052001">
        <w:rPr>
          <w:rFonts w:ascii="Times New Roman" w:hAnsi="Times New Roman"/>
        </w:rPr>
        <w:t>.</w:t>
      </w:r>
    </w:p>
  </w:footnote>
  <w:footnote w:id="125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13 § 1 van het KB van 18 augustus 2010 </w:t>
      </w:r>
      <w:r>
        <w:rPr>
          <w:rFonts w:ascii="Times New Roman" w:hAnsi="Times New Roman"/>
        </w:rPr>
        <w:t>(1)</w:t>
      </w:r>
      <w:r w:rsidRPr="00052001">
        <w:rPr>
          <w:rFonts w:ascii="Times New Roman" w:hAnsi="Times New Roman"/>
        </w:rPr>
        <w:t xml:space="preserve">; art. 11 tot art. 15 van het KB van 18 augustus 2010 </w:t>
      </w:r>
      <w:r>
        <w:rPr>
          <w:rFonts w:ascii="Times New Roman" w:hAnsi="Times New Roman"/>
        </w:rPr>
        <w:t>(2)</w:t>
      </w:r>
      <w:r w:rsidRPr="00052001">
        <w:rPr>
          <w:rFonts w:ascii="Times New Roman" w:hAnsi="Times New Roman"/>
        </w:rPr>
        <w:t>.</w:t>
      </w:r>
    </w:p>
  </w:footnote>
  <w:footnote w:id="125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15 van het KB van 18 augustus 2010 </w:t>
      </w:r>
      <w:r>
        <w:rPr>
          <w:rFonts w:ascii="Times New Roman" w:hAnsi="Times New Roman"/>
        </w:rPr>
        <w:t>(1)</w:t>
      </w:r>
      <w:r w:rsidRPr="00052001">
        <w:rPr>
          <w:rFonts w:ascii="Times New Roman" w:hAnsi="Times New Roman"/>
        </w:rPr>
        <w:t>.</w:t>
      </w:r>
    </w:p>
  </w:footnote>
  <w:footnote w:id="125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17 van het KB van 18 augustus 2010 </w:t>
      </w:r>
      <w:r>
        <w:rPr>
          <w:rFonts w:ascii="Times New Roman" w:hAnsi="Times New Roman"/>
        </w:rPr>
        <w:t>(1)</w:t>
      </w:r>
      <w:r w:rsidRPr="00052001">
        <w:rPr>
          <w:rFonts w:ascii="Times New Roman" w:hAnsi="Times New Roman"/>
        </w:rPr>
        <w:t>.</w:t>
      </w:r>
    </w:p>
  </w:footnote>
  <w:footnote w:id="126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12 § 3 van het KB van 18 augustus 2010 </w:t>
      </w:r>
      <w:r>
        <w:rPr>
          <w:rFonts w:ascii="Times New Roman" w:hAnsi="Times New Roman"/>
        </w:rPr>
        <w:t>(1)</w:t>
      </w:r>
      <w:r w:rsidRPr="00052001">
        <w:rPr>
          <w:rFonts w:ascii="Times New Roman" w:hAnsi="Times New Roman"/>
        </w:rPr>
        <w:t>.</w:t>
      </w:r>
    </w:p>
  </w:footnote>
  <w:footnote w:id="126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14 van het KB van 18 augustus 2010 </w:t>
      </w:r>
      <w:r>
        <w:rPr>
          <w:rFonts w:ascii="Times New Roman" w:hAnsi="Times New Roman"/>
        </w:rPr>
        <w:t>(1)</w:t>
      </w:r>
      <w:r w:rsidRPr="00052001">
        <w:rPr>
          <w:rFonts w:ascii="Times New Roman" w:hAnsi="Times New Roman"/>
        </w:rPr>
        <w:t>.</w:t>
      </w:r>
    </w:p>
  </w:footnote>
  <w:footnote w:id="1262">
    <w:p w:rsidR="00E82D16" w:rsidRPr="00B012AF" w:rsidRDefault="00E82D16" w:rsidP="000F560E">
      <w:pPr>
        <w:pStyle w:val="Voetnoottekst"/>
        <w:jc w:val="both"/>
        <w:rPr>
          <w:rFonts w:ascii="Times New Roman" w:hAnsi="Times New Roman"/>
        </w:rPr>
      </w:pPr>
      <w:r w:rsidRPr="00B012AF">
        <w:rPr>
          <w:rStyle w:val="Voetnootmarkering"/>
          <w:rFonts w:ascii="Times New Roman" w:hAnsi="Times New Roman"/>
        </w:rPr>
        <w:footnoteRef/>
      </w:r>
      <w:r w:rsidRPr="00B012AF">
        <w:rPr>
          <w:rFonts w:ascii="Times New Roman" w:hAnsi="Times New Roman"/>
        </w:rPr>
        <w:t xml:space="preserve"> ‘Toezicht en vernietiging archhieven’, p. 656.</w:t>
      </w:r>
    </w:p>
  </w:footnote>
  <w:footnote w:id="1263">
    <w:p w:rsidR="00E82D16" w:rsidRPr="00052001" w:rsidRDefault="00E82D16" w:rsidP="000F560E">
      <w:pPr>
        <w:pStyle w:val="Voetnoottekst"/>
        <w:jc w:val="both"/>
        <w:rPr>
          <w:rFonts w:ascii="Times New Roman" w:hAnsi="Times New Roman"/>
          <w:lang w:val="en-US"/>
        </w:rPr>
      </w:pPr>
      <w:r w:rsidRPr="00052001">
        <w:rPr>
          <w:rStyle w:val="Voetnootmarkering"/>
          <w:rFonts w:ascii="Times New Roman" w:hAnsi="Times New Roman"/>
        </w:rPr>
        <w:footnoteRef/>
      </w:r>
      <w:r w:rsidRPr="00052001">
        <w:rPr>
          <w:rFonts w:ascii="Times New Roman" w:hAnsi="Times New Roman"/>
          <w:lang w:val="en-US"/>
        </w:rPr>
        <w:t xml:space="preserve"> Art. 7 § 1 Privacywet.</w:t>
      </w:r>
    </w:p>
  </w:footnote>
  <w:footnote w:id="1264">
    <w:p w:rsidR="00E82D16" w:rsidRPr="00052001" w:rsidRDefault="00E82D16" w:rsidP="000F560E">
      <w:pPr>
        <w:pStyle w:val="Voetnoottekst"/>
        <w:jc w:val="both"/>
        <w:rPr>
          <w:rFonts w:ascii="Times New Roman" w:hAnsi="Times New Roman"/>
          <w:lang w:val="en-US"/>
        </w:rPr>
      </w:pPr>
      <w:r w:rsidRPr="00052001">
        <w:rPr>
          <w:rStyle w:val="Voetnootmarkering"/>
          <w:rFonts w:ascii="Times New Roman" w:hAnsi="Times New Roman"/>
        </w:rPr>
        <w:footnoteRef/>
      </w:r>
      <w:r w:rsidRPr="00052001">
        <w:rPr>
          <w:rFonts w:ascii="Times New Roman" w:hAnsi="Times New Roman"/>
          <w:lang w:val="en-US"/>
        </w:rPr>
        <w:t xml:space="preserve"> Art. 7 § 2, k Privacywet.</w:t>
      </w:r>
    </w:p>
  </w:footnote>
  <w:footnote w:id="126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7 § 2, e Privacywet.</w:t>
      </w:r>
    </w:p>
  </w:footnote>
  <w:footnote w:id="1266">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Advies nr. 24/96 van 13 september 1996 van de CBPL betreffende de raadpleging van de dossiers van de Vreemdelingenpolitie die in het Rijksarchief zijn neergelegd, p. 5; advies nr. 21/2005 van 30 november 2005 be</w:t>
      </w:r>
      <w:r>
        <w:rPr>
          <w:rFonts w:ascii="Times New Roman" w:hAnsi="Times New Roman"/>
        </w:rPr>
        <w:t>-</w:t>
      </w:r>
      <w:r w:rsidRPr="00052001">
        <w:rPr>
          <w:rFonts w:ascii="Times New Roman" w:hAnsi="Times New Roman"/>
        </w:rPr>
        <w:t>treffende het voorstel van amendement op de internationale akkoorden van Bonn van 6 juni 1955 teneinde de mededeling mogelijk te maken van een kopie van de archieven van de internationale dienst voor opzoekingen opgericht te Arolsen, alsook de terbeschikkingstelling ervan aan het publiek voor academisch en ander onder</w:t>
      </w:r>
      <w:r>
        <w:rPr>
          <w:rFonts w:ascii="Times New Roman" w:hAnsi="Times New Roman"/>
        </w:rPr>
        <w:t>-</w:t>
      </w:r>
      <w:r w:rsidRPr="00052001">
        <w:rPr>
          <w:rFonts w:ascii="Times New Roman" w:hAnsi="Times New Roman"/>
        </w:rPr>
        <w:t xml:space="preserve">zoek, p. 7. Cf. DEKEYSER, H., </w:t>
      </w:r>
      <w:r w:rsidRPr="00052001">
        <w:rPr>
          <w:rFonts w:ascii="Times New Roman" w:hAnsi="Times New Roman"/>
          <w:i/>
        </w:rPr>
        <w:t>Dossier betreffende de bewaring van medische dossiers langer dan 30 jaar voor historisch, statistisch en wetenschappelijk onderzoek</w:t>
      </w:r>
      <w:r w:rsidRPr="00052001">
        <w:rPr>
          <w:rFonts w:ascii="Times New Roman" w:hAnsi="Times New Roman"/>
        </w:rPr>
        <w:t>, p. 4.</w:t>
      </w:r>
    </w:p>
  </w:footnote>
  <w:footnote w:id="126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17 van het KB van 18 augustus 2010 </w:t>
      </w:r>
      <w:r>
        <w:rPr>
          <w:rFonts w:ascii="Times New Roman" w:hAnsi="Times New Roman"/>
        </w:rPr>
        <w:t>(1)</w:t>
      </w:r>
      <w:r w:rsidRPr="00052001">
        <w:rPr>
          <w:rFonts w:ascii="Times New Roman" w:hAnsi="Times New Roman"/>
        </w:rPr>
        <w:t>.</w:t>
      </w:r>
    </w:p>
  </w:footnote>
  <w:footnote w:id="1268">
    <w:p w:rsidR="00E82D16" w:rsidRPr="00E333B6" w:rsidRDefault="00E82D16" w:rsidP="000F560E">
      <w:pPr>
        <w:pStyle w:val="Voetnoottekst"/>
        <w:jc w:val="both"/>
        <w:rPr>
          <w:rFonts w:ascii="Times New Roman" w:hAnsi="Times New Roman"/>
          <w:lang w:val="fr-BE"/>
        </w:rPr>
      </w:pPr>
      <w:r w:rsidRPr="00052001">
        <w:rPr>
          <w:rStyle w:val="Voetnootmarkering"/>
          <w:rFonts w:ascii="Times New Roman" w:hAnsi="Times New Roman"/>
        </w:rPr>
        <w:footnoteRef/>
      </w:r>
      <w:r w:rsidRPr="00E333B6">
        <w:rPr>
          <w:rFonts w:ascii="Times New Roman" w:hAnsi="Times New Roman"/>
          <w:lang w:val="fr-BE"/>
        </w:rPr>
        <w:t xml:space="preserve"> Art. 1 § 3 Privacywet.</w:t>
      </w:r>
    </w:p>
  </w:footnote>
  <w:footnote w:id="1269">
    <w:p w:rsidR="00E82D16" w:rsidRPr="00E333B6" w:rsidRDefault="00E82D16" w:rsidP="000F560E">
      <w:pPr>
        <w:pStyle w:val="Voetnoottekst"/>
        <w:jc w:val="both"/>
        <w:rPr>
          <w:rFonts w:ascii="Times New Roman" w:hAnsi="Times New Roman"/>
          <w:lang w:val="fr-BE"/>
        </w:rPr>
      </w:pPr>
      <w:r w:rsidRPr="00052001">
        <w:rPr>
          <w:rStyle w:val="Voetnootmarkering"/>
          <w:rFonts w:ascii="Times New Roman" w:hAnsi="Times New Roman"/>
        </w:rPr>
        <w:footnoteRef/>
      </w:r>
      <w:r w:rsidRPr="00E333B6">
        <w:rPr>
          <w:rFonts w:ascii="Times New Roman" w:hAnsi="Times New Roman"/>
          <w:lang w:val="fr-BE"/>
        </w:rPr>
        <w:t xml:space="preserve"> </w:t>
      </w:r>
      <w:r w:rsidRPr="00E333B6">
        <w:rPr>
          <w:rFonts w:ascii="Times New Roman" w:eastAsia="SimSun" w:hAnsi="Times New Roman"/>
          <w:kern w:val="1"/>
          <w:lang w:val="fr-BE" w:eastAsia="hi-IN" w:bidi="hi-IN"/>
        </w:rPr>
        <w:t xml:space="preserve">Overweging 26 bij richtlijn 95/46/EG; </w:t>
      </w:r>
      <w:r w:rsidRPr="00E333B6">
        <w:rPr>
          <w:rFonts w:ascii="Times New Roman" w:hAnsi="Times New Roman"/>
          <w:i/>
          <w:shd w:val="clear" w:color="auto" w:fill="FFFFFF"/>
          <w:lang w:val="fr-BE"/>
        </w:rPr>
        <w:t>Parl.St.</w:t>
      </w:r>
      <w:r w:rsidRPr="00E333B6">
        <w:rPr>
          <w:rFonts w:ascii="Times New Roman" w:hAnsi="Times New Roman"/>
          <w:shd w:val="clear" w:color="auto" w:fill="FFFFFF"/>
          <w:lang w:val="fr-BE"/>
        </w:rPr>
        <w:t xml:space="preserve"> Kamer, 1997-1998, nr. 1566/1, p. 12; BOULANGER, M.H.; </w:t>
      </w:r>
      <w:r w:rsidRPr="00E333B6">
        <w:rPr>
          <w:rFonts w:ascii="Times New Roman" w:hAnsi="Times New Roman"/>
          <w:color w:val="222222"/>
          <w:shd w:val="clear" w:color="auto" w:fill="FFFFFF"/>
          <w:lang w:val="fr-BE"/>
        </w:rPr>
        <w:t xml:space="preserve">CALLENS, S.; BRILLON, S.; ‘La protection des données à caractère personnel relatives à la santé et la loi du 8 décembre 1992 telle que modifiée par la loi du 11 décembre 1998 et complétée par l’arrêté royal du 13 février 2001’, </w:t>
      </w:r>
      <w:r w:rsidRPr="00E333B6">
        <w:rPr>
          <w:rFonts w:ascii="Times New Roman" w:hAnsi="Times New Roman"/>
          <w:i/>
          <w:color w:val="222222"/>
          <w:shd w:val="clear" w:color="auto" w:fill="FFFFFF"/>
          <w:lang w:val="fr-BE"/>
        </w:rPr>
        <w:t>T.Gez.</w:t>
      </w:r>
      <w:r w:rsidRPr="00E333B6">
        <w:rPr>
          <w:rFonts w:ascii="Times New Roman" w:hAnsi="Times New Roman"/>
          <w:color w:val="222222"/>
          <w:shd w:val="clear" w:color="auto" w:fill="FFFFFF"/>
          <w:lang w:val="fr-BE"/>
        </w:rPr>
        <w:t>, 2000-2001, p. 337</w:t>
      </w:r>
      <w:r w:rsidRPr="00E333B6">
        <w:rPr>
          <w:rFonts w:ascii="Times New Roman" w:hAnsi="Times New Roman"/>
          <w:lang w:val="fr-BE"/>
        </w:rPr>
        <w:t>; VANDENDRIESSCHE, ‘De verwerking van persoonsgegevens voor histori</w:t>
      </w:r>
      <w:r>
        <w:rPr>
          <w:rFonts w:ascii="Times New Roman" w:hAnsi="Times New Roman"/>
          <w:lang w:val="fr-BE"/>
        </w:rPr>
        <w:t>-</w:t>
      </w:r>
      <w:r w:rsidRPr="00E333B6">
        <w:rPr>
          <w:rFonts w:ascii="Times New Roman" w:hAnsi="Times New Roman"/>
          <w:lang w:val="fr-BE"/>
        </w:rPr>
        <w:t>sche, statische en wetenschappelijke doeleinden’, p. 534.</w:t>
      </w:r>
    </w:p>
  </w:footnote>
  <w:footnote w:id="127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Gezondheidsraad, </w:t>
      </w:r>
      <w:r w:rsidRPr="00052001">
        <w:rPr>
          <w:rFonts w:ascii="Times New Roman" w:hAnsi="Times New Roman"/>
          <w:i/>
        </w:rPr>
        <w:t>De bewaartermijn voor medische gegevens. Signalement</w:t>
      </w:r>
      <w:r w:rsidRPr="00052001">
        <w:rPr>
          <w:rFonts w:ascii="Times New Roman" w:hAnsi="Times New Roman"/>
        </w:rPr>
        <w:t>, nr. 2000/15, Den Haag, 2000, p. 19 (</w:t>
      </w:r>
      <w:hyperlink r:id="rId204" w:history="1">
        <w:r w:rsidRPr="00052001">
          <w:rPr>
            <w:rStyle w:val="Hyperlink"/>
            <w:rFonts w:ascii="Times New Roman" w:hAnsi="Times New Roman"/>
          </w:rPr>
          <w:t>http://www.gezondheidsraad.nl/sites/default/files/00@15N.PDF</w:t>
        </w:r>
      </w:hyperlink>
      <w:r w:rsidRPr="00052001">
        <w:rPr>
          <w:rFonts w:ascii="Times New Roman" w:hAnsi="Times New Roman"/>
        </w:rPr>
        <w:t>).</w:t>
      </w:r>
    </w:p>
  </w:footnote>
  <w:footnote w:id="127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Tijdens een vergadering op 5 april 2012. De werkgroep bestaat uit Kathleen Devolder, Michel Nuyttens, Em</w:t>
      </w:r>
      <w:r>
        <w:rPr>
          <w:rFonts w:ascii="Times New Roman" w:hAnsi="Times New Roman"/>
        </w:rPr>
        <w:t>-</w:t>
      </w:r>
      <w:r w:rsidRPr="00052001">
        <w:rPr>
          <w:rFonts w:ascii="Times New Roman" w:hAnsi="Times New Roman"/>
        </w:rPr>
        <w:t xml:space="preserve">manuel Bodart en Rolande Depoortere. </w:t>
      </w:r>
      <w:r>
        <w:rPr>
          <w:rFonts w:ascii="Times New Roman" w:hAnsi="Times New Roman"/>
        </w:rPr>
        <w:t>Wederom dank aan</w:t>
      </w:r>
      <w:r w:rsidRPr="00052001">
        <w:rPr>
          <w:rFonts w:ascii="Times New Roman" w:hAnsi="Times New Roman"/>
        </w:rPr>
        <w:t xml:space="preserve"> Kathleen Devolder</w:t>
      </w:r>
      <w:r>
        <w:rPr>
          <w:rFonts w:ascii="Times New Roman" w:hAnsi="Times New Roman"/>
        </w:rPr>
        <w:t>, om mij op</w:t>
      </w:r>
      <w:r w:rsidRPr="00052001">
        <w:rPr>
          <w:rFonts w:ascii="Times New Roman" w:hAnsi="Times New Roman"/>
        </w:rPr>
        <w:t xml:space="preserve"> deze vergadering </w:t>
      </w:r>
      <w:r>
        <w:rPr>
          <w:rFonts w:ascii="Times New Roman" w:hAnsi="Times New Roman"/>
        </w:rPr>
        <w:t>uit te nodigen</w:t>
      </w:r>
      <w:r w:rsidRPr="00052001">
        <w:rPr>
          <w:rFonts w:ascii="Times New Roman" w:hAnsi="Times New Roman"/>
        </w:rPr>
        <w:t>.</w:t>
      </w:r>
    </w:p>
  </w:footnote>
  <w:footnote w:id="1272">
    <w:p w:rsidR="00E82D16" w:rsidRPr="003B63CF" w:rsidRDefault="00E82D16" w:rsidP="003B63CF">
      <w:pPr>
        <w:pStyle w:val="Voetnoottekst"/>
        <w:jc w:val="both"/>
        <w:rPr>
          <w:rFonts w:ascii="Times New Roman" w:hAnsi="Times New Roman"/>
        </w:rPr>
      </w:pPr>
      <w:r w:rsidRPr="003B63CF">
        <w:rPr>
          <w:rStyle w:val="Voetnootmarkering"/>
          <w:rFonts w:ascii="Times New Roman" w:hAnsi="Times New Roman"/>
        </w:rPr>
        <w:footnoteRef/>
      </w:r>
      <w:r w:rsidRPr="003B63CF">
        <w:rPr>
          <w:rFonts w:ascii="Times New Roman" w:hAnsi="Times New Roman"/>
        </w:rPr>
        <w:t xml:space="preserve"> Gezondheidsraad, </w:t>
      </w:r>
      <w:r w:rsidRPr="003B63CF">
        <w:rPr>
          <w:rFonts w:ascii="Times New Roman" w:hAnsi="Times New Roman"/>
          <w:i/>
        </w:rPr>
        <w:t>Bewaartermijn patiëntengegevens. Pleidooi voor wetswijziging</w:t>
      </w:r>
      <w:r w:rsidRPr="003B63CF">
        <w:rPr>
          <w:rFonts w:ascii="Times New Roman" w:hAnsi="Times New Roman"/>
        </w:rPr>
        <w:t>, nr. 2004/08, Den Haag, p. 53 (</w:t>
      </w:r>
      <w:hyperlink r:id="rId205" w:history="1">
        <w:r w:rsidRPr="003B63CF">
          <w:rPr>
            <w:rStyle w:val="Hyperlink"/>
            <w:rFonts w:ascii="Times New Roman" w:hAnsi="Times New Roman"/>
          </w:rPr>
          <w:t>http://www.gezondheidsraad.nl/sites/default/files/04@08n1.pdf</w:t>
        </w:r>
      </w:hyperlink>
      <w:r w:rsidRPr="003B63CF">
        <w:rPr>
          <w:rFonts w:ascii="Times New Roman" w:hAnsi="Times New Roman"/>
        </w:rPr>
        <w:t>).</w:t>
      </w:r>
    </w:p>
  </w:footnote>
  <w:footnote w:id="127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4 § 1 van het KB van 12 december </w:t>
      </w:r>
      <w:r>
        <w:rPr>
          <w:rFonts w:ascii="Times New Roman" w:hAnsi="Times New Roman"/>
        </w:rPr>
        <w:t xml:space="preserve">1957 </w:t>
      </w:r>
      <w:r w:rsidRPr="00052001">
        <w:rPr>
          <w:rFonts w:ascii="Times New Roman" w:hAnsi="Times New Roman"/>
        </w:rPr>
        <w:t>betreffende de uitvoering van de archiefwet van 24 juni 1955 (</w:t>
      </w:r>
      <w:r w:rsidRPr="00052001">
        <w:rPr>
          <w:rFonts w:ascii="Times New Roman" w:hAnsi="Times New Roman"/>
          <w:i/>
        </w:rPr>
        <w:t>BS</w:t>
      </w:r>
      <w:r w:rsidRPr="00052001">
        <w:rPr>
          <w:rFonts w:ascii="Times New Roman" w:hAnsi="Times New Roman"/>
        </w:rPr>
        <w:t xml:space="preserve"> 20 december 1957), opgeheven door art. 30 van het KB van 18 augustus 2010 </w:t>
      </w:r>
      <w:r>
        <w:rPr>
          <w:rFonts w:ascii="Times New Roman" w:hAnsi="Times New Roman"/>
        </w:rPr>
        <w:t>(1)</w:t>
      </w:r>
      <w:r w:rsidRPr="00052001">
        <w:rPr>
          <w:rFonts w:ascii="Times New Roman" w:hAnsi="Times New Roman"/>
        </w:rPr>
        <w:t>; VELLE; VANDER</w:t>
      </w:r>
      <w:r>
        <w:rPr>
          <w:rFonts w:ascii="Times New Roman" w:hAnsi="Times New Roman"/>
        </w:rPr>
        <w:t>-</w:t>
      </w:r>
      <w:r w:rsidRPr="00052001">
        <w:rPr>
          <w:rFonts w:ascii="Times New Roman" w:hAnsi="Times New Roman"/>
        </w:rPr>
        <w:t>MAESEN; p. 43.</w:t>
      </w:r>
    </w:p>
  </w:footnote>
  <w:footnote w:id="127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‘Orde der Geneesheren schiet met scherp op militair ziekenhuis’, </w:t>
      </w:r>
      <w:r w:rsidRPr="00052001">
        <w:rPr>
          <w:rFonts w:ascii="Times New Roman" w:hAnsi="Times New Roman"/>
          <w:i/>
        </w:rPr>
        <w:t>De Standaard</w:t>
      </w:r>
      <w:r w:rsidRPr="00052001">
        <w:rPr>
          <w:rFonts w:ascii="Times New Roman" w:hAnsi="Times New Roman"/>
        </w:rPr>
        <w:t>, 9 januari 2008.</w:t>
      </w:r>
    </w:p>
  </w:footnote>
  <w:footnote w:id="127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9, 1° van het KB van 18 augustus 2010 </w:t>
      </w:r>
      <w:r>
        <w:rPr>
          <w:rFonts w:ascii="Times New Roman" w:hAnsi="Times New Roman"/>
        </w:rPr>
        <w:t>(1).</w:t>
      </w:r>
    </w:p>
  </w:footnote>
  <w:footnote w:id="1276">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9, 2° van het KB van 18 augustus 2010 </w:t>
      </w:r>
      <w:r>
        <w:rPr>
          <w:rFonts w:ascii="Times New Roman" w:hAnsi="Times New Roman"/>
        </w:rPr>
        <w:t>(1).</w:t>
      </w:r>
    </w:p>
  </w:footnote>
  <w:footnote w:id="127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Zie o.m.: ‘Archieven Defensie ondergaan facelift’, 25 mei 2012 (</w:t>
      </w:r>
      <w:hyperlink r:id="rId206" w:history="1">
        <w:r w:rsidRPr="00EA26DD">
          <w:rPr>
            <w:rStyle w:val="Hyperlink"/>
            <w:rFonts w:ascii="Times New Roman" w:hAnsi="Times New Roman"/>
          </w:rPr>
          <w:t>http://www.mil.be/def/news/index.asp? LAN=nl&amp;ID=3358</w:t>
        </w:r>
      </w:hyperlink>
      <w:r w:rsidRPr="00052001">
        <w:rPr>
          <w:rFonts w:ascii="Times New Roman" w:hAnsi="Times New Roman"/>
        </w:rPr>
        <w:t>); ‘Een ambitieus project van de afdeling Toezicht werd afgerond: de archiefaudit van Defen</w:t>
      </w:r>
      <w:r>
        <w:rPr>
          <w:rFonts w:ascii="Times New Roman" w:hAnsi="Times New Roman"/>
        </w:rPr>
        <w:t>-</w:t>
      </w:r>
      <w:r w:rsidRPr="00052001">
        <w:rPr>
          <w:rFonts w:ascii="Times New Roman" w:hAnsi="Times New Roman"/>
        </w:rPr>
        <w:t>sie’ (</w:t>
      </w:r>
      <w:hyperlink r:id="rId207" w:history="1">
        <w:r w:rsidRPr="00052001">
          <w:rPr>
            <w:rStyle w:val="Hyperlink"/>
            <w:rFonts w:ascii="Times New Roman" w:hAnsi="Times New Roman"/>
          </w:rPr>
          <w:t>http://arch.arch.be/content/view/1131/249/lang,nl_BE/</w:t>
        </w:r>
      </w:hyperlink>
      <w:r w:rsidRPr="00052001">
        <w:rPr>
          <w:rFonts w:ascii="Times New Roman" w:hAnsi="Times New Roman"/>
        </w:rPr>
        <w:t xml:space="preserve">). </w:t>
      </w:r>
    </w:p>
  </w:footnote>
  <w:footnote w:id="127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 Ziekenhuiswet (1), gewijzigd door art. 50 van de wet van 14 januari 2002 houdende maatregelen in</w:t>
      </w:r>
      <w:r>
        <w:rPr>
          <w:rFonts w:ascii="Times New Roman" w:hAnsi="Times New Roman"/>
        </w:rPr>
        <w:t>-</w:t>
      </w:r>
      <w:r w:rsidRPr="00052001">
        <w:rPr>
          <w:rFonts w:ascii="Times New Roman" w:hAnsi="Times New Roman"/>
        </w:rPr>
        <w:t>zake gezondheidszorg (</w:t>
      </w:r>
      <w:r w:rsidRPr="00052001">
        <w:rPr>
          <w:rFonts w:ascii="Times New Roman" w:hAnsi="Times New Roman"/>
          <w:i/>
        </w:rPr>
        <w:t>BS</w:t>
      </w:r>
      <w:r w:rsidRPr="00052001">
        <w:rPr>
          <w:rFonts w:ascii="Times New Roman" w:hAnsi="Times New Roman"/>
        </w:rPr>
        <w:t xml:space="preserve"> 22 februari 2002); art. 1 Ziekenhuiswet (2); ‘Orde der Geneesheren schiet met scherp op militair ziekenhuis’, </w:t>
      </w:r>
      <w:r w:rsidRPr="00052001">
        <w:rPr>
          <w:rFonts w:ascii="Times New Roman" w:hAnsi="Times New Roman"/>
          <w:i/>
        </w:rPr>
        <w:t>De Standaard</w:t>
      </w:r>
      <w:r w:rsidRPr="00052001">
        <w:rPr>
          <w:rFonts w:ascii="Times New Roman" w:hAnsi="Times New Roman"/>
        </w:rPr>
        <w:t>, 9 januari 2008.</w:t>
      </w:r>
    </w:p>
  </w:footnote>
  <w:footnote w:id="127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Dixit Kathleen Devolder tijdens de vergadering van de werkgroep ‘ziekenhuisarchieven’ in het Algemeen Rijksarchief op 5 april 2012.</w:t>
      </w:r>
    </w:p>
  </w:footnote>
  <w:footnote w:id="128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3 § 1 van de archiefwet van 24 juni 1955 (</w:t>
      </w:r>
      <w:r w:rsidRPr="00052001">
        <w:rPr>
          <w:rFonts w:ascii="Times New Roman" w:hAnsi="Times New Roman"/>
          <w:i/>
        </w:rPr>
        <w:t>BS</w:t>
      </w:r>
      <w:r w:rsidRPr="00052001">
        <w:rPr>
          <w:rFonts w:ascii="Times New Roman" w:hAnsi="Times New Roman"/>
        </w:rPr>
        <w:t xml:space="preserve"> 12 augustus 1955); art. 11, eerste lid van de wet van 11 ap</w:t>
      </w:r>
      <w:r>
        <w:rPr>
          <w:rFonts w:ascii="Times New Roman" w:hAnsi="Times New Roman"/>
        </w:rPr>
        <w:t>-</w:t>
      </w:r>
      <w:r w:rsidRPr="00052001">
        <w:rPr>
          <w:rFonts w:ascii="Times New Roman" w:hAnsi="Times New Roman"/>
        </w:rPr>
        <w:t>ril 1994 betreffende de openbaarheid van bestuur (</w:t>
      </w:r>
      <w:r w:rsidRPr="00052001">
        <w:rPr>
          <w:rFonts w:ascii="Times New Roman" w:hAnsi="Times New Roman"/>
          <w:i/>
        </w:rPr>
        <w:t>BS</w:t>
      </w:r>
      <w:r w:rsidRPr="00052001">
        <w:rPr>
          <w:rFonts w:ascii="Times New Roman" w:hAnsi="Times New Roman"/>
        </w:rPr>
        <w:t xml:space="preserve"> 30 juni 1994).</w:t>
      </w:r>
    </w:p>
  </w:footnote>
  <w:footnote w:id="1281">
    <w:p w:rsidR="00E82D16" w:rsidRPr="008C135C" w:rsidRDefault="00E82D16" w:rsidP="000F560E">
      <w:pPr>
        <w:pStyle w:val="Voetnoottekst"/>
        <w:jc w:val="both"/>
        <w:rPr>
          <w:rStyle w:val="GeenafstandChar"/>
          <w:rFonts w:ascii="Times New Roman" w:hAnsi="Times New Roman" w:cs="Times New Roman"/>
        </w:rPr>
      </w:pPr>
      <w:r w:rsidRPr="00052001">
        <w:rPr>
          <w:rStyle w:val="Voetnootmarkering"/>
          <w:rFonts w:ascii="Times New Roman" w:hAnsi="Times New Roman"/>
        </w:rPr>
        <w:footnoteRef/>
      </w:r>
      <w:r w:rsidRPr="00052001">
        <w:rPr>
          <w:rFonts w:ascii="Times New Roman" w:hAnsi="Times New Roman"/>
        </w:rPr>
        <w:t xml:space="preserve"> </w:t>
      </w:r>
      <w:r w:rsidRPr="008C135C">
        <w:rPr>
          <w:rStyle w:val="GeenafstandChar"/>
          <w:rFonts w:ascii="Times New Roman" w:hAnsi="Times New Roman" w:cs="Times New Roman"/>
        </w:rPr>
        <w:t>DEKEYSER, p. 8. Cf. Advies nr. 49/2001 van 10 december 2001 van de CBPL betreffende het voorontwerp van archiefwet, p. 3.</w:t>
      </w:r>
    </w:p>
  </w:footnote>
  <w:footnote w:id="1282">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NUYTTENS, M., </w:t>
      </w:r>
      <w:r w:rsidRPr="00052001">
        <w:rPr>
          <w:rFonts w:ascii="Times New Roman" w:hAnsi="Times New Roman"/>
          <w:i/>
          <w:iCs/>
        </w:rPr>
        <w:t>Inspectieverslag betreffende het archief van openbare ziekenhuizen in de provincie West-Vlaanderen: met voorstel van richtlijnen voor het beheer en de selectie van ziekenhuisarchieven</w:t>
      </w:r>
      <w:r w:rsidRPr="00052001">
        <w:rPr>
          <w:rFonts w:ascii="Times New Roman" w:hAnsi="Times New Roman"/>
        </w:rPr>
        <w:t>, Miscellania ar</w:t>
      </w:r>
      <w:r>
        <w:rPr>
          <w:rFonts w:ascii="Times New Roman" w:hAnsi="Times New Roman"/>
        </w:rPr>
        <w:t>-</w:t>
      </w:r>
      <w:r w:rsidRPr="00052001">
        <w:rPr>
          <w:rFonts w:ascii="Times New Roman" w:hAnsi="Times New Roman"/>
        </w:rPr>
        <w:t>chivistica. Studia 165, Brussel, Algemeen rijksarchief, 2005, p. 65.</w:t>
      </w:r>
    </w:p>
  </w:footnote>
  <w:footnote w:id="128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Dixit Michel Nuyttens, tijdens een persoonlijk gesprek in het Algemeen Rijksarchief op 8 maart 2012.</w:t>
      </w:r>
    </w:p>
  </w:footnote>
  <w:footnote w:id="1284">
    <w:p w:rsidR="00E82D16" w:rsidRPr="00AF492F" w:rsidRDefault="00E82D16" w:rsidP="000F560E">
      <w:pPr>
        <w:pStyle w:val="Voetnoottekst"/>
        <w:jc w:val="both"/>
        <w:rPr>
          <w:rFonts w:ascii="Times New Roman" w:hAnsi="Times New Roman"/>
        </w:rPr>
      </w:pPr>
      <w:r w:rsidRPr="00AF492F">
        <w:rPr>
          <w:rStyle w:val="Voetnootmarkering"/>
          <w:rFonts w:ascii="Times New Roman" w:hAnsi="Times New Roman"/>
        </w:rPr>
        <w:footnoteRef/>
      </w:r>
      <w:r w:rsidRPr="00AF492F">
        <w:rPr>
          <w:rFonts w:ascii="Times New Roman" w:hAnsi="Times New Roman"/>
        </w:rPr>
        <w:t xml:space="preserve"> Dixit Bert Boeckx op 14 mei 2012, na afloop van de lezing van Jos Rathé over ‘De ‘redding’ van de joodse patiënten van de Rijkskolonie te Geel (1940 - 1945)’ in het Studie- en Documentatiecentrum Oorlog en Heden-daagse Maatschappij; KAPPELHOF, T. recensie van: BOECKX, B.; VANDECRUYS, G. (reds.); </w:t>
      </w:r>
      <w:r w:rsidRPr="00AF492F">
        <w:rPr>
          <w:rFonts w:ascii="Times New Roman" w:hAnsi="Times New Roman"/>
          <w:i/>
        </w:rPr>
        <w:t>Welkom in Geel. Een geschiedenis van de gezinsverpleging</w:t>
      </w:r>
      <w:r w:rsidRPr="00AF492F">
        <w:rPr>
          <w:rFonts w:ascii="Times New Roman" w:hAnsi="Times New Roman"/>
        </w:rPr>
        <w:t xml:space="preserve">, Antwerpen, EPO, 2010, 308p., </w:t>
      </w:r>
      <w:r w:rsidRPr="00AF492F">
        <w:rPr>
          <w:rFonts w:ascii="Times New Roman" w:hAnsi="Times New Roman"/>
          <w:i/>
        </w:rPr>
        <w:t>TSEG</w:t>
      </w:r>
      <w:r w:rsidRPr="00AF492F">
        <w:rPr>
          <w:rFonts w:ascii="Times New Roman" w:hAnsi="Times New Roman"/>
        </w:rPr>
        <w:t xml:space="preserve">,  7/3 (2010), </w:t>
      </w:r>
      <w:r>
        <w:rPr>
          <w:rFonts w:ascii="Times New Roman" w:hAnsi="Times New Roman"/>
        </w:rPr>
        <w:t xml:space="preserve">p. </w:t>
      </w:r>
      <w:r w:rsidRPr="00AF492F">
        <w:rPr>
          <w:rFonts w:ascii="Times New Roman" w:hAnsi="Times New Roman"/>
        </w:rPr>
        <w:t>98 (</w:t>
      </w:r>
      <w:hyperlink w:history="1">
        <w:r w:rsidRPr="000805E8">
          <w:rPr>
            <w:rStyle w:val="Hyperlink"/>
            <w:rFonts w:ascii="Times New Roman" w:hAnsi="Times New Roman"/>
          </w:rPr>
          <w:t>http:// www.tseg.nl/2010-3/recensies.pdf</w:t>
        </w:r>
      </w:hyperlink>
      <w:r w:rsidRPr="00AF492F">
        <w:rPr>
          <w:rFonts w:ascii="Times New Roman" w:hAnsi="Times New Roman"/>
        </w:rPr>
        <w:t xml:space="preserve">). </w:t>
      </w:r>
    </w:p>
  </w:footnote>
  <w:footnote w:id="128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r w:rsidRPr="00052001">
        <w:rPr>
          <w:rFonts w:ascii="Times New Roman" w:eastAsia="SimSun" w:hAnsi="Times New Roman"/>
          <w:lang w:eastAsia="hi-IN" w:bidi="hi-IN"/>
        </w:rPr>
        <w:t xml:space="preserve">NUYTTENS, M., ‘Het Archiefbeheer in de West-Vlaamse Openbare Ziekenhuizen: enkele vaststellingen en voorstellen in verband met selectie’, HONNORE, L. (red.), </w:t>
      </w:r>
      <w:r w:rsidRPr="00052001">
        <w:rPr>
          <w:rFonts w:ascii="Times New Roman" w:eastAsia="SimSun" w:hAnsi="Times New Roman"/>
          <w:i/>
          <w:lang w:eastAsia="hi-IN" w:bidi="hi-IN"/>
        </w:rPr>
        <w:t>Handelingen van het Internationaal colloquium: Het geheugen van onze gezondheid, het medisch archief en zijn hulpbronnen, Brussel, 15-17 maart 2007</w:t>
      </w:r>
      <w:r w:rsidRPr="00052001">
        <w:rPr>
          <w:rFonts w:ascii="Times New Roman" w:eastAsia="SimSun" w:hAnsi="Times New Roman"/>
          <w:lang w:eastAsia="hi-IN" w:bidi="hi-IN"/>
        </w:rPr>
        <w:t xml:space="preserve">, </w:t>
      </w:r>
      <w:r>
        <w:rPr>
          <w:rFonts w:ascii="Times New Roman" w:eastAsia="SimSun" w:hAnsi="Times New Roman"/>
          <w:lang w:eastAsia="hi-IN" w:bidi="hi-IN"/>
        </w:rPr>
        <w:t>A.B.B.</w:t>
      </w:r>
      <w:r w:rsidRPr="00052001">
        <w:rPr>
          <w:rFonts w:ascii="Times New Roman" w:eastAsia="SimSun" w:hAnsi="Times New Roman"/>
          <w:lang w:eastAsia="hi-IN" w:bidi="hi-IN"/>
        </w:rPr>
        <w:t>, 86</w:t>
      </w:r>
      <w:r>
        <w:rPr>
          <w:rFonts w:ascii="Times New Roman" w:eastAsia="SimSun" w:hAnsi="Times New Roman"/>
          <w:lang w:eastAsia="hi-IN" w:bidi="hi-IN"/>
        </w:rPr>
        <w:t xml:space="preserve"> (extranummer)</w:t>
      </w:r>
      <w:r w:rsidRPr="00052001">
        <w:rPr>
          <w:rFonts w:ascii="Times New Roman" w:eastAsia="SimSun" w:hAnsi="Times New Roman"/>
          <w:lang w:eastAsia="hi-IN" w:bidi="hi-IN"/>
        </w:rPr>
        <w:t>, Brussel, 2008, p. 72.</w:t>
      </w:r>
    </w:p>
  </w:footnote>
  <w:footnote w:id="1286">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‘Stockering van medische gegevens door een handelsfirma’, </w:t>
      </w:r>
      <w:r w:rsidRPr="00052001">
        <w:rPr>
          <w:rFonts w:ascii="Times New Roman" w:hAnsi="Times New Roman"/>
          <w:i/>
          <w:iCs/>
        </w:rPr>
        <w:t>T.N.R.</w:t>
      </w:r>
      <w:r w:rsidRPr="00052001">
        <w:rPr>
          <w:rFonts w:ascii="Times New Roman" w:hAnsi="Times New Roman"/>
        </w:rPr>
        <w:t>, 84 (1999), p.18.</w:t>
      </w:r>
    </w:p>
  </w:footnote>
  <w:footnote w:id="128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hyperlink r:id="rId208" w:history="1">
        <w:r w:rsidRPr="00052001">
          <w:rPr>
            <w:rStyle w:val="Hyperlink"/>
            <w:rFonts w:ascii="Times New Roman" w:hAnsi="Times New Roman"/>
          </w:rPr>
          <w:t>http://apps.who.int/ghodata/?vid=710</w:t>
        </w:r>
      </w:hyperlink>
      <w:r w:rsidRPr="00052001">
        <w:rPr>
          <w:rFonts w:ascii="Times New Roman" w:hAnsi="Times New Roman"/>
        </w:rPr>
        <w:t>.</w:t>
      </w:r>
    </w:p>
  </w:footnote>
  <w:footnote w:id="128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NUYTTENS, </w:t>
      </w:r>
      <w:r w:rsidRPr="00052001">
        <w:rPr>
          <w:rFonts w:ascii="Times New Roman" w:hAnsi="Times New Roman"/>
          <w:i/>
          <w:iCs/>
        </w:rPr>
        <w:t>Inspectieverslag betreffende het archief van openbare ziekenhuizen in de provincie West-Vlaanderen</w:t>
      </w:r>
      <w:r w:rsidRPr="00052001">
        <w:rPr>
          <w:rFonts w:ascii="Times New Roman" w:hAnsi="Times New Roman"/>
        </w:rPr>
        <w:t>, p. 61.</w:t>
      </w:r>
    </w:p>
  </w:footnote>
  <w:footnote w:id="128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4 voorstel voor een verordening van het Europees Parlement en de Raad betreffende de bescherming van natuurlijke personen in verband met de verwerking van persoonsgegevens en betreffende het vrije verkeer van die gegevens (Algemene Verordening Gegevensbescherming), COM(2012)11, p. 8 (</w:t>
      </w:r>
      <w:hyperlink r:id="rId209" w:history="1">
        <w:r w:rsidRPr="00EA26DD">
          <w:rPr>
            <w:rStyle w:val="Hyperlink"/>
            <w:rFonts w:ascii="Times New Roman" w:hAnsi="Times New Roman"/>
          </w:rPr>
          <w:t>http://eur-lex.europa.eu/Lex UriServ/LexUriServ.do?uri=COM:2012:0011:FIN:NL:PDF</w:t>
        </w:r>
      </w:hyperlink>
      <w:r>
        <w:rPr>
          <w:rFonts w:ascii="Times New Roman" w:hAnsi="Times New Roman"/>
        </w:rPr>
        <w:t>)</w:t>
      </w:r>
      <w:r w:rsidRPr="00052001">
        <w:rPr>
          <w:rFonts w:ascii="Times New Roman" w:hAnsi="Times New Roman"/>
        </w:rPr>
        <w:t>.</w:t>
      </w:r>
    </w:p>
  </w:footnote>
  <w:footnote w:id="129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DEKEYSER, p. 4-5.</w:t>
      </w:r>
    </w:p>
  </w:footnote>
  <w:footnote w:id="129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7 § 4 Privacywet.</w:t>
      </w:r>
    </w:p>
  </w:footnote>
  <w:footnote w:id="1292">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DEKEYSER, p. 4 en p. 9.</w:t>
      </w:r>
    </w:p>
  </w:footnote>
  <w:footnote w:id="129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 § 2 Archiefwet.</w:t>
      </w:r>
    </w:p>
  </w:footnote>
  <w:footnote w:id="129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Zie supra.</w:t>
      </w:r>
    </w:p>
  </w:footnote>
  <w:footnote w:id="1295">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r w:rsidRPr="00052001">
        <w:rPr>
          <w:rFonts w:ascii="Times New Roman" w:eastAsia="SimSun" w:hAnsi="Times New Roman"/>
          <w:lang w:eastAsia="hi-IN" w:bidi="hi-IN"/>
        </w:rPr>
        <w:t>NUYTTENS, ‘Het Archiefbeheer in de West-Vlaamse Openbare Ziekenhuizen: enkele vaststellingen en voorstellen in verband met selectie’, p. 72.</w:t>
      </w:r>
    </w:p>
  </w:footnote>
  <w:footnote w:id="1296">
    <w:p w:rsidR="00E82D16" w:rsidRPr="00052001" w:rsidRDefault="00E82D16" w:rsidP="000F560E">
      <w:pPr>
        <w:pStyle w:val="Voetnoottekst"/>
        <w:jc w:val="both"/>
        <w:rPr>
          <w:rFonts w:ascii="Times New Roman" w:hAnsi="Times New Roman"/>
        </w:rPr>
      </w:pPr>
      <w:r w:rsidRPr="00B012AF">
        <w:rPr>
          <w:rStyle w:val="Voetnootmarkering"/>
          <w:rFonts w:ascii="Times New Roman" w:hAnsi="Times New Roman"/>
        </w:rPr>
        <w:footnoteRef/>
      </w:r>
      <w:r w:rsidRPr="00B012AF">
        <w:rPr>
          <w:rFonts w:ascii="Times New Roman" w:hAnsi="Times New Roman"/>
        </w:rPr>
        <w:t xml:space="preserve"> NUYTTENS, </w:t>
      </w:r>
      <w:r w:rsidRPr="00B012AF">
        <w:rPr>
          <w:rFonts w:ascii="Times New Roman" w:hAnsi="Times New Roman"/>
          <w:i/>
          <w:iCs/>
        </w:rPr>
        <w:t>Inspectieverslag</w:t>
      </w:r>
      <w:r w:rsidRPr="00B012AF">
        <w:rPr>
          <w:rFonts w:ascii="Times New Roman" w:hAnsi="Times New Roman"/>
          <w:iCs/>
        </w:rPr>
        <w:t>, p. 48.</w:t>
      </w:r>
    </w:p>
  </w:footnote>
  <w:footnote w:id="129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r>
        <w:rPr>
          <w:rFonts w:ascii="Times New Roman" w:hAnsi="Times New Roman"/>
        </w:rPr>
        <w:t>A</w:t>
      </w:r>
      <w:r w:rsidRPr="00052001">
        <w:rPr>
          <w:rFonts w:ascii="Times New Roman" w:hAnsi="Times New Roman"/>
        </w:rPr>
        <w:t xml:space="preserve">rt. 13 § 1 van het KB van 18 augustus 2010 </w:t>
      </w:r>
      <w:r>
        <w:rPr>
          <w:rFonts w:ascii="Times New Roman" w:hAnsi="Times New Roman"/>
        </w:rPr>
        <w:t>(1)</w:t>
      </w:r>
      <w:r w:rsidRPr="00052001">
        <w:rPr>
          <w:rFonts w:ascii="Times New Roman" w:hAnsi="Times New Roman"/>
        </w:rPr>
        <w:t xml:space="preserve">; art. 11 tot art. 15 van het KB van 18 augustus 2010 </w:t>
      </w:r>
      <w:r>
        <w:rPr>
          <w:rFonts w:ascii="Times New Roman" w:hAnsi="Times New Roman"/>
        </w:rPr>
        <w:t>(2)</w:t>
      </w:r>
      <w:r w:rsidRPr="00052001">
        <w:rPr>
          <w:rFonts w:ascii="Times New Roman" w:hAnsi="Times New Roman"/>
        </w:rPr>
        <w:t>.</w:t>
      </w:r>
    </w:p>
  </w:footnote>
  <w:footnote w:id="129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 vierde lid Archiefwet.</w:t>
      </w:r>
    </w:p>
  </w:footnote>
  <w:footnote w:id="129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24 van het KB van 18 augustus 2010 </w:t>
      </w:r>
      <w:r>
        <w:rPr>
          <w:rFonts w:ascii="Times New Roman" w:hAnsi="Times New Roman"/>
        </w:rPr>
        <w:t>(1).</w:t>
      </w:r>
    </w:p>
  </w:footnote>
  <w:footnote w:id="130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28 van het KB van 18 augustus 2010 </w:t>
      </w:r>
      <w:r>
        <w:rPr>
          <w:rFonts w:ascii="Times New Roman" w:hAnsi="Times New Roman"/>
        </w:rPr>
        <w:t>(1).</w:t>
      </w:r>
    </w:p>
  </w:footnote>
  <w:footnote w:id="130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29 van het KB van 18 augustus 2010 </w:t>
      </w:r>
      <w:r>
        <w:rPr>
          <w:rFonts w:ascii="Times New Roman" w:hAnsi="Times New Roman"/>
        </w:rPr>
        <w:t>(1).</w:t>
      </w:r>
    </w:p>
  </w:footnote>
  <w:footnote w:id="1302">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26 van het KB van 18 augustus 2010 </w:t>
      </w:r>
      <w:r>
        <w:rPr>
          <w:rFonts w:ascii="Times New Roman" w:hAnsi="Times New Roman"/>
        </w:rPr>
        <w:t>(1).</w:t>
      </w:r>
    </w:p>
  </w:footnote>
  <w:footnote w:id="130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Vergadering van de werkgroep ‘ziekenhuisarchieven’, Algemeen Rijksarchief, 4 mei 2012.</w:t>
      </w:r>
    </w:p>
  </w:footnote>
  <w:footnote w:id="130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47, tweede lid C.G.P.; ‘Overname van een huisartsenpraktijk’, </w:t>
      </w:r>
      <w:r w:rsidRPr="00052001">
        <w:rPr>
          <w:rFonts w:ascii="Times New Roman" w:hAnsi="Times New Roman"/>
          <w:i/>
          <w:iCs/>
        </w:rPr>
        <w:t>T.N.R.</w:t>
      </w:r>
      <w:r w:rsidRPr="00052001">
        <w:rPr>
          <w:rFonts w:ascii="Times New Roman" w:hAnsi="Times New Roman"/>
          <w:iCs/>
        </w:rPr>
        <w:t>,</w:t>
      </w:r>
      <w:r w:rsidRPr="00052001">
        <w:rPr>
          <w:rFonts w:ascii="Times New Roman" w:hAnsi="Times New Roman"/>
        </w:rPr>
        <w:t xml:space="preserve"> 69 (1995), p. 26; CALLENS; GOOSSENS; CIERKENS; ‘Omgaan met gegevens in de gezondheidszorg’, p. 309 (nr. 772)</w:t>
      </w:r>
    </w:p>
  </w:footnote>
  <w:footnote w:id="1305">
    <w:p w:rsidR="00E82D16" w:rsidRPr="00052001" w:rsidRDefault="00E82D16" w:rsidP="000F560E">
      <w:pPr>
        <w:pStyle w:val="Geenafstand"/>
        <w:jc w:val="both"/>
        <w:rPr>
          <w:rFonts w:ascii="Times New Roman" w:hAnsi="Times New Roman" w:cs="Times New Roman"/>
          <w:sz w:val="20"/>
          <w:szCs w:val="20"/>
        </w:rPr>
      </w:pPr>
      <w:r w:rsidRPr="00052001">
        <w:rPr>
          <w:rStyle w:val="FootnoteCharacters"/>
          <w:rFonts w:ascii="Times New Roman" w:hAnsi="Times New Roman" w:cs="Times New Roman"/>
          <w:sz w:val="20"/>
          <w:szCs w:val="20"/>
        </w:rPr>
        <w:footnoteRef/>
      </w:r>
      <w:r w:rsidRPr="00052001">
        <w:rPr>
          <w:rFonts w:ascii="Times New Roman" w:hAnsi="Times New Roman" w:cs="Times New Roman"/>
          <w:sz w:val="20"/>
          <w:szCs w:val="20"/>
        </w:rPr>
        <w:t xml:space="preserve"> </w:t>
      </w:r>
      <w:r w:rsidRPr="002E535F">
        <w:rPr>
          <w:rFonts w:ascii="Times New Roman" w:hAnsi="Times New Roman" w:cs="Times New Roman"/>
          <w:sz w:val="20"/>
          <w:szCs w:val="20"/>
        </w:rPr>
        <w:t xml:space="preserve">De dossierplicht volgt uit: art. 1147 en art. 1382 BW; </w:t>
      </w:r>
      <w:r>
        <w:rPr>
          <w:rFonts w:ascii="Times New Roman" w:hAnsi="Times New Roman" w:cs="Times New Roman"/>
          <w:sz w:val="20"/>
          <w:szCs w:val="20"/>
        </w:rPr>
        <w:t>art. 21</w:t>
      </w:r>
      <w:r>
        <w:rPr>
          <w:rFonts w:ascii="Times New Roman" w:hAnsi="Times New Roman" w:cs="Times New Roman"/>
          <w:i/>
          <w:sz w:val="20"/>
          <w:szCs w:val="20"/>
        </w:rPr>
        <w:t xml:space="preserve">quinquies </w:t>
      </w:r>
      <w:r>
        <w:rPr>
          <w:rFonts w:ascii="Times New Roman" w:hAnsi="Times New Roman" w:cs="Times New Roman"/>
          <w:sz w:val="20"/>
          <w:szCs w:val="20"/>
        </w:rPr>
        <w:t>§ 1, c van KB nr. 78; art. 15 § 1 en art. 17</w:t>
      </w:r>
      <w:r w:rsidRPr="00510F8B">
        <w:rPr>
          <w:rFonts w:ascii="Times New Roman" w:hAnsi="Times New Roman" w:cs="Times New Roman"/>
          <w:i/>
          <w:sz w:val="20"/>
          <w:szCs w:val="20"/>
        </w:rPr>
        <w:t>quater</w:t>
      </w:r>
      <w:r>
        <w:rPr>
          <w:rFonts w:ascii="Times New Roman" w:hAnsi="Times New Roman" w:cs="Times New Roman"/>
          <w:sz w:val="20"/>
          <w:szCs w:val="20"/>
        </w:rPr>
        <w:t xml:space="preserve"> Ziekenhuiswet (1); art. 1 § 1 van </w:t>
      </w:r>
      <w:r w:rsidRPr="00052001">
        <w:rPr>
          <w:rFonts w:ascii="Times New Roman" w:hAnsi="Times New Roman" w:cs="Times New Roman"/>
          <w:sz w:val="20"/>
          <w:szCs w:val="20"/>
        </w:rPr>
        <w:t xml:space="preserve">het KB van 3 mei 1999 </w:t>
      </w:r>
      <w:r>
        <w:rPr>
          <w:rFonts w:ascii="Times New Roman" w:hAnsi="Times New Roman" w:cs="Times New Roman"/>
          <w:sz w:val="20"/>
          <w:szCs w:val="20"/>
        </w:rPr>
        <w:t>(2)</w:t>
      </w:r>
      <w:r w:rsidRPr="00052001">
        <w:rPr>
          <w:rFonts w:ascii="Times New Roman" w:hAnsi="Times New Roman" w:cs="Times New Roman"/>
          <w:sz w:val="20"/>
          <w:szCs w:val="20"/>
        </w:rPr>
        <w:t>;</w:t>
      </w:r>
      <w:r>
        <w:rPr>
          <w:rFonts w:ascii="Times New Roman" w:hAnsi="Times New Roman" w:cs="Times New Roman"/>
          <w:sz w:val="20"/>
          <w:szCs w:val="20"/>
        </w:rPr>
        <w:t xml:space="preserve"> art. 9 § 1 van </w:t>
      </w:r>
      <w:r w:rsidRPr="00052001">
        <w:rPr>
          <w:rFonts w:ascii="Times New Roman" w:hAnsi="Times New Roman" w:cs="Times New Roman"/>
          <w:sz w:val="20"/>
          <w:szCs w:val="20"/>
        </w:rPr>
        <w:t>de Wet Patiëntenrech</w:t>
      </w:r>
      <w:r>
        <w:rPr>
          <w:rFonts w:ascii="Times New Roman" w:hAnsi="Times New Roman" w:cs="Times New Roman"/>
          <w:sz w:val="20"/>
          <w:szCs w:val="20"/>
        </w:rPr>
        <w:t>-</w:t>
      </w:r>
      <w:r w:rsidRPr="00052001">
        <w:rPr>
          <w:rFonts w:ascii="Times New Roman" w:hAnsi="Times New Roman" w:cs="Times New Roman"/>
          <w:sz w:val="20"/>
          <w:szCs w:val="20"/>
        </w:rPr>
        <w:t xml:space="preserve">ten; </w:t>
      </w:r>
      <w:r>
        <w:rPr>
          <w:rFonts w:ascii="Times New Roman" w:hAnsi="Times New Roman" w:cs="Times New Roman"/>
          <w:sz w:val="20"/>
          <w:szCs w:val="20"/>
        </w:rPr>
        <w:t xml:space="preserve">art. 1 § 1 van </w:t>
      </w:r>
      <w:r w:rsidRPr="00052001">
        <w:rPr>
          <w:rFonts w:ascii="Times New Roman" w:hAnsi="Times New Roman" w:cs="Times New Roman"/>
          <w:sz w:val="20"/>
          <w:szCs w:val="20"/>
        </w:rPr>
        <w:t xml:space="preserve">het KB van 28 december 2006; </w:t>
      </w:r>
      <w:r>
        <w:rPr>
          <w:rFonts w:ascii="Times New Roman" w:hAnsi="Times New Roman" w:cs="Times New Roman"/>
          <w:sz w:val="20"/>
          <w:szCs w:val="20"/>
        </w:rPr>
        <w:t>art. 25 § 1 Ziekenhuiswet (2). Zie deel 1.</w:t>
      </w:r>
    </w:p>
  </w:footnote>
  <w:footnote w:id="1306">
    <w:p w:rsidR="00E82D16" w:rsidRPr="002E535F" w:rsidRDefault="00E82D16" w:rsidP="000F560E">
      <w:pPr>
        <w:pStyle w:val="Geenafstand"/>
        <w:jc w:val="both"/>
        <w:rPr>
          <w:rFonts w:ascii="Times New Roman" w:hAnsi="Times New Roman" w:cs="Times New Roman"/>
          <w:sz w:val="20"/>
          <w:szCs w:val="20"/>
        </w:rPr>
      </w:pPr>
      <w:r w:rsidRPr="008C135C">
        <w:rPr>
          <w:rStyle w:val="FootnoteCharacters"/>
          <w:rFonts w:ascii="Times New Roman" w:hAnsi="Times New Roman" w:cs="Times New Roman"/>
          <w:sz w:val="20"/>
          <w:szCs w:val="20"/>
          <w:vertAlign w:val="superscript"/>
        </w:rPr>
        <w:footnoteRef/>
      </w:r>
      <w:r w:rsidRPr="00052001">
        <w:rPr>
          <w:rFonts w:ascii="Times New Roman" w:hAnsi="Times New Roman" w:cs="Times New Roman"/>
          <w:sz w:val="20"/>
          <w:szCs w:val="20"/>
        </w:rPr>
        <w:t xml:space="preserve"> WOSTYN, L., ‘Het medisch dossier’, WOSTYN, L.; CLEPKENS, C.; HUTSEBAUT, A. (reds.); </w:t>
      </w:r>
      <w:r w:rsidRPr="00052001">
        <w:rPr>
          <w:rFonts w:ascii="Times New Roman" w:hAnsi="Times New Roman" w:cs="Times New Roman"/>
          <w:i/>
          <w:iCs/>
          <w:sz w:val="20"/>
          <w:szCs w:val="20"/>
        </w:rPr>
        <w:t>Over</w:t>
      </w:r>
      <w:r>
        <w:rPr>
          <w:rFonts w:ascii="Times New Roman" w:hAnsi="Times New Roman" w:cs="Times New Roman"/>
          <w:i/>
          <w:iCs/>
          <w:sz w:val="20"/>
          <w:szCs w:val="20"/>
        </w:rPr>
        <w:t>-</w:t>
      </w:r>
      <w:r w:rsidRPr="00052001">
        <w:rPr>
          <w:rFonts w:ascii="Times New Roman" w:hAnsi="Times New Roman" w:cs="Times New Roman"/>
          <w:i/>
          <w:iCs/>
          <w:sz w:val="20"/>
          <w:szCs w:val="20"/>
        </w:rPr>
        <w:t>handigen medische gegevens</w:t>
      </w:r>
      <w:r w:rsidRPr="00052001">
        <w:rPr>
          <w:rFonts w:ascii="Times New Roman" w:hAnsi="Times New Roman" w:cs="Times New Roman"/>
          <w:sz w:val="20"/>
          <w:szCs w:val="20"/>
        </w:rPr>
        <w:t>, Ge</w:t>
      </w:r>
      <w:r>
        <w:rPr>
          <w:rFonts w:ascii="Times New Roman" w:hAnsi="Times New Roman" w:cs="Times New Roman"/>
          <w:sz w:val="20"/>
          <w:szCs w:val="20"/>
        </w:rPr>
        <w:t xml:space="preserve">nt, Academia Press, 2004, p. 8. </w:t>
      </w:r>
      <w:r w:rsidRPr="00E94F3C">
        <w:rPr>
          <w:rFonts w:ascii="Times New Roman" w:hAnsi="Times New Roman" w:cs="Times New Roman"/>
          <w:i/>
          <w:sz w:val="20"/>
          <w:szCs w:val="20"/>
        </w:rPr>
        <w:t>Contra</w:t>
      </w:r>
      <w:r w:rsidRPr="00E94F3C">
        <w:rPr>
          <w:rFonts w:ascii="Times New Roman" w:hAnsi="Times New Roman" w:cs="Times New Roman"/>
          <w:sz w:val="20"/>
          <w:szCs w:val="20"/>
        </w:rPr>
        <w:t xml:space="preserve"> art. 4 § 2 en art. 15</w:t>
      </w:r>
      <w:r w:rsidRPr="00E94F3C">
        <w:rPr>
          <w:rFonts w:ascii="Times New Roman" w:hAnsi="Times New Roman" w:cs="Times New Roman"/>
          <w:i/>
          <w:sz w:val="20"/>
          <w:szCs w:val="20"/>
        </w:rPr>
        <w:t>bis</w:t>
      </w:r>
      <w:r w:rsidRPr="00E94F3C">
        <w:rPr>
          <w:rFonts w:ascii="Times New Roman" w:hAnsi="Times New Roman" w:cs="Times New Roman"/>
          <w:sz w:val="20"/>
          <w:szCs w:val="20"/>
        </w:rPr>
        <w:t xml:space="preserve"> Privacywet.</w:t>
      </w:r>
    </w:p>
  </w:footnote>
  <w:footnote w:id="1307">
    <w:p w:rsidR="00E82D16" w:rsidRPr="00052001" w:rsidRDefault="00E82D16" w:rsidP="000F560E">
      <w:pPr>
        <w:pStyle w:val="Geenafstand"/>
        <w:jc w:val="both"/>
        <w:rPr>
          <w:rFonts w:ascii="Times New Roman" w:hAnsi="Times New Roman" w:cs="Times New Roman"/>
          <w:sz w:val="20"/>
          <w:szCs w:val="20"/>
        </w:rPr>
      </w:pPr>
      <w:r w:rsidRPr="008C135C">
        <w:rPr>
          <w:rStyle w:val="FootnoteCharacters"/>
          <w:rFonts w:ascii="Times New Roman" w:hAnsi="Times New Roman" w:cs="Times New Roman"/>
          <w:sz w:val="20"/>
          <w:szCs w:val="20"/>
          <w:vertAlign w:val="superscript"/>
        </w:rPr>
        <w:footnoteRef/>
      </w:r>
      <w:r w:rsidRPr="00052001">
        <w:rPr>
          <w:rFonts w:ascii="Times New Roman" w:hAnsi="Times New Roman" w:cs="Times New Roman"/>
          <w:sz w:val="20"/>
          <w:szCs w:val="20"/>
        </w:rPr>
        <w:t xml:space="preserve"> DIJKHOFFZ, W., ‘Federale ombudsdienst ‘Rechten van de patiënt’’, Nederlandstalige ombudspersoon, </w:t>
      </w:r>
      <w:r w:rsidRPr="00052001">
        <w:rPr>
          <w:rFonts w:ascii="Times New Roman" w:hAnsi="Times New Roman" w:cs="Times New Roman"/>
          <w:i/>
          <w:iCs/>
          <w:sz w:val="20"/>
          <w:szCs w:val="20"/>
        </w:rPr>
        <w:t>Jaarverslag</w:t>
      </w:r>
      <w:r w:rsidRPr="00052001">
        <w:rPr>
          <w:rFonts w:ascii="Times New Roman" w:hAnsi="Times New Roman" w:cs="Times New Roman"/>
          <w:sz w:val="20"/>
          <w:szCs w:val="20"/>
        </w:rPr>
        <w:t>, 2004, Brussel, Federale overheidsdienst Volksgezondheid, Veiligheid van de voedselketen en Leef</w:t>
      </w:r>
      <w:r>
        <w:rPr>
          <w:rFonts w:ascii="Times New Roman" w:hAnsi="Times New Roman" w:cs="Times New Roman"/>
          <w:sz w:val="20"/>
          <w:szCs w:val="20"/>
        </w:rPr>
        <w:t>-</w:t>
      </w:r>
      <w:r w:rsidRPr="00052001">
        <w:rPr>
          <w:rFonts w:ascii="Times New Roman" w:hAnsi="Times New Roman" w:cs="Times New Roman"/>
          <w:sz w:val="20"/>
          <w:szCs w:val="20"/>
        </w:rPr>
        <w:t xml:space="preserve">milieu, 2005, p. 97; GRYSON, S.; VERHAEGEN, M.N. (m.m.v. V. DEBREYNE en G. SCHMITZ); ‘Federale ombudsdienst ‘Rechten van de patiënt’’, </w:t>
      </w:r>
      <w:r w:rsidRPr="00052001">
        <w:rPr>
          <w:rFonts w:ascii="Times New Roman" w:hAnsi="Times New Roman" w:cs="Times New Roman"/>
          <w:i/>
          <w:iCs/>
          <w:sz w:val="20"/>
          <w:szCs w:val="20"/>
        </w:rPr>
        <w:t>Jaarverslag</w:t>
      </w:r>
      <w:r w:rsidRPr="00052001">
        <w:rPr>
          <w:rFonts w:ascii="Times New Roman" w:hAnsi="Times New Roman" w:cs="Times New Roman"/>
          <w:sz w:val="20"/>
          <w:szCs w:val="20"/>
        </w:rPr>
        <w:t>, 2007, Brussel, Federale overheidsdienst Volksgezondheid, Veiligheid van de voedselketen en Leefmilieu, 2008, p. 63.</w:t>
      </w:r>
    </w:p>
  </w:footnote>
  <w:footnote w:id="1308">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r w:rsidRPr="00052001">
        <w:rPr>
          <w:rFonts w:ascii="Times New Roman" w:eastAsia="SimSun" w:hAnsi="Times New Roman"/>
          <w:kern w:val="1"/>
          <w:lang w:eastAsia="hi-IN" w:bidi="hi-IN"/>
        </w:rPr>
        <w:t>Art. 2262 BW.</w:t>
      </w:r>
    </w:p>
  </w:footnote>
  <w:footnote w:id="1309">
    <w:p w:rsidR="00E82D16" w:rsidRPr="00052001" w:rsidRDefault="00E82D16" w:rsidP="000F560E">
      <w:pPr>
        <w:pStyle w:val="Geenafstand"/>
        <w:jc w:val="both"/>
        <w:rPr>
          <w:rFonts w:ascii="Times New Roman" w:hAnsi="Times New Roman" w:cs="Times New Roman"/>
          <w:sz w:val="20"/>
          <w:szCs w:val="20"/>
        </w:rPr>
      </w:pPr>
      <w:r w:rsidRPr="008C135C">
        <w:rPr>
          <w:rStyle w:val="FootnoteCharacters"/>
          <w:rFonts w:ascii="Times New Roman" w:hAnsi="Times New Roman" w:cs="Times New Roman"/>
          <w:sz w:val="20"/>
          <w:szCs w:val="20"/>
          <w:vertAlign w:val="superscript"/>
        </w:rPr>
        <w:footnoteRef/>
      </w:r>
      <w:r w:rsidRPr="008C135C">
        <w:rPr>
          <w:rFonts w:ascii="Times New Roman" w:hAnsi="Times New Roman" w:cs="Times New Roman"/>
          <w:sz w:val="20"/>
          <w:szCs w:val="20"/>
          <w:vertAlign w:val="superscript"/>
        </w:rPr>
        <w:t xml:space="preserve"> </w:t>
      </w:r>
      <w:r w:rsidRPr="00052001">
        <w:rPr>
          <w:rFonts w:ascii="Times New Roman" w:hAnsi="Times New Roman" w:cs="Times New Roman"/>
          <w:sz w:val="20"/>
          <w:szCs w:val="20"/>
        </w:rPr>
        <w:t xml:space="preserve">VAN DAMME, J.; NYS, H.; VAN DAMME, T; </w:t>
      </w:r>
      <w:r w:rsidRPr="00052001">
        <w:rPr>
          <w:rFonts w:ascii="Times New Roman" w:hAnsi="Times New Roman" w:cs="Times New Roman"/>
          <w:i/>
          <w:iCs/>
          <w:sz w:val="20"/>
          <w:szCs w:val="20"/>
        </w:rPr>
        <w:t>De arts, de huisarts en zijn dossier</w:t>
      </w:r>
      <w:r w:rsidRPr="00052001">
        <w:rPr>
          <w:rFonts w:ascii="Times New Roman" w:hAnsi="Times New Roman" w:cs="Times New Roman"/>
          <w:sz w:val="20"/>
          <w:szCs w:val="20"/>
        </w:rPr>
        <w:t>, p. 155.</w:t>
      </w:r>
    </w:p>
  </w:footnote>
  <w:footnote w:id="1310">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BALTHAZAR, T., ‘De potentiële impact van de Patiëntenrechtenwet op procedures inzake aansprakelijk</w:t>
      </w:r>
      <w:r>
        <w:rPr>
          <w:rFonts w:ascii="Times New Roman" w:hAnsi="Times New Roman" w:cs="Times New Roman"/>
          <w:sz w:val="20"/>
          <w:szCs w:val="20"/>
        </w:rPr>
        <w:t>-</w:t>
      </w:r>
      <w:r w:rsidRPr="00052001">
        <w:rPr>
          <w:rFonts w:ascii="Times New Roman" w:hAnsi="Times New Roman" w:cs="Times New Roman"/>
          <w:sz w:val="20"/>
          <w:szCs w:val="20"/>
        </w:rPr>
        <w:t xml:space="preserve">heid van artsen en ziekenhuizen’, </w:t>
      </w:r>
      <w:r>
        <w:rPr>
          <w:rFonts w:ascii="Times New Roman" w:hAnsi="Times New Roman" w:cs="Times New Roman"/>
          <w:sz w:val="20"/>
          <w:szCs w:val="20"/>
        </w:rPr>
        <w:t xml:space="preserve">Vlaamse Conferentie der Balie van Gent (red.), </w:t>
      </w:r>
      <w:r w:rsidRPr="00052001">
        <w:rPr>
          <w:rFonts w:ascii="Times New Roman" w:hAnsi="Times New Roman" w:cs="Times New Roman"/>
          <w:i/>
          <w:iCs/>
          <w:sz w:val="20"/>
          <w:szCs w:val="20"/>
        </w:rPr>
        <w:t>Aansprakelijkheidsrecht</w:t>
      </w:r>
      <w:r w:rsidRPr="00052001">
        <w:rPr>
          <w:rFonts w:ascii="Times New Roman" w:hAnsi="Times New Roman" w:cs="Times New Roman"/>
          <w:sz w:val="20"/>
          <w:szCs w:val="20"/>
        </w:rPr>
        <w:t>, Ant</w:t>
      </w:r>
      <w:r>
        <w:rPr>
          <w:rFonts w:ascii="Times New Roman" w:hAnsi="Times New Roman" w:cs="Times New Roman"/>
          <w:sz w:val="20"/>
          <w:szCs w:val="20"/>
        </w:rPr>
        <w:t>-</w:t>
      </w:r>
      <w:r w:rsidRPr="00052001">
        <w:rPr>
          <w:rFonts w:ascii="Times New Roman" w:hAnsi="Times New Roman" w:cs="Times New Roman"/>
          <w:sz w:val="20"/>
          <w:szCs w:val="20"/>
        </w:rPr>
        <w:t>werpen</w:t>
      </w:r>
      <w:r>
        <w:rPr>
          <w:rFonts w:ascii="Times New Roman" w:hAnsi="Times New Roman" w:cs="Times New Roman"/>
          <w:sz w:val="20"/>
          <w:szCs w:val="20"/>
        </w:rPr>
        <w:t>-Apeldoorn</w:t>
      </w:r>
      <w:r w:rsidRPr="00052001">
        <w:rPr>
          <w:rFonts w:ascii="Times New Roman" w:hAnsi="Times New Roman" w:cs="Times New Roman"/>
          <w:sz w:val="20"/>
          <w:szCs w:val="20"/>
        </w:rPr>
        <w:t xml:space="preserve">, Maklu, 2004, p. 31; HEYLEN, R., ‘Het medisch dossier en de Wet Patiëntenrechten: vele verduidelijkingen, maar toch enkele nieuwe problemen’, </w:t>
      </w:r>
      <w:r w:rsidRPr="00052001">
        <w:rPr>
          <w:rFonts w:ascii="Times New Roman" w:hAnsi="Times New Roman" w:cs="Times New Roman"/>
          <w:i/>
          <w:iCs/>
          <w:sz w:val="20"/>
          <w:szCs w:val="20"/>
        </w:rPr>
        <w:t>T.Gez.</w:t>
      </w:r>
      <w:r w:rsidRPr="00052001">
        <w:rPr>
          <w:rFonts w:ascii="Times New Roman" w:hAnsi="Times New Roman" w:cs="Times New Roman"/>
          <w:sz w:val="20"/>
          <w:szCs w:val="20"/>
        </w:rPr>
        <w:t>, 2003-2004, p. 100.</w:t>
      </w:r>
    </w:p>
  </w:footnote>
  <w:footnote w:id="1311">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BALTHAZAR, ‘De potentiële impact van de Patiëntenrechtenwet op procedures inzake aansprakelijkheid van artsen en ziekenhuizen’, p. 32.</w:t>
      </w:r>
    </w:p>
  </w:footnote>
  <w:footnote w:id="1312">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BOONE, I., ‘Verlies van een kans:  voorwaarden voor recht op vergoeding en begroting van de schade’, </w:t>
      </w:r>
      <w:r w:rsidRPr="00052001">
        <w:rPr>
          <w:rFonts w:ascii="Times New Roman" w:hAnsi="Times New Roman" w:cs="Times New Roman"/>
          <w:i/>
          <w:sz w:val="20"/>
          <w:szCs w:val="20"/>
        </w:rPr>
        <w:t>N.J.W.</w:t>
      </w:r>
      <w:r w:rsidRPr="00052001">
        <w:rPr>
          <w:rFonts w:ascii="Times New Roman" w:hAnsi="Times New Roman" w:cs="Times New Roman"/>
          <w:sz w:val="20"/>
          <w:szCs w:val="20"/>
        </w:rPr>
        <w:t>, 229 (2010), p. 661; CALLENS, S., ‘[Medische aansprakelijkheid: verlies van een kans en aansprake</w:t>
      </w:r>
      <w:r>
        <w:rPr>
          <w:rFonts w:ascii="Times New Roman" w:hAnsi="Times New Roman" w:cs="Times New Roman"/>
          <w:sz w:val="20"/>
          <w:szCs w:val="20"/>
        </w:rPr>
        <w:t>-</w:t>
      </w:r>
      <w:r w:rsidRPr="00052001">
        <w:rPr>
          <w:rFonts w:ascii="Times New Roman" w:hAnsi="Times New Roman" w:cs="Times New Roman"/>
          <w:sz w:val="20"/>
          <w:szCs w:val="20"/>
        </w:rPr>
        <w:t xml:space="preserve">lijkheid van een ziekenhuis voor fouten van artsen]’, </w:t>
      </w:r>
      <w:r w:rsidRPr="00052001">
        <w:rPr>
          <w:rFonts w:ascii="Times New Roman" w:hAnsi="Times New Roman" w:cs="Times New Roman"/>
          <w:i/>
          <w:sz w:val="20"/>
          <w:szCs w:val="20"/>
        </w:rPr>
        <w:t>T.Gez.</w:t>
      </w:r>
      <w:r w:rsidRPr="00052001">
        <w:rPr>
          <w:rFonts w:ascii="Times New Roman" w:hAnsi="Times New Roman" w:cs="Times New Roman"/>
          <w:sz w:val="20"/>
          <w:szCs w:val="20"/>
        </w:rPr>
        <w:t>, 2008-2009, 1, p. 54-55.</w:t>
      </w:r>
    </w:p>
  </w:footnote>
  <w:footnote w:id="1313">
    <w:p w:rsidR="00E82D16" w:rsidRPr="00E333B6" w:rsidRDefault="00E82D16" w:rsidP="000F560E">
      <w:pPr>
        <w:pStyle w:val="Geenafstand"/>
        <w:jc w:val="both"/>
        <w:rPr>
          <w:rFonts w:ascii="Times New Roman" w:hAnsi="Times New Roman" w:cs="Times New Roman"/>
          <w:sz w:val="20"/>
          <w:szCs w:val="20"/>
          <w:lang w:val="fr-BE"/>
        </w:rPr>
      </w:pPr>
      <w:r w:rsidRPr="008C135C">
        <w:rPr>
          <w:rStyle w:val="FootnoteCharacters"/>
          <w:rFonts w:ascii="Times New Roman" w:hAnsi="Times New Roman" w:cs="Times New Roman"/>
          <w:sz w:val="20"/>
          <w:szCs w:val="20"/>
          <w:vertAlign w:val="superscript"/>
        </w:rPr>
        <w:footnoteRef/>
      </w:r>
      <w:r w:rsidRPr="00052001">
        <w:rPr>
          <w:rFonts w:ascii="Times New Roman" w:hAnsi="Times New Roman" w:cs="Times New Roman"/>
          <w:sz w:val="20"/>
          <w:szCs w:val="20"/>
        </w:rPr>
        <w:t xml:space="preserve"> HEYLEN, R., ‘Het medisch dossier en de Wet Patiëntenrechten: vele verduidelijkingen, maar toch enkele nieuwe problemen’, </w:t>
      </w:r>
      <w:r w:rsidRPr="00052001">
        <w:rPr>
          <w:rFonts w:ascii="Times New Roman" w:hAnsi="Times New Roman" w:cs="Times New Roman"/>
          <w:i/>
          <w:iCs/>
          <w:sz w:val="20"/>
          <w:szCs w:val="20"/>
        </w:rPr>
        <w:t>T.Gez.</w:t>
      </w:r>
      <w:r w:rsidRPr="00052001">
        <w:rPr>
          <w:rFonts w:ascii="Times New Roman" w:hAnsi="Times New Roman" w:cs="Times New Roman"/>
          <w:sz w:val="20"/>
          <w:szCs w:val="20"/>
        </w:rPr>
        <w:t xml:space="preserve">, 2003-2004, p. 101; VAN QUICKENBORNE, M., </w:t>
      </w:r>
      <w:r w:rsidRPr="00052001">
        <w:rPr>
          <w:rFonts w:ascii="Times New Roman" w:hAnsi="Times New Roman" w:cs="Times New Roman"/>
          <w:i/>
          <w:iCs/>
          <w:sz w:val="20"/>
          <w:szCs w:val="20"/>
        </w:rPr>
        <w:t>Oorzakelijk verband tussen on</w:t>
      </w:r>
      <w:r>
        <w:rPr>
          <w:rFonts w:ascii="Times New Roman" w:hAnsi="Times New Roman" w:cs="Times New Roman"/>
          <w:i/>
          <w:iCs/>
          <w:sz w:val="20"/>
          <w:szCs w:val="20"/>
        </w:rPr>
        <w:t>-</w:t>
      </w:r>
      <w:r w:rsidRPr="00052001">
        <w:rPr>
          <w:rFonts w:ascii="Times New Roman" w:hAnsi="Times New Roman" w:cs="Times New Roman"/>
          <w:i/>
          <w:iCs/>
          <w:sz w:val="20"/>
          <w:szCs w:val="20"/>
        </w:rPr>
        <w:t>rechtmatige daad en schade</w:t>
      </w:r>
      <w:r w:rsidRPr="00052001">
        <w:rPr>
          <w:rFonts w:ascii="Times New Roman" w:hAnsi="Times New Roman" w:cs="Times New Roman"/>
          <w:sz w:val="20"/>
          <w:szCs w:val="20"/>
        </w:rPr>
        <w:t>, Me</w:t>
      </w:r>
      <w:r>
        <w:rPr>
          <w:rFonts w:ascii="Times New Roman" w:hAnsi="Times New Roman" w:cs="Times New Roman"/>
          <w:sz w:val="20"/>
          <w:szCs w:val="20"/>
        </w:rPr>
        <w:t xml:space="preserve">chelen, Kluwer, 2007, p. 73-74. </w:t>
      </w:r>
      <w:r w:rsidRPr="00E333B6">
        <w:rPr>
          <w:rFonts w:ascii="Times New Roman" w:hAnsi="Times New Roman" w:cs="Times New Roman"/>
          <w:sz w:val="20"/>
          <w:szCs w:val="20"/>
          <w:lang w:val="fr-BE"/>
        </w:rPr>
        <w:t xml:space="preserve">Zie ook: DUPUY, O., </w:t>
      </w:r>
      <w:r w:rsidRPr="00E333B6">
        <w:rPr>
          <w:rFonts w:ascii="Times New Roman" w:hAnsi="Times New Roman" w:cs="Times New Roman"/>
          <w:i/>
          <w:iCs/>
          <w:sz w:val="20"/>
          <w:szCs w:val="20"/>
          <w:lang w:val="fr-BE"/>
        </w:rPr>
        <w:t>Le dossier du patient en établissement de santé et en établissement d’hébergement pour personnes âgées dépendantes</w:t>
      </w:r>
      <w:r w:rsidRPr="00E333B6">
        <w:rPr>
          <w:rFonts w:ascii="Times New Roman" w:hAnsi="Times New Roman" w:cs="Times New Roman"/>
          <w:sz w:val="20"/>
          <w:szCs w:val="20"/>
          <w:lang w:val="fr-BE"/>
        </w:rPr>
        <w:t>, Parijs, Heures de France, 2009, p. 216.</w:t>
      </w:r>
    </w:p>
  </w:footnote>
  <w:footnote w:id="1314">
    <w:p w:rsidR="00E82D16" w:rsidRPr="00052001" w:rsidRDefault="00E82D16" w:rsidP="000F560E">
      <w:pPr>
        <w:pStyle w:val="Geenafstand"/>
        <w:jc w:val="both"/>
        <w:rPr>
          <w:rFonts w:ascii="Times New Roman" w:hAnsi="Times New Roman" w:cs="Times New Roman"/>
          <w:sz w:val="20"/>
          <w:szCs w:val="20"/>
        </w:rPr>
      </w:pPr>
      <w:r w:rsidRPr="008C135C">
        <w:rPr>
          <w:rStyle w:val="FootnoteCharacters"/>
          <w:rFonts w:ascii="Times New Roman" w:hAnsi="Times New Roman" w:cs="Times New Roman"/>
          <w:sz w:val="20"/>
          <w:szCs w:val="20"/>
          <w:vertAlign w:val="superscript"/>
        </w:rPr>
        <w:footnoteRef/>
      </w:r>
      <w:r w:rsidRPr="00052001">
        <w:rPr>
          <w:rFonts w:ascii="Times New Roman" w:hAnsi="Times New Roman" w:cs="Times New Roman"/>
          <w:sz w:val="20"/>
          <w:szCs w:val="20"/>
        </w:rPr>
        <w:t xml:space="preserve"> MEIRESONNE, A., ‘Records management op de Campus Brugmann’, p. 173; ‘Bewaring van medische dos</w:t>
      </w:r>
      <w:r>
        <w:rPr>
          <w:rFonts w:ascii="Times New Roman" w:hAnsi="Times New Roman" w:cs="Times New Roman"/>
          <w:sz w:val="20"/>
          <w:szCs w:val="20"/>
        </w:rPr>
        <w:t>-</w:t>
      </w:r>
      <w:r w:rsidRPr="00052001">
        <w:rPr>
          <w:rFonts w:ascii="Times New Roman" w:hAnsi="Times New Roman" w:cs="Times New Roman"/>
          <w:sz w:val="20"/>
          <w:szCs w:val="20"/>
        </w:rPr>
        <w:t xml:space="preserve">siers’, </w:t>
      </w:r>
      <w:r w:rsidRPr="00052001">
        <w:rPr>
          <w:rFonts w:ascii="Times New Roman" w:hAnsi="Times New Roman" w:cs="Times New Roman"/>
          <w:i/>
          <w:iCs/>
          <w:sz w:val="20"/>
          <w:szCs w:val="20"/>
        </w:rPr>
        <w:t>T.N.R.</w:t>
      </w:r>
      <w:r w:rsidRPr="00052001">
        <w:rPr>
          <w:rFonts w:ascii="Times New Roman" w:hAnsi="Times New Roman" w:cs="Times New Roman"/>
          <w:sz w:val="20"/>
          <w:szCs w:val="20"/>
        </w:rPr>
        <w:t xml:space="preserve">, 33 (1985), p. 60; ‘Bewaring van medische dossiers op microfilm’, </w:t>
      </w:r>
      <w:r w:rsidRPr="00052001">
        <w:rPr>
          <w:rFonts w:ascii="Times New Roman" w:hAnsi="Times New Roman" w:cs="Times New Roman"/>
          <w:i/>
          <w:iCs/>
          <w:sz w:val="20"/>
          <w:szCs w:val="20"/>
        </w:rPr>
        <w:t>T.N.R.</w:t>
      </w:r>
      <w:r w:rsidRPr="00052001">
        <w:rPr>
          <w:rFonts w:ascii="Times New Roman" w:hAnsi="Times New Roman" w:cs="Times New Roman"/>
          <w:sz w:val="20"/>
          <w:szCs w:val="20"/>
        </w:rPr>
        <w:t>, 57 (1992), p. 20; ‘Me</w:t>
      </w:r>
      <w:r>
        <w:rPr>
          <w:rFonts w:ascii="Times New Roman" w:hAnsi="Times New Roman" w:cs="Times New Roman"/>
          <w:sz w:val="20"/>
          <w:szCs w:val="20"/>
        </w:rPr>
        <w:t>-</w:t>
      </w:r>
      <w:r w:rsidRPr="00052001">
        <w:rPr>
          <w:rFonts w:ascii="Times New Roman" w:hAnsi="Times New Roman" w:cs="Times New Roman"/>
          <w:sz w:val="20"/>
          <w:szCs w:val="20"/>
        </w:rPr>
        <w:t xml:space="preserve">disch archief – Verantwoordelijke voor de opslag ervan in het ziekenhuis’, </w:t>
      </w:r>
      <w:r w:rsidRPr="00052001">
        <w:rPr>
          <w:rFonts w:ascii="Times New Roman" w:hAnsi="Times New Roman" w:cs="Times New Roman"/>
          <w:i/>
          <w:iCs/>
          <w:sz w:val="20"/>
          <w:szCs w:val="20"/>
        </w:rPr>
        <w:t>T.N.R.</w:t>
      </w:r>
      <w:r w:rsidRPr="00052001">
        <w:rPr>
          <w:rFonts w:ascii="Times New Roman" w:hAnsi="Times New Roman" w:cs="Times New Roman"/>
          <w:sz w:val="20"/>
          <w:szCs w:val="20"/>
        </w:rPr>
        <w:t>, 86 (1999), p. 15.</w:t>
      </w:r>
    </w:p>
  </w:footnote>
  <w:footnote w:id="1315">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NUYTTENS, </w:t>
      </w:r>
      <w:r w:rsidRPr="00052001">
        <w:rPr>
          <w:rFonts w:ascii="Times New Roman" w:hAnsi="Times New Roman" w:cs="Times New Roman"/>
          <w:i/>
          <w:iCs/>
          <w:sz w:val="20"/>
          <w:szCs w:val="20"/>
        </w:rPr>
        <w:t>Inspectieverslag betreffende het archief van openbare ziekenhuizen in de provincie West-Vlaanderen</w:t>
      </w:r>
      <w:r w:rsidRPr="00052001">
        <w:rPr>
          <w:rFonts w:ascii="Times New Roman" w:hAnsi="Times New Roman" w:cs="Times New Roman"/>
          <w:sz w:val="20"/>
          <w:szCs w:val="20"/>
        </w:rPr>
        <w:t>, p. 61.</w:t>
      </w:r>
    </w:p>
  </w:footnote>
  <w:footnote w:id="1316">
    <w:p w:rsidR="00E82D16" w:rsidRPr="00E333B6" w:rsidRDefault="00E82D16" w:rsidP="000F560E">
      <w:pPr>
        <w:pStyle w:val="Geenafstand"/>
        <w:jc w:val="both"/>
        <w:rPr>
          <w:rFonts w:ascii="Times New Roman" w:hAnsi="Times New Roman" w:cs="Times New Roman"/>
          <w:sz w:val="20"/>
          <w:szCs w:val="20"/>
        </w:rPr>
      </w:pPr>
      <w:r w:rsidRPr="002E535F">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w:t>
      </w:r>
      <w:r w:rsidRPr="002E535F">
        <w:rPr>
          <w:rFonts w:ascii="Times New Roman" w:hAnsi="Times New Roman" w:cs="Times New Roman"/>
          <w:sz w:val="20"/>
          <w:szCs w:val="20"/>
          <w:lang w:val="fr-BE"/>
        </w:rPr>
        <w:t xml:space="preserve">FABER, V., </w:t>
      </w:r>
      <w:r w:rsidRPr="002E535F">
        <w:rPr>
          <w:rFonts w:ascii="Times New Roman" w:hAnsi="Times New Roman" w:cs="Times New Roman"/>
          <w:i/>
          <w:iCs/>
          <w:sz w:val="20"/>
          <w:szCs w:val="20"/>
          <w:lang w:val="fr-BE"/>
        </w:rPr>
        <w:t>Xénophon à la rencontre d'Hippocrate. Une étude de l'intérêt historique des dossiers médicaux estudiants à la lumière des documents conservés par la Vrije Universiteit Brussel</w:t>
      </w:r>
      <w:r w:rsidRPr="002E535F">
        <w:rPr>
          <w:rFonts w:ascii="Times New Roman" w:hAnsi="Times New Roman" w:cs="Times New Roman"/>
          <w:sz w:val="20"/>
          <w:szCs w:val="20"/>
          <w:lang w:val="fr-BE"/>
        </w:rPr>
        <w:t>, onuitgeg. Licentiaatsverhan</w:t>
      </w:r>
      <w:r>
        <w:rPr>
          <w:rFonts w:ascii="Times New Roman" w:hAnsi="Times New Roman" w:cs="Times New Roman"/>
          <w:sz w:val="20"/>
          <w:szCs w:val="20"/>
          <w:lang w:val="fr-BE"/>
        </w:rPr>
        <w:t>-</w:t>
      </w:r>
      <w:r w:rsidRPr="002E535F">
        <w:rPr>
          <w:rFonts w:ascii="Times New Roman" w:hAnsi="Times New Roman" w:cs="Times New Roman"/>
          <w:sz w:val="20"/>
          <w:szCs w:val="20"/>
          <w:lang w:val="fr-BE"/>
        </w:rPr>
        <w:t>deling, Gespecialiseerde studies van archivistiek en hedendaags documentbeheer, Vrije Universiteit Brussel, pro</w:t>
      </w:r>
      <w:r>
        <w:rPr>
          <w:rFonts w:ascii="Times New Roman" w:hAnsi="Times New Roman" w:cs="Times New Roman"/>
          <w:sz w:val="20"/>
          <w:szCs w:val="20"/>
          <w:lang w:val="fr-BE"/>
        </w:rPr>
        <w:t>-</w:t>
      </w:r>
      <w:r w:rsidRPr="002E535F">
        <w:rPr>
          <w:rFonts w:ascii="Times New Roman" w:hAnsi="Times New Roman" w:cs="Times New Roman"/>
          <w:sz w:val="20"/>
          <w:szCs w:val="20"/>
          <w:lang w:val="fr-BE"/>
        </w:rPr>
        <w:t xml:space="preserve">motor prof. dr. </w:t>
      </w:r>
      <w:r w:rsidRPr="00E333B6">
        <w:rPr>
          <w:rFonts w:ascii="Times New Roman" w:hAnsi="Times New Roman" w:cs="Times New Roman"/>
          <w:sz w:val="20"/>
          <w:szCs w:val="20"/>
        </w:rPr>
        <w:t>Frank Scheelings, academiejaar 2001-2002, p. 56-57.</w:t>
      </w:r>
    </w:p>
  </w:footnote>
  <w:footnote w:id="1317">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‘Bewaartermijnen van radiografieën en elektro-encefalografische tracés’, </w:t>
      </w:r>
      <w:r w:rsidRPr="00052001">
        <w:rPr>
          <w:rFonts w:ascii="Times New Roman" w:hAnsi="Times New Roman"/>
          <w:i/>
          <w:iCs/>
        </w:rPr>
        <w:t>T.N.R.</w:t>
      </w:r>
      <w:r w:rsidRPr="00052001">
        <w:rPr>
          <w:rFonts w:ascii="Times New Roman" w:hAnsi="Times New Roman"/>
        </w:rPr>
        <w:t>, 92 (2001), p. 3.</w:t>
      </w:r>
    </w:p>
  </w:footnote>
  <w:footnote w:id="1318">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NUYTTENS, </w:t>
      </w:r>
      <w:r w:rsidRPr="00052001">
        <w:rPr>
          <w:rFonts w:ascii="Times New Roman" w:hAnsi="Times New Roman" w:cs="Times New Roman"/>
          <w:i/>
          <w:iCs/>
          <w:sz w:val="20"/>
          <w:szCs w:val="20"/>
        </w:rPr>
        <w:t>Inspectieverslag betreffende het archief van openbare ziekenhuizen in de provincie West-Vlaanderen</w:t>
      </w:r>
      <w:r w:rsidRPr="00052001">
        <w:rPr>
          <w:rFonts w:ascii="Times New Roman" w:hAnsi="Times New Roman" w:cs="Times New Roman"/>
          <w:sz w:val="20"/>
          <w:szCs w:val="20"/>
        </w:rPr>
        <w:t>, p. 60.</w:t>
      </w:r>
    </w:p>
  </w:footnote>
  <w:footnote w:id="1319">
    <w:p w:rsidR="00E82D16" w:rsidRPr="00E333B6" w:rsidRDefault="00E82D16" w:rsidP="000F560E">
      <w:pPr>
        <w:pStyle w:val="Geenafstand"/>
        <w:jc w:val="both"/>
        <w:rPr>
          <w:rFonts w:ascii="Times New Roman" w:hAnsi="Times New Roman" w:cs="Times New Roman"/>
          <w:sz w:val="20"/>
          <w:szCs w:val="20"/>
          <w:lang w:val="fr-BE"/>
        </w:rPr>
      </w:pPr>
      <w:r w:rsidRPr="00052001">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Art. 9 Privacywet.</w:t>
      </w:r>
    </w:p>
  </w:footnote>
  <w:footnote w:id="1320">
    <w:p w:rsidR="00E82D16" w:rsidRPr="00E333B6" w:rsidRDefault="00E82D16" w:rsidP="000F560E">
      <w:pPr>
        <w:pStyle w:val="Geenafstand"/>
        <w:jc w:val="both"/>
        <w:rPr>
          <w:rFonts w:ascii="Times New Roman" w:hAnsi="Times New Roman" w:cs="Times New Roman"/>
          <w:sz w:val="20"/>
          <w:szCs w:val="20"/>
          <w:lang w:val="fr-BE"/>
        </w:rPr>
      </w:pPr>
      <w:r w:rsidRPr="00510F8B">
        <w:rPr>
          <w:rStyle w:val="Voetnootmarkering"/>
          <w:rFonts w:ascii="Times New Roman" w:hAnsi="Times New Roman" w:cs="Times New Roman"/>
          <w:sz w:val="20"/>
          <w:szCs w:val="20"/>
        </w:rPr>
        <w:footnoteRef/>
      </w:r>
      <w:r w:rsidRPr="00E333B6">
        <w:rPr>
          <w:rFonts w:ascii="Times New Roman" w:hAnsi="Times New Roman" w:cs="Times New Roman"/>
          <w:sz w:val="20"/>
          <w:szCs w:val="20"/>
          <w:lang w:val="fr-BE"/>
        </w:rPr>
        <w:t xml:space="preserve"> BRILLON; CALLENS; ‘La conservation du dossier patient’, p. 179.</w:t>
      </w:r>
    </w:p>
  </w:footnote>
  <w:footnote w:id="1321">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Gezondheidsraad, </w:t>
      </w:r>
      <w:r w:rsidRPr="00052001">
        <w:rPr>
          <w:rFonts w:ascii="Times New Roman" w:hAnsi="Times New Roman" w:cs="Times New Roman"/>
          <w:i/>
          <w:sz w:val="20"/>
          <w:szCs w:val="20"/>
        </w:rPr>
        <w:t>Bewaartermijn patiëntengegevens. Pleidooi voor wetswijziging</w:t>
      </w:r>
      <w:r w:rsidRPr="00052001">
        <w:rPr>
          <w:rFonts w:ascii="Times New Roman" w:hAnsi="Times New Roman" w:cs="Times New Roman"/>
          <w:sz w:val="20"/>
          <w:szCs w:val="20"/>
        </w:rPr>
        <w:t xml:space="preserve">, nr. 2004/08, Den Haag, p. 40 </w:t>
      </w:r>
      <w:r w:rsidRPr="002720ED">
        <w:rPr>
          <w:rFonts w:ascii="Times New Roman" w:hAnsi="Times New Roman" w:cs="Times New Roman"/>
          <w:sz w:val="20"/>
          <w:szCs w:val="20"/>
        </w:rPr>
        <w:t>(</w:t>
      </w:r>
      <w:hyperlink r:id="rId210" w:history="1">
        <w:r w:rsidRPr="00052001">
          <w:rPr>
            <w:rStyle w:val="Hyperlink"/>
            <w:rFonts w:ascii="Times New Roman" w:hAnsi="Times New Roman" w:cs="Times New Roman"/>
            <w:sz w:val="20"/>
            <w:szCs w:val="20"/>
          </w:rPr>
          <w:t>http://www.gezondheidsraad.nl/sites/default/files/04@08n1.pdf</w:t>
        </w:r>
      </w:hyperlink>
      <w:r w:rsidRPr="002720ED">
        <w:rPr>
          <w:rStyle w:val="Nadruk"/>
          <w:rFonts w:ascii="Times New Roman" w:hAnsi="Times New Roman" w:cs="Times New Roman"/>
          <w:i w:val="0"/>
          <w:sz w:val="20"/>
          <w:szCs w:val="20"/>
          <w:shd w:val="clear" w:color="auto" w:fill="FFFFFF"/>
        </w:rPr>
        <w:t>).</w:t>
      </w:r>
    </w:p>
  </w:footnote>
  <w:footnote w:id="1322">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t>
      </w:r>
      <w:r w:rsidRPr="00052001">
        <w:rPr>
          <w:rFonts w:ascii="Times New Roman" w:eastAsia="SimSun" w:hAnsi="Times New Roman"/>
          <w:kern w:val="1"/>
          <w:lang w:eastAsia="hi-IN" w:bidi="hi-IN"/>
        </w:rPr>
        <w:t>Art. 4 § 1, 5° Privacywet.</w:t>
      </w:r>
    </w:p>
  </w:footnote>
  <w:footnote w:id="132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Artikel 5 Archiefwet; art. 11 § 1 van het KB van 18 augustus 2010 </w:t>
      </w:r>
      <w:r>
        <w:rPr>
          <w:rFonts w:ascii="Times New Roman" w:hAnsi="Times New Roman"/>
        </w:rPr>
        <w:t xml:space="preserve">(2); ‘Toezicht en vernietiging archieven’, </w:t>
      </w:r>
      <w:r w:rsidRPr="00D4740E">
        <w:rPr>
          <w:rFonts w:ascii="Times New Roman" w:hAnsi="Times New Roman"/>
          <w:i/>
        </w:rPr>
        <w:t>N.J.W.</w:t>
      </w:r>
      <w:r>
        <w:rPr>
          <w:rFonts w:ascii="Times New Roman" w:hAnsi="Times New Roman"/>
        </w:rPr>
        <w:t>, 229 (2010), p. 656</w:t>
      </w:r>
      <w:r w:rsidRPr="00052001">
        <w:rPr>
          <w:rFonts w:ascii="Times New Roman" w:hAnsi="Times New Roman"/>
        </w:rPr>
        <w:t>.</w:t>
      </w:r>
    </w:p>
  </w:footnote>
  <w:footnote w:id="1324">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14 van het KB van 18 augustus 2010 </w:t>
      </w:r>
      <w:r>
        <w:rPr>
          <w:rFonts w:ascii="Times New Roman" w:hAnsi="Times New Roman"/>
        </w:rPr>
        <w:t>(2)</w:t>
      </w:r>
      <w:r w:rsidRPr="00052001">
        <w:rPr>
          <w:rFonts w:ascii="Times New Roman" w:hAnsi="Times New Roman"/>
        </w:rPr>
        <w:t>.</w:t>
      </w:r>
    </w:p>
  </w:footnote>
  <w:footnote w:id="1325">
    <w:p w:rsidR="00E82D16" w:rsidRPr="00BE2FAA" w:rsidRDefault="00E82D16" w:rsidP="000F560E">
      <w:pPr>
        <w:pStyle w:val="Voetnoottekst"/>
        <w:jc w:val="both"/>
        <w:rPr>
          <w:rFonts w:ascii="Times New Roman" w:hAnsi="Times New Roman"/>
        </w:rPr>
      </w:pPr>
      <w:r w:rsidRPr="00BE2FAA">
        <w:rPr>
          <w:rStyle w:val="Voetnootmarkering"/>
          <w:rFonts w:ascii="Times New Roman" w:hAnsi="Times New Roman"/>
        </w:rPr>
        <w:footnoteRef/>
      </w:r>
      <w:r w:rsidRPr="00BE2FAA">
        <w:rPr>
          <w:rFonts w:ascii="Times New Roman" w:hAnsi="Times New Roman"/>
        </w:rPr>
        <w:t xml:space="preserve"> ‘Toezicht en vernietiging archieven’, p. 656.</w:t>
      </w:r>
    </w:p>
  </w:footnote>
  <w:footnote w:id="1326">
    <w:p w:rsidR="00E82D16" w:rsidRPr="00B012AF" w:rsidRDefault="00E82D16" w:rsidP="000F560E">
      <w:pPr>
        <w:pStyle w:val="Voetnoottekst"/>
        <w:jc w:val="both"/>
        <w:rPr>
          <w:rFonts w:ascii="Times New Roman" w:hAnsi="Times New Roman"/>
        </w:rPr>
      </w:pPr>
      <w:r w:rsidRPr="00B012AF">
        <w:rPr>
          <w:rStyle w:val="Voetnootmarkering"/>
          <w:rFonts w:ascii="Times New Roman" w:hAnsi="Times New Roman"/>
        </w:rPr>
        <w:footnoteRef/>
      </w:r>
      <w:r w:rsidRPr="00B012AF">
        <w:rPr>
          <w:rFonts w:ascii="Times New Roman" w:hAnsi="Times New Roman"/>
        </w:rPr>
        <w:t xml:space="preserve"> Art. 2 Archiefwet.</w:t>
      </w:r>
    </w:p>
  </w:footnote>
  <w:footnote w:id="1327">
    <w:p w:rsidR="00E82D16" w:rsidRPr="00BA3668" w:rsidRDefault="00E82D16" w:rsidP="000F560E">
      <w:pPr>
        <w:pStyle w:val="Voetnoottekst"/>
        <w:jc w:val="both"/>
        <w:rPr>
          <w:rFonts w:ascii="Times New Roman" w:hAnsi="Times New Roman"/>
        </w:rPr>
      </w:pPr>
      <w:r w:rsidRPr="00BA3668">
        <w:rPr>
          <w:rStyle w:val="Voetnootmarkering"/>
          <w:rFonts w:ascii="Times New Roman" w:hAnsi="Times New Roman"/>
        </w:rPr>
        <w:footnoteRef/>
      </w:r>
      <w:r w:rsidRPr="00BA3668">
        <w:rPr>
          <w:rFonts w:ascii="Times New Roman" w:hAnsi="Times New Roman"/>
        </w:rPr>
        <w:t xml:space="preserve"> Bron: </w:t>
      </w:r>
      <w:hyperlink r:id="rId211" w:history="1">
        <w:r w:rsidRPr="00BA3668">
          <w:rPr>
            <w:rStyle w:val="Hyperlink"/>
            <w:rFonts w:ascii="Times New Roman" w:hAnsi="Times New Roman"/>
          </w:rPr>
          <w:t>http://arch.arch.be/content/view/955/286/lang,nl_BE/</w:t>
        </w:r>
      </w:hyperlink>
      <w:r w:rsidRPr="00BA3668">
        <w:rPr>
          <w:rFonts w:ascii="Times New Roman" w:hAnsi="Times New Roman"/>
        </w:rPr>
        <w:t>.</w:t>
      </w:r>
    </w:p>
  </w:footnote>
  <w:footnote w:id="1328">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Art. 46 C.G.P.; WOSTYN, ‘Het medisch dossier’, p. 7.</w:t>
      </w:r>
    </w:p>
  </w:footnote>
  <w:footnote w:id="1329">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Zie de website van het Algemeen Rijksarchief &gt; ‘Advies over archiefbeheer’ &gt; ‘FAQ’ &gt; ‘Vernietiging van archief’ (</w:t>
      </w:r>
      <w:hyperlink r:id="rId212" w:history="1">
        <w:r w:rsidRPr="00052001">
          <w:rPr>
            <w:rStyle w:val="Hyperlink"/>
            <w:rFonts w:ascii="Times New Roman" w:hAnsi="Times New Roman"/>
          </w:rPr>
          <w:t>http://arch.arch.be/content/view/955/286/lang,nl_BE/</w:t>
        </w:r>
      </w:hyperlink>
      <w:r w:rsidRPr="00052001">
        <w:rPr>
          <w:rFonts w:ascii="Times New Roman" w:hAnsi="Times New Roman"/>
        </w:rPr>
        <w:t>).</w:t>
      </w:r>
    </w:p>
  </w:footnote>
  <w:footnote w:id="1330">
    <w:p w:rsidR="00E82D16" w:rsidRPr="00052001" w:rsidRDefault="00E82D16" w:rsidP="000F560E">
      <w:pPr>
        <w:pStyle w:val="Voetnoottekst"/>
        <w:jc w:val="both"/>
        <w:rPr>
          <w:rFonts w:ascii="Times New Roman" w:hAnsi="Times New Roman"/>
        </w:rPr>
      </w:pPr>
      <w:r w:rsidRPr="00B47C01">
        <w:rPr>
          <w:rStyle w:val="Voetnootmarkering"/>
          <w:rFonts w:ascii="Times New Roman" w:hAnsi="Times New Roman"/>
        </w:rPr>
        <w:footnoteRef/>
      </w:r>
      <w:r w:rsidRPr="00B47C01">
        <w:rPr>
          <w:rFonts w:ascii="Times New Roman" w:hAnsi="Times New Roman"/>
        </w:rPr>
        <w:t xml:space="preserve"> In de richtlijn voor de overbrenging van archieven naar het Rijksarchief wordt hiervoor verwezen naar de ru</w:t>
      </w:r>
      <w:r>
        <w:rPr>
          <w:rFonts w:ascii="Times New Roman" w:hAnsi="Times New Roman"/>
        </w:rPr>
        <w:t>-</w:t>
      </w:r>
      <w:r w:rsidRPr="00B47C01">
        <w:rPr>
          <w:rFonts w:ascii="Times New Roman" w:hAnsi="Times New Roman"/>
        </w:rPr>
        <w:t>briek ‘Archiefvernietiging &amp; -bewaring’ in de Gouden Gids (</w:t>
      </w:r>
      <w:hyperlink r:id="rId213" w:history="1">
        <w:r w:rsidRPr="00B47C01">
          <w:rPr>
            <w:rStyle w:val="Hyperlink"/>
            <w:rFonts w:ascii="Times New Roman" w:hAnsi="Times New Roman"/>
          </w:rPr>
          <w:t>www.goudengids.be</w:t>
        </w:r>
      </w:hyperlink>
      <w:r w:rsidRPr="00B47C01">
        <w:rPr>
          <w:rFonts w:ascii="Times New Roman" w:hAnsi="Times New Roman"/>
        </w:rPr>
        <w:t xml:space="preserve">). DEVOLDER, K.; LELOUP, G.; </w:t>
      </w:r>
      <w:r w:rsidRPr="00B47C01">
        <w:rPr>
          <w:rFonts w:ascii="Times New Roman" w:hAnsi="Times New Roman"/>
          <w:i/>
        </w:rPr>
        <w:t>Archiefoverbrenging. Stappenplan voor de overbrenging van niet-digitaal overheidsarchief naar het Rijks</w:t>
      </w:r>
      <w:r>
        <w:rPr>
          <w:rFonts w:ascii="Times New Roman" w:hAnsi="Times New Roman"/>
          <w:i/>
        </w:rPr>
        <w:t>-</w:t>
      </w:r>
      <w:r w:rsidRPr="00B47C01">
        <w:rPr>
          <w:rFonts w:ascii="Times New Roman" w:hAnsi="Times New Roman"/>
          <w:i/>
        </w:rPr>
        <w:t>archief</w:t>
      </w:r>
      <w:r w:rsidRPr="00B47C01">
        <w:rPr>
          <w:rFonts w:ascii="Times New Roman" w:hAnsi="Times New Roman"/>
        </w:rPr>
        <w:t>, Brochures: aanbevelingen en advies, 8, Brussel, Algemeen Rijksarchief en Rijksarchief in de Provinciën – Afdeling Toezicht, advisering en coördinatie van verwerving en selectie, s.d.</w:t>
      </w:r>
      <w:r w:rsidRPr="00052001">
        <w:rPr>
          <w:rFonts w:ascii="Times New Roman" w:hAnsi="Times New Roman"/>
        </w:rPr>
        <w:t>, p. 5</w:t>
      </w:r>
      <w:r>
        <w:rPr>
          <w:rFonts w:ascii="Times New Roman" w:hAnsi="Times New Roman"/>
        </w:rPr>
        <w:t>.</w:t>
      </w:r>
    </w:p>
  </w:footnote>
  <w:footnote w:id="1331">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1 van het KB van 3 mei 1999 (1); art. 1 § 2 van het KB van 3 mei 1999 (2); art. N1, B, 3, d) van het KB van 21 september 2004; art. 1 § 2 van het KB van 28 december 2006; art. 3 van het KB van 26 april 2007 tot wij</w:t>
      </w:r>
      <w:r>
        <w:rPr>
          <w:rFonts w:ascii="Times New Roman" w:hAnsi="Times New Roman"/>
        </w:rPr>
        <w:t>-</w:t>
      </w:r>
      <w:r w:rsidRPr="00052001">
        <w:rPr>
          <w:rFonts w:ascii="Times New Roman" w:hAnsi="Times New Roman"/>
        </w:rPr>
        <w:t>ziging van het KB van 27 april 1999 betreffende de bewijskracht van de door de zorgverleners en de verzeke</w:t>
      </w:r>
      <w:r>
        <w:rPr>
          <w:rFonts w:ascii="Times New Roman" w:hAnsi="Times New Roman"/>
        </w:rPr>
        <w:t>-</w:t>
      </w:r>
      <w:r w:rsidRPr="00052001">
        <w:rPr>
          <w:rFonts w:ascii="Times New Roman" w:hAnsi="Times New Roman"/>
        </w:rPr>
        <w:t>ringsinstellingen opgeslagen, verwerkte, weergegeven of meegedeelde gegevens (</w:t>
      </w:r>
      <w:r w:rsidRPr="00052001">
        <w:rPr>
          <w:rFonts w:ascii="Times New Roman" w:hAnsi="Times New Roman"/>
          <w:i/>
          <w:iCs/>
        </w:rPr>
        <w:t>BS</w:t>
      </w:r>
      <w:r w:rsidRPr="00052001">
        <w:rPr>
          <w:rFonts w:ascii="Times New Roman" w:hAnsi="Times New Roman"/>
        </w:rPr>
        <w:t xml:space="preserve"> 18 juni 2007); art. 13 van de </w:t>
      </w:r>
      <w:r w:rsidRPr="00052001">
        <w:rPr>
          <w:rStyle w:val="hps"/>
        </w:rPr>
        <w:t>wet</w:t>
      </w:r>
      <w:r w:rsidRPr="00052001">
        <w:rPr>
          <w:rFonts w:ascii="Times New Roman" w:hAnsi="Times New Roman"/>
        </w:rPr>
        <w:t xml:space="preserve"> </w:t>
      </w:r>
      <w:r w:rsidRPr="00052001">
        <w:rPr>
          <w:rStyle w:val="hps"/>
        </w:rPr>
        <w:t>van 21 augustus</w:t>
      </w:r>
      <w:r w:rsidRPr="00052001">
        <w:rPr>
          <w:rFonts w:ascii="Times New Roman" w:hAnsi="Times New Roman"/>
        </w:rPr>
        <w:t xml:space="preserve"> </w:t>
      </w:r>
      <w:r w:rsidRPr="00052001">
        <w:rPr>
          <w:rStyle w:val="hps"/>
        </w:rPr>
        <w:t>2008 houdende</w:t>
      </w:r>
      <w:r w:rsidRPr="00052001">
        <w:rPr>
          <w:rFonts w:ascii="Times New Roman" w:hAnsi="Times New Roman"/>
        </w:rPr>
        <w:t xml:space="preserve"> </w:t>
      </w:r>
      <w:r w:rsidRPr="00052001">
        <w:rPr>
          <w:rStyle w:val="hps"/>
        </w:rPr>
        <w:t>oprichting en organisatie van</w:t>
      </w:r>
      <w:r w:rsidRPr="00052001">
        <w:rPr>
          <w:rFonts w:ascii="Times New Roman" w:hAnsi="Times New Roman"/>
        </w:rPr>
        <w:t xml:space="preserve"> </w:t>
      </w:r>
      <w:r w:rsidRPr="00052001">
        <w:rPr>
          <w:rStyle w:val="hps"/>
        </w:rPr>
        <w:t>het eHealth-platform</w:t>
      </w:r>
      <w:r>
        <w:rPr>
          <w:rStyle w:val="hps"/>
        </w:rPr>
        <w:t>; CALLENS; GOOS-SENS; CIERKENS; p. 308</w:t>
      </w:r>
      <w:r w:rsidRPr="00052001">
        <w:rPr>
          <w:rFonts w:ascii="Times New Roman" w:hAnsi="Times New Roman"/>
        </w:rPr>
        <w:t>.</w:t>
      </w:r>
    </w:p>
  </w:footnote>
  <w:footnote w:id="1332">
    <w:p w:rsidR="00E82D16" w:rsidRPr="00E333B6" w:rsidRDefault="00E82D16" w:rsidP="000F560E">
      <w:pPr>
        <w:pStyle w:val="Voetnoottekst"/>
        <w:ind w:firstLine="1"/>
        <w:jc w:val="both"/>
        <w:rPr>
          <w:rFonts w:ascii="Times New Roman" w:hAnsi="Times New Roman"/>
          <w:lang w:val="fr-BE"/>
        </w:rPr>
      </w:pPr>
      <w:r w:rsidRPr="00052001">
        <w:rPr>
          <w:rStyle w:val="Voetnootmarkering"/>
          <w:rFonts w:ascii="Times New Roman" w:hAnsi="Times New Roman"/>
        </w:rPr>
        <w:footnoteRef/>
      </w:r>
      <w:r w:rsidRPr="00E333B6">
        <w:rPr>
          <w:rFonts w:ascii="Times New Roman" w:hAnsi="Times New Roman"/>
          <w:lang w:val="fr-BE"/>
        </w:rPr>
        <w:t xml:space="preserve"> MOUGENOT, B., </w:t>
      </w:r>
      <w:r w:rsidRPr="00E333B6">
        <w:rPr>
          <w:rFonts w:ascii="Times New Roman" w:hAnsi="Times New Roman"/>
          <w:i/>
          <w:lang w:val="fr-BE"/>
        </w:rPr>
        <w:t>Droit des obligations. La preuve</w:t>
      </w:r>
      <w:r w:rsidRPr="00E333B6">
        <w:rPr>
          <w:rFonts w:ascii="Times New Roman" w:hAnsi="Times New Roman"/>
          <w:lang w:val="fr-BE"/>
        </w:rPr>
        <w:t xml:space="preserve">, Brussel, Larcier, 2002, p. 112. </w:t>
      </w:r>
    </w:p>
  </w:footnote>
  <w:footnote w:id="1333">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BOUDREZ, F.; DEKEYSER, H.; DUMORTIER, J.; </w:t>
      </w:r>
      <w:r w:rsidRPr="00052001">
        <w:rPr>
          <w:rFonts w:ascii="Times New Roman" w:hAnsi="Times New Roman"/>
          <w:i/>
        </w:rPr>
        <w:t>Digital Archiving: the new challenge?</w:t>
      </w:r>
      <w:r w:rsidRPr="00052001">
        <w:rPr>
          <w:rFonts w:ascii="Times New Roman" w:hAnsi="Times New Roman"/>
        </w:rPr>
        <w:t>, Mont Saint Gui</w:t>
      </w:r>
      <w:r>
        <w:rPr>
          <w:rFonts w:ascii="Times New Roman" w:hAnsi="Times New Roman"/>
        </w:rPr>
        <w:t>-</w:t>
      </w:r>
      <w:r w:rsidRPr="00052001">
        <w:rPr>
          <w:rFonts w:ascii="Times New Roman" w:hAnsi="Times New Roman"/>
        </w:rPr>
        <w:t>bert, IRIS, 2005, p. 18; VERHENNEMAN, G.; ROBBEN, F.; DUMORTIER, J.; ‘Het Belgisch eHealth-platform en haar praktische en juridische uitdagingen’, p. 309.</w:t>
      </w:r>
    </w:p>
  </w:footnote>
  <w:footnote w:id="1334">
    <w:p w:rsidR="00E82D16" w:rsidRPr="00052001" w:rsidRDefault="00E82D16" w:rsidP="000F560E">
      <w:pPr>
        <w:pStyle w:val="Voetnoottekst"/>
        <w:ind w:firstLine="1"/>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Het bewijsrecht is vervat in art. 1315 tot art. 1369 BW.</w:t>
      </w:r>
    </w:p>
  </w:footnote>
  <w:footnote w:id="1335">
    <w:p w:rsidR="00E82D16" w:rsidRPr="00052001" w:rsidRDefault="00E82D16" w:rsidP="000F560E">
      <w:pPr>
        <w:pStyle w:val="Voetnoottekst"/>
        <w:ind w:firstLine="1"/>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Wet van 9 juli 2001 houdende vaststelling van bepaalde regels in verband met het juridisch kader voor elek</w:t>
      </w:r>
      <w:r>
        <w:rPr>
          <w:rFonts w:ascii="Times New Roman" w:hAnsi="Times New Roman"/>
        </w:rPr>
        <w:t>-</w:t>
      </w:r>
      <w:r w:rsidRPr="00052001">
        <w:rPr>
          <w:rFonts w:ascii="Times New Roman" w:hAnsi="Times New Roman"/>
        </w:rPr>
        <w:t>tronische handtekeningen, de elektronisch aangetekende zending en certificatiediensten (</w:t>
      </w:r>
      <w:r w:rsidRPr="00052001">
        <w:rPr>
          <w:rFonts w:ascii="Times New Roman" w:hAnsi="Times New Roman"/>
          <w:i/>
        </w:rPr>
        <w:t>BS</w:t>
      </w:r>
      <w:r w:rsidRPr="00052001">
        <w:rPr>
          <w:rFonts w:ascii="Times New Roman" w:hAnsi="Times New Roman"/>
        </w:rPr>
        <w:t xml:space="preserve"> 29 september 2001); VAN DEN EYNDE, S.; DUMORTIER, J.; ‘De rol van de digitale handtekening bij het archiveren van elektro</w:t>
      </w:r>
      <w:r>
        <w:rPr>
          <w:rFonts w:ascii="Times New Roman" w:hAnsi="Times New Roman"/>
        </w:rPr>
        <w:t>-</w:t>
      </w:r>
      <w:r w:rsidRPr="00052001">
        <w:rPr>
          <w:rFonts w:ascii="Times New Roman" w:hAnsi="Times New Roman"/>
        </w:rPr>
        <w:t xml:space="preserve">nische documenten’, </w:t>
      </w:r>
      <w:r>
        <w:rPr>
          <w:rFonts w:ascii="Times New Roman" w:hAnsi="Times New Roman"/>
          <w:i/>
        </w:rPr>
        <w:t>B.A.G.</w:t>
      </w:r>
      <w:r w:rsidRPr="00052001">
        <w:rPr>
          <w:rFonts w:ascii="Times New Roman" w:hAnsi="Times New Roman"/>
        </w:rPr>
        <w:t>, 2001, 1, p. 9-13</w:t>
      </w:r>
      <w:r>
        <w:rPr>
          <w:rFonts w:ascii="Times New Roman" w:hAnsi="Times New Roman"/>
        </w:rPr>
        <w:t>;</w:t>
      </w:r>
      <w:r w:rsidRPr="00052001">
        <w:rPr>
          <w:rFonts w:ascii="Times New Roman" w:hAnsi="Times New Roman"/>
        </w:rPr>
        <w:t xml:space="preserve"> VERHENNEMAN, G.; ROBBEN, F.; DUMORTIER, J.; ‘Het Belgisch eHealth-platform en haar praktische en juridische uitdagingen’, </w:t>
      </w:r>
      <w:r w:rsidRPr="00052001">
        <w:rPr>
          <w:rFonts w:ascii="Times New Roman" w:hAnsi="Times New Roman"/>
          <w:i/>
        </w:rPr>
        <w:t>Computerr.</w:t>
      </w:r>
      <w:r w:rsidRPr="00052001">
        <w:rPr>
          <w:rFonts w:ascii="Times New Roman" w:hAnsi="Times New Roman"/>
        </w:rPr>
        <w:t>, 2011, 6, p. 309.</w:t>
      </w:r>
      <w:r w:rsidRPr="002C724C">
        <w:rPr>
          <w:rFonts w:ascii="Times New Roman" w:hAnsi="Times New Roman"/>
        </w:rPr>
        <w:t xml:space="preserve"> </w:t>
      </w:r>
    </w:p>
  </w:footnote>
  <w:footnote w:id="1336">
    <w:p w:rsidR="00E82D16" w:rsidRPr="00052001" w:rsidRDefault="00E82D16" w:rsidP="000F560E">
      <w:pPr>
        <w:pStyle w:val="Voetnoottekst"/>
        <w:ind w:firstLine="1"/>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BOUDREZ, F.; DROSSENS, P.; </w:t>
      </w:r>
      <w:r w:rsidRPr="00052001">
        <w:rPr>
          <w:rFonts w:ascii="Times New Roman" w:hAnsi="Times New Roman"/>
          <w:i/>
        </w:rPr>
        <w:t>Substitutie: magda?</w:t>
      </w:r>
      <w:r w:rsidRPr="00052001">
        <w:rPr>
          <w:rFonts w:ascii="Times New Roman" w:hAnsi="Times New Roman"/>
        </w:rPr>
        <w:t>, Antwerpen, 2010, p. 2-3 (</w:t>
      </w:r>
      <w:hyperlink r:id="rId214" w:history="1">
        <w:r w:rsidRPr="002E0847">
          <w:rPr>
            <w:rStyle w:val="Hyperlink"/>
            <w:rFonts w:ascii="Times New Roman" w:hAnsi="Times New Roman"/>
          </w:rPr>
          <w:t>http://www.edavid.be/docs/ Substitutie_MagDa.pdf</w:t>
        </w:r>
      </w:hyperlink>
      <w:r w:rsidRPr="00052001">
        <w:rPr>
          <w:rFonts w:ascii="Times New Roman" w:hAnsi="Times New Roman"/>
        </w:rPr>
        <w:t>).</w:t>
      </w:r>
    </w:p>
  </w:footnote>
  <w:footnote w:id="1337">
    <w:p w:rsidR="00E82D16" w:rsidRPr="00052001" w:rsidRDefault="00E82D16" w:rsidP="000F560E">
      <w:pPr>
        <w:pStyle w:val="Voetnoottekst"/>
        <w:ind w:firstLine="1"/>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CORNELIS, L.; SIMONT, L.; ‘Bewijsrecht en Technologische Evolutie: enkele overwegingen’, DE VROE</w:t>
      </w:r>
      <w:r>
        <w:rPr>
          <w:rFonts w:ascii="Times New Roman" w:hAnsi="Times New Roman"/>
        </w:rPr>
        <w:t>-</w:t>
      </w:r>
      <w:r w:rsidRPr="00052001">
        <w:rPr>
          <w:rFonts w:ascii="Times New Roman" w:hAnsi="Times New Roman"/>
        </w:rPr>
        <w:t xml:space="preserve">DE, P. (red.), </w:t>
      </w:r>
      <w:r w:rsidRPr="00052001">
        <w:rPr>
          <w:rFonts w:ascii="Times New Roman" w:hAnsi="Times New Roman"/>
          <w:i/>
        </w:rPr>
        <w:t>Technologie en Recht</w:t>
      </w:r>
      <w:r w:rsidRPr="00052001">
        <w:rPr>
          <w:rFonts w:ascii="Times New Roman" w:hAnsi="Times New Roman"/>
        </w:rPr>
        <w:t>, Antwerpen, Kluwer, 1987, p. 152-153. Zie ook: Protocol, gesloten op 19 april 2001 tussen de representatieve organisaties van de verpleeginrichtingen en de verzekeringsinstellingen, houdende de voorwaarden en modaliteiten volgens welke bewijskracht kan worden gegeven tot het bewijs van het tegendeel aan gegevens die worden opgeslagen of bewaard door middel van een elektronische, fotografische, optische of elke andere techniek of medegedeeld op een andere wijze dan op een papieren drager, evenals de voorwaarden en modaliteiten volgens welke deze gegevens worden weergegeven op papieren drager of op elke andere leesbare drager (</w:t>
      </w:r>
      <w:hyperlink r:id="rId215" w:history="1">
        <w:r w:rsidRPr="00052001">
          <w:rPr>
            <w:rStyle w:val="Hyperlink"/>
            <w:rFonts w:ascii="Times New Roman" w:hAnsi="Times New Roman"/>
          </w:rPr>
          <w:t>http://www.riziv.be/care/nl/hospitals/pdf/hospitals019.pdf</w:t>
        </w:r>
      </w:hyperlink>
      <w:r w:rsidRPr="00052001">
        <w:rPr>
          <w:rFonts w:ascii="Times New Roman" w:hAnsi="Times New Roman"/>
        </w:rPr>
        <w:t xml:space="preserve">). </w:t>
      </w:r>
    </w:p>
  </w:footnote>
  <w:footnote w:id="1338">
    <w:p w:rsidR="00E82D16" w:rsidRPr="00052001" w:rsidRDefault="00E82D16" w:rsidP="000F560E">
      <w:pPr>
        <w:pStyle w:val="Voetnoottekst"/>
        <w:ind w:firstLine="1"/>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3 § 2 van het KB van 26 april 2007; art. 13 van de </w:t>
      </w:r>
      <w:r w:rsidRPr="00052001">
        <w:rPr>
          <w:rStyle w:val="hps"/>
        </w:rPr>
        <w:t>wet</w:t>
      </w:r>
      <w:r w:rsidRPr="00052001">
        <w:rPr>
          <w:rFonts w:ascii="Times New Roman" w:hAnsi="Times New Roman"/>
        </w:rPr>
        <w:t xml:space="preserve"> </w:t>
      </w:r>
      <w:r w:rsidRPr="00052001">
        <w:rPr>
          <w:rStyle w:val="hps"/>
        </w:rPr>
        <w:t>van 21 augustus</w:t>
      </w:r>
      <w:r w:rsidRPr="00052001">
        <w:rPr>
          <w:rFonts w:ascii="Times New Roman" w:hAnsi="Times New Roman"/>
        </w:rPr>
        <w:t xml:space="preserve"> </w:t>
      </w:r>
      <w:r w:rsidRPr="00052001">
        <w:rPr>
          <w:rStyle w:val="hps"/>
        </w:rPr>
        <w:t>2008</w:t>
      </w:r>
      <w:r w:rsidRPr="00052001">
        <w:rPr>
          <w:rFonts w:ascii="Times New Roman" w:hAnsi="Times New Roman"/>
        </w:rPr>
        <w:t>.</w:t>
      </w:r>
    </w:p>
  </w:footnote>
  <w:footnote w:id="1339">
    <w:p w:rsidR="00E82D16" w:rsidRPr="00052001" w:rsidRDefault="00E82D16" w:rsidP="000F560E">
      <w:pPr>
        <w:pStyle w:val="Geenafstand"/>
        <w:jc w:val="both"/>
        <w:rPr>
          <w:rFonts w:ascii="Times New Roman" w:hAnsi="Times New Roman" w:cs="Times New Roman"/>
          <w:sz w:val="20"/>
          <w:szCs w:val="20"/>
        </w:rPr>
      </w:pPr>
      <w:r w:rsidRPr="00052001">
        <w:rPr>
          <w:rStyle w:val="Voetnootmarkering"/>
          <w:rFonts w:ascii="Times New Roman" w:hAnsi="Times New Roman" w:cs="Times New Roman"/>
          <w:sz w:val="20"/>
          <w:szCs w:val="20"/>
        </w:rPr>
        <w:footnoteRef/>
      </w:r>
      <w:r w:rsidRPr="00052001">
        <w:rPr>
          <w:rFonts w:ascii="Times New Roman" w:hAnsi="Times New Roman" w:cs="Times New Roman"/>
          <w:sz w:val="20"/>
          <w:szCs w:val="20"/>
        </w:rPr>
        <w:t xml:space="preserve"> NUYTTENS, </w:t>
      </w:r>
      <w:r w:rsidRPr="00052001">
        <w:rPr>
          <w:rFonts w:ascii="Times New Roman" w:hAnsi="Times New Roman" w:cs="Times New Roman"/>
          <w:i/>
          <w:iCs/>
          <w:sz w:val="20"/>
          <w:szCs w:val="20"/>
        </w:rPr>
        <w:t>Inspectieverslag betreffende het archief van openbare ziekenhuizen in de provincie West-Vlaanderen</w:t>
      </w:r>
      <w:r w:rsidRPr="00052001">
        <w:rPr>
          <w:rFonts w:ascii="Times New Roman" w:hAnsi="Times New Roman" w:cs="Times New Roman"/>
          <w:sz w:val="20"/>
          <w:szCs w:val="20"/>
        </w:rPr>
        <w:t>, p. 61.</w:t>
      </w:r>
    </w:p>
  </w:footnote>
  <w:footnote w:id="1340">
    <w:p w:rsidR="00E82D16" w:rsidRPr="00052001" w:rsidRDefault="00E82D16" w:rsidP="000F560E">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2 van het KB van 18 augustus 2010 </w:t>
      </w:r>
      <w:r>
        <w:rPr>
          <w:rFonts w:ascii="Times New Roman" w:hAnsi="Times New Roman"/>
        </w:rPr>
        <w:t>(2)</w:t>
      </w:r>
      <w:r w:rsidRPr="00052001">
        <w:rPr>
          <w:rFonts w:ascii="Times New Roman" w:hAnsi="Times New Roman"/>
        </w:rPr>
        <w:t>.</w:t>
      </w:r>
    </w:p>
  </w:footnote>
  <w:footnote w:id="1341">
    <w:p w:rsidR="00E82D16" w:rsidRPr="00FF0BAB" w:rsidRDefault="00E82D16" w:rsidP="00FF0BAB">
      <w:pPr>
        <w:pStyle w:val="Voetnoottekst"/>
        <w:jc w:val="both"/>
        <w:rPr>
          <w:rFonts w:ascii="Times New Roman" w:hAnsi="Times New Roman"/>
        </w:rPr>
      </w:pPr>
      <w:r w:rsidRPr="00FF0BAB">
        <w:rPr>
          <w:rStyle w:val="Voetnootmarkering"/>
          <w:rFonts w:ascii="Times New Roman" w:hAnsi="Times New Roman"/>
        </w:rPr>
        <w:footnoteRef/>
      </w:r>
      <w:r w:rsidRPr="00FF0BAB">
        <w:rPr>
          <w:rFonts w:ascii="Times New Roman" w:hAnsi="Times New Roman"/>
        </w:rPr>
        <w:t xml:space="preserve"> </w:t>
      </w:r>
      <w:r>
        <w:rPr>
          <w:rFonts w:ascii="Times New Roman" w:hAnsi="Times New Roman"/>
        </w:rPr>
        <w:t>Met dank aan Eric</w:t>
      </w:r>
      <w:r w:rsidRPr="00FF0BAB">
        <w:rPr>
          <w:rFonts w:ascii="Times New Roman" w:hAnsi="Times New Roman"/>
        </w:rPr>
        <w:t xml:space="preserve"> Ketelaar voor deze waardevolle opmerking.</w:t>
      </w:r>
    </w:p>
  </w:footnote>
  <w:footnote w:id="1342">
    <w:p w:rsidR="00E82D16" w:rsidRPr="00F450D5" w:rsidRDefault="00E82D16">
      <w:pPr>
        <w:pStyle w:val="Voetnoottekst"/>
        <w:rPr>
          <w:rFonts w:ascii="Times New Roman" w:hAnsi="Times New Roman"/>
        </w:rPr>
      </w:pPr>
      <w:r w:rsidRPr="00F450D5">
        <w:rPr>
          <w:rStyle w:val="Voetnootmarkering"/>
          <w:rFonts w:ascii="Times New Roman" w:hAnsi="Times New Roman"/>
        </w:rPr>
        <w:footnoteRef/>
      </w:r>
      <w:r w:rsidRPr="00F450D5">
        <w:rPr>
          <w:rFonts w:ascii="Times New Roman" w:hAnsi="Times New Roman"/>
        </w:rPr>
        <w:t xml:space="preserve"> VAN HEEZIK; BROEKHUIS; PRINZ; AUGUSTIJN; KWINT; STRIJBOSCH; </w:t>
      </w:r>
      <w:r w:rsidRPr="00F450D5">
        <w:rPr>
          <w:rFonts w:ascii="Times New Roman" w:hAnsi="Times New Roman"/>
          <w:i/>
        </w:rPr>
        <w:t>Basisselectiedocument openbare en bijzondere ziekenhuizen 1985-</w:t>
      </w:r>
      <w:r w:rsidRPr="00F450D5">
        <w:rPr>
          <w:rFonts w:ascii="Times New Roman" w:hAnsi="Times New Roman"/>
        </w:rPr>
        <w:t>, p. 9.</w:t>
      </w:r>
    </w:p>
  </w:footnote>
  <w:footnote w:id="1343">
    <w:p w:rsidR="00E82D16" w:rsidRPr="00C633EB" w:rsidRDefault="00E82D16" w:rsidP="000F560E">
      <w:pPr>
        <w:pStyle w:val="Voetnoottekst"/>
        <w:rPr>
          <w:rFonts w:ascii="Times New Roman" w:hAnsi="Times New Roman"/>
        </w:rPr>
      </w:pPr>
      <w:r w:rsidRPr="00C633EB">
        <w:rPr>
          <w:rStyle w:val="Voetnootmarkering"/>
          <w:rFonts w:ascii="Times New Roman" w:hAnsi="Times New Roman"/>
        </w:rPr>
        <w:footnoteRef/>
      </w:r>
      <w:r w:rsidRPr="00C633EB">
        <w:rPr>
          <w:rFonts w:ascii="Times New Roman" w:hAnsi="Times New Roman"/>
        </w:rPr>
        <w:t xml:space="preserve"> Bron: </w:t>
      </w:r>
      <w:hyperlink r:id="rId216" w:history="1">
        <w:r w:rsidRPr="00C633EB">
          <w:rPr>
            <w:rStyle w:val="Hyperlink"/>
            <w:rFonts w:ascii="Times New Roman" w:hAnsi="Times New Roman"/>
          </w:rPr>
          <w:t>http://www.nfu.nl/</w:t>
        </w:r>
      </w:hyperlink>
      <w:r w:rsidRPr="00C633EB">
        <w:rPr>
          <w:rFonts w:ascii="Times New Roman" w:hAnsi="Times New Roman"/>
        </w:rPr>
        <w:t>.</w:t>
      </w:r>
    </w:p>
  </w:footnote>
  <w:footnote w:id="1344">
    <w:p w:rsidR="00E82D16" w:rsidRPr="00D74E7D" w:rsidRDefault="00E82D16" w:rsidP="000F560E">
      <w:pPr>
        <w:pStyle w:val="Voetnoottekst"/>
        <w:rPr>
          <w:rFonts w:ascii="Times New Roman" w:hAnsi="Times New Roman"/>
        </w:rPr>
      </w:pPr>
      <w:r w:rsidRPr="00D74E7D">
        <w:rPr>
          <w:rStyle w:val="Voetnootmarkering"/>
          <w:rFonts w:ascii="Times New Roman" w:hAnsi="Times New Roman"/>
        </w:rPr>
        <w:footnoteRef/>
      </w:r>
      <w:r w:rsidRPr="00D74E7D">
        <w:rPr>
          <w:rFonts w:ascii="Times New Roman" w:hAnsi="Times New Roman"/>
        </w:rPr>
        <w:t xml:space="preserve"> Idem.</w:t>
      </w:r>
    </w:p>
  </w:footnote>
  <w:footnote w:id="1345">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w:t>
      </w:r>
      <w:r>
        <w:rPr>
          <w:rFonts w:ascii="Times New Roman" w:hAnsi="Times New Roman" w:cs="Times New Roman"/>
          <w:sz w:val="20"/>
          <w:szCs w:val="20"/>
        </w:rPr>
        <w:t>Idem</w:t>
      </w:r>
      <w:r w:rsidRPr="00230A4F">
        <w:rPr>
          <w:rFonts w:ascii="Times New Roman" w:hAnsi="Times New Roman" w:cs="Times New Roman"/>
          <w:sz w:val="20"/>
          <w:szCs w:val="20"/>
        </w:rPr>
        <w:t xml:space="preserve">. </w:t>
      </w:r>
    </w:p>
  </w:footnote>
  <w:footnote w:id="1346">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Besluit van 16 januari 1986 betreffende de archiefstukken van bij Openbare Universiteiten behorende Acade</w:t>
      </w:r>
      <w:r>
        <w:rPr>
          <w:rFonts w:ascii="Times New Roman" w:hAnsi="Times New Roman" w:cs="Times New Roman"/>
          <w:sz w:val="20"/>
          <w:szCs w:val="20"/>
        </w:rPr>
        <w:t>-</w:t>
      </w:r>
      <w:r w:rsidRPr="00230A4F">
        <w:rPr>
          <w:rFonts w:ascii="Times New Roman" w:hAnsi="Times New Roman" w:cs="Times New Roman"/>
          <w:sz w:val="20"/>
          <w:szCs w:val="20"/>
        </w:rPr>
        <w:t>mische Ziekenhuizen (</w:t>
      </w:r>
      <w:r w:rsidRPr="00230A4F">
        <w:rPr>
          <w:rFonts w:ascii="Times New Roman" w:hAnsi="Times New Roman" w:cs="Times New Roman"/>
          <w:i/>
          <w:sz w:val="20"/>
          <w:szCs w:val="20"/>
        </w:rPr>
        <w:t xml:space="preserve">Stcrt. </w:t>
      </w:r>
      <w:r w:rsidRPr="00230A4F">
        <w:rPr>
          <w:rFonts w:ascii="Times New Roman" w:hAnsi="Times New Roman" w:cs="Times New Roman"/>
          <w:sz w:val="20"/>
          <w:szCs w:val="20"/>
        </w:rPr>
        <w:t>74, 17 april 1986).</w:t>
      </w:r>
    </w:p>
  </w:footnote>
  <w:footnote w:id="1347">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Kamerstukken II, vergaderjaar 1956-1957, 4 549, nr. 2</w:t>
      </w:r>
    </w:p>
  </w:footnote>
  <w:footnote w:id="1348">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Kamerstukken II, vergaderjaar 1956-1957, 4 549, nr. 7</w:t>
      </w:r>
    </w:p>
  </w:footnote>
  <w:footnote w:id="1349">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Kamerstukken II, vergaderjaar 1956-1957, 4 549, nr. 5; Kamerstukken II, vergaderjaar 1956-1957, 4 549, nr.  6.</w:t>
      </w:r>
    </w:p>
  </w:footnote>
  <w:footnote w:id="1350">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1 § 1, </w:t>
      </w:r>
      <w:r w:rsidRPr="00230A4F">
        <w:rPr>
          <w:rFonts w:ascii="Times New Roman" w:hAnsi="Times New Roman"/>
          <w:iCs/>
        </w:rPr>
        <w:t>a</w:t>
      </w:r>
      <w:r w:rsidRPr="00230A4F">
        <w:rPr>
          <w:rFonts w:ascii="Times New Roman" w:hAnsi="Times New Roman"/>
        </w:rPr>
        <w:t>, 1° Archiefwet.</w:t>
      </w:r>
    </w:p>
  </w:footnote>
  <w:footnote w:id="1351">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VAN HERTEN, J.H.S., ‘De archiefwet en academische ziekenhuizen’, </w:t>
      </w:r>
      <w:r w:rsidRPr="00230A4F">
        <w:rPr>
          <w:rFonts w:ascii="Times New Roman" w:hAnsi="Times New Roman" w:cs="Times New Roman"/>
          <w:i/>
          <w:iCs/>
          <w:sz w:val="20"/>
          <w:szCs w:val="20"/>
        </w:rPr>
        <w:t>N.A.</w:t>
      </w:r>
      <w:r w:rsidRPr="00230A4F">
        <w:rPr>
          <w:rFonts w:ascii="Times New Roman" w:hAnsi="Times New Roman" w:cs="Times New Roman"/>
          <w:sz w:val="20"/>
          <w:szCs w:val="20"/>
        </w:rPr>
        <w:t>, 91/2 (1987), p. 147. Van Herten verwijst hiervoor naar: Kamerstukken II, vergaderjaar 195</w:t>
      </w:r>
      <w:r>
        <w:rPr>
          <w:rFonts w:ascii="Times New Roman" w:hAnsi="Times New Roman" w:cs="Times New Roman"/>
          <w:sz w:val="20"/>
          <w:szCs w:val="20"/>
        </w:rPr>
        <w:t>6</w:t>
      </w:r>
      <w:r w:rsidRPr="00230A4F">
        <w:rPr>
          <w:rFonts w:ascii="Times New Roman" w:hAnsi="Times New Roman" w:cs="Times New Roman"/>
          <w:sz w:val="20"/>
          <w:szCs w:val="20"/>
        </w:rPr>
        <w:t>-195</w:t>
      </w:r>
      <w:r>
        <w:rPr>
          <w:rFonts w:ascii="Times New Roman" w:hAnsi="Times New Roman" w:cs="Times New Roman"/>
          <w:sz w:val="20"/>
          <w:szCs w:val="20"/>
        </w:rPr>
        <w:t>7</w:t>
      </w:r>
      <w:r w:rsidRPr="00230A4F">
        <w:rPr>
          <w:rFonts w:ascii="Times New Roman" w:hAnsi="Times New Roman" w:cs="Times New Roman"/>
          <w:sz w:val="20"/>
          <w:szCs w:val="20"/>
        </w:rPr>
        <w:t xml:space="preserve">, 4 549, nr. 5, p. 5; DUPARC, F.J. (red.), </w:t>
      </w:r>
      <w:r w:rsidRPr="00230A4F">
        <w:rPr>
          <w:rFonts w:ascii="Times New Roman" w:hAnsi="Times New Roman" w:cs="Times New Roman"/>
          <w:i/>
          <w:sz w:val="20"/>
          <w:szCs w:val="20"/>
        </w:rPr>
        <w:t>Ar</w:t>
      </w:r>
      <w:r>
        <w:rPr>
          <w:rFonts w:ascii="Times New Roman" w:hAnsi="Times New Roman" w:cs="Times New Roman"/>
          <w:i/>
          <w:sz w:val="20"/>
          <w:szCs w:val="20"/>
        </w:rPr>
        <w:t>-</w:t>
      </w:r>
      <w:r w:rsidRPr="00230A4F">
        <w:rPr>
          <w:rFonts w:ascii="Times New Roman" w:hAnsi="Times New Roman" w:cs="Times New Roman"/>
          <w:i/>
          <w:sz w:val="20"/>
          <w:szCs w:val="20"/>
        </w:rPr>
        <w:t>chiefwet 1962: wet van 19 juli 1962, Stb. 313, houdende een nieuwe regeling van het archiefwezen met aanteke</w:t>
      </w:r>
      <w:r>
        <w:rPr>
          <w:rFonts w:ascii="Times New Roman" w:hAnsi="Times New Roman" w:cs="Times New Roman"/>
          <w:i/>
          <w:sz w:val="20"/>
          <w:szCs w:val="20"/>
        </w:rPr>
        <w:t>-</w:t>
      </w:r>
      <w:r w:rsidRPr="00230A4F">
        <w:rPr>
          <w:rFonts w:ascii="Times New Roman" w:hAnsi="Times New Roman" w:cs="Times New Roman"/>
          <w:i/>
          <w:sz w:val="20"/>
          <w:szCs w:val="20"/>
        </w:rPr>
        <w:t>ningen, uitvoerings- en andere op het archiefwezen betrekking hebbende besluiten en alfabetisch register</w:t>
      </w:r>
      <w:r w:rsidRPr="00230A4F">
        <w:rPr>
          <w:rFonts w:ascii="Times New Roman" w:hAnsi="Times New Roman" w:cs="Times New Roman"/>
          <w:sz w:val="20"/>
          <w:szCs w:val="20"/>
        </w:rPr>
        <w:t>, Ne</w:t>
      </w:r>
      <w:r>
        <w:rPr>
          <w:rFonts w:ascii="Times New Roman" w:hAnsi="Times New Roman" w:cs="Times New Roman"/>
          <w:sz w:val="20"/>
          <w:szCs w:val="20"/>
        </w:rPr>
        <w:t>-</w:t>
      </w:r>
      <w:r w:rsidRPr="00230A4F">
        <w:rPr>
          <w:rFonts w:ascii="Times New Roman" w:hAnsi="Times New Roman" w:cs="Times New Roman"/>
          <w:sz w:val="20"/>
          <w:szCs w:val="20"/>
        </w:rPr>
        <w:t>derlandse staatswetten: editie Schuurman &amp; Jordens, 90, Zwolle, Tjeenk Willink, 1980</w:t>
      </w:r>
      <w:r w:rsidRPr="00230A4F">
        <w:rPr>
          <w:rFonts w:ascii="Times New Roman" w:hAnsi="Times New Roman" w:cs="Times New Roman"/>
          <w:sz w:val="20"/>
          <w:szCs w:val="20"/>
          <w:vertAlign w:val="superscript"/>
        </w:rPr>
        <w:t>9</w:t>
      </w:r>
      <w:r w:rsidRPr="00230A4F">
        <w:rPr>
          <w:rFonts w:ascii="Times New Roman" w:hAnsi="Times New Roman" w:cs="Times New Roman"/>
          <w:sz w:val="20"/>
          <w:szCs w:val="20"/>
        </w:rPr>
        <w:t>, p. 15.</w:t>
      </w:r>
    </w:p>
  </w:footnote>
  <w:footnote w:id="1352">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VAN HERTEN, J.H.S., ‘De archiefwet en academische ziekenhuizen’, </w:t>
      </w:r>
      <w:r w:rsidRPr="00230A4F">
        <w:rPr>
          <w:rFonts w:ascii="Times New Roman" w:hAnsi="Times New Roman" w:cs="Times New Roman"/>
          <w:i/>
          <w:iCs/>
          <w:sz w:val="20"/>
          <w:szCs w:val="20"/>
        </w:rPr>
        <w:t>N.A.</w:t>
      </w:r>
      <w:r w:rsidRPr="00230A4F">
        <w:rPr>
          <w:rFonts w:ascii="Times New Roman" w:hAnsi="Times New Roman" w:cs="Times New Roman"/>
          <w:sz w:val="20"/>
          <w:szCs w:val="20"/>
        </w:rPr>
        <w:t>, 91/2 (1987), p. 146.</w:t>
      </w:r>
    </w:p>
  </w:footnote>
  <w:footnote w:id="1353">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Kamerstukken II, vergaderjaar 195</w:t>
      </w:r>
      <w:r>
        <w:rPr>
          <w:rFonts w:ascii="Times New Roman" w:hAnsi="Times New Roman" w:cs="Times New Roman"/>
          <w:sz w:val="20"/>
          <w:szCs w:val="20"/>
        </w:rPr>
        <w:t>6</w:t>
      </w:r>
      <w:r w:rsidRPr="00230A4F">
        <w:rPr>
          <w:rFonts w:ascii="Times New Roman" w:hAnsi="Times New Roman" w:cs="Times New Roman"/>
          <w:sz w:val="20"/>
          <w:szCs w:val="20"/>
        </w:rPr>
        <w:t>-195</w:t>
      </w:r>
      <w:r>
        <w:rPr>
          <w:rFonts w:ascii="Times New Roman" w:hAnsi="Times New Roman" w:cs="Times New Roman"/>
          <w:sz w:val="20"/>
          <w:szCs w:val="20"/>
        </w:rPr>
        <w:t>7</w:t>
      </w:r>
      <w:r w:rsidRPr="00230A4F">
        <w:rPr>
          <w:rFonts w:ascii="Times New Roman" w:hAnsi="Times New Roman" w:cs="Times New Roman"/>
          <w:sz w:val="20"/>
          <w:szCs w:val="20"/>
        </w:rPr>
        <w:t>, 4 549, nr. 5, p. 5; art. 1 § 2, a Archiefwet 1962 (en art. 1, c, 1° Ar</w:t>
      </w:r>
      <w:r>
        <w:rPr>
          <w:rFonts w:ascii="Times New Roman" w:hAnsi="Times New Roman" w:cs="Times New Roman"/>
          <w:sz w:val="20"/>
          <w:szCs w:val="20"/>
        </w:rPr>
        <w:t>-</w:t>
      </w:r>
      <w:r w:rsidRPr="00230A4F">
        <w:rPr>
          <w:rFonts w:ascii="Times New Roman" w:hAnsi="Times New Roman" w:cs="Times New Roman"/>
          <w:sz w:val="20"/>
          <w:szCs w:val="20"/>
        </w:rPr>
        <w:t>chiefwet 1995).</w:t>
      </w:r>
    </w:p>
  </w:footnote>
  <w:footnote w:id="1354">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VAN DER GOUW, J.L.; HARDENBERG, H.; VAN HOBOKEN, W.J.; PANHUYSEN, G.W.A.; </w:t>
      </w:r>
      <w:r w:rsidRPr="00230A4F">
        <w:rPr>
          <w:rFonts w:ascii="Times New Roman" w:hAnsi="Times New Roman" w:cs="Times New Roman"/>
          <w:i/>
          <w:iCs/>
          <w:sz w:val="20"/>
          <w:szCs w:val="20"/>
        </w:rPr>
        <w:t>Neder</w:t>
      </w:r>
      <w:r>
        <w:rPr>
          <w:rFonts w:ascii="Times New Roman" w:hAnsi="Times New Roman" w:cs="Times New Roman"/>
          <w:i/>
          <w:iCs/>
          <w:sz w:val="20"/>
          <w:szCs w:val="20"/>
        </w:rPr>
        <w:t>-</w:t>
      </w:r>
      <w:r w:rsidRPr="00230A4F">
        <w:rPr>
          <w:rFonts w:ascii="Times New Roman" w:hAnsi="Times New Roman" w:cs="Times New Roman"/>
          <w:i/>
          <w:iCs/>
          <w:sz w:val="20"/>
          <w:szCs w:val="20"/>
        </w:rPr>
        <w:t>landse archiefterminologie</w:t>
      </w:r>
      <w:r w:rsidRPr="00230A4F">
        <w:rPr>
          <w:rFonts w:ascii="Times New Roman" w:hAnsi="Times New Roman" w:cs="Times New Roman"/>
          <w:sz w:val="20"/>
          <w:szCs w:val="20"/>
        </w:rPr>
        <w:t>, Zwolle, 1962, p. 6.</w:t>
      </w:r>
    </w:p>
  </w:footnote>
  <w:footnote w:id="1355">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KETELAAR, E., ‘Academische ziekenhuizen en de Archiefwet. Lokt Van Herten uit tot een ambtsmis</w:t>
      </w:r>
      <w:r>
        <w:rPr>
          <w:rFonts w:ascii="Times New Roman" w:hAnsi="Times New Roman" w:cs="Times New Roman"/>
          <w:sz w:val="20"/>
          <w:szCs w:val="20"/>
        </w:rPr>
        <w:t>-</w:t>
      </w:r>
      <w:r w:rsidRPr="00230A4F">
        <w:rPr>
          <w:rFonts w:ascii="Times New Roman" w:hAnsi="Times New Roman" w:cs="Times New Roman"/>
          <w:sz w:val="20"/>
          <w:szCs w:val="20"/>
        </w:rPr>
        <w:t xml:space="preserve">drijf?’, </w:t>
      </w:r>
      <w:r w:rsidRPr="00230A4F">
        <w:rPr>
          <w:rFonts w:ascii="Times New Roman" w:hAnsi="Times New Roman" w:cs="Times New Roman"/>
          <w:i/>
          <w:iCs/>
          <w:sz w:val="20"/>
          <w:szCs w:val="20"/>
        </w:rPr>
        <w:t>N.A.</w:t>
      </w:r>
      <w:r w:rsidRPr="00230A4F">
        <w:rPr>
          <w:rFonts w:ascii="Times New Roman" w:hAnsi="Times New Roman" w:cs="Times New Roman"/>
          <w:sz w:val="20"/>
          <w:szCs w:val="20"/>
        </w:rPr>
        <w:t>, 91/2 (1987), p. 151.</w:t>
      </w:r>
    </w:p>
  </w:footnote>
  <w:footnote w:id="1356">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Vrij vertaald luidt deze belediging (daar Van Herten een jurist is): ‘Wie het recht niet kent, berokkent scha</w:t>
      </w:r>
      <w:r>
        <w:rPr>
          <w:rFonts w:ascii="Times New Roman" w:hAnsi="Times New Roman" w:cs="Times New Roman"/>
          <w:sz w:val="20"/>
          <w:szCs w:val="20"/>
        </w:rPr>
        <w:t>-</w:t>
      </w:r>
      <w:r w:rsidRPr="00230A4F">
        <w:rPr>
          <w:rFonts w:ascii="Times New Roman" w:hAnsi="Times New Roman" w:cs="Times New Roman"/>
          <w:sz w:val="20"/>
          <w:szCs w:val="20"/>
        </w:rPr>
        <w:t xml:space="preserve">de’. </w:t>
      </w:r>
    </w:p>
  </w:footnote>
  <w:footnote w:id="1357">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VAN HERTEN, J.H.S., ‘Academische ziekenhuizen en medische dossiers’, </w:t>
      </w:r>
      <w:r w:rsidRPr="00230A4F">
        <w:rPr>
          <w:rFonts w:ascii="Times New Roman" w:hAnsi="Times New Roman" w:cs="Times New Roman"/>
          <w:i/>
          <w:iCs/>
          <w:sz w:val="20"/>
          <w:szCs w:val="20"/>
        </w:rPr>
        <w:t>N.A.</w:t>
      </w:r>
      <w:r w:rsidRPr="00230A4F">
        <w:rPr>
          <w:rFonts w:ascii="Times New Roman" w:hAnsi="Times New Roman" w:cs="Times New Roman"/>
          <w:sz w:val="20"/>
          <w:szCs w:val="20"/>
        </w:rPr>
        <w:t>, 91/2 (1987), p. 153.</w:t>
      </w:r>
    </w:p>
  </w:footnote>
  <w:footnote w:id="1358">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KETELAAR, E., ‘Dupliek’, </w:t>
      </w:r>
      <w:r w:rsidRPr="00230A4F">
        <w:rPr>
          <w:rFonts w:ascii="Times New Roman" w:hAnsi="Times New Roman" w:cs="Times New Roman"/>
          <w:i/>
          <w:iCs/>
          <w:sz w:val="20"/>
          <w:szCs w:val="20"/>
        </w:rPr>
        <w:t>N.A.</w:t>
      </w:r>
      <w:r w:rsidRPr="00230A4F">
        <w:rPr>
          <w:rFonts w:ascii="Times New Roman" w:hAnsi="Times New Roman" w:cs="Times New Roman"/>
          <w:sz w:val="20"/>
          <w:szCs w:val="20"/>
        </w:rPr>
        <w:t>, 91/2 (1987), p. 154.</w:t>
      </w:r>
    </w:p>
  </w:footnote>
  <w:footnote w:id="1359">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Idem.</w:t>
      </w:r>
    </w:p>
  </w:footnote>
  <w:footnote w:id="1360">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VAN HEEZIK, N.; BROEKHUIS, W.; PRINZ, E.M.; AUGUSTIJN, A.; KWINT, M.; STRIJBOSCH, A.; </w:t>
      </w:r>
      <w:r w:rsidRPr="00230A4F">
        <w:rPr>
          <w:rFonts w:ascii="Times New Roman" w:hAnsi="Times New Roman"/>
          <w:i/>
        </w:rPr>
        <w:t>Basisselectiedocument openbare en bijzondere ziekenhuizen 1985-</w:t>
      </w:r>
      <w:r w:rsidRPr="00230A4F">
        <w:rPr>
          <w:rFonts w:ascii="Times New Roman" w:hAnsi="Times New Roman"/>
        </w:rPr>
        <w:t>, 2006.</w:t>
      </w:r>
    </w:p>
  </w:footnote>
  <w:footnote w:id="1361">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Art. 5 § 2, b Archiefwet.</w:t>
      </w:r>
    </w:p>
  </w:footnote>
  <w:footnote w:id="1362">
    <w:p w:rsidR="00E82D16" w:rsidRPr="00005347" w:rsidRDefault="00E82D16" w:rsidP="000F560E">
      <w:pPr>
        <w:pStyle w:val="Geenafstand"/>
        <w:jc w:val="both"/>
        <w:rPr>
          <w:rFonts w:ascii="Times New Roman" w:hAnsi="Times New Roman" w:cs="Times New Roman"/>
          <w:sz w:val="20"/>
          <w:szCs w:val="20"/>
        </w:rPr>
      </w:pPr>
      <w:r w:rsidRPr="00005347">
        <w:rPr>
          <w:rStyle w:val="Voetnootmarkering"/>
          <w:rFonts w:ascii="Times New Roman" w:hAnsi="Times New Roman" w:cs="Times New Roman"/>
          <w:sz w:val="20"/>
          <w:szCs w:val="20"/>
        </w:rPr>
        <w:footnoteRef/>
      </w:r>
      <w:r w:rsidRPr="00005347">
        <w:rPr>
          <w:rFonts w:ascii="Times New Roman" w:hAnsi="Times New Roman" w:cs="Times New Roman"/>
          <w:sz w:val="20"/>
          <w:szCs w:val="20"/>
        </w:rPr>
        <w:t xml:space="preserve"> Van Herten verwijst hiervoor naar: ASSER, C.; VAN DER GRINTEN, W.C.L.; </w:t>
      </w:r>
      <w:r w:rsidRPr="00005347">
        <w:rPr>
          <w:rFonts w:ascii="Times New Roman" w:hAnsi="Times New Roman" w:cs="Times New Roman"/>
          <w:i/>
          <w:sz w:val="20"/>
          <w:szCs w:val="20"/>
        </w:rPr>
        <w:t>Vertegenwoordiging en rechtspersoon. 2: De rechtspersoon</w:t>
      </w:r>
      <w:r w:rsidRPr="00005347">
        <w:rPr>
          <w:rFonts w:ascii="Times New Roman" w:hAnsi="Times New Roman" w:cs="Times New Roman"/>
          <w:sz w:val="20"/>
          <w:szCs w:val="20"/>
        </w:rPr>
        <w:t>, Mr. C. Asser’s Handleiding tot de beoefening van het Nederlands burgerlijk recht, 2, Zwolle, Tjeenk Willink, 1986</w:t>
      </w:r>
      <w:r w:rsidRPr="00005347">
        <w:rPr>
          <w:rFonts w:ascii="Times New Roman" w:hAnsi="Times New Roman" w:cs="Times New Roman"/>
          <w:sz w:val="20"/>
          <w:szCs w:val="20"/>
          <w:vertAlign w:val="superscript"/>
        </w:rPr>
        <w:t>6</w:t>
      </w:r>
      <w:r w:rsidRPr="00005347">
        <w:rPr>
          <w:rFonts w:ascii="Times New Roman" w:hAnsi="Times New Roman" w:cs="Times New Roman"/>
          <w:sz w:val="20"/>
          <w:szCs w:val="20"/>
        </w:rPr>
        <w:t>, p. 144 (voetnoten 18 en 19).</w:t>
      </w:r>
    </w:p>
  </w:footnote>
  <w:footnote w:id="1363">
    <w:p w:rsidR="00E82D16" w:rsidRPr="00263D12"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Cf. VAN HEEZIK; BROEKHUIS; PRINZ; AUGUSTIJN; KWINT; STRIJBOSCH; </w:t>
      </w:r>
      <w:r w:rsidRPr="00230A4F">
        <w:rPr>
          <w:rFonts w:ascii="Times New Roman" w:hAnsi="Times New Roman" w:cs="Times New Roman"/>
          <w:i/>
          <w:sz w:val="20"/>
          <w:szCs w:val="20"/>
        </w:rPr>
        <w:t xml:space="preserve">Basisselectiedocument </w:t>
      </w:r>
      <w:r w:rsidRPr="00263D12">
        <w:rPr>
          <w:rFonts w:ascii="Times New Roman" w:hAnsi="Times New Roman" w:cs="Times New Roman"/>
          <w:i/>
          <w:sz w:val="20"/>
          <w:szCs w:val="20"/>
        </w:rPr>
        <w:t>openbare en bijzondere ziekenhuizen 1985-</w:t>
      </w:r>
      <w:r w:rsidRPr="00263D12">
        <w:rPr>
          <w:rFonts w:ascii="Times New Roman" w:hAnsi="Times New Roman" w:cs="Times New Roman"/>
          <w:sz w:val="20"/>
          <w:szCs w:val="20"/>
        </w:rPr>
        <w:t>, p. 9 (</w:t>
      </w:r>
      <w:r w:rsidRPr="00263D12">
        <w:rPr>
          <w:rFonts w:ascii="Times New Roman" w:hAnsi="Times New Roman" w:cs="Times New Roman"/>
          <w:i/>
          <w:sz w:val="20"/>
          <w:szCs w:val="20"/>
        </w:rPr>
        <w:t>Stcrt.</w:t>
      </w:r>
      <w:r w:rsidRPr="00263D12">
        <w:rPr>
          <w:rFonts w:ascii="Times New Roman" w:hAnsi="Times New Roman" w:cs="Times New Roman"/>
          <w:sz w:val="20"/>
          <w:szCs w:val="20"/>
        </w:rPr>
        <w:t xml:space="preserve"> 35, 19 februari 2007).</w:t>
      </w:r>
    </w:p>
  </w:footnote>
  <w:footnote w:id="1364">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Kamerstukken II, vergaderjaar 1992-1993, 22 866, nr. 2, p. 6.</w:t>
      </w:r>
    </w:p>
  </w:footnote>
  <w:footnote w:id="1365">
    <w:p w:rsidR="00E82D16" w:rsidRPr="00724382"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12 tot art. 17 en art. 45 Archiefwet; art. 9 en art. 10 Archiefbesluit. </w:t>
      </w:r>
      <w:r w:rsidRPr="00724382">
        <w:rPr>
          <w:rFonts w:ascii="Times New Roman" w:hAnsi="Times New Roman"/>
        </w:rPr>
        <w:t xml:space="preserve">Cf. </w:t>
      </w:r>
      <w:hyperlink r:id="rId217" w:history="1">
        <w:r w:rsidRPr="00724382">
          <w:rPr>
            <w:rStyle w:val="Hyperlink"/>
            <w:rFonts w:ascii="Times New Roman" w:hAnsi="Times New Roman"/>
          </w:rPr>
          <w:t>http://www.erfgoedinspectie.nl/ archieven/uw-archiefbeheer/bewerking-en-overbrenging</w:t>
        </w:r>
      </w:hyperlink>
      <w:r w:rsidRPr="00724382">
        <w:rPr>
          <w:rFonts w:ascii="Times New Roman" w:hAnsi="Times New Roman"/>
        </w:rPr>
        <w:t>.</w:t>
      </w:r>
    </w:p>
  </w:footnote>
  <w:footnote w:id="1366">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Art. 11 § 1 Archiefwet.</w:t>
      </w:r>
    </w:p>
  </w:footnote>
  <w:footnote w:id="1367">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VAN HEEZIK; BROEKHUIS et al.; </w:t>
      </w:r>
      <w:r w:rsidRPr="00230A4F">
        <w:rPr>
          <w:rFonts w:ascii="Times New Roman" w:hAnsi="Times New Roman" w:cs="Times New Roman"/>
          <w:i/>
          <w:sz w:val="20"/>
          <w:szCs w:val="20"/>
        </w:rPr>
        <w:t>Basisselectiedocument openbare en bijzondere ziekenhuizen 1985-</w:t>
      </w:r>
      <w:r w:rsidRPr="00230A4F">
        <w:rPr>
          <w:rFonts w:ascii="Times New Roman" w:hAnsi="Times New Roman" w:cs="Times New Roman"/>
          <w:sz w:val="20"/>
          <w:szCs w:val="20"/>
        </w:rPr>
        <w:t>, p. 75 (Handeling 234: ‘Het verslagleggen van de medische behandeling van patiënten’).</w:t>
      </w:r>
    </w:p>
  </w:footnote>
  <w:footnote w:id="1368">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VAN CRIMPEN, H.M.F.M.C.; BERENDS-ALBERT, M. (reds.); </w:t>
      </w:r>
      <w:r w:rsidRPr="00230A4F">
        <w:rPr>
          <w:rFonts w:ascii="Times New Roman" w:hAnsi="Times New Roman"/>
          <w:i/>
        </w:rPr>
        <w:t>De brieven van Vincent van Gogh</w:t>
      </w:r>
      <w:r w:rsidRPr="00230A4F">
        <w:rPr>
          <w:rFonts w:ascii="Times New Roman" w:hAnsi="Times New Roman"/>
        </w:rPr>
        <w:t xml:space="preserve">, </w:t>
      </w:r>
      <w:r>
        <w:rPr>
          <w:rFonts w:ascii="Times New Roman" w:hAnsi="Times New Roman"/>
        </w:rPr>
        <w:t>’</w:t>
      </w:r>
      <w:r w:rsidRPr="00230A4F">
        <w:rPr>
          <w:rFonts w:ascii="Times New Roman" w:hAnsi="Times New Roman"/>
        </w:rPr>
        <w:t xml:space="preserve">s Gravenhage, Sdu Uitgeverij, 1990, 2254p.; VAN GOGH, V.; VAN GOGH-BONGER, J. (red.); </w:t>
      </w:r>
      <w:r w:rsidRPr="00230A4F">
        <w:rPr>
          <w:rFonts w:ascii="Times New Roman" w:hAnsi="Times New Roman"/>
          <w:i/>
        </w:rPr>
        <w:t>Brieven aan zijn broeder</w:t>
      </w:r>
      <w:r w:rsidRPr="00230A4F">
        <w:rPr>
          <w:rFonts w:ascii="Times New Roman" w:hAnsi="Times New Roman"/>
        </w:rPr>
        <w:t xml:space="preserve">, 3 vols., Amsterdam, Maatschappij voor Goede en Goedkoope Lectuur, 1914, vol. 1 (‘s-Gravenhage, augustus 1872 (nr. 1) tot Den Haag, september 1883 (nr. 239)), 561p.; vol. 2 (Den Haag, december 1881 (nr. 240) tot Antwerpen, eind februari 1886 (nr. 458)), 644p.; vol. 3 (Parijs, maart 1886 (nr. 459) tot Auvers-sur-Oise, 29 juli 1890 (nr. 652)), 467p.; VAN WAGENINGEN, N., </w:t>
      </w:r>
      <w:r w:rsidRPr="00230A4F">
        <w:rPr>
          <w:rFonts w:ascii="Times New Roman" w:hAnsi="Times New Roman"/>
          <w:i/>
        </w:rPr>
        <w:t>Het gezin Van Gogh: een familiegeschiedenis in brieven</w:t>
      </w:r>
      <w:r w:rsidRPr="00230A4F">
        <w:rPr>
          <w:rFonts w:ascii="Times New Roman" w:hAnsi="Times New Roman"/>
        </w:rPr>
        <w:t>, Deventer, Scriptio, 2009, 333p. Voor andere gepubliceerde bronnen m.b.t. Theo van Gogh, zie: GAU</w:t>
      </w:r>
      <w:r>
        <w:rPr>
          <w:rFonts w:ascii="Times New Roman" w:hAnsi="Times New Roman"/>
        </w:rPr>
        <w:t>-</w:t>
      </w:r>
      <w:r w:rsidRPr="00230A4F">
        <w:rPr>
          <w:rFonts w:ascii="Times New Roman" w:hAnsi="Times New Roman"/>
        </w:rPr>
        <w:t xml:space="preserve">GUIN, P.; COOPER, D. (red.); </w:t>
      </w:r>
      <w:r w:rsidRPr="00230A4F">
        <w:rPr>
          <w:rFonts w:ascii="Times New Roman" w:hAnsi="Times New Roman"/>
          <w:i/>
        </w:rPr>
        <w:t>Paul Gauguin: 45 lettres à Vincent, Théo et Jo van Gogh</w:t>
      </w:r>
      <w:r w:rsidRPr="00230A4F">
        <w:rPr>
          <w:rFonts w:ascii="Times New Roman" w:hAnsi="Times New Roman"/>
        </w:rPr>
        <w:t>, ‘s Gravenhage-Lau</w:t>
      </w:r>
      <w:r>
        <w:rPr>
          <w:rFonts w:ascii="Times New Roman" w:hAnsi="Times New Roman"/>
        </w:rPr>
        <w:t>-</w:t>
      </w:r>
      <w:r w:rsidRPr="00230A4F">
        <w:rPr>
          <w:rFonts w:ascii="Times New Roman" w:hAnsi="Times New Roman"/>
        </w:rPr>
        <w:t xml:space="preserve">sanne, Staatsuitgeverij-Bibliothèque des Arts, 1983, 352p.; JANSEN, L.A.M.; ROBERT, J.; </w:t>
      </w:r>
      <w:r w:rsidRPr="00230A4F">
        <w:rPr>
          <w:rFonts w:ascii="Times New Roman" w:hAnsi="Times New Roman"/>
          <w:i/>
        </w:rPr>
        <w:t>Kort geluk: de briefwisseling tussen Theo van Gogh en Jo Bonger</w:t>
      </w:r>
      <w:r w:rsidRPr="00230A4F">
        <w:rPr>
          <w:rFonts w:ascii="Times New Roman" w:hAnsi="Times New Roman"/>
        </w:rPr>
        <w:t xml:space="preserve">, Cahier Vincent, 7, Amsterdam-Zwolle, Van Gogh Museum-Waanders, 1999, 293p.; </w:t>
      </w:r>
      <w:r w:rsidRPr="00230A4F">
        <w:rPr>
          <w:rFonts w:ascii="Times New Roman" w:eastAsia="Times New Roman" w:hAnsi="Times New Roman"/>
          <w:lang w:eastAsia="nl-BE"/>
        </w:rPr>
        <w:t xml:space="preserve">STOLWIJK, C.; VEENENBOS, H.; </w:t>
      </w:r>
      <w:r w:rsidRPr="00230A4F">
        <w:rPr>
          <w:rFonts w:ascii="Times New Roman" w:eastAsia="Times New Roman" w:hAnsi="Times New Roman"/>
          <w:i/>
          <w:lang w:eastAsia="nl-BE"/>
        </w:rPr>
        <w:t>The account book of Theo van Gogh and Jo van Gogh-Bonger</w:t>
      </w:r>
      <w:r w:rsidRPr="00230A4F">
        <w:rPr>
          <w:rFonts w:ascii="Times New Roman" w:eastAsia="Times New Roman" w:hAnsi="Times New Roman"/>
          <w:lang w:eastAsia="nl-BE"/>
        </w:rPr>
        <w:t>, Cahier Vincent, 8, Amsterdam, Van Gogh Museum, 2002, 224p.</w:t>
      </w:r>
      <w:r w:rsidRPr="00230A4F">
        <w:rPr>
          <w:rFonts w:ascii="Times New Roman" w:hAnsi="Times New Roman"/>
        </w:rPr>
        <w:t xml:space="preserve"> Zie ook: </w:t>
      </w:r>
      <w:hyperlink w:history="1">
        <w:r w:rsidRPr="002E0847">
          <w:rPr>
            <w:rStyle w:val="Hyperlink"/>
            <w:rFonts w:ascii="Times New Roman" w:hAnsi="Times New Roman"/>
          </w:rPr>
          <w:t>http://vangoghletters. org</w:t>
        </w:r>
      </w:hyperlink>
      <w:r>
        <w:rPr>
          <w:rFonts w:ascii="Times New Roman" w:hAnsi="Times New Roman"/>
        </w:rPr>
        <w:t xml:space="preserve">. </w:t>
      </w:r>
    </w:p>
  </w:footnote>
  <w:footnote w:id="1369">
    <w:p w:rsidR="00E82D16" w:rsidRPr="00E40390"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E40390">
        <w:rPr>
          <w:rFonts w:ascii="Times New Roman" w:hAnsi="Times New Roman"/>
        </w:rPr>
        <w:t xml:space="preserve"> VAN MEEKEREN, E., ‘De psychiatrische ziektegeschiedenis van Vincent van Gogh’, </w:t>
      </w:r>
      <w:r w:rsidRPr="00E40390">
        <w:rPr>
          <w:rFonts w:ascii="Times New Roman" w:hAnsi="Times New Roman"/>
          <w:i/>
        </w:rPr>
        <w:t>N.T.G.</w:t>
      </w:r>
      <w:r w:rsidRPr="00E40390">
        <w:rPr>
          <w:rFonts w:ascii="Times New Roman" w:hAnsi="Times New Roman"/>
        </w:rPr>
        <w:t xml:space="preserve">, 144 (2000), p. 2509-2514; VOSKUIL, P.H.A., ‘Vincent van Gogh’s malady: A test case for the relationship between lobe dysfunction and epilepsy?’, </w:t>
      </w:r>
      <w:r w:rsidRPr="00E40390">
        <w:rPr>
          <w:rFonts w:ascii="Times New Roman" w:hAnsi="Times New Roman"/>
          <w:i/>
        </w:rPr>
        <w:t>Journal of the History of Neurosciences: Basic and Clinical Perspectives</w:t>
      </w:r>
      <w:r w:rsidRPr="00E40390">
        <w:rPr>
          <w:rFonts w:ascii="Times New Roman" w:hAnsi="Times New Roman"/>
        </w:rPr>
        <w:t>, 1/2 (1992), p. 155-162..</w:t>
      </w:r>
    </w:p>
  </w:footnote>
  <w:footnote w:id="1370">
    <w:p w:rsidR="00E82D16" w:rsidRPr="00230A4F" w:rsidRDefault="00E82D16" w:rsidP="000F560E">
      <w:pPr>
        <w:pStyle w:val="Geenafstand"/>
        <w:jc w:val="both"/>
        <w:rPr>
          <w:rFonts w:ascii="Times New Roman" w:hAnsi="Times New Roman" w:cs="Times New Roman"/>
          <w:sz w:val="20"/>
          <w:szCs w:val="20"/>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rPr>
        <w:t xml:space="preserve"> BRAND, E.J.P. (red.), </w:t>
      </w:r>
      <w:r w:rsidRPr="00230A4F">
        <w:rPr>
          <w:rFonts w:ascii="Times New Roman" w:hAnsi="Times New Roman" w:cs="Times New Roman"/>
          <w:i/>
          <w:sz w:val="20"/>
          <w:szCs w:val="20"/>
        </w:rPr>
        <w:t>Dossier Van Gogh: gek of geniaal?</w:t>
      </w:r>
      <w:r w:rsidRPr="00230A4F">
        <w:rPr>
          <w:rFonts w:ascii="Times New Roman" w:hAnsi="Times New Roman" w:cs="Times New Roman"/>
          <w:sz w:val="20"/>
          <w:szCs w:val="20"/>
        </w:rPr>
        <w:t xml:space="preserve">, Amsterdam, Candide-Het Dolhuys (Nationaal Museum voor Psychiatrie), 2010, 196p.; HULSKER, J., </w:t>
      </w:r>
      <w:r w:rsidRPr="00230A4F">
        <w:rPr>
          <w:rFonts w:ascii="Times New Roman" w:hAnsi="Times New Roman" w:cs="Times New Roman"/>
          <w:i/>
          <w:sz w:val="20"/>
          <w:szCs w:val="20"/>
        </w:rPr>
        <w:t>Lotgenoten: het leven van Vincent en Theo van Gogh</w:t>
      </w:r>
      <w:r w:rsidRPr="00230A4F">
        <w:rPr>
          <w:rFonts w:ascii="Times New Roman" w:hAnsi="Times New Roman" w:cs="Times New Roman"/>
          <w:sz w:val="20"/>
          <w:szCs w:val="20"/>
        </w:rPr>
        <w:t xml:space="preserve">, Weesp, Agathon, 1985, 669p. Voor de relatie tussen Vincent en Theo van Gogh, zie: KRAUS, G., </w:t>
      </w:r>
      <w:r w:rsidRPr="00230A4F">
        <w:rPr>
          <w:rFonts w:ascii="Times New Roman" w:hAnsi="Times New Roman" w:cs="Times New Roman"/>
          <w:i/>
          <w:sz w:val="20"/>
          <w:szCs w:val="20"/>
        </w:rPr>
        <w:t>De verhou</w:t>
      </w:r>
      <w:r>
        <w:rPr>
          <w:rFonts w:ascii="Times New Roman" w:hAnsi="Times New Roman" w:cs="Times New Roman"/>
          <w:i/>
          <w:sz w:val="20"/>
          <w:szCs w:val="20"/>
        </w:rPr>
        <w:t>-</w:t>
      </w:r>
      <w:r w:rsidRPr="00230A4F">
        <w:rPr>
          <w:rFonts w:ascii="Times New Roman" w:hAnsi="Times New Roman" w:cs="Times New Roman"/>
          <w:i/>
          <w:sz w:val="20"/>
          <w:szCs w:val="20"/>
        </w:rPr>
        <w:t>ding van Theo &amp; Vincent van Gogh</w:t>
      </w:r>
      <w:r w:rsidRPr="00230A4F">
        <w:rPr>
          <w:rFonts w:ascii="Times New Roman" w:hAnsi="Times New Roman" w:cs="Times New Roman"/>
          <w:sz w:val="20"/>
          <w:szCs w:val="20"/>
        </w:rPr>
        <w:t xml:space="preserve">, Otterlo, Kröller-Müller Stichting, 1954, 39p.; VAN DROOGENBROECK, J.H., </w:t>
      </w:r>
      <w:r w:rsidRPr="00230A4F">
        <w:rPr>
          <w:rFonts w:ascii="Times New Roman" w:hAnsi="Times New Roman" w:cs="Times New Roman"/>
          <w:i/>
          <w:sz w:val="20"/>
          <w:szCs w:val="20"/>
        </w:rPr>
        <w:t>Vincent van Gogh et son frère Théo</w:t>
      </w:r>
      <w:r w:rsidRPr="00230A4F">
        <w:rPr>
          <w:rFonts w:ascii="Times New Roman" w:hAnsi="Times New Roman" w:cs="Times New Roman"/>
          <w:sz w:val="20"/>
          <w:szCs w:val="20"/>
        </w:rPr>
        <w:t xml:space="preserve">, Parijs, Flammarion, 1957, 281p. Enkele biografieën over Theo van Gogh: KEIJSPER, C.C.A.E., ‘Theo van Gogh 1857-1891’, </w:t>
      </w:r>
      <w:r w:rsidRPr="00230A4F">
        <w:rPr>
          <w:rFonts w:ascii="Times New Roman" w:hAnsi="Times New Roman" w:cs="Times New Roman"/>
          <w:i/>
          <w:sz w:val="20"/>
          <w:szCs w:val="20"/>
        </w:rPr>
        <w:t>De Negentiende Eeuw</w:t>
      </w:r>
      <w:r w:rsidRPr="00230A4F">
        <w:rPr>
          <w:rFonts w:ascii="Times New Roman" w:hAnsi="Times New Roman" w:cs="Times New Roman"/>
          <w:sz w:val="20"/>
          <w:szCs w:val="20"/>
        </w:rPr>
        <w:t xml:space="preserve">, 23 (1999), p. 222; OZANNE, M.A.; DE JODE, F.; </w:t>
      </w:r>
      <w:r w:rsidRPr="00230A4F">
        <w:rPr>
          <w:rFonts w:ascii="Times New Roman" w:hAnsi="Times New Roman" w:cs="Times New Roman"/>
          <w:i/>
          <w:sz w:val="20"/>
          <w:szCs w:val="20"/>
        </w:rPr>
        <w:t>L’autre Van Gogh: une biographie de Theo van Gogh</w:t>
      </w:r>
      <w:r w:rsidRPr="00230A4F">
        <w:rPr>
          <w:rFonts w:ascii="Times New Roman" w:hAnsi="Times New Roman" w:cs="Times New Roman"/>
          <w:sz w:val="20"/>
          <w:szCs w:val="20"/>
        </w:rPr>
        <w:t>, Regard sur l’art, Parijs, Editions Ol</w:t>
      </w:r>
      <w:r>
        <w:rPr>
          <w:rFonts w:ascii="Times New Roman" w:hAnsi="Times New Roman" w:cs="Times New Roman"/>
          <w:sz w:val="20"/>
          <w:szCs w:val="20"/>
        </w:rPr>
        <w:t>-</w:t>
      </w:r>
      <w:r w:rsidRPr="00230A4F">
        <w:rPr>
          <w:rFonts w:ascii="Times New Roman" w:hAnsi="Times New Roman" w:cs="Times New Roman"/>
          <w:sz w:val="20"/>
          <w:szCs w:val="20"/>
        </w:rPr>
        <w:t>bia, 237p.;</w:t>
      </w:r>
      <w:r w:rsidRPr="00230A4F">
        <w:rPr>
          <w:rFonts w:ascii="Times New Roman" w:eastAsia="Times New Roman" w:hAnsi="Times New Roman" w:cs="Times New Roman"/>
          <w:sz w:val="20"/>
          <w:szCs w:val="20"/>
          <w:lang w:eastAsia="nl-BE"/>
        </w:rPr>
        <w:t xml:space="preserve"> STOLWIJK, C.; THOMSON, R.; </w:t>
      </w:r>
      <w:r w:rsidRPr="00230A4F">
        <w:rPr>
          <w:rFonts w:ascii="Times New Roman" w:eastAsia="Times New Roman" w:hAnsi="Times New Roman" w:cs="Times New Roman"/>
          <w:i/>
          <w:sz w:val="20"/>
          <w:szCs w:val="20"/>
          <w:lang w:eastAsia="nl-BE"/>
        </w:rPr>
        <w:t>Theo van Gogh, kunsthandelaar,verzamelaar en broer van Vincent</w:t>
      </w:r>
      <w:r w:rsidRPr="00230A4F">
        <w:rPr>
          <w:rFonts w:ascii="Times New Roman" w:eastAsia="Times New Roman" w:hAnsi="Times New Roman" w:cs="Times New Roman"/>
          <w:sz w:val="20"/>
          <w:szCs w:val="20"/>
          <w:lang w:eastAsia="nl-BE"/>
        </w:rPr>
        <w:t>, Amsterdam-Zwolle, Van Gogh Museum-Waanders, 1999, 229p.</w:t>
      </w:r>
    </w:p>
  </w:footnote>
  <w:footnote w:id="1371">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VOLSKUIL, P.H.A., ‘Geschiedenis der geneeskunde: het medische dossier van Theo van Gogh’, </w:t>
      </w:r>
      <w:r w:rsidRPr="00230A4F">
        <w:rPr>
          <w:rFonts w:ascii="Times New Roman" w:hAnsi="Times New Roman"/>
          <w:i/>
        </w:rPr>
        <w:t>N.T.G.</w:t>
      </w:r>
      <w:r w:rsidRPr="00230A4F">
        <w:rPr>
          <w:rFonts w:ascii="Times New Roman" w:hAnsi="Times New Roman"/>
        </w:rPr>
        <w:t xml:space="preserve">, 136 (1992), p. 1778; ID., ‘De doodsoorzaak van Theo van Gogh (1857-1891)’, </w:t>
      </w:r>
      <w:r w:rsidRPr="00230A4F">
        <w:rPr>
          <w:rFonts w:ascii="Times New Roman" w:hAnsi="Times New Roman"/>
          <w:i/>
        </w:rPr>
        <w:t>N.T.G.</w:t>
      </w:r>
      <w:r w:rsidRPr="00230A4F">
        <w:rPr>
          <w:rFonts w:ascii="Times New Roman" w:hAnsi="Times New Roman"/>
        </w:rPr>
        <w:t>, 153/19 (2009), p. 362.</w:t>
      </w:r>
    </w:p>
  </w:footnote>
  <w:footnote w:id="1372">
    <w:p w:rsidR="00E82D16" w:rsidRPr="00E333B6" w:rsidRDefault="00E82D16" w:rsidP="000F560E">
      <w:pPr>
        <w:pStyle w:val="Voetnoottekst"/>
        <w:jc w:val="both"/>
        <w:rPr>
          <w:rFonts w:ascii="Times New Roman" w:hAnsi="Times New Roman"/>
          <w:lang w:val="fr-BE"/>
        </w:rPr>
      </w:pPr>
      <w:r w:rsidRPr="00230A4F">
        <w:rPr>
          <w:rStyle w:val="Voetnootmarkering"/>
          <w:rFonts w:ascii="Times New Roman" w:hAnsi="Times New Roman"/>
        </w:rPr>
        <w:footnoteRef/>
      </w:r>
      <w:r w:rsidRPr="00E333B6">
        <w:rPr>
          <w:rFonts w:ascii="Times New Roman" w:hAnsi="Times New Roman"/>
          <w:lang w:val="fr-BE"/>
        </w:rPr>
        <w:t xml:space="preserve"> GOUREVITCH, D.; GOUREVITCH, M.; ‘Maupassant et le Livre de la Loi’, </w:t>
      </w:r>
      <w:r w:rsidRPr="00E333B6">
        <w:rPr>
          <w:rFonts w:ascii="Times New Roman" w:hAnsi="Times New Roman"/>
          <w:i/>
          <w:lang w:val="fr-BE"/>
        </w:rPr>
        <w:t>Histoire des sciences médica</w:t>
      </w:r>
      <w:r>
        <w:rPr>
          <w:rFonts w:ascii="Times New Roman" w:hAnsi="Times New Roman"/>
          <w:i/>
          <w:lang w:val="fr-BE"/>
        </w:rPr>
        <w:t>-</w:t>
      </w:r>
      <w:r w:rsidRPr="00E333B6">
        <w:rPr>
          <w:rFonts w:ascii="Times New Roman" w:hAnsi="Times New Roman"/>
          <w:i/>
          <w:lang w:val="fr-BE"/>
        </w:rPr>
        <w:t>les</w:t>
      </w:r>
      <w:r w:rsidRPr="00E333B6">
        <w:rPr>
          <w:rFonts w:ascii="Times New Roman" w:hAnsi="Times New Roman"/>
          <w:lang w:val="fr-BE"/>
        </w:rPr>
        <w:t>, 33/2 (1999), p. 129-133.</w:t>
      </w:r>
    </w:p>
  </w:footnote>
  <w:footnote w:id="1373">
    <w:p w:rsidR="00E82D16" w:rsidRPr="00E333B6" w:rsidRDefault="00E82D16" w:rsidP="000F560E">
      <w:pPr>
        <w:pStyle w:val="Voetnoottekst"/>
        <w:jc w:val="both"/>
        <w:rPr>
          <w:rFonts w:ascii="Times New Roman" w:hAnsi="Times New Roman"/>
          <w:lang w:val="fr-BE"/>
        </w:rPr>
      </w:pPr>
      <w:r w:rsidRPr="00230A4F">
        <w:rPr>
          <w:rStyle w:val="Voetnootmarkering"/>
          <w:rFonts w:ascii="Times New Roman" w:hAnsi="Times New Roman"/>
        </w:rPr>
        <w:footnoteRef/>
      </w:r>
      <w:r w:rsidRPr="00E333B6">
        <w:rPr>
          <w:rFonts w:ascii="Times New Roman" w:hAnsi="Times New Roman"/>
          <w:lang w:val="fr-BE"/>
        </w:rPr>
        <w:t xml:space="preserve"> Cf. LAGARDELLE, F., </w:t>
      </w:r>
      <w:r w:rsidRPr="00E333B6">
        <w:rPr>
          <w:rFonts w:ascii="Times New Roman" w:hAnsi="Times New Roman"/>
          <w:i/>
          <w:lang w:val="fr-BE"/>
        </w:rPr>
        <w:t>Traitement de la paralysie générale progressive</w:t>
      </w:r>
      <w:r w:rsidRPr="00E333B6">
        <w:rPr>
          <w:rFonts w:ascii="Times New Roman" w:hAnsi="Times New Roman"/>
          <w:lang w:val="fr-BE"/>
        </w:rPr>
        <w:t xml:space="preserve">, Parijs, Bazire, 1878, 132p.; RACLE, C., </w:t>
      </w:r>
      <w:r w:rsidRPr="00E333B6">
        <w:rPr>
          <w:rFonts w:ascii="Times New Roman" w:hAnsi="Times New Roman"/>
          <w:i/>
          <w:lang w:val="fr-BE"/>
        </w:rPr>
        <w:t>De la folie, de la démence et de la paralysie générale progressive: résumé didactique</w:t>
      </w:r>
      <w:r w:rsidRPr="00E333B6">
        <w:rPr>
          <w:rFonts w:ascii="Times New Roman" w:hAnsi="Times New Roman"/>
          <w:lang w:val="fr-BE"/>
        </w:rPr>
        <w:t>, Parijs, F. Savy, 76p.</w:t>
      </w:r>
    </w:p>
  </w:footnote>
  <w:footnote w:id="1374">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Archiefstuk nr. 1224 (Correspondentie betrekking hebbende op het patiëntendossier van Theo van Gogh overleden in 1982 (sic) in het Willem Arntsz Huis) van archief nr. 813-1 Willem Arntsz stichting te Utrecht, Het Utrechts Archief (</w:t>
      </w:r>
      <w:hyperlink r:id="rId218" w:history="1">
        <w:r w:rsidRPr="00EA26DD">
          <w:rPr>
            <w:rStyle w:val="Hyperlink"/>
            <w:rFonts w:ascii="Times New Roman" w:hAnsi="Times New Roman"/>
          </w:rPr>
          <w:t>http://www.archieven.nl/nl/zoeken?miview=inv2&amp;mivast=0&amp;mizig=210&amp;miadt=39&amp;micode =813-1&amp;milang=nl&amp;mizk_alle=pati%C3%ABntendossier</w:t>
        </w:r>
      </w:hyperlink>
      <w:r w:rsidRPr="00230A4F">
        <w:rPr>
          <w:rFonts w:ascii="Times New Roman" w:hAnsi="Times New Roman"/>
        </w:rPr>
        <w:t>); VOLSKUIL, P.H.A., ‘Geschiedenis der geneeskun</w:t>
      </w:r>
      <w:r>
        <w:rPr>
          <w:rFonts w:ascii="Times New Roman" w:hAnsi="Times New Roman"/>
        </w:rPr>
        <w:t>-</w:t>
      </w:r>
      <w:r w:rsidRPr="00230A4F">
        <w:rPr>
          <w:rFonts w:ascii="Times New Roman" w:hAnsi="Times New Roman"/>
        </w:rPr>
        <w:t xml:space="preserve">de: het medische dossier van Theo van Gogh’, </w:t>
      </w:r>
      <w:r w:rsidRPr="00230A4F">
        <w:rPr>
          <w:rFonts w:ascii="Times New Roman" w:hAnsi="Times New Roman"/>
          <w:i/>
        </w:rPr>
        <w:t>N.T.G.</w:t>
      </w:r>
      <w:r w:rsidRPr="00230A4F">
        <w:rPr>
          <w:rFonts w:ascii="Times New Roman" w:hAnsi="Times New Roman"/>
        </w:rPr>
        <w:t>, 136 (1992), p. 1777.</w:t>
      </w:r>
    </w:p>
  </w:footnote>
  <w:footnote w:id="1375">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Met name in het verslag van een voordracht in het Rijksmuseum Kröller-Müller op 25 oktober 1953: KRAUS, G., </w:t>
      </w:r>
      <w:r w:rsidRPr="00230A4F">
        <w:rPr>
          <w:rFonts w:ascii="Times New Roman" w:hAnsi="Times New Roman"/>
          <w:i/>
        </w:rPr>
        <w:t>De verhouding van Theo &amp; Vincent van Gogh</w:t>
      </w:r>
      <w:r w:rsidRPr="00230A4F">
        <w:rPr>
          <w:rFonts w:ascii="Times New Roman" w:hAnsi="Times New Roman"/>
        </w:rPr>
        <w:t>, Otterlo, Kröller-Müller Stichting, 1954, 39p. VOLS</w:t>
      </w:r>
      <w:r>
        <w:rPr>
          <w:rFonts w:ascii="Times New Roman" w:hAnsi="Times New Roman"/>
        </w:rPr>
        <w:t>-</w:t>
      </w:r>
      <w:r w:rsidRPr="00230A4F">
        <w:rPr>
          <w:rFonts w:ascii="Times New Roman" w:hAnsi="Times New Roman"/>
        </w:rPr>
        <w:t xml:space="preserve">KUIL, P.H.A., ‘Geschiedenis der geneeskunde: het medische dossier van Theo van Gogh’, </w:t>
      </w:r>
      <w:r w:rsidRPr="00230A4F">
        <w:rPr>
          <w:rFonts w:ascii="Times New Roman" w:hAnsi="Times New Roman"/>
          <w:i/>
        </w:rPr>
        <w:t>N.T.G.</w:t>
      </w:r>
      <w:r w:rsidRPr="00230A4F">
        <w:rPr>
          <w:rFonts w:ascii="Times New Roman" w:hAnsi="Times New Roman"/>
        </w:rPr>
        <w:t xml:space="preserve">, 136 (1992), p. 1777. </w:t>
      </w:r>
    </w:p>
  </w:footnote>
  <w:footnote w:id="1376">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GEVERS, J.K.M., ‘Het beroepsgeheim na overlijden van de patiënt’, </w:t>
      </w:r>
      <w:r w:rsidRPr="00230A4F">
        <w:rPr>
          <w:rFonts w:ascii="Times New Roman" w:hAnsi="Times New Roman"/>
          <w:i/>
        </w:rPr>
        <w:t>N.T.G.</w:t>
      </w:r>
      <w:r w:rsidRPr="00230A4F">
        <w:rPr>
          <w:rFonts w:ascii="Times New Roman" w:hAnsi="Times New Roman"/>
        </w:rPr>
        <w:t>, 137/11 (1993), p. 533 en p. 535; PLOEM, M.C., ‘Inzage in het medisch dossier na overlijden van de patiënt: uitgangspunten en actuele ont</w:t>
      </w:r>
      <w:r>
        <w:rPr>
          <w:rFonts w:ascii="Times New Roman" w:hAnsi="Times New Roman"/>
        </w:rPr>
        <w:t>-</w:t>
      </w:r>
      <w:r w:rsidRPr="00230A4F">
        <w:rPr>
          <w:rFonts w:ascii="Times New Roman" w:hAnsi="Times New Roman"/>
        </w:rPr>
        <w:t xml:space="preserve">wikkelingen in de rechtspraak’, </w:t>
      </w:r>
      <w:r w:rsidRPr="00230A4F">
        <w:rPr>
          <w:rFonts w:ascii="Times New Roman" w:hAnsi="Times New Roman"/>
          <w:i/>
        </w:rPr>
        <w:t>N.T.G.</w:t>
      </w:r>
      <w:r w:rsidRPr="00230A4F">
        <w:rPr>
          <w:rFonts w:ascii="Times New Roman" w:hAnsi="Times New Roman"/>
        </w:rPr>
        <w:t>, 143/36 (1999), p. 1826.</w:t>
      </w:r>
    </w:p>
  </w:footnote>
  <w:footnote w:id="1377">
    <w:p w:rsidR="00E82D16" w:rsidRPr="0069438A" w:rsidRDefault="00E82D16" w:rsidP="000F560E">
      <w:pPr>
        <w:pStyle w:val="Voetnoottekst"/>
        <w:rPr>
          <w:rFonts w:ascii="Times New Roman" w:hAnsi="Times New Roman"/>
        </w:rPr>
      </w:pPr>
      <w:r w:rsidRPr="0069438A">
        <w:rPr>
          <w:rStyle w:val="Voetnootmarkering"/>
          <w:rFonts w:ascii="Times New Roman" w:hAnsi="Times New Roman"/>
        </w:rPr>
        <w:footnoteRef/>
      </w:r>
      <w:r w:rsidRPr="0069438A">
        <w:rPr>
          <w:rFonts w:ascii="Times New Roman" w:hAnsi="Times New Roman"/>
        </w:rPr>
        <w:t xml:space="preserve"> Cf. de korte algemene bewaartermijn. Zie deel 3.</w:t>
      </w:r>
    </w:p>
  </w:footnote>
  <w:footnote w:id="1378">
    <w:p w:rsidR="00E82D16" w:rsidRPr="00724382"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rPr>
        <w:t xml:space="preserve"> Archiefstuk nr. 723 tot archiefstuk nr. 1606 van archief nr. 1491 Rijks Psychiatrische Inrichting te Eindho</w:t>
      </w:r>
      <w:r>
        <w:rPr>
          <w:rFonts w:ascii="Times New Roman" w:hAnsi="Times New Roman"/>
        </w:rPr>
        <w:t>-</w:t>
      </w:r>
      <w:r w:rsidRPr="00230A4F">
        <w:rPr>
          <w:rFonts w:ascii="Times New Roman" w:hAnsi="Times New Roman"/>
        </w:rPr>
        <w:t xml:space="preserve">ven (tot 1946 Rijks Krankzinnigen Gesticht Woensel, 1913-1985), Brabants Historisch Informatie Centrum – Locatie Den Bosch. </w:t>
      </w:r>
      <w:hyperlink r:id="rId219" w:anchor="inv3t1" w:history="1">
        <w:r w:rsidRPr="00EA26DD">
          <w:rPr>
            <w:rStyle w:val="Hyperlink"/>
            <w:rFonts w:ascii="Times New Roman" w:hAnsi="Times New Roman"/>
            <w:lang w:val="en-US"/>
          </w:rPr>
          <w:t>http://www.archieven.nl/nl/zoeken?mivast=0&amp;mizig=210&amp;miadt=235&amp;micode=1491&amp; miview=inv2#inv3t1</w:t>
        </w:r>
      </w:hyperlink>
    </w:p>
  </w:footnote>
  <w:footnote w:id="1379">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Archiefstuk nr. 449 (Patiëntendossier betreffende F. Duifhuize [1965-1989]) van archief nr. 1088-01: Stich</w:t>
      </w:r>
      <w:r>
        <w:rPr>
          <w:rFonts w:ascii="Times New Roman" w:hAnsi="Times New Roman"/>
        </w:rPr>
        <w:t>-</w:t>
      </w:r>
      <w:r w:rsidRPr="00230A4F">
        <w:rPr>
          <w:rFonts w:ascii="Times New Roman" w:hAnsi="Times New Roman"/>
        </w:rPr>
        <w:t>ting Schroeder van der Kolk, Haags Gemeentearchief  (</w:t>
      </w:r>
      <w:hyperlink r:id="rId220" w:history="1">
        <w:r w:rsidRPr="00EA26DD">
          <w:rPr>
            <w:rStyle w:val="Hyperlink"/>
            <w:rFonts w:ascii="Times New Roman" w:hAnsi="Times New Roman"/>
          </w:rPr>
          <w:t>http://www.archieven.nl/nl/search-modonly?mivast=59 &amp;mizig=210&amp;miadt=59&amp;micode=1088-01&amp;mizk_alle=Duifhuize</w:t>
        </w:r>
      </w:hyperlink>
      <w:r w:rsidRPr="00230A4F">
        <w:rPr>
          <w:rFonts w:ascii="Times New Roman" w:hAnsi="Times New Roman"/>
        </w:rPr>
        <w:t>).</w:t>
      </w:r>
    </w:p>
  </w:footnote>
  <w:footnote w:id="1380">
    <w:p w:rsidR="00E82D16" w:rsidRPr="002D0205" w:rsidRDefault="00E82D16" w:rsidP="000F560E">
      <w:pPr>
        <w:pStyle w:val="Voetnoottekst"/>
        <w:jc w:val="both"/>
        <w:rPr>
          <w:rFonts w:ascii="Times New Roman" w:hAnsi="Times New Roman"/>
        </w:rPr>
      </w:pPr>
      <w:r w:rsidRPr="002D0205">
        <w:rPr>
          <w:rStyle w:val="Voetnootmarkering"/>
          <w:rFonts w:ascii="Times New Roman" w:hAnsi="Times New Roman"/>
        </w:rPr>
        <w:footnoteRef/>
      </w:r>
      <w:r w:rsidRPr="002D0205">
        <w:rPr>
          <w:rFonts w:ascii="Times New Roman" w:hAnsi="Times New Roman"/>
        </w:rPr>
        <w:t xml:space="preserve"> ‘Medische archieven en archiefvernietiging’, </w:t>
      </w:r>
      <w:r w:rsidRPr="002D0205">
        <w:rPr>
          <w:rFonts w:ascii="Times New Roman" w:hAnsi="Times New Roman"/>
          <w:i/>
        </w:rPr>
        <w:t>N.T.G.</w:t>
      </w:r>
      <w:r w:rsidRPr="002D0205">
        <w:rPr>
          <w:rFonts w:ascii="Times New Roman" w:hAnsi="Times New Roman"/>
        </w:rPr>
        <w:t>, 144/29 (2000), p. 1423.</w:t>
      </w:r>
    </w:p>
  </w:footnote>
  <w:footnote w:id="1381">
    <w:p w:rsidR="00E82D16" w:rsidRPr="002D0205" w:rsidRDefault="00E82D16" w:rsidP="000F560E">
      <w:pPr>
        <w:pStyle w:val="Voetnoottekst"/>
        <w:rPr>
          <w:rFonts w:ascii="Times New Roman" w:hAnsi="Times New Roman"/>
        </w:rPr>
      </w:pPr>
      <w:r w:rsidRPr="002D0205">
        <w:rPr>
          <w:rStyle w:val="Voetnootmarkering"/>
          <w:rFonts w:ascii="Times New Roman" w:hAnsi="Times New Roman"/>
        </w:rPr>
        <w:footnoteRef/>
      </w:r>
      <w:r w:rsidRPr="002D0205">
        <w:rPr>
          <w:rFonts w:ascii="Times New Roman" w:hAnsi="Times New Roman"/>
        </w:rPr>
        <w:t xml:space="preserve"> </w:t>
      </w:r>
      <w:hyperlink r:id="rId221" w:history="1">
        <w:r w:rsidRPr="002D0205">
          <w:rPr>
            <w:rStyle w:val="Hyperlink"/>
            <w:rFonts w:ascii="Times New Roman" w:hAnsi="Times New Roman"/>
          </w:rPr>
          <w:t>http://www.vumc.nl/afdelingen/metamedica/medischegeschiedenis1/</w:t>
        </w:r>
      </w:hyperlink>
      <w:r w:rsidRPr="002D0205">
        <w:rPr>
          <w:rFonts w:ascii="Times New Roman" w:hAnsi="Times New Roman"/>
        </w:rPr>
        <w:t>.</w:t>
      </w:r>
    </w:p>
  </w:footnote>
  <w:footnote w:id="1382">
    <w:p w:rsidR="00E82D16" w:rsidRPr="00230A4F" w:rsidRDefault="00E82D16" w:rsidP="000F560E">
      <w:pPr>
        <w:jc w:val="both"/>
        <w:rPr>
          <w:sz w:val="20"/>
          <w:szCs w:val="20"/>
        </w:rPr>
      </w:pPr>
      <w:r w:rsidRPr="00230A4F">
        <w:rPr>
          <w:rStyle w:val="Voetnootmarkering"/>
          <w:sz w:val="20"/>
          <w:szCs w:val="20"/>
        </w:rPr>
        <w:footnoteRef/>
      </w:r>
      <w:r w:rsidRPr="00230A4F">
        <w:rPr>
          <w:sz w:val="20"/>
          <w:szCs w:val="20"/>
        </w:rPr>
        <w:t xml:space="preserve"> Bron: </w:t>
      </w:r>
      <w:hyperlink r:id="rId222" w:history="1">
        <w:r w:rsidRPr="00230A4F">
          <w:rPr>
            <w:rStyle w:val="Hyperlink"/>
            <w:sz w:val="20"/>
            <w:szCs w:val="20"/>
          </w:rPr>
          <w:t>http://www.flickr.com/photos/archievenorg/sets/72157615838734411/</w:t>
        </w:r>
      </w:hyperlink>
      <w:r w:rsidRPr="00230A4F">
        <w:rPr>
          <w:sz w:val="20"/>
          <w:szCs w:val="20"/>
        </w:rPr>
        <w:t>. Ook alle andere documenten van dit patiëntendossier kunnen geraadpleegd (en gedownload) worden op het flickr-profiel van journalist Eric Hennekam, onder de rubriek ‘Vincent van Gogh and his family’.</w:t>
      </w:r>
    </w:p>
  </w:footnote>
  <w:footnote w:id="1383">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Idem.</w:t>
      </w:r>
    </w:p>
  </w:footnote>
  <w:footnote w:id="1384">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Idem.</w:t>
      </w:r>
    </w:p>
  </w:footnote>
  <w:footnote w:id="1385">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De huurovereenkomst tussen Theo van Gogh en P. Mironde voor appartement 8 Cité Pigalle, Parijs, dateert van 27 oktober 1890. Archiefstuk nr. b 2017 V/1982 (document) van het archiefbestand ‘Brieven en Documen</w:t>
      </w:r>
      <w:r>
        <w:rPr>
          <w:rFonts w:ascii="Times New Roman" w:hAnsi="Times New Roman"/>
        </w:rPr>
        <w:t>-</w:t>
      </w:r>
      <w:r w:rsidRPr="00230A4F">
        <w:rPr>
          <w:rFonts w:ascii="Times New Roman" w:hAnsi="Times New Roman"/>
        </w:rPr>
        <w:t xml:space="preserve">ten’, Van Gogh Museum, Amsterdam. Deze akte kan geraadpleegd worden op: </w:t>
      </w:r>
      <w:hyperlink w:history="1">
        <w:r w:rsidRPr="002E0847">
          <w:rPr>
            <w:rStyle w:val="Hyperlink"/>
            <w:rFonts w:ascii="Times New Roman" w:hAnsi="Times New Roman"/>
          </w:rPr>
          <w:t>http://www. geheugenvannederland.nl/?/nl/items/VGM01:b2017</w:t>
        </w:r>
      </w:hyperlink>
      <w:r w:rsidRPr="00230A4F">
        <w:rPr>
          <w:rFonts w:ascii="Times New Roman" w:hAnsi="Times New Roman"/>
        </w:rPr>
        <w:t>.</w:t>
      </w:r>
    </w:p>
  </w:footnote>
  <w:footnote w:id="1386">
    <w:p w:rsidR="00E82D16" w:rsidRPr="00230A4F" w:rsidRDefault="00E82D16" w:rsidP="000F560E">
      <w:pPr>
        <w:pStyle w:val="Geenafstand"/>
        <w:jc w:val="both"/>
        <w:rPr>
          <w:rFonts w:ascii="Times New Roman" w:hAnsi="Times New Roman" w:cs="Times New Roman"/>
          <w:sz w:val="20"/>
          <w:szCs w:val="20"/>
          <w:lang w:val="en-US"/>
        </w:rPr>
      </w:pPr>
      <w:r w:rsidRPr="00230A4F">
        <w:rPr>
          <w:rStyle w:val="Voetnootmarkering"/>
          <w:rFonts w:ascii="Times New Roman" w:hAnsi="Times New Roman" w:cs="Times New Roman"/>
          <w:sz w:val="20"/>
          <w:szCs w:val="20"/>
        </w:rPr>
        <w:footnoteRef/>
      </w:r>
      <w:r w:rsidRPr="00230A4F">
        <w:rPr>
          <w:rFonts w:ascii="Times New Roman" w:hAnsi="Times New Roman" w:cs="Times New Roman"/>
          <w:sz w:val="20"/>
          <w:szCs w:val="20"/>
          <w:lang w:val="en-US"/>
        </w:rPr>
        <w:t xml:space="preserve"> Art. 454 § 1 WGBO; art. 19 § 1 Wcz.</w:t>
      </w:r>
    </w:p>
  </w:footnote>
  <w:footnote w:id="1387">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Art. 10 § 1 Wbp.</w:t>
      </w:r>
    </w:p>
  </w:footnote>
  <w:footnote w:id="1388">
    <w:p w:rsidR="00E82D16" w:rsidRPr="0069438A" w:rsidRDefault="00E82D16" w:rsidP="000F560E">
      <w:pPr>
        <w:pStyle w:val="Voetnoottekst"/>
        <w:jc w:val="both"/>
        <w:rPr>
          <w:rFonts w:ascii="Times New Roman" w:hAnsi="Times New Roman"/>
        </w:rPr>
      </w:pPr>
      <w:r w:rsidRPr="0069438A">
        <w:rPr>
          <w:rStyle w:val="Voetnootmarkering"/>
          <w:rFonts w:ascii="Times New Roman" w:hAnsi="Times New Roman"/>
        </w:rPr>
        <w:footnoteRef/>
      </w:r>
      <w:r w:rsidRPr="0069438A">
        <w:rPr>
          <w:rFonts w:ascii="Times New Roman" w:hAnsi="Times New Roman"/>
        </w:rPr>
        <w:t xml:space="preserve"> VAN LEEUWEN, F.E.; SCHORNAGEL, J.H.; ‘Bewaren of vernietigen? Het belang van het dossier voor de patiënt van gisteren en morgen’, </w:t>
      </w:r>
      <w:r w:rsidRPr="0069438A">
        <w:rPr>
          <w:rFonts w:ascii="Times New Roman" w:hAnsi="Times New Roman"/>
          <w:i/>
        </w:rPr>
        <w:t>N.T.G.</w:t>
      </w:r>
      <w:r w:rsidRPr="0069438A">
        <w:rPr>
          <w:rFonts w:ascii="Times New Roman" w:hAnsi="Times New Roman"/>
        </w:rPr>
        <w:t>, 145/10 (2001), p. 458.</w:t>
      </w:r>
    </w:p>
  </w:footnote>
  <w:footnote w:id="1389">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Art. 455 § 1 WGBO; art. 20 § 2, a Wcz.</w:t>
      </w:r>
    </w:p>
  </w:footnote>
  <w:footnote w:id="1390">
    <w:p w:rsidR="00E82D16" w:rsidRPr="000152A4"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0152A4">
        <w:rPr>
          <w:rFonts w:ascii="Times New Roman" w:hAnsi="Times New Roman"/>
        </w:rPr>
        <w:t xml:space="preserve"> Art. 455 § 2 WGBO; art. 20 § 4 Wcz.</w:t>
      </w:r>
    </w:p>
  </w:footnote>
  <w:footnote w:id="1391">
    <w:p w:rsidR="00E82D16" w:rsidRPr="000152A4"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0152A4">
        <w:rPr>
          <w:rFonts w:ascii="Times New Roman" w:hAnsi="Times New Roman"/>
        </w:rPr>
        <w:t xml:space="preserve"> Art. 3 Besluit patiëntendossier Bopz.</w:t>
      </w:r>
    </w:p>
  </w:footnote>
  <w:footnote w:id="1392">
    <w:p w:rsidR="00E82D16" w:rsidRPr="000152A4"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0152A4">
        <w:rPr>
          <w:rFonts w:ascii="Times New Roman" w:hAnsi="Times New Roman"/>
        </w:rPr>
        <w:t xml:space="preserve"> Art. 7 Archiefwet.</w:t>
      </w:r>
    </w:p>
  </w:footnote>
  <w:footnote w:id="1393">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7 Archiefwet; beleidsregel van de Minister van Onderwijs, Cultuur en Wetenschap van 22 januari 2008, nr. WJZ/2008/452 (8218) inzake de bevoegdheid tot het afgeven van een machtiging als bedoeld in artikel 7 van de Archiefwet 1995 ten behoeve van routinematige digitalisering van archiefbescheiden (</w:t>
      </w:r>
      <w:r w:rsidRPr="00230A4F">
        <w:rPr>
          <w:rFonts w:ascii="Times New Roman" w:hAnsi="Times New Roman"/>
          <w:i/>
        </w:rPr>
        <w:t>Stcrt.</w:t>
      </w:r>
      <w:r w:rsidRPr="00230A4F">
        <w:rPr>
          <w:rFonts w:ascii="Times New Roman" w:hAnsi="Times New Roman"/>
        </w:rPr>
        <w:t xml:space="preserve"> 21, 30 januari 2008).</w:t>
      </w:r>
    </w:p>
  </w:footnote>
  <w:footnote w:id="1394">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3 Archiefwet.</w:t>
      </w:r>
    </w:p>
  </w:footnote>
  <w:footnote w:id="1395">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KNMG, ‘Mag het papieren medische dossier worden vernietigd als dit volledig is gescand en opgeslagen in een elektronisch dossier?’, </w:t>
      </w:r>
      <w:r w:rsidRPr="00230A4F">
        <w:rPr>
          <w:rFonts w:ascii="Times New Roman" w:hAnsi="Times New Roman"/>
          <w:i/>
          <w:iCs/>
        </w:rPr>
        <w:t>M.C.</w:t>
      </w:r>
      <w:r w:rsidRPr="00230A4F">
        <w:rPr>
          <w:rFonts w:ascii="Times New Roman" w:hAnsi="Times New Roman"/>
        </w:rPr>
        <w:t>, 65/9 (2010), p. 417.</w:t>
      </w:r>
    </w:p>
  </w:footnote>
  <w:footnote w:id="1396">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w:t>
      </w:r>
      <w:hyperlink r:id="rId223" w:history="1">
        <w:r w:rsidRPr="002E0847">
          <w:rPr>
            <w:rStyle w:val="Hyperlink"/>
            <w:rFonts w:ascii="Times New Roman" w:hAnsi="Times New Roman"/>
          </w:rPr>
          <w:t>http://www.erfgoedinspectie.nl/archieven/uw-archiefbeheer/vervanging</w:t>
        </w:r>
      </w:hyperlink>
      <w:r>
        <w:rPr>
          <w:rFonts w:ascii="Times New Roman" w:hAnsi="Times New Roman"/>
        </w:rPr>
        <w:t xml:space="preserve">. </w:t>
      </w:r>
    </w:p>
  </w:footnote>
  <w:footnote w:id="1397">
    <w:p w:rsidR="00E82D16" w:rsidRPr="000152A4"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0152A4">
        <w:rPr>
          <w:rFonts w:ascii="Times New Roman" w:hAnsi="Times New Roman"/>
          <w:lang w:val="en-US"/>
        </w:rPr>
        <w:t xml:space="preserve"> Art. 7 Archiefwet.</w:t>
      </w:r>
    </w:p>
  </w:footnote>
  <w:footnote w:id="1398">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Art. 16 Wbp.</w:t>
      </w:r>
    </w:p>
  </w:footnote>
  <w:footnote w:id="1399">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Art. 2a, a) Archiefwet.</w:t>
      </w:r>
    </w:p>
  </w:footnote>
  <w:footnote w:id="1400">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8 Archiefbesluit.</w:t>
      </w:r>
    </w:p>
  </w:footnote>
  <w:footnote w:id="1401">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25 § 3 Archiefregeling.</w:t>
      </w:r>
    </w:p>
  </w:footnote>
  <w:footnote w:id="1402">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25 § 2 Archiefregeling.</w:t>
      </w:r>
    </w:p>
  </w:footnote>
  <w:footnote w:id="1403">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w:t>
      </w:r>
      <w:r w:rsidRPr="00230A4F">
        <w:rPr>
          <w:rFonts w:ascii="Times New Roman" w:hAnsi="Times New Roman"/>
          <w:bCs/>
        </w:rPr>
        <w:t>De eisen zijn vervat in: art. 7, art. 9, eerste lid Archiefwet; art. 2, art. 6, art. 8, art. 11 en art. 12 Archiefbe</w:t>
      </w:r>
      <w:r>
        <w:rPr>
          <w:rFonts w:ascii="Times New Roman" w:hAnsi="Times New Roman"/>
          <w:bCs/>
        </w:rPr>
        <w:t>-</w:t>
      </w:r>
      <w:r w:rsidRPr="00230A4F">
        <w:rPr>
          <w:rFonts w:ascii="Times New Roman" w:hAnsi="Times New Roman"/>
          <w:bCs/>
        </w:rPr>
        <w:t>sluit;</w:t>
      </w:r>
      <w:r w:rsidRPr="00230A4F">
        <w:rPr>
          <w:rFonts w:ascii="Times New Roman" w:hAnsi="Times New Roman"/>
        </w:rPr>
        <w:t xml:space="preserve"> art. 16 tot art. 26 Archiefregeling</w:t>
      </w:r>
      <w:r w:rsidRPr="00230A4F">
        <w:rPr>
          <w:rFonts w:ascii="Times New Roman" w:hAnsi="Times New Roman"/>
          <w:bCs/>
        </w:rPr>
        <w:t>.</w:t>
      </w:r>
    </w:p>
  </w:footnote>
  <w:footnote w:id="1404">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20 § 3 Wcz; art. 6 § 1 Archiefbesluit.</w:t>
      </w:r>
    </w:p>
  </w:footnote>
  <w:footnote w:id="1405">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Zoals uiteengezet in art. 16 tot art. 26 Archiefregeling.</w:t>
      </w:r>
    </w:p>
  </w:footnote>
  <w:footnote w:id="1406">
    <w:p w:rsidR="00E82D16" w:rsidRPr="00503A58" w:rsidRDefault="00E82D16" w:rsidP="000F560E">
      <w:pPr>
        <w:pStyle w:val="Voetnoottekst"/>
        <w:rPr>
          <w:rFonts w:ascii="Times New Roman" w:hAnsi="Times New Roman"/>
        </w:rPr>
      </w:pPr>
      <w:r w:rsidRPr="00503A58">
        <w:rPr>
          <w:rStyle w:val="Voetnootmarkering"/>
          <w:rFonts w:ascii="Times New Roman" w:hAnsi="Times New Roman"/>
        </w:rPr>
        <w:footnoteRef/>
      </w:r>
      <w:r w:rsidRPr="00503A58">
        <w:rPr>
          <w:rFonts w:ascii="Times New Roman" w:hAnsi="Times New Roman"/>
        </w:rPr>
        <w:t xml:space="preserve"> Art. 3 Archiefwet.</w:t>
      </w:r>
    </w:p>
  </w:footnote>
  <w:footnote w:id="1407">
    <w:p w:rsidR="00E82D16" w:rsidRPr="00230A4F" w:rsidRDefault="00E82D16" w:rsidP="000F560E">
      <w:pPr>
        <w:pStyle w:val="Voetnoottekst"/>
        <w:jc w:val="both"/>
        <w:rPr>
          <w:rFonts w:ascii="Times New Roman" w:hAnsi="Times New Roman"/>
        </w:rPr>
      </w:pPr>
      <w:r w:rsidRPr="00E92A26">
        <w:rPr>
          <w:rStyle w:val="Voetnootmarkering"/>
          <w:rFonts w:ascii="Times New Roman" w:hAnsi="Times New Roman"/>
        </w:rPr>
        <w:footnoteRef/>
      </w:r>
      <w:r w:rsidRPr="00E92A26">
        <w:rPr>
          <w:rFonts w:ascii="Times New Roman" w:hAnsi="Times New Roman"/>
        </w:rPr>
        <w:t xml:space="preserve"> DEN TEULING, A.J.M., ‘Wettelijke regelingen’, KETELAAR; DEN TEULING; WIJNGAARDEN; </w:t>
      </w:r>
      <w:r w:rsidRPr="00E30116">
        <w:rPr>
          <w:rFonts w:ascii="Times New Roman" w:hAnsi="Times New Roman"/>
          <w:i/>
        </w:rPr>
        <w:t>Ar</w:t>
      </w:r>
      <w:r>
        <w:rPr>
          <w:rFonts w:ascii="Times New Roman" w:hAnsi="Times New Roman"/>
          <w:i/>
        </w:rPr>
        <w:t>-</w:t>
      </w:r>
      <w:r w:rsidRPr="00E30116">
        <w:rPr>
          <w:rFonts w:ascii="Times New Roman" w:hAnsi="Times New Roman"/>
          <w:i/>
        </w:rPr>
        <w:t>chiefbeheer in de praktijk</w:t>
      </w:r>
      <w:r>
        <w:rPr>
          <w:rFonts w:ascii="Times New Roman" w:hAnsi="Times New Roman"/>
        </w:rPr>
        <w:t>, p. 4015-18.</w:t>
      </w:r>
    </w:p>
  </w:footnote>
  <w:footnote w:id="1408">
    <w:p w:rsidR="00E82D16" w:rsidRPr="00230A4F" w:rsidRDefault="00E82D16" w:rsidP="000F560E">
      <w:pPr>
        <w:pStyle w:val="Geenafstand"/>
        <w:jc w:val="both"/>
        <w:rPr>
          <w:rFonts w:ascii="Times New Roman" w:hAnsi="Times New Roman" w:cs="Times New Roman"/>
          <w:sz w:val="20"/>
          <w:szCs w:val="20"/>
        </w:rPr>
      </w:pPr>
      <w:r w:rsidRPr="00723369">
        <w:rPr>
          <w:rStyle w:val="Voetnootmarkering"/>
          <w:rFonts w:ascii="Times New Roman" w:hAnsi="Times New Roman" w:cs="Times New Roman"/>
          <w:sz w:val="20"/>
          <w:szCs w:val="20"/>
        </w:rPr>
        <w:footnoteRef/>
      </w:r>
      <w:r w:rsidRPr="00723369">
        <w:rPr>
          <w:rFonts w:ascii="Times New Roman" w:hAnsi="Times New Roman" w:cs="Times New Roman"/>
          <w:sz w:val="20"/>
          <w:szCs w:val="20"/>
        </w:rPr>
        <w:t xml:space="preserve"> Zie: KETELAAR, E., ‘Circulaire bewijs- en rechtskracht van (reproducties van) archiefbescheiden’, KETE</w:t>
      </w:r>
      <w:r>
        <w:rPr>
          <w:rFonts w:ascii="Times New Roman" w:hAnsi="Times New Roman" w:cs="Times New Roman"/>
          <w:sz w:val="20"/>
          <w:szCs w:val="20"/>
        </w:rPr>
        <w:t>-</w:t>
      </w:r>
      <w:r w:rsidRPr="00723369">
        <w:rPr>
          <w:rFonts w:ascii="Times New Roman" w:hAnsi="Times New Roman" w:cs="Times New Roman"/>
          <w:sz w:val="20"/>
          <w:szCs w:val="20"/>
        </w:rPr>
        <w:t xml:space="preserve">LAAR, E. (red.), </w:t>
      </w:r>
      <w:r w:rsidRPr="00723369">
        <w:rPr>
          <w:rFonts w:ascii="Times New Roman" w:hAnsi="Times New Roman" w:cs="Times New Roman"/>
          <w:i/>
          <w:sz w:val="20"/>
          <w:szCs w:val="20"/>
        </w:rPr>
        <w:t>Archiefrecht</w:t>
      </w:r>
      <w:r w:rsidRPr="00723369">
        <w:rPr>
          <w:rFonts w:ascii="Times New Roman" w:hAnsi="Times New Roman" w:cs="Times New Roman"/>
          <w:sz w:val="20"/>
          <w:szCs w:val="20"/>
        </w:rPr>
        <w:t>, Houten, Bohn Stafleu Van Loghum, 2000 (losbl.), p. C1-1 – C1-2. Dezelfde cir</w:t>
      </w:r>
      <w:r>
        <w:rPr>
          <w:rFonts w:ascii="Times New Roman" w:hAnsi="Times New Roman" w:cs="Times New Roman"/>
          <w:sz w:val="20"/>
          <w:szCs w:val="20"/>
        </w:rPr>
        <w:t>-</w:t>
      </w:r>
      <w:r w:rsidRPr="00723369">
        <w:rPr>
          <w:rFonts w:ascii="Times New Roman" w:hAnsi="Times New Roman" w:cs="Times New Roman"/>
          <w:sz w:val="20"/>
          <w:szCs w:val="20"/>
        </w:rPr>
        <w:t xml:space="preserve">culaire is ook opgenomen in: HOOGERHUIS, O.W.; KRETZSCHMAR, L.P.E.; SCHOLTEN, F.W.J.; </w:t>
      </w:r>
      <w:r w:rsidRPr="00723369">
        <w:rPr>
          <w:rFonts w:ascii="Times New Roman" w:hAnsi="Times New Roman" w:cs="Times New Roman"/>
          <w:i/>
          <w:sz w:val="20"/>
          <w:szCs w:val="20"/>
        </w:rPr>
        <w:t>Duur</w:t>
      </w:r>
      <w:r>
        <w:rPr>
          <w:rFonts w:ascii="Times New Roman" w:hAnsi="Times New Roman" w:cs="Times New Roman"/>
          <w:i/>
          <w:sz w:val="20"/>
          <w:szCs w:val="20"/>
        </w:rPr>
        <w:t>-</w:t>
      </w:r>
      <w:r w:rsidRPr="00723369">
        <w:rPr>
          <w:rFonts w:ascii="Times New Roman" w:hAnsi="Times New Roman" w:cs="Times New Roman"/>
          <w:i/>
          <w:sz w:val="20"/>
          <w:szCs w:val="20"/>
        </w:rPr>
        <w:t>zaamheid van gegevensdragers in overheidsarchieven</w:t>
      </w:r>
      <w:r w:rsidRPr="00723369">
        <w:rPr>
          <w:rFonts w:ascii="Times New Roman" w:hAnsi="Times New Roman" w:cs="Times New Roman"/>
          <w:sz w:val="20"/>
          <w:szCs w:val="20"/>
        </w:rPr>
        <w:t>, Arnhem, Landelijk Overleg van Provinciale Archiefin</w:t>
      </w:r>
      <w:r>
        <w:rPr>
          <w:rFonts w:ascii="Times New Roman" w:hAnsi="Times New Roman" w:cs="Times New Roman"/>
          <w:sz w:val="20"/>
          <w:szCs w:val="20"/>
        </w:rPr>
        <w:t>-</w:t>
      </w:r>
      <w:r w:rsidRPr="00723369">
        <w:rPr>
          <w:rFonts w:ascii="Times New Roman" w:hAnsi="Times New Roman" w:cs="Times New Roman"/>
          <w:sz w:val="20"/>
          <w:szCs w:val="20"/>
        </w:rPr>
        <w:t>specteurs (LOPAI), 2005, p. 47-49.</w:t>
      </w:r>
    </w:p>
  </w:footnote>
  <w:footnote w:id="1409">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w:t>
      </w:r>
      <w:hyperlink r:id="rId224" w:history="1">
        <w:r w:rsidRPr="003D4D88">
          <w:rPr>
            <w:rStyle w:val="Hyperlink"/>
            <w:rFonts w:ascii="Times New Roman" w:hAnsi="Times New Roman"/>
          </w:rPr>
          <w:t>http://www.erfgoedinspectie.nl/archieven/uw-archiefbeheer/vervanging</w:t>
        </w:r>
      </w:hyperlink>
      <w:r>
        <w:rPr>
          <w:rFonts w:ascii="Times New Roman" w:hAnsi="Times New Roman"/>
        </w:rPr>
        <w:t xml:space="preserve">. </w:t>
      </w:r>
    </w:p>
  </w:footnote>
  <w:footnote w:id="1410">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w:t>
      </w:r>
      <w:r w:rsidRPr="00230A4F">
        <w:rPr>
          <w:rFonts w:ascii="Times New Roman" w:eastAsia="Times New Roman" w:hAnsi="Times New Roman"/>
          <w:lang w:eastAsia="nl-BE"/>
        </w:rPr>
        <w:t>Art. 152 §2 WBR.</w:t>
      </w:r>
    </w:p>
  </w:footnote>
  <w:footnote w:id="1411">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NUYTTENS, </w:t>
      </w:r>
      <w:r w:rsidRPr="00230A4F">
        <w:rPr>
          <w:rFonts w:ascii="Times New Roman" w:hAnsi="Times New Roman"/>
          <w:i/>
          <w:iCs/>
        </w:rPr>
        <w:t>Inspectieverslag betreffende het archief van openbare ziekenhuizen in de provincie West-Vlaanderen</w:t>
      </w:r>
      <w:r w:rsidRPr="00230A4F">
        <w:rPr>
          <w:rFonts w:ascii="Times New Roman" w:hAnsi="Times New Roman"/>
        </w:rPr>
        <w:t>, p. 61.</w:t>
      </w:r>
    </w:p>
  </w:footnote>
  <w:footnote w:id="1412">
    <w:p w:rsidR="00E82D16" w:rsidRPr="00230A4F" w:rsidRDefault="00E82D16" w:rsidP="000F560E">
      <w:pPr>
        <w:pStyle w:val="Voetnoottekst"/>
        <w:ind w:firstLine="1"/>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24 Archiefregeling; dixit Florence Limburg, Medewerker Acquisitie en Advies van het Nationaal Ar</w:t>
      </w:r>
      <w:r>
        <w:rPr>
          <w:rFonts w:ascii="Times New Roman" w:hAnsi="Times New Roman"/>
        </w:rPr>
        <w:t>-</w:t>
      </w:r>
      <w:r w:rsidRPr="00230A4F">
        <w:rPr>
          <w:rFonts w:ascii="Times New Roman" w:hAnsi="Times New Roman"/>
        </w:rPr>
        <w:t xml:space="preserve">chief in Den Haag, in een e-mail van 22 juni 2012. </w:t>
      </w:r>
    </w:p>
  </w:footnote>
  <w:footnote w:id="1413">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KNMG, ‘Mag het papieren medische dossier worden vernietigd als dit volledig is gescand en opgeslagen in een elektronisch dossier?’, </w:t>
      </w:r>
      <w:r w:rsidRPr="00230A4F">
        <w:rPr>
          <w:rFonts w:ascii="Times New Roman" w:hAnsi="Times New Roman"/>
          <w:i/>
        </w:rPr>
        <w:t>M.C.</w:t>
      </w:r>
      <w:r w:rsidRPr="00230A4F">
        <w:rPr>
          <w:rFonts w:ascii="Times New Roman" w:hAnsi="Times New Roman"/>
        </w:rPr>
        <w:t>, 65/9 (2010), p. 417; TEMPELMAN, I.M., ‘Digitalisering doet bewijskracht do</w:t>
      </w:r>
      <w:r>
        <w:rPr>
          <w:rFonts w:ascii="Times New Roman" w:hAnsi="Times New Roman"/>
        </w:rPr>
        <w:t>-</w:t>
      </w:r>
      <w:r w:rsidRPr="00230A4F">
        <w:rPr>
          <w:rFonts w:ascii="Times New Roman" w:hAnsi="Times New Roman"/>
        </w:rPr>
        <w:t xml:space="preserve">cumenten de das om?’, </w:t>
      </w:r>
      <w:r w:rsidRPr="00230A4F">
        <w:rPr>
          <w:rFonts w:ascii="Times New Roman" w:hAnsi="Times New Roman"/>
          <w:i/>
        </w:rPr>
        <w:t>Trema</w:t>
      </w:r>
      <w:r w:rsidRPr="00230A4F">
        <w:rPr>
          <w:rFonts w:ascii="Times New Roman" w:hAnsi="Times New Roman"/>
        </w:rPr>
        <w:t>, 31/9 (2008), p. 404-408.</w:t>
      </w:r>
    </w:p>
  </w:footnote>
  <w:footnote w:id="1414">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Art. 3 Archiefwet.</w:t>
      </w:r>
    </w:p>
  </w:footnote>
  <w:footnote w:id="1415">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w:t>
      </w:r>
      <w:hyperlink r:id="rId225" w:history="1">
        <w:r w:rsidRPr="00230A4F">
          <w:rPr>
            <w:rStyle w:val="Hyperlink"/>
            <w:rFonts w:ascii="Times New Roman" w:hAnsi="Times New Roman"/>
            <w:lang w:val="en-US"/>
          </w:rPr>
          <w:t>http://www.reisswolf.nl/nl/reisswolf.html</w:t>
        </w:r>
      </w:hyperlink>
      <w:r w:rsidRPr="00230A4F">
        <w:rPr>
          <w:rFonts w:ascii="Times New Roman" w:hAnsi="Times New Roman"/>
          <w:lang w:val="en-US"/>
        </w:rPr>
        <w:t>.</w:t>
      </w:r>
    </w:p>
  </w:footnote>
  <w:footnote w:id="1416">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w:t>
      </w:r>
      <w:hyperlink r:id="rId226" w:history="1">
        <w:r w:rsidRPr="00230A4F">
          <w:rPr>
            <w:rStyle w:val="Hyperlink"/>
            <w:rFonts w:ascii="Times New Roman" w:hAnsi="Times New Roman"/>
            <w:lang w:val="en-US"/>
          </w:rPr>
          <w:t>http://www.domeinenrz.nl/domeinenrz_nl/a09da3c7368516cbf78a11f1075987aa.php</w:t>
        </w:r>
      </w:hyperlink>
      <w:r w:rsidRPr="00230A4F">
        <w:rPr>
          <w:rFonts w:ascii="Times New Roman" w:hAnsi="Times New Roman"/>
          <w:lang w:val="en-US"/>
        </w:rPr>
        <w:t>.</w:t>
      </w:r>
    </w:p>
  </w:footnote>
  <w:footnote w:id="1417">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w:t>
      </w:r>
      <w:hyperlink r:id="rId227" w:history="1">
        <w:r w:rsidRPr="00230A4F">
          <w:rPr>
            <w:rStyle w:val="Hyperlink"/>
            <w:rFonts w:ascii="Times New Roman" w:hAnsi="Times New Roman"/>
            <w:lang w:val="en-US"/>
          </w:rPr>
          <w:t>http://www.erfgoedinspectie.nl/archieven/uw-archiefbeheer/selectie-en-vernietiging/vernietiging</w:t>
        </w:r>
      </w:hyperlink>
      <w:r w:rsidRPr="00230A4F">
        <w:rPr>
          <w:rFonts w:ascii="Times New Roman" w:hAnsi="Times New Roman"/>
          <w:lang w:val="en-US"/>
        </w:rPr>
        <w:t>.</w:t>
      </w:r>
    </w:p>
  </w:footnote>
  <w:footnote w:id="1418">
    <w:p w:rsidR="00E82D16" w:rsidRPr="00230A4F" w:rsidRDefault="00E82D16" w:rsidP="000F560E">
      <w:pPr>
        <w:pStyle w:val="Voetnoottekst"/>
        <w:jc w:val="both"/>
        <w:rPr>
          <w:rFonts w:ascii="Times New Roman" w:hAnsi="Times New Roman"/>
          <w:lang w:val="en-US"/>
        </w:rPr>
      </w:pPr>
      <w:r w:rsidRPr="00230A4F">
        <w:rPr>
          <w:rStyle w:val="Voetnootmarkering"/>
          <w:rFonts w:ascii="Times New Roman" w:hAnsi="Times New Roman"/>
        </w:rPr>
        <w:footnoteRef/>
      </w:r>
      <w:r w:rsidRPr="00230A4F">
        <w:rPr>
          <w:rFonts w:ascii="Times New Roman" w:hAnsi="Times New Roman"/>
          <w:lang w:val="en-US"/>
        </w:rPr>
        <w:t xml:space="preserve"> </w:t>
      </w:r>
      <w:hyperlink r:id="rId228" w:history="1">
        <w:r w:rsidRPr="00230A4F">
          <w:rPr>
            <w:rStyle w:val="Hyperlink"/>
            <w:rFonts w:ascii="Times New Roman" w:hAnsi="Times New Roman"/>
            <w:lang w:val="en-US"/>
          </w:rPr>
          <w:t>http://www.domeinenrz.nl/domeinenrz_nl/a09da3c7368516cbf78a11f1075987aa.php</w:t>
        </w:r>
      </w:hyperlink>
      <w:r w:rsidRPr="00230A4F">
        <w:rPr>
          <w:rFonts w:ascii="Times New Roman" w:hAnsi="Times New Roman"/>
          <w:lang w:val="en-US"/>
        </w:rPr>
        <w:t>.</w:t>
      </w:r>
    </w:p>
  </w:footnote>
  <w:footnote w:id="1419">
    <w:p w:rsidR="00E82D16" w:rsidRPr="00230A4F" w:rsidRDefault="00E82D16" w:rsidP="000F560E">
      <w:pPr>
        <w:pStyle w:val="Voetnoottekst"/>
        <w:jc w:val="both"/>
        <w:rPr>
          <w:rFonts w:ascii="Times New Roman" w:hAnsi="Times New Roman"/>
        </w:rPr>
      </w:pPr>
      <w:r w:rsidRPr="00230A4F">
        <w:rPr>
          <w:rStyle w:val="Voetnootmarkering"/>
          <w:rFonts w:ascii="Times New Roman" w:hAnsi="Times New Roman"/>
        </w:rPr>
        <w:footnoteRef/>
      </w:r>
      <w:r w:rsidRPr="00230A4F">
        <w:rPr>
          <w:rFonts w:ascii="Times New Roman" w:hAnsi="Times New Roman"/>
        </w:rPr>
        <w:t xml:space="preserve"> Art. 8 Archiefbesluit; </w:t>
      </w:r>
      <w:hyperlink r:id="rId229" w:history="1">
        <w:r w:rsidRPr="00230A4F">
          <w:rPr>
            <w:rStyle w:val="Hyperlink"/>
            <w:rFonts w:ascii="Times New Roman" w:hAnsi="Times New Roman"/>
          </w:rPr>
          <w:t>http://www.erfgoedinspectie.nl/uploads/publications/Procedure%20venietiging.pdf</w:t>
        </w:r>
      </w:hyperlink>
      <w:r w:rsidRPr="00230A4F">
        <w:rPr>
          <w:rFonts w:ascii="Times New Roman" w:hAnsi="Times New Roman"/>
        </w:rPr>
        <w:t>.</w:t>
      </w:r>
    </w:p>
  </w:footnote>
  <w:footnote w:id="1420">
    <w:p w:rsidR="00E82D16" w:rsidRPr="00B84FA9" w:rsidRDefault="00E82D16" w:rsidP="000F560E">
      <w:pPr>
        <w:pStyle w:val="Voetnoottekst"/>
        <w:rPr>
          <w:rFonts w:ascii="Times New Roman" w:hAnsi="Times New Roman"/>
        </w:rPr>
      </w:pPr>
      <w:r w:rsidRPr="002D5EFF">
        <w:rPr>
          <w:rStyle w:val="Voetnootmarkering"/>
          <w:rFonts w:ascii="Times New Roman" w:hAnsi="Times New Roman"/>
        </w:rPr>
        <w:footnoteRef/>
      </w:r>
      <w:r w:rsidRPr="002D5EFF">
        <w:rPr>
          <w:rFonts w:ascii="Times New Roman" w:hAnsi="Times New Roman"/>
        </w:rPr>
        <w:t xml:space="preserve"> Zie tabellen 21 en 22.</w:t>
      </w:r>
    </w:p>
  </w:footnote>
  <w:footnote w:id="1421">
    <w:p w:rsidR="00E82D16" w:rsidRPr="00FD4B96" w:rsidRDefault="00E82D16" w:rsidP="000F560E">
      <w:pPr>
        <w:pStyle w:val="Geenafstand"/>
        <w:jc w:val="both"/>
        <w:rPr>
          <w:rFonts w:ascii="Times New Roman" w:hAnsi="Times New Roman" w:cs="Times New Roman"/>
          <w:sz w:val="20"/>
          <w:szCs w:val="20"/>
        </w:rPr>
      </w:pPr>
      <w:r w:rsidRPr="00FD4B96">
        <w:rPr>
          <w:rStyle w:val="Voetnootmarkering"/>
          <w:rFonts w:ascii="Times New Roman" w:hAnsi="Times New Roman" w:cs="Times New Roman"/>
        </w:rPr>
        <w:footnoteRef/>
      </w:r>
      <w:r w:rsidRPr="00FD4B96">
        <w:rPr>
          <w:rFonts w:ascii="Times New Roman" w:hAnsi="Times New Roman" w:cs="Times New Roman"/>
          <w:sz w:val="20"/>
          <w:szCs w:val="20"/>
        </w:rPr>
        <w:t xml:space="preserve"> Rondzendbrief AD 93-4 van 14 mei 1993, Archieven over hospitalisaties in openbare ziekenhuizen (</w:t>
      </w:r>
      <w:hyperlink w:history="1">
        <w:r w:rsidRPr="00EA26DD">
          <w:rPr>
            <w:rStyle w:val="Hyperlink"/>
            <w:rFonts w:ascii="Times New Roman" w:hAnsi="Times New Roman" w:cs="Times New Roman"/>
            <w:sz w:val="20"/>
            <w:szCs w:val="20"/>
          </w:rPr>
          <w:t>http:// www.archivesdefrance.culture.gouv.fr/static/957</w:t>
        </w:r>
      </w:hyperlink>
      <w:r w:rsidRPr="00FD4B96">
        <w:rPr>
          <w:rFonts w:ascii="Times New Roman" w:hAnsi="Times New Roman" w:cs="Times New Roman"/>
          <w:sz w:val="20"/>
          <w:szCs w:val="20"/>
        </w:rPr>
        <w:t>); rondzendbrief AD 93-5 van 26 november 1993, Selectie en bewaring van archieven over hospitalisaties in openbare instellingen: bescheiden gevormd door de financiële en economische diensten na 1968 (</w:t>
      </w:r>
      <w:hyperlink r:id="rId230" w:history="1">
        <w:r w:rsidRPr="00FD4B96">
          <w:rPr>
            <w:rStyle w:val="Hyperlink"/>
            <w:rFonts w:ascii="Times New Roman" w:hAnsi="Times New Roman" w:cs="Times New Roman"/>
            <w:sz w:val="20"/>
            <w:szCs w:val="20"/>
          </w:rPr>
          <w:t>http://www.archivesdefrance.culture.gouv.fr/fr/circAD/DAFad93-5.html</w:t>
        </w:r>
      </w:hyperlink>
      <w:r w:rsidRPr="00FD4B96">
        <w:rPr>
          <w:rFonts w:ascii="Times New Roman" w:hAnsi="Times New Roman" w:cs="Times New Roman"/>
          <w:sz w:val="20"/>
          <w:szCs w:val="20"/>
        </w:rPr>
        <w:t>); rond</w:t>
      </w:r>
      <w:r>
        <w:rPr>
          <w:rFonts w:ascii="Times New Roman" w:hAnsi="Times New Roman" w:cs="Times New Roman"/>
          <w:sz w:val="20"/>
          <w:szCs w:val="20"/>
        </w:rPr>
        <w:t>-</w:t>
      </w:r>
      <w:r w:rsidRPr="00FD4B96">
        <w:rPr>
          <w:rFonts w:ascii="Times New Roman" w:hAnsi="Times New Roman" w:cs="Times New Roman"/>
          <w:sz w:val="20"/>
          <w:szCs w:val="20"/>
        </w:rPr>
        <w:t>zendbrief AD 94-2 van 18 januari 1994, Selectie en bewaring van de archieven van openbare verzorgingsinstel</w:t>
      </w:r>
      <w:r>
        <w:rPr>
          <w:rFonts w:ascii="Times New Roman" w:hAnsi="Times New Roman" w:cs="Times New Roman"/>
          <w:sz w:val="20"/>
          <w:szCs w:val="20"/>
        </w:rPr>
        <w:t>-</w:t>
      </w:r>
      <w:r w:rsidRPr="00FD4B96">
        <w:rPr>
          <w:rFonts w:ascii="Times New Roman" w:hAnsi="Times New Roman" w:cs="Times New Roman"/>
          <w:sz w:val="20"/>
          <w:szCs w:val="20"/>
        </w:rPr>
        <w:t>lingen: bescheiden gevormd door de administratieve diensten belast met het beheer van ziekenhuisopnames en –consultaties na 1968 (</w:t>
      </w:r>
      <w:hyperlink r:id="rId231" w:history="1">
        <w:r w:rsidRPr="00FD4B96">
          <w:rPr>
            <w:rStyle w:val="Hyperlink"/>
            <w:rFonts w:ascii="Times New Roman" w:hAnsi="Times New Roman" w:cs="Times New Roman"/>
            <w:sz w:val="20"/>
            <w:szCs w:val="20"/>
          </w:rPr>
          <w:t>http://www.archivesdefrance.culture.gouv.fr/fr/circAD/DAFad94-2.html</w:t>
        </w:r>
      </w:hyperlink>
      <w:r w:rsidRPr="00FD4B96">
        <w:rPr>
          <w:rFonts w:ascii="Times New Roman" w:hAnsi="Times New Roman" w:cs="Times New Roman"/>
          <w:sz w:val="20"/>
          <w:szCs w:val="20"/>
        </w:rPr>
        <w:t>); rondzendbrief AD 94-6 du 18 juli 1994, Selectie en bewaring van de archieven van openbare verzorgingsinstellingen: beschei</w:t>
      </w:r>
      <w:r>
        <w:rPr>
          <w:rFonts w:ascii="Times New Roman" w:hAnsi="Times New Roman" w:cs="Times New Roman"/>
          <w:sz w:val="20"/>
          <w:szCs w:val="20"/>
        </w:rPr>
        <w:t>-</w:t>
      </w:r>
      <w:r w:rsidRPr="00FD4B96">
        <w:rPr>
          <w:rFonts w:ascii="Times New Roman" w:hAnsi="Times New Roman" w:cs="Times New Roman"/>
          <w:sz w:val="20"/>
          <w:szCs w:val="20"/>
        </w:rPr>
        <w:t>den gevormd door de diensten belast met het personeelsbeheer en –vorming (</w:t>
      </w:r>
      <w:hyperlink w:history="1">
        <w:r w:rsidRPr="00EA26DD">
          <w:rPr>
            <w:rStyle w:val="Hyperlink"/>
            <w:rFonts w:ascii="Times New Roman" w:hAnsi="Times New Roman" w:cs="Times New Roman"/>
            <w:sz w:val="20"/>
            <w:szCs w:val="20"/>
          </w:rPr>
          <w:t>http://www.archivesdefrance. culture.gouv.fr/fr/circAD/DAFad94-6.html</w:t>
        </w:r>
      </w:hyperlink>
      <w:r w:rsidRPr="00FD4B96">
        <w:rPr>
          <w:rFonts w:ascii="Times New Roman" w:hAnsi="Times New Roman" w:cs="Times New Roman"/>
          <w:sz w:val="20"/>
          <w:szCs w:val="20"/>
        </w:rPr>
        <w:t>); rondzendbrief AD 94-10 van 7 oktober 1994, Selectie en bewaring van de archieven van openbare verzorgingsinstellingen: bescheiden gevormd na 1968 en betreffende het grond</w:t>
      </w:r>
      <w:r>
        <w:rPr>
          <w:rFonts w:ascii="Times New Roman" w:hAnsi="Times New Roman" w:cs="Times New Roman"/>
          <w:sz w:val="20"/>
          <w:szCs w:val="20"/>
        </w:rPr>
        <w:t>-</w:t>
      </w:r>
      <w:r w:rsidRPr="00FD4B96">
        <w:rPr>
          <w:rFonts w:ascii="Times New Roman" w:hAnsi="Times New Roman" w:cs="Times New Roman"/>
          <w:sz w:val="20"/>
          <w:szCs w:val="20"/>
        </w:rPr>
        <w:t>bezit, de roerende en onroerende goederen van de instellingen (</w:t>
      </w:r>
      <w:hyperlink r:id="rId232" w:history="1">
        <w:r w:rsidRPr="00EA26DD">
          <w:rPr>
            <w:rStyle w:val="Hyperlink"/>
            <w:rFonts w:ascii="Times New Roman" w:hAnsi="Times New Roman" w:cs="Times New Roman"/>
            <w:sz w:val="20"/>
            <w:szCs w:val="20"/>
          </w:rPr>
          <w:t>http://www.archivesdefrance.culture.gouv.fr/fr/ circAD/DAFad94-10.html</w:t>
        </w:r>
      </w:hyperlink>
      <w:r w:rsidRPr="00FD4B96">
        <w:rPr>
          <w:rFonts w:ascii="Times New Roman" w:hAnsi="Times New Roman" w:cs="Times New Roman"/>
          <w:sz w:val="20"/>
          <w:szCs w:val="20"/>
        </w:rPr>
        <w:t>); rondzendbrief AD 94-11 van 20 oktober 1994, Selectie en bewaring van bescheiden gevormd door openbare verzorgingsinstellingen na 1968: algemene administratieve archieven van de instellingen (</w:t>
      </w:r>
      <w:hyperlink r:id="rId233" w:history="1">
        <w:r w:rsidRPr="00EA26DD">
          <w:rPr>
            <w:rStyle w:val="Hyperlink"/>
            <w:rFonts w:ascii="Times New Roman" w:hAnsi="Times New Roman" w:cs="Times New Roman"/>
            <w:sz w:val="20"/>
            <w:szCs w:val="20"/>
          </w:rPr>
          <w:t>http://www.archivesdefrance.culture.gouv.fr/fr/circAD/DAFad94-11.html</w:t>
        </w:r>
      </w:hyperlink>
      <w:r w:rsidRPr="00FD4B96">
        <w:rPr>
          <w:rFonts w:ascii="Times New Roman" w:hAnsi="Times New Roman" w:cs="Times New Roman"/>
          <w:sz w:val="20"/>
          <w:szCs w:val="20"/>
        </w:rPr>
        <w:t>).</w:t>
      </w:r>
    </w:p>
  </w:footnote>
  <w:footnote w:id="1422">
    <w:p w:rsidR="00E82D16" w:rsidRPr="00E333B6" w:rsidRDefault="00E82D16" w:rsidP="000F560E">
      <w:pPr>
        <w:pStyle w:val="Voetnoottekst"/>
        <w:jc w:val="both"/>
        <w:rPr>
          <w:rFonts w:ascii="Times New Roman" w:hAnsi="Times New Roman"/>
          <w:lang w:val="fr-BE"/>
        </w:rPr>
      </w:pPr>
      <w:r w:rsidRPr="00C45567">
        <w:rPr>
          <w:rStyle w:val="Voetnootmarkering"/>
          <w:rFonts w:ascii="Times New Roman" w:hAnsi="Times New Roman"/>
        </w:rPr>
        <w:footnoteRef/>
      </w:r>
      <w:r w:rsidRPr="00E333B6">
        <w:rPr>
          <w:rFonts w:ascii="Times New Roman" w:hAnsi="Times New Roman"/>
          <w:lang w:val="fr-BE"/>
        </w:rPr>
        <w:t xml:space="preserve"> Voor een geschiedenis van selectie in Frankrijk, zie: MAFTEI, M., ‘Le moment de tri dans la pratique archi</w:t>
      </w:r>
      <w:r>
        <w:rPr>
          <w:rFonts w:ascii="Times New Roman" w:hAnsi="Times New Roman"/>
          <w:lang w:val="fr-BE"/>
        </w:rPr>
        <w:t>-</w:t>
      </w:r>
      <w:r w:rsidRPr="00E333B6">
        <w:rPr>
          <w:rFonts w:ascii="Times New Roman" w:hAnsi="Times New Roman"/>
          <w:lang w:val="fr-BE"/>
        </w:rPr>
        <w:t xml:space="preserve">vistique française: réflexions théoriques et applications pratiques’, </w:t>
      </w:r>
      <w:r w:rsidRPr="00E333B6">
        <w:rPr>
          <w:rFonts w:ascii="Times New Roman" w:hAnsi="Times New Roman"/>
          <w:i/>
          <w:lang w:val="fr-BE"/>
        </w:rPr>
        <w:t>Archives</w:t>
      </w:r>
      <w:r w:rsidRPr="00E333B6">
        <w:rPr>
          <w:rFonts w:ascii="Times New Roman" w:hAnsi="Times New Roman"/>
          <w:lang w:val="fr-BE"/>
        </w:rPr>
        <w:t>, 29/3-4 (1997-1998), p. 3-18 (</w:t>
      </w:r>
      <w:hyperlink w:history="1">
        <w:r w:rsidRPr="00EA26DD">
          <w:rPr>
            <w:rStyle w:val="Hyperlink"/>
            <w:rFonts w:ascii="Times New Roman" w:hAnsi="Times New Roman"/>
            <w:lang w:val="fr-BE"/>
          </w:rPr>
          <w:t>http:// www.archivistes.qc.ca/revuearchives/vol29_3-4/29-3-4-maftei.pdf</w:t>
        </w:r>
      </w:hyperlink>
      <w:r w:rsidRPr="00E333B6">
        <w:rPr>
          <w:rFonts w:ascii="Times New Roman" w:hAnsi="Times New Roman"/>
          <w:lang w:val="fr-BE"/>
        </w:rPr>
        <w:t>). Zie ook: SIBILLE-DE GRIMOÜARD, C.; CAYA, M.; ‘Module 6 – section 3: Tri archivistique’, 20p. (</w:t>
      </w:r>
      <w:hyperlink r:id="rId234" w:history="1">
        <w:r w:rsidRPr="00EA26DD">
          <w:rPr>
            <w:rStyle w:val="Hyperlink"/>
            <w:rFonts w:ascii="Times New Roman" w:hAnsi="Times New Roman"/>
            <w:lang w:val="fr-BE"/>
          </w:rPr>
          <w:t>http://www.piaf-archives.org/espace-formation/mod /resource/view.php?r=106</w:t>
        </w:r>
      </w:hyperlink>
      <w:r w:rsidRPr="00E333B6">
        <w:rPr>
          <w:rStyle w:val="Hyperlink"/>
          <w:rFonts w:ascii="Times New Roman" w:hAnsi="Times New Roman"/>
          <w:lang w:val="fr-BE"/>
        </w:rPr>
        <w:t>).</w:t>
      </w:r>
    </w:p>
  </w:footnote>
  <w:footnote w:id="1423">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15 van besluit nr. 79-1037 van 3 december 197</w:t>
      </w:r>
      <w:r>
        <w:rPr>
          <w:rFonts w:ascii="Times New Roman" w:hAnsi="Times New Roman"/>
        </w:rPr>
        <w:t>9</w:t>
      </w:r>
      <w:r w:rsidRPr="00E333B6">
        <w:rPr>
          <w:rFonts w:ascii="Times New Roman" w:hAnsi="Times New Roman"/>
        </w:rPr>
        <w:t xml:space="preserve"> betreffende de bevoegdheid van openbare archiefdien</w:t>
      </w:r>
      <w:r>
        <w:rPr>
          <w:rFonts w:ascii="Times New Roman" w:hAnsi="Times New Roman"/>
        </w:rPr>
        <w:t>-</w:t>
      </w:r>
      <w:r w:rsidRPr="00E333B6">
        <w:rPr>
          <w:rFonts w:ascii="Times New Roman" w:hAnsi="Times New Roman"/>
        </w:rPr>
        <w:t>sten en de samenwerking met administraties voor de acquisitie, bewaring en de terbeschikkingstelling van open</w:t>
      </w:r>
      <w:r>
        <w:rPr>
          <w:rFonts w:ascii="Times New Roman" w:hAnsi="Times New Roman"/>
        </w:rPr>
        <w:t>-</w:t>
      </w:r>
      <w:r w:rsidRPr="00E333B6">
        <w:rPr>
          <w:rFonts w:ascii="Times New Roman" w:hAnsi="Times New Roman"/>
        </w:rPr>
        <w:t>bare archieven (</w:t>
      </w:r>
      <w:r w:rsidRPr="00E333B6">
        <w:rPr>
          <w:rFonts w:ascii="Times New Roman" w:hAnsi="Times New Roman"/>
          <w:i/>
        </w:rPr>
        <w:t>JORF</w:t>
      </w:r>
      <w:r w:rsidRPr="00E333B6">
        <w:rPr>
          <w:rFonts w:ascii="Times New Roman" w:hAnsi="Times New Roman"/>
        </w:rPr>
        <w:t>, 5 december 1979)</w:t>
      </w:r>
      <w:r w:rsidRPr="00FD4B96">
        <w:rPr>
          <w:rFonts w:ascii="Times New Roman" w:hAnsi="Times New Roman"/>
        </w:rPr>
        <w:t xml:space="preserve">, gewijzigd door art. 9 van besluit nr. 2009-1124 van 17 september 2009 </w:t>
      </w:r>
      <w:r w:rsidRPr="00E333B6">
        <w:rPr>
          <w:rFonts w:ascii="Times New Roman" w:hAnsi="Times New Roman"/>
        </w:rPr>
        <w:t>(</w:t>
      </w:r>
      <w:r w:rsidRPr="00E333B6">
        <w:rPr>
          <w:rFonts w:ascii="Times New Roman" w:hAnsi="Times New Roman"/>
          <w:i/>
        </w:rPr>
        <w:t xml:space="preserve">JORF </w:t>
      </w:r>
      <w:r w:rsidRPr="00E333B6">
        <w:rPr>
          <w:rFonts w:ascii="Times New Roman" w:hAnsi="Times New Roman"/>
        </w:rPr>
        <w:t>216, 18 september 2009)</w:t>
      </w:r>
      <w:r w:rsidRPr="00FD4B96">
        <w:rPr>
          <w:rFonts w:ascii="Times New Roman" w:hAnsi="Times New Roman"/>
        </w:rPr>
        <w:t>.</w:t>
      </w:r>
    </w:p>
  </w:footnote>
  <w:footnote w:id="1424">
    <w:p w:rsidR="00E82D16" w:rsidRPr="00E333B6" w:rsidRDefault="00E82D16" w:rsidP="000F560E">
      <w:pPr>
        <w:pStyle w:val="Voetnoottekst"/>
        <w:jc w:val="both"/>
        <w:rPr>
          <w:rFonts w:ascii="Times New Roman" w:hAnsi="Times New Roman"/>
          <w:lang w:val="fr-BE"/>
        </w:rPr>
      </w:pPr>
      <w:r w:rsidRPr="00774D3A">
        <w:rPr>
          <w:rStyle w:val="Voetnootmarkering"/>
          <w:rFonts w:ascii="Times New Roman" w:hAnsi="Times New Roman"/>
        </w:rPr>
        <w:footnoteRef/>
      </w:r>
      <w:r w:rsidRPr="00E333B6">
        <w:rPr>
          <w:rFonts w:ascii="Times New Roman" w:hAnsi="Times New Roman"/>
          <w:lang w:val="fr-BE"/>
        </w:rPr>
        <w:t xml:space="preserve"> Bron: GAUTIER, N. (red.), </w:t>
      </w:r>
      <w:r w:rsidRPr="00E333B6">
        <w:rPr>
          <w:rFonts w:ascii="Times New Roman" w:hAnsi="Times New Roman"/>
          <w:i/>
          <w:lang w:val="fr-BE"/>
        </w:rPr>
        <w:t>Le panorama des établissements de santé – edition 2010</w:t>
      </w:r>
      <w:r w:rsidRPr="00E333B6">
        <w:rPr>
          <w:rFonts w:ascii="Times New Roman" w:hAnsi="Times New Roman"/>
          <w:lang w:val="fr-BE"/>
        </w:rPr>
        <w:t>, Parijs, Drees, 2010, p. 55 (</w:t>
      </w:r>
      <w:hyperlink r:id="rId235" w:history="1">
        <w:r w:rsidRPr="00E333B6">
          <w:rPr>
            <w:rStyle w:val="Hyperlink"/>
            <w:rFonts w:ascii="Times New Roman" w:hAnsi="Times New Roman"/>
            <w:lang w:val="fr-BE"/>
          </w:rPr>
          <w:t>http://www.sae-diffusion.sante.gouv.fr</w:t>
        </w:r>
      </w:hyperlink>
      <w:r>
        <w:rPr>
          <w:rFonts w:ascii="Times New Roman" w:hAnsi="Times New Roman"/>
          <w:lang w:val="fr-BE"/>
        </w:rPr>
        <w:t>, onder</w:t>
      </w:r>
      <w:r w:rsidRPr="00E333B6">
        <w:rPr>
          <w:rFonts w:ascii="Times New Roman" w:hAnsi="Times New Roman"/>
          <w:lang w:val="fr-BE"/>
        </w:rPr>
        <w:t xml:space="preserve"> </w:t>
      </w:r>
      <w:r>
        <w:rPr>
          <w:rFonts w:ascii="Times New Roman" w:hAnsi="Times New Roman"/>
          <w:lang w:val="fr-BE"/>
        </w:rPr>
        <w:t>‘</w:t>
      </w:r>
      <w:r w:rsidRPr="00E333B6">
        <w:rPr>
          <w:rFonts w:ascii="Times New Roman" w:hAnsi="Times New Roman"/>
          <w:lang w:val="fr-BE"/>
        </w:rPr>
        <w:t>Publications</w:t>
      </w:r>
      <w:r>
        <w:rPr>
          <w:rFonts w:ascii="Times New Roman" w:hAnsi="Times New Roman"/>
          <w:lang w:val="fr-BE"/>
        </w:rPr>
        <w:t>’,</w:t>
      </w:r>
      <w:r w:rsidRPr="00E333B6">
        <w:rPr>
          <w:rFonts w:ascii="Times New Roman" w:hAnsi="Times New Roman"/>
          <w:lang w:val="fr-BE"/>
        </w:rPr>
        <w:t xml:space="preserve"> </w:t>
      </w:r>
      <w:r>
        <w:rPr>
          <w:rFonts w:ascii="Times New Roman" w:hAnsi="Times New Roman"/>
          <w:lang w:val="fr-BE"/>
        </w:rPr>
        <w:t>‘</w:t>
      </w:r>
      <w:r w:rsidRPr="00E333B6">
        <w:rPr>
          <w:rFonts w:ascii="Times New Roman" w:hAnsi="Times New Roman"/>
          <w:lang w:val="fr-BE"/>
        </w:rPr>
        <w:t>Documents</w:t>
      </w:r>
      <w:r>
        <w:rPr>
          <w:rFonts w:ascii="Times New Roman" w:hAnsi="Times New Roman"/>
          <w:lang w:val="fr-BE"/>
        </w:rPr>
        <w:t>’, ‘</w:t>
      </w:r>
      <w:r w:rsidRPr="00E333B6">
        <w:rPr>
          <w:rFonts w:ascii="Times New Roman" w:hAnsi="Times New Roman"/>
          <w:lang w:val="fr-BE"/>
        </w:rPr>
        <w:t>1. Synthèse sur les établisse</w:t>
      </w:r>
      <w:r>
        <w:rPr>
          <w:rFonts w:ascii="Times New Roman" w:hAnsi="Times New Roman"/>
          <w:lang w:val="fr-BE"/>
        </w:rPr>
        <w:t>-</w:t>
      </w:r>
      <w:r w:rsidRPr="00E333B6">
        <w:rPr>
          <w:rFonts w:ascii="Times New Roman" w:hAnsi="Times New Roman"/>
          <w:lang w:val="fr-BE"/>
        </w:rPr>
        <w:t>ments de santé</w:t>
      </w:r>
      <w:r>
        <w:rPr>
          <w:rFonts w:ascii="Times New Roman" w:hAnsi="Times New Roman"/>
          <w:lang w:val="fr-BE"/>
        </w:rPr>
        <w:t>’</w:t>
      </w:r>
      <w:r w:rsidRPr="00E333B6">
        <w:rPr>
          <w:rFonts w:ascii="Times New Roman" w:hAnsi="Times New Roman"/>
          <w:lang w:val="fr-BE"/>
        </w:rPr>
        <w:t>).</w:t>
      </w:r>
    </w:p>
  </w:footnote>
  <w:footnote w:id="1425">
    <w:p w:rsidR="00E82D16" w:rsidRPr="00E333B6" w:rsidRDefault="00E82D16" w:rsidP="000F560E">
      <w:pPr>
        <w:pStyle w:val="Voetnoottekst"/>
        <w:jc w:val="both"/>
        <w:rPr>
          <w:lang w:val="fr-BE"/>
        </w:rPr>
      </w:pPr>
      <w:r w:rsidRPr="00774D3A">
        <w:rPr>
          <w:rStyle w:val="Voetnootmarkering"/>
          <w:rFonts w:ascii="Times New Roman" w:hAnsi="Times New Roman"/>
        </w:rPr>
        <w:footnoteRef/>
      </w:r>
      <w:r w:rsidRPr="00E333B6">
        <w:rPr>
          <w:rFonts w:ascii="Times New Roman" w:hAnsi="Times New Roman"/>
          <w:lang w:val="fr-BE"/>
        </w:rPr>
        <w:t xml:space="preserve"> Idem.</w:t>
      </w:r>
    </w:p>
  </w:footnote>
  <w:footnote w:id="1426">
    <w:p w:rsidR="00E82D16" w:rsidRPr="00E333B6" w:rsidRDefault="00E82D16" w:rsidP="000F560E">
      <w:pPr>
        <w:pStyle w:val="Voetnoottekst"/>
        <w:jc w:val="both"/>
        <w:rPr>
          <w:rFonts w:ascii="Times New Roman" w:hAnsi="Times New Roman"/>
          <w:lang w:val="fr-BE"/>
        </w:rPr>
      </w:pPr>
      <w:r w:rsidRPr="009A3EE8">
        <w:rPr>
          <w:rStyle w:val="Voetnootmarkering"/>
          <w:rFonts w:ascii="Times New Roman" w:hAnsi="Times New Roman"/>
        </w:rPr>
        <w:footnoteRef/>
      </w:r>
      <w:r w:rsidRPr="00E333B6">
        <w:rPr>
          <w:rFonts w:ascii="Times New Roman" w:hAnsi="Times New Roman"/>
          <w:lang w:val="fr-BE"/>
        </w:rPr>
        <w:t xml:space="preserve"> ROUBERT, J., ‘Les archives médicales en France’, </w:t>
      </w:r>
      <w:r w:rsidRPr="00E333B6">
        <w:rPr>
          <w:rFonts w:ascii="Times New Roman" w:hAnsi="Times New Roman"/>
          <w:i/>
          <w:lang w:val="fr-BE"/>
        </w:rPr>
        <w:t>Archivaria</w:t>
      </w:r>
      <w:r w:rsidRPr="00E333B6">
        <w:rPr>
          <w:rFonts w:ascii="Times New Roman" w:hAnsi="Times New Roman"/>
          <w:lang w:val="fr-BE"/>
        </w:rPr>
        <w:t>, 10 (1980), p. 253.</w:t>
      </w:r>
    </w:p>
  </w:footnote>
  <w:footnote w:id="1427">
    <w:p w:rsidR="00E82D16" w:rsidRPr="00E333B6" w:rsidRDefault="00E82D16" w:rsidP="000F560E">
      <w:pPr>
        <w:pStyle w:val="Voetnoottekst"/>
        <w:jc w:val="both"/>
        <w:rPr>
          <w:rFonts w:ascii="Times New Roman" w:hAnsi="Times New Roman"/>
          <w:lang w:val="fr-BE"/>
        </w:rPr>
      </w:pPr>
      <w:r w:rsidRPr="009A3EE8">
        <w:rPr>
          <w:rStyle w:val="Voetnootmarkering"/>
          <w:rFonts w:ascii="Times New Roman" w:hAnsi="Times New Roman"/>
        </w:rPr>
        <w:footnoteRef/>
      </w:r>
      <w:r w:rsidRPr="00E333B6">
        <w:rPr>
          <w:rFonts w:ascii="Times New Roman" w:hAnsi="Times New Roman"/>
          <w:lang w:val="fr-BE"/>
        </w:rPr>
        <w:t xml:space="preserve"> HONNORE, L., </w:t>
      </w:r>
      <w:r w:rsidRPr="00E333B6">
        <w:rPr>
          <w:rFonts w:ascii="Times New Roman" w:hAnsi="Times New Roman"/>
          <w:i/>
          <w:lang w:val="fr-BE"/>
        </w:rPr>
        <w:t>Archives sociales, Archives médicales, archives scientifiques: La pratique française</w:t>
      </w:r>
      <w:r w:rsidRPr="00E333B6">
        <w:rPr>
          <w:rFonts w:ascii="Times New Roman" w:hAnsi="Times New Roman"/>
          <w:lang w:val="fr-BE"/>
        </w:rPr>
        <w:t>, Mis</w:t>
      </w:r>
      <w:r>
        <w:rPr>
          <w:rFonts w:ascii="Times New Roman" w:hAnsi="Times New Roman"/>
          <w:lang w:val="fr-BE"/>
        </w:rPr>
        <w:t>-</w:t>
      </w:r>
      <w:r w:rsidRPr="00E333B6">
        <w:rPr>
          <w:rFonts w:ascii="Times New Roman" w:hAnsi="Times New Roman"/>
          <w:lang w:val="fr-BE"/>
        </w:rPr>
        <w:t>cellanea Archivistica Studia, 166, Brussel, Algemeen Rijksarchief en Rijksarchief in de Provinciën, 2005, p. 24</w:t>
      </w:r>
    </w:p>
  </w:footnote>
  <w:footnote w:id="1428">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7 van het besluit van 11 maart 1968.</w:t>
      </w:r>
    </w:p>
  </w:footnote>
  <w:footnote w:id="1429">
    <w:p w:rsidR="00E82D16" w:rsidRPr="00E333B6" w:rsidRDefault="00E82D16" w:rsidP="000F560E">
      <w:pPr>
        <w:pStyle w:val="Voetnoottekst"/>
        <w:rPr>
          <w:rFonts w:ascii="Times New Roman" w:hAnsi="Times New Roman"/>
          <w:lang w:val="fr-BE"/>
        </w:rPr>
      </w:pPr>
      <w:r w:rsidRPr="009A3EE8">
        <w:rPr>
          <w:rStyle w:val="Voetnootmarkering"/>
          <w:rFonts w:ascii="Times New Roman" w:hAnsi="Times New Roman"/>
        </w:rPr>
        <w:footnoteRef/>
      </w:r>
      <w:r w:rsidRPr="00E333B6">
        <w:rPr>
          <w:rFonts w:ascii="Times New Roman" w:hAnsi="Times New Roman"/>
          <w:lang w:val="fr-BE"/>
        </w:rPr>
        <w:t xml:space="preserve"> HONNORE, </w:t>
      </w:r>
      <w:r w:rsidRPr="00E333B6">
        <w:rPr>
          <w:rFonts w:ascii="Times New Roman" w:hAnsi="Times New Roman"/>
          <w:i/>
          <w:lang w:val="fr-BE"/>
        </w:rPr>
        <w:t>Archives sociales, Archives médicales, archives scientifiques</w:t>
      </w:r>
      <w:r w:rsidRPr="00E333B6">
        <w:rPr>
          <w:rFonts w:ascii="Times New Roman" w:hAnsi="Times New Roman"/>
          <w:lang w:val="fr-BE"/>
        </w:rPr>
        <w:t>, p. 23.</w:t>
      </w:r>
    </w:p>
  </w:footnote>
  <w:footnote w:id="1430">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Rondzendbrief AD 79/6 van 31 december 1979 betreffende de instructie over de behandeling van documen</w:t>
      </w:r>
      <w:r>
        <w:rPr>
          <w:rFonts w:ascii="Times New Roman" w:hAnsi="Times New Roman"/>
        </w:rPr>
        <w:t>-</w:t>
      </w:r>
      <w:r w:rsidRPr="00FD4B96">
        <w:rPr>
          <w:rFonts w:ascii="Times New Roman" w:hAnsi="Times New Roman"/>
        </w:rPr>
        <w:t>ten in departementale archieven die na 10 juli 1940 gevormd werden (</w:t>
      </w:r>
      <w:hyperlink w:history="1">
        <w:r w:rsidRPr="00EA26DD">
          <w:rPr>
            <w:rStyle w:val="Hyperlink"/>
            <w:rFonts w:ascii="Times New Roman" w:hAnsi="Times New Roman"/>
          </w:rPr>
          <w:t>http://www.archivesdefrance.culture. gouv.fr/static/1091</w:t>
        </w:r>
      </w:hyperlink>
      <w:r w:rsidRPr="00FD4B96">
        <w:rPr>
          <w:rFonts w:ascii="Times New Roman" w:hAnsi="Times New Roman"/>
        </w:rPr>
        <w:t>).</w:t>
      </w:r>
    </w:p>
  </w:footnote>
  <w:footnote w:id="1431">
    <w:p w:rsidR="00E82D16" w:rsidRPr="00FD4B96" w:rsidRDefault="00E82D16" w:rsidP="000F560E">
      <w:pPr>
        <w:pStyle w:val="Geenafstand"/>
        <w:jc w:val="both"/>
        <w:rPr>
          <w:rFonts w:ascii="Times New Roman" w:hAnsi="Times New Roman" w:cs="Times New Roman"/>
          <w:sz w:val="20"/>
          <w:szCs w:val="20"/>
        </w:rPr>
      </w:pPr>
      <w:r w:rsidRPr="00FD4B96">
        <w:rPr>
          <w:rStyle w:val="Voetnootmarkering"/>
          <w:rFonts w:ascii="Times New Roman" w:hAnsi="Times New Roman" w:cs="Times New Roman"/>
        </w:rPr>
        <w:footnoteRef/>
      </w:r>
      <w:r w:rsidRPr="00FD4B96">
        <w:rPr>
          <w:rFonts w:ascii="Times New Roman" w:hAnsi="Times New Roman" w:cs="Times New Roman"/>
          <w:sz w:val="20"/>
          <w:szCs w:val="20"/>
        </w:rPr>
        <w:t xml:space="preserve"> Art. R. 1112-8 CSP, ingevoerd door de bijlage bij besluit nr. 2003-462 van 21 mei 2003.</w:t>
      </w:r>
    </w:p>
  </w:footnote>
  <w:footnote w:id="1432">
    <w:p w:rsidR="00E82D16" w:rsidRPr="00E333B6" w:rsidRDefault="00E82D16" w:rsidP="000F560E">
      <w:pPr>
        <w:pStyle w:val="Voetnoottekst"/>
        <w:jc w:val="both"/>
        <w:rPr>
          <w:rFonts w:ascii="Times New Roman" w:hAnsi="Times New Roman"/>
          <w:lang w:val="fr-BE"/>
        </w:rPr>
      </w:pPr>
      <w:r w:rsidRPr="00263D63">
        <w:rPr>
          <w:rStyle w:val="Voetnootmarkering"/>
          <w:rFonts w:ascii="Times New Roman" w:hAnsi="Times New Roman"/>
        </w:rPr>
        <w:footnoteRef/>
      </w:r>
      <w:r w:rsidRPr="00E333B6">
        <w:rPr>
          <w:rFonts w:ascii="Times New Roman" w:hAnsi="Times New Roman"/>
          <w:lang w:val="fr-BE"/>
        </w:rPr>
        <w:t xml:space="preserve"> Bron: GAZILLOT, C.; BRUNESAUX, M.C.; SCUBLA, N.; ‘La collecte’, </w:t>
      </w:r>
      <w:r w:rsidRPr="00E333B6">
        <w:rPr>
          <w:rFonts w:ascii="Times New Roman" w:hAnsi="Times New Roman"/>
          <w:i/>
          <w:lang w:val="fr-BE"/>
        </w:rPr>
        <w:t>Guide des archives hospitalières. Volume 1: méthodologie et procedures</w:t>
      </w:r>
      <w:r w:rsidRPr="00E333B6">
        <w:rPr>
          <w:rFonts w:ascii="Times New Roman" w:hAnsi="Times New Roman"/>
          <w:lang w:val="fr-BE"/>
        </w:rPr>
        <w:t>, 2008, p. 4.</w:t>
      </w:r>
    </w:p>
  </w:footnote>
  <w:footnote w:id="1433">
    <w:p w:rsidR="00E82D16" w:rsidRPr="00E333B6" w:rsidRDefault="00E82D16" w:rsidP="000F560E">
      <w:pPr>
        <w:pStyle w:val="Voetnoottekst"/>
        <w:jc w:val="both"/>
        <w:rPr>
          <w:rFonts w:ascii="Times New Roman" w:hAnsi="Times New Roman"/>
          <w:lang w:val="fr-BE"/>
        </w:rPr>
      </w:pPr>
      <w:r w:rsidRPr="00263D63">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 </w:t>
      </w:r>
      <w:r w:rsidRPr="00E333B6">
        <w:rPr>
          <w:rFonts w:ascii="Times New Roman" w:hAnsi="Times New Roman"/>
          <w:i/>
          <w:lang w:val="fr-BE"/>
        </w:rPr>
        <w:t>A.J.S.</w:t>
      </w:r>
      <w:r w:rsidRPr="00E333B6">
        <w:rPr>
          <w:rFonts w:ascii="Times New Roman" w:hAnsi="Times New Roman"/>
          <w:lang w:val="fr-BE"/>
        </w:rPr>
        <w:t>, 69 (2010), p. 9-10.</w:t>
      </w:r>
    </w:p>
  </w:footnote>
  <w:footnote w:id="1434">
    <w:p w:rsidR="00E82D16" w:rsidRPr="00C415B2" w:rsidRDefault="00E82D16" w:rsidP="000F560E">
      <w:pPr>
        <w:pStyle w:val="Voetnoottekst"/>
        <w:jc w:val="both"/>
        <w:rPr>
          <w:rFonts w:ascii="Times New Roman" w:hAnsi="Times New Roman"/>
        </w:rPr>
      </w:pPr>
      <w:r w:rsidRPr="00C415B2">
        <w:rPr>
          <w:rStyle w:val="Voetnootmarkering"/>
          <w:rFonts w:ascii="Times New Roman" w:hAnsi="Times New Roman"/>
        </w:rPr>
        <w:footnoteRef/>
      </w:r>
      <w:r w:rsidRPr="00E333B6">
        <w:rPr>
          <w:rFonts w:ascii="Times New Roman" w:hAnsi="Times New Roman"/>
          <w:lang w:val="fr-BE"/>
        </w:rPr>
        <w:t xml:space="preserve"> PRADEAU, F., ‘Le dossier du patient dans les établissements de santé. </w:t>
      </w:r>
      <w:r w:rsidRPr="00C415B2">
        <w:rPr>
          <w:rFonts w:ascii="Times New Roman" w:hAnsi="Times New Roman"/>
        </w:rPr>
        <w:t>Tenue, contenu, archivage et com</w:t>
      </w:r>
      <w:r>
        <w:rPr>
          <w:rFonts w:ascii="Times New Roman" w:hAnsi="Times New Roman"/>
        </w:rPr>
        <w:t>-</w:t>
      </w:r>
      <w:r w:rsidRPr="00C415B2">
        <w:rPr>
          <w:rFonts w:ascii="Times New Roman" w:hAnsi="Times New Roman"/>
        </w:rPr>
        <w:t>munication’, p. 5.</w:t>
      </w:r>
    </w:p>
  </w:footnote>
  <w:footnote w:id="1435">
    <w:p w:rsidR="00E82D16" w:rsidRPr="00263D63" w:rsidRDefault="00E82D16" w:rsidP="000F560E">
      <w:pPr>
        <w:pStyle w:val="Voetnoottekst"/>
        <w:jc w:val="both"/>
        <w:rPr>
          <w:rFonts w:ascii="Times New Roman" w:hAnsi="Times New Roman"/>
        </w:rPr>
      </w:pPr>
      <w:r w:rsidRPr="00263D63">
        <w:rPr>
          <w:rStyle w:val="Voetnootmarkering"/>
          <w:rFonts w:ascii="Times New Roman" w:hAnsi="Times New Roman"/>
        </w:rPr>
        <w:footnoteRef/>
      </w:r>
      <w:r w:rsidRPr="00263D63">
        <w:rPr>
          <w:rFonts w:ascii="Times New Roman" w:hAnsi="Times New Roman"/>
        </w:rPr>
        <w:t xml:space="preserve"> Art. L. 213-1 CDP, ingevoerd door art. 6 van wet nr. 79-18 van 3 januari 1979 en gewijzigd door art. 17 van wet nr. 2008-696 van 15 juli 2008.</w:t>
      </w:r>
    </w:p>
  </w:footnote>
  <w:footnote w:id="1436">
    <w:p w:rsidR="00E82D16" w:rsidRPr="00263D63" w:rsidRDefault="00E82D16" w:rsidP="000F560E">
      <w:pPr>
        <w:pStyle w:val="Voetnoottekst"/>
        <w:jc w:val="both"/>
        <w:rPr>
          <w:rFonts w:ascii="Times New Roman" w:hAnsi="Times New Roman"/>
        </w:rPr>
      </w:pPr>
      <w:r w:rsidRPr="00263D63">
        <w:rPr>
          <w:rStyle w:val="Voetnootmarkering"/>
          <w:rFonts w:ascii="Times New Roman" w:hAnsi="Times New Roman"/>
        </w:rPr>
        <w:footnoteRef/>
      </w:r>
      <w:r w:rsidRPr="00263D63">
        <w:rPr>
          <w:rFonts w:ascii="Times New Roman" w:hAnsi="Times New Roman"/>
        </w:rPr>
        <w:t xml:space="preserve"> Art. L. 213-2 </w:t>
      </w:r>
      <w:r>
        <w:rPr>
          <w:rFonts w:ascii="Times New Roman" w:hAnsi="Times New Roman"/>
        </w:rPr>
        <w:t>CDP</w:t>
      </w:r>
      <w:r w:rsidRPr="00263D63">
        <w:rPr>
          <w:rFonts w:ascii="Times New Roman" w:hAnsi="Times New Roman"/>
        </w:rPr>
        <w:t>, ingevoerd door art. 7 van wet nr. 79-18 van 3 januari 1979 en gewijzigd door art. 13 van verordening nr. 2009-483 van 29 april 2009 tot uitvoering van artikel 35 van wet nr. 2008-696 van 15 juli 2008 betreffende de archieven (</w:t>
      </w:r>
      <w:r w:rsidRPr="00263D63">
        <w:rPr>
          <w:rFonts w:ascii="Times New Roman" w:hAnsi="Times New Roman"/>
          <w:i/>
        </w:rPr>
        <w:t>JORF</w:t>
      </w:r>
      <w:r w:rsidRPr="00263D63">
        <w:rPr>
          <w:rFonts w:ascii="Times New Roman" w:hAnsi="Times New Roman"/>
        </w:rPr>
        <w:t xml:space="preserve"> 101, 30 april 2009).</w:t>
      </w:r>
    </w:p>
  </w:footnote>
  <w:footnote w:id="1437">
    <w:p w:rsidR="00E82D16" w:rsidRPr="00263D63" w:rsidRDefault="00E82D16" w:rsidP="000F560E">
      <w:pPr>
        <w:pStyle w:val="Voetnoottekst"/>
        <w:jc w:val="both"/>
        <w:rPr>
          <w:rFonts w:ascii="Times New Roman" w:hAnsi="Times New Roman"/>
        </w:rPr>
      </w:pPr>
      <w:r w:rsidRPr="00263D63">
        <w:rPr>
          <w:rStyle w:val="Voetnootmarkering"/>
          <w:rFonts w:ascii="Times New Roman" w:hAnsi="Times New Roman"/>
        </w:rPr>
        <w:footnoteRef/>
      </w:r>
      <w:r w:rsidRPr="00263D63">
        <w:rPr>
          <w:rFonts w:ascii="Times New Roman" w:hAnsi="Times New Roman"/>
        </w:rPr>
        <w:t xml:space="preserve"> Art. L. 213-3 § 1 CDP, ingevoerd door art. 8 van wet nr. 79-18 van 3 januari 1979 en gewijzigd door art. 17 van wet nr. 2008-696 van 15 juli 2008. Zie ook: art. 4, a van wet nr. 78-753 van 17 juli 1978 houdende verschil</w:t>
      </w:r>
      <w:r>
        <w:rPr>
          <w:rFonts w:ascii="Times New Roman" w:hAnsi="Times New Roman"/>
        </w:rPr>
        <w:t>-</w:t>
      </w:r>
      <w:r w:rsidRPr="00263D63">
        <w:rPr>
          <w:rFonts w:ascii="Times New Roman" w:hAnsi="Times New Roman"/>
        </w:rPr>
        <w:t>lende maatregelen ter bevordering van de relaties tussen overheidsadministraties en de burgers en houdende ver</w:t>
      </w:r>
      <w:r>
        <w:rPr>
          <w:rFonts w:ascii="Times New Roman" w:hAnsi="Times New Roman"/>
        </w:rPr>
        <w:t>-</w:t>
      </w:r>
      <w:r w:rsidRPr="00263D63">
        <w:rPr>
          <w:rFonts w:ascii="Times New Roman" w:hAnsi="Times New Roman"/>
        </w:rPr>
        <w:t>schillende bepalingen van administratieve, sociale en fiscale aard (</w:t>
      </w:r>
      <w:r w:rsidRPr="00263D63">
        <w:rPr>
          <w:rFonts w:ascii="Times New Roman" w:hAnsi="Times New Roman"/>
          <w:i/>
        </w:rPr>
        <w:t>JORF</w:t>
      </w:r>
      <w:r w:rsidRPr="00263D63">
        <w:rPr>
          <w:rFonts w:ascii="Times New Roman" w:hAnsi="Times New Roman"/>
        </w:rPr>
        <w:t>, 18 juli 1978), gewijzigd door art. 2, art. 3 en art. 6 van verordening nr. 2005-650 van 6 juni 2005 met betrekking tot de vrije toegang tot administra</w:t>
      </w:r>
      <w:r>
        <w:rPr>
          <w:rFonts w:ascii="Times New Roman" w:hAnsi="Times New Roman"/>
        </w:rPr>
        <w:t>-</w:t>
      </w:r>
      <w:r w:rsidRPr="00263D63">
        <w:rPr>
          <w:rFonts w:ascii="Times New Roman" w:hAnsi="Times New Roman"/>
        </w:rPr>
        <w:t>tieve documenten en tot het hergebruik van openbare informatie (</w:t>
      </w:r>
      <w:r w:rsidRPr="00263D63">
        <w:rPr>
          <w:rFonts w:ascii="Times New Roman" w:hAnsi="Times New Roman"/>
          <w:i/>
        </w:rPr>
        <w:t>JORF</w:t>
      </w:r>
      <w:r w:rsidRPr="00263D63">
        <w:rPr>
          <w:rFonts w:ascii="Times New Roman" w:hAnsi="Times New Roman"/>
        </w:rPr>
        <w:t xml:space="preserve"> 131, 7 juni 2005).</w:t>
      </w:r>
    </w:p>
  </w:footnote>
  <w:footnote w:id="1438">
    <w:p w:rsidR="00E82D16" w:rsidRPr="00263D63" w:rsidRDefault="00E82D16" w:rsidP="000F560E">
      <w:pPr>
        <w:pStyle w:val="Voetnoottekst"/>
        <w:jc w:val="both"/>
      </w:pPr>
      <w:r w:rsidRPr="00263D63">
        <w:rPr>
          <w:rStyle w:val="Voetnootmarkering"/>
          <w:rFonts w:ascii="Times New Roman" w:hAnsi="Times New Roman"/>
        </w:rPr>
        <w:footnoteRef/>
      </w:r>
      <w:r w:rsidRPr="00263D63">
        <w:rPr>
          <w:rFonts w:ascii="Times New Roman" w:hAnsi="Times New Roman"/>
        </w:rPr>
        <w:t xml:space="preserve"> Art. L. 213-4 CDP, ingevoerd door art. 26 van wet nr. 79-18 van 3 januari 1979 en gewijzigd door art. 17 van wet nr. 2008-696 van 15 juli 2008.</w:t>
      </w:r>
    </w:p>
  </w:footnote>
  <w:footnote w:id="1439">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droits’, </w:t>
      </w:r>
      <w:r w:rsidRPr="00E333B6">
        <w:rPr>
          <w:rFonts w:ascii="Times New Roman" w:hAnsi="Times New Roman"/>
          <w:i/>
          <w:lang w:val="fr-BE"/>
        </w:rPr>
        <w:t>A.J.S.</w:t>
      </w:r>
      <w:r w:rsidRPr="00E333B6">
        <w:rPr>
          <w:rFonts w:ascii="Times New Roman" w:hAnsi="Times New Roman"/>
          <w:lang w:val="fr-BE"/>
        </w:rPr>
        <w:t>, 69 (2010), p. 11.</w:t>
      </w:r>
    </w:p>
  </w:footnote>
  <w:footnote w:id="1440">
    <w:p w:rsidR="00E82D16" w:rsidRPr="00E333B6" w:rsidRDefault="00E82D16" w:rsidP="000F560E">
      <w:pPr>
        <w:pStyle w:val="Geenafstand"/>
        <w:rPr>
          <w:rFonts w:ascii="Times New Roman" w:hAnsi="Times New Roman" w:cs="Times New Roman"/>
          <w:sz w:val="20"/>
          <w:szCs w:val="20"/>
          <w:lang w:val="fr-BE"/>
        </w:rPr>
      </w:pPr>
      <w:r w:rsidRPr="00CE7C99">
        <w:rPr>
          <w:rStyle w:val="Voetnootmarkering"/>
          <w:rFonts w:ascii="Times New Roman" w:hAnsi="Times New Roman"/>
          <w:sz w:val="20"/>
          <w:szCs w:val="20"/>
        </w:rPr>
        <w:footnoteRef/>
      </w:r>
      <w:r w:rsidRPr="00E333B6">
        <w:rPr>
          <w:rFonts w:ascii="Times New Roman" w:hAnsi="Times New Roman"/>
          <w:sz w:val="20"/>
          <w:szCs w:val="20"/>
          <w:lang w:val="fr-BE"/>
        </w:rPr>
        <w:t xml:space="preserve"> </w:t>
      </w:r>
      <w:r w:rsidRPr="00E333B6">
        <w:rPr>
          <w:rFonts w:ascii="Times New Roman" w:hAnsi="Times New Roman" w:cs="Times New Roman"/>
          <w:sz w:val="20"/>
          <w:szCs w:val="20"/>
          <w:lang w:val="fr-BE"/>
        </w:rPr>
        <w:t xml:space="preserve">JACQUES, A., ‘Le dossier médical. Comment le conserver? Quand et comment le détruire?’, </w:t>
      </w:r>
      <w:r w:rsidRPr="00E333B6">
        <w:rPr>
          <w:rFonts w:ascii="Times New Roman" w:hAnsi="Times New Roman" w:cs="Times New Roman"/>
          <w:i/>
          <w:sz w:val="20"/>
          <w:szCs w:val="20"/>
          <w:lang w:val="fr-BE"/>
        </w:rPr>
        <w:t>Les cahiers de MedActuel – FMC</w:t>
      </w:r>
      <w:r>
        <w:rPr>
          <w:rFonts w:ascii="Times New Roman" w:hAnsi="Times New Roman" w:cs="Times New Roman"/>
          <w:sz w:val="20"/>
          <w:szCs w:val="20"/>
          <w:lang w:val="fr-BE"/>
        </w:rPr>
        <w:t xml:space="preserve">, 6/7 (2006), p. 34 </w:t>
      </w:r>
      <w:r w:rsidRPr="00E333B6">
        <w:rPr>
          <w:rFonts w:ascii="Times New Roman" w:hAnsi="Times New Roman" w:cs="Times New Roman"/>
          <w:sz w:val="20"/>
          <w:szCs w:val="20"/>
          <w:lang w:val="fr-BE"/>
        </w:rPr>
        <w:t>(</w:t>
      </w:r>
      <w:hyperlink r:id="rId236" w:history="1">
        <w:r w:rsidRPr="00EA26DD">
          <w:rPr>
            <w:rStyle w:val="Hyperlink"/>
            <w:rFonts w:ascii="Times New Roman" w:hAnsi="Times New Roman" w:cs="Times New Roman"/>
            <w:sz w:val="20"/>
            <w:szCs w:val="20"/>
            <w:lang w:val="fr-BE"/>
          </w:rPr>
          <w:t>http://www.cmq.org/MedecinsMembres/AmeliorationExercice/Tenue Dossiers/~/media/Files/Articles/tenue_dossiers_medactuel_fev2006.ashx?41217</w:t>
        </w:r>
      </w:hyperlink>
      <w:r w:rsidRPr="00E333B6">
        <w:rPr>
          <w:rFonts w:ascii="Times New Roman" w:hAnsi="Times New Roman" w:cs="Times New Roman"/>
          <w:sz w:val="20"/>
          <w:szCs w:val="20"/>
          <w:lang w:val="fr-BE"/>
        </w:rPr>
        <w:t>).</w:t>
      </w:r>
    </w:p>
  </w:footnote>
  <w:footnote w:id="1441">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Zie infra.</w:t>
      </w:r>
    </w:p>
  </w:footnote>
  <w:footnote w:id="1442">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SALIOU, A.P., ‘Classement et tri’, </w:t>
      </w:r>
      <w:r w:rsidRPr="00E333B6">
        <w:rPr>
          <w:rFonts w:ascii="Times New Roman" w:hAnsi="Times New Roman"/>
          <w:i/>
          <w:lang w:val="fr-BE"/>
        </w:rPr>
        <w:t>Guide des archives hospitalières. Volume 1: méthodologie et procédures</w:t>
      </w:r>
      <w:r w:rsidRPr="00E333B6">
        <w:rPr>
          <w:rFonts w:ascii="Times New Roman" w:hAnsi="Times New Roman"/>
          <w:lang w:val="fr-BE"/>
        </w:rPr>
        <w:t>, 2008, p. 6 (</w:t>
      </w:r>
      <w:hyperlink r:id="rId237" w:history="1">
        <w:r w:rsidRPr="00E333B6">
          <w:rPr>
            <w:rStyle w:val="Hyperlink"/>
            <w:rFonts w:ascii="Times New Roman" w:hAnsi="Times New Roman"/>
            <w:lang w:val="fr-BE"/>
          </w:rPr>
          <w:t>http://www.ascodocpsy.org/IMG/pdf/GuideArchives_Classement_Tri_fev2008.pdf</w:t>
        </w:r>
      </w:hyperlink>
      <w:r w:rsidRPr="00E333B6">
        <w:rPr>
          <w:rFonts w:ascii="Times New Roman" w:hAnsi="Times New Roman"/>
          <w:lang w:val="fr-BE"/>
        </w:rPr>
        <w:t>).</w:t>
      </w:r>
    </w:p>
  </w:footnote>
  <w:footnote w:id="1443">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R. 1112-2 CSP, ingevoerd door art. 9 van besluit nr. 2002-637 van 29 april 2002.</w:t>
      </w:r>
    </w:p>
  </w:footnote>
  <w:footnote w:id="1444">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SALIOU, ‘Classement et tri’, p. 6.</w:t>
      </w:r>
    </w:p>
  </w:footnote>
  <w:footnote w:id="1445">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Idem, p. 7.</w:t>
      </w:r>
    </w:p>
  </w:footnote>
  <w:footnote w:id="1446">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FD4B96">
        <w:rPr>
          <w:rFonts w:ascii="Times New Roman" w:hAnsi="Times New Roman"/>
        </w:rPr>
        <w:t xml:space="preserve"> Art. 13 van het reglement van ziekenhuisarchieven; art. 1316-3 CC, ingevo</w:t>
      </w:r>
      <w:r w:rsidRPr="00DF5A34">
        <w:rPr>
          <w:rFonts w:ascii="Times New Roman" w:hAnsi="Times New Roman"/>
        </w:rPr>
        <w:t xml:space="preserve">erd door art. 3 van wet nr. 2000-230 van 13 maart 2000; </w:t>
      </w:r>
      <w:r w:rsidRPr="00DF5A34">
        <w:rPr>
          <w:rFonts w:ascii="Times New Roman" w:hAnsi="Times New Roman"/>
          <w:i/>
        </w:rPr>
        <w:t xml:space="preserve">Gestion des départements de dossiers médicaux. </w:t>
      </w:r>
      <w:r w:rsidRPr="00E333B6">
        <w:rPr>
          <w:rFonts w:ascii="Times New Roman" w:hAnsi="Times New Roman"/>
          <w:i/>
          <w:lang w:val="fr-BE"/>
        </w:rPr>
        <w:t>Réglementation</w:t>
      </w:r>
      <w:r w:rsidRPr="00E333B6">
        <w:rPr>
          <w:rFonts w:ascii="Times New Roman" w:hAnsi="Times New Roman"/>
          <w:lang w:val="fr-BE"/>
        </w:rPr>
        <w:t xml:space="preserve">, I, Fiches techniques d’organisation hospitalières nr. 8 en Bulletin official, fascicule spécial nr. 80/39bis, Parijs, Ministère de la Santé et de la Sécurité Sociale, 1980, </w:t>
      </w:r>
      <w:r w:rsidRPr="00FD4B96">
        <w:rPr>
          <w:rFonts w:ascii="Times New Roman" w:hAnsi="Times New Roman"/>
          <w:lang w:val="fr-BE"/>
        </w:rPr>
        <w:t xml:space="preserve">p. 3; ANAES, </w:t>
      </w:r>
      <w:r w:rsidRPr="00FD4B96">
        <w:rPr>
          <w:rFonts w:ascii="Times New Roman" w:hAnsi="Times New Roman"/>
          <w:i/>
          <w:iCs/>
          <w:lang w:val="fr-BE"/>
        </w:rPr>
        <w:t>Evaluation des pratiques professionnelles dans les établissements de santé</w:t>
      </w:r>
      <w:r w:rsidRPr="00FD4B96">
        <w:rPr>
          <w:rFonts w:ascii="Times New Roman" w:hAnsi="Times New Roman"/>
          <w:lang w:val="fr-BE"/>
        </w:rPr>
        <w:t>, p. 47</w:t>
      </w:r>
      <w:r w:rsidRPr="00E333B6">
        <w:rPr>
          <w:rFonts w:ascii="Times New Roman" w:hAnsi="Times New Roman"/>
          <w:lang w:val="fr-BE"/>
        </w:rPr>
        <w:t xml:space="preserve">; CNIL, Beraadslaging nr. 01-012 van 8 maart 2001 en beraadslaging nr. 01-013 van 8 maart 2001; LACOEUILHE, G., ‘Dossier médical: composition, conservation et informatisation’, </w:t>
      </w:r>
      <w:r w:rsidRPr="00E333B6">
        <w:rPr>
          <w:rFonts w:ascii="Times New Roman" w:hAnsi="Times New Roman"/>
          <w:i/>
          <w:iCs/>
          <w:lang w:val="fr-BE"/>
        </w:rPr>
        <w:t>C.M.</w:t>
      </w:r>
      <w:r w:rsidRPr="00E333B6">
        <w:rPr>
          <w:rFonts w:ascii="Times New Roman" w:hAnsi="Times New Roman"/>
          <w:lang w:val="fr-BE"/>
        </w:rPr>
        <w:t xml:space="preserve">, 122/12 (2000), p. 859-862; </w:t>
      </w:r>
      <w:r w:rsidRPr="00FD4B96">
        <w:rPr>
          <w:rFonts w:ascii="Times New Roman" w:hAnsi="Times New Roman"/>
          <w:lang w:val="fr-BE"/>
        </w:rPr>
        <w:t xml:space="preserve">LENOIR, P., ‘Microfilm ou tradition: étude coût-efficacité en archivage médical’, </w:t>
      </w:r>
      <w:r w:rsidRPr="00FD4B96">
        <w:rPr>
          <w:rFonts w:ascii="Times New Roman" w:hAnsi="Times New Roman"/>
          <w:i/>
          <w:iCs/>
          <w:lang w:val="fr-BE"/>
        </w:rPr>
        <w:t>G.H.</w:t>
      </w:r>
      <w:r w:rsidRPr="00FD4B96">
        <w:rPr>
          <w:rFonts w:ascii="Times New Roman" w:hAnsi="Times New Roman"/>
          <w:lang w:val="fr-BE"/>
        </w:rPr>
        <w:t>, 184 (1979), p. 195-205</w:t>
      </w:r>
      <w:r w:rsidRPr="00E333B6">
        <w:rPr>
          <w:rFonts w:ascii="Times New Roman" w:hAnsi="Times New Roman"/>
          <w:lang w:val="fr-BE"/>
        </w:rPr>
        <w:t>.</w:t>
      </w:r>
    </w:p>
  </w:footnote>
  <w:footnote w:id="1447">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13 van besluit nr. 79-1037 van 3 december 197</w:t>
      </w:r>
      <w:r>
        <w:rPr>
          <w:rFonts w:ascii="Times New Roman" w:hAnsi="Times New Roman"/>
        </w:rPr>
        <w:t>9</w:t>
      </w:r>
      <w:r w:rsidRPr="00FD4B96">
        <w:rPr>
          <w:rFonts w:ascii="Times New Roman" w:hAnsi="Times New Roman"/>
        </w:rPr>
        <w:t>.</w:t>
      </w:r>
    </w:p>
  </w:footnote>
  <w:footnote w:id="1448">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14 van besluit nr. 79-1037 van 3 december 197</w:t>
      </w:r>
      <w:r>
        <w:rPr>
          <w:rFonts w:ascii="Times New Roman" w:hAnsi="Times New Roman"/>
        </w:rPr>
        <w:t>9</w:t>
      </w:r>
      <w:r w:rsidRPr="00FD4B96">
        <w:rPr>
          <w:rFonts w:ascii="Times New Roman" w:hAnsi="Times New Roman"/>
        </w:rPr>
        <w:t>, gewijzigd door art. 8, 2° van besluit nr. 2009-1124 van 17 september 2009.</w:t>
      </w:r>
    </w:p>
  </w:footnote>
  <w:footnote w:id="1449">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FD4B96">
        <w:rPr>
          <w:rFonts w:ascii="Times New Roman" w:hAnsi="Times New Roman"/>
        </w:rPr>
        <w:t xml:space="preserve"> Rondzendbrief van 9 november 1835 betreffende de te geven bestemming bij de omzet van oude documen</w:t>
      </w:r>
      <w:r>
        <w:rPr>
          <w:rFonts w:ascii="Times New Roman" w:hAnsi="Times New Roman"/>
        </w:rPr>
        <w:t>-</w:t>
      </w:r>
      <w:r w:rsidRPr="00FD4B96">
        <w:rPr>
          <w:rFonts w:ascii="Times New Roman" w:hAnsi="Times New Roman"/>
        </w:rPr>
        <w:t xml:space="preserve">ten. </w:t>
      </w:r>
      <w:r w:rsidRPr="00E333B6">
        <w:rPr>
          <w:rFonts w:ascii="Times New Roman" w:hAnsi="Times New Roman"/>
          <w:lang w:val="fr-BE"/>
        </w:rPr>
        <w:t xml:space="preserve">Deze rondzendbrief kan teruggevonden worden in: CHAMPOLLION-FIGEAC, A., </w:t>
      </w:r>
      <w:r w:rsidRPr="00E333B6">
        <w:rPr>
          <w:rFonts w:ascii="Times New Roman" w:hAnsi="Times New Roman"/>
          <w:i/>
          <w:lang w:val="fr-BE"/>
        </w:rPr>
        <w:t>Manuel de l’archiviste des préfectures, mairies et hospices (lois, décrets, ordonnances, règlements, circulaires et instructions relatifs au service des archives)</w:t>
      </w:r>
      <w:r w:rsidRPr="00E333B6">
        <w:rPr>
          <w:rFonts w:ascii="Times New Roman" w:hAnsi="Times New Roman"/>
          <w:lang w:val="fr-BE"/>
        </w:rPr>
        <w:t>, Parijs, Imprimerie et Librairie administratives de Paul-Dupont – Librairie de J.B. Dumou</w:t>
      </w:r>
      <w:r>
        <w:rPr>
          <w:rFonts w:ascii="Times New Roman" w:hAnsi="Times New Roman"/>
          <w:lang w:val="fr-BE"/>
        </w:rPr>
        <w:t>-</w:t>
      </w:r>
      <w:r w:rsidRPr="00E333B6">
        <w:rPr>
          <w:rFonts w:ascii="Times New Roman" w:hAnsi="Times New Roman"/>
          <w:lang w:val="fr-BE"/>
        </w:rPr>
        <w:t>lin, 1860, p. 15-16.</w:t>
      </w:r>
    </w:p>
  </w:footnote>
  <w:footnote w:id="1450">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L. 212-3 CP, gewijzigd door art. 5 van wet nr. 2008-696 van 15 juli 2008.</w:t>
      </w:r>
    </w:p>
  </w:footnote>
  <w:footnote w:id="1451">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Advies van mevrouw Martine de Boisdeffre, directrice van de </w:t>
      </w:r>
      <w:r w:rsidRPr="00FD4B96">
        <w:rPr>
          <w:rFonts w:ascii="Times New Roman" w:hAnsi="Times New Roman"/>
          <w:i/>
        </w:rPr>
        <w:t>archives de France</w:t>
      </w:r>
      <w:r w:rsidRPr="00FD4B96">
        <w:rPr>
          <w:rFonts w:ascii="Times New Roman" w:hAnsi="Times New Roman"/>
        </w:rPr>
        <w:t xml:space="preserve">, bij art. 3 ontwerp van wet nr. 2008-696 van 15 juli 2008 in: GARREC, R., </w:t>
      </w:r>
      <w:r w:rsidRPr="00FD4B96">
        <w:rPr>
          <w:rFonts w:ascii="Times New Roman" w:hAnsi="Times New Roman"/>
          <w:i/>
        </w:rPr>
        <w:t>Rapport du Sénat</w:t>
      </w:r>
      <w:r w:rsidRPr="00FD4B96">
        <w:rPr>
          <w:rFonts w:ascii="Times New Roman" w:hAnsi="Times New Roman"/>
        </w:rPr>
        <w:t>, nr. 146, 19 décembre 2007 (</w:t>
      </w:r>
      <w:hyperlink w:history="1">
        <w:r w:rsidRPr="00EA26DD">
          <w:rPr>
            <w:rStyle w:val="Hyperlink"/>
            <w:rFonts w:ascii="Times New Roman" w:hAnsi="Times New Roman"/>
          </w:rPr>
          <w:t>http://www. senat.fr/rap/l07-146/l07-1463.html</w:t>
        </w:r>
      </w:hyperlink>
      <w:r w:rsidRPr="00FD4B96">
        <w:rPr>
          <w:rFonts w:ascii="Times New Roman" w:hAnsi="Times New Roman"/>
        </w:rPr>
        <w:t>).</w:t>
      </w:r>
    </w:p>
  </w:footnote>
  <w:footnote w:id="1452">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‘L’élimination des archives hospitalières’ (</w:t>
      </w:r>
      <w:hyperlink r:id="rId238" w:history="1">
        <w:r w:rsidRPr="00EA26DD">
          <w:rPr>
            <w:rStyle w:val="Hyperlink"/>
            <w:rFonts w:ascii="Times New Roman" w:hAnsi="Times New Roman"/>
            <w:lang w:val="fr-BE"/>
          </w:rPr>
          <w:t>http://basedaj.aphp.fr/daj/public/index/display/id_theme/1754/id_ fiche/8146</w:t>
        </w:r>
      </w:hyperlink>
      <w:r w:rsidRPr="00E333B6">
        <w:rPr>
          <w:rFonts w:ascii="Times New Roman" w:hAnsi="Times New Roman"/>
          <w:lang w:val="fr-BE"/>
        </w:rPr>
        <w:t>).</w:t>
      </w:r>
    </w:p>
  </w:footnote>
  <w:footnote w:id="1453">
    <w:p w:rsidR="00E82D16" w:rsidRPr="00E333B6" w:rsidRDefault="00E82D16" w:rsidP="000F560E">
      <w:pPr>
        <w:pStyle w:val="Geenafstand1"/>
        <w:jc w:val="both"/>
        <w:rPr>
          <w:rFonts w:ascii="Times New Roman" w:hAnsi="Times New Roman"/>
          <w:sz w:val="20"/>
          <w:szCs w:val="20"/>
        </w:rPr>
      </w:pPr>
      <w:r w:rsidRPr="00FD4B96">
        <w:rPr>
          <w:rStyle w:val="Voetnootmarkering"/>
          <w:rFonts w:ascii="Times New Roman" w:eastAsiaTheme="minorEastAsia" w:hAnsi="Times New Roman"/>
        </w:rPr>
        <w:footnoteRef/>
      </w:r>
      <w:r w:rsidRPr="00E333B6">
        <w:rPr>
          <w:rFonts w:ascii="Times New Roman" w:hAnsi="Times New Roman"/>
          <w:sz w:val="20"/>
          <w:szCs w:val="20"/>
        </w:rPr>
        <w:t xml:space="preserve"> Radiografieën zijn </w:t>
      </w:r>
      <w:r w:rsidRPr="00E333B6">
        <w:rPr>
          <w:rFonts w:ascii="Times New Roman" w:hAnsi="Times New Roman"/>
          <w:i/>
          <w:sz w:val="20"/>
          <w:szCs w:val="20"/>
        </w:rPr>
        <w:t>déchets dangereuses</w:t>
      </w:r>
      <w:r w:rsidRPr="00E333B6">
        <w:rPr>
          <w:rFonts w:ascii="Times New Roman" w:hAnsi="Times New Roman"/>
          <w:sz w:val="20"/>
          <w:szCs w:val="20"/>
        </w:rPr>
        <w:t xml:space="preserve"> in de zin van art. R. 541-8 van de </w:t>
      </w:r>
      <w:r w:rsidRPr="00E333B6">
        <w:rPr>
          <w:rFonts w:ascii="Times New Roman" w:hAnsi="Times New Roman"/>
          <w:i/>
          <w:sz w:val="20"/>
          <w:szCs w:val="20"/>
        </w:rPr>
        <w:t>Code de l’environnement</w:t>
      </w:r>
      <w:r w:rsidRPr="00E333B6">
        <w:rPr>
          <w:rFonts w:ascii="Times New Roman" w:hAnsi="Times New Roman"/>
          <w:sz w:val="20"/>
          <w:szCs w:val="20"/>
        </w:rPr>
        <w:t xml:space="preserve"> en val</w:t>
      </w:r>
      <w:r>
        <w:rPr>
          <w:rFonts w:ascii="Times New Roman" w:hAnsi="Times New Roman"/>
          <w:sz w:val="20"/>
          <w:szCs w:val="20"/>
        </w:rPr>
        <w:t>-</w:t>
      </w:r>
      <w:r w:rsidRPr="00E333B6">
        <w:rPr>
          <w:rFonts w:ascii="Times New Roman" w:hAnsi="Times New Roman"/>
          <w:sz w:val="20"/>
          <w:szCs w:val="20"/>
        </w:rPr>
        <w:t xml:space="preserve">len onder de categorieën 2950/2 van de </w:t>
      </w:r>
      <w:r w:rsidRPr="00E333B6">
        <w:rPr>
          <w:rFonts w:ascii="Times New Roman" w:hAnsi="Times New Roman"/>
          <w:i/>
          <w:sz w:val="20"/>
          <w:szCs w:val="20"/>
        </w:rPr>
        <w:t>Nomenclature des installations classées pour la protection de l’environ</w:t>
      </w:r>
      <w:r>
        <w:rPr>
          <w:rFonts w:ascii="Times New Roman" w:hAnsi="Times New Roman"/>
          <w:i/>
          <w:sz w:val="20"/>
          <w:szCs w:val="20"/>
        </w:rPr>
        <w:t>-</w:t>
      </w:r>
      <w:r w:rsidRPr="00E333B6">
        <w:rPr>
          <w:rFonts w:ascii="Times New Roman" w:hAnsi="Times New Roman"/>
          <w:i/>
          <w:sz w:val="20"/>
          <w:szCs w:val="20"/>
        </w:rPr>
        <w:t xml:space="preserve">nement et taxe générale sur les activités polluantes </w:t>
      </w:r>
      <w:r w:rsidRPr="00E333B6">
        <w:rPr>
          <w:rFonts w:ascii="Times New Roman" w:hAnsi="Times New Roman"/>
          <w:sz w:val="20"/>
          <w:szCs w:val="20"/>
        </w:rPr>
        <w:t>van</w:t>
      </w:r>
      <w:r w:rsidRPr="00E333B6">
        <w:rPr>
          <w:rFonts w:ascii="Times New Roman" w:hAnsi="Times New Roman"/>
          <w:i/>
          <w:sz w:val="20"/>
          <w:szCs w:val="20"/>
        </w:rPr>
        <w:t xml:space="preserve"> de </w:t>
      </w:r>
      <w:r w:rsidRPr="00E333B6">
        <w:rPr>
          <w:rFonts w:ascii="Times New Roman" w:hAnsi="Times New Roman"/>
          <w:sz w:val="20"/>
          <w:szCs w:val="20"/>
        </w:rPr>
        <w:t xml:space="preserve">bijlage bij de </w:t>
      </w:r>
      <w:r w:rsidRPr="00E333B6">
        <w:rPr>
          <w:rFonts w:ascii="Times New Roman" w:hAnsi="Times New Roman"/>
          <w:i/>
          <w:sz w:val="20"/>
          <w:szCs w:val="20"/>
        </w:rPr>
        <w:t xml:space="preserve">Code de l’environnement </w:t>
      </w:r>
      <w:r w:rsidRPr="00E333B6">
        <w:rPr>
          <w:rFonts w:ascii="Times New Roman" w:hAnsi="Times New Roman"/>
          <w:sz w:val="20"/>
          <w:szCs w:val="20"/>
        </w:rPr>
        <w:t>enerzijds en 09 01 06* van bijlage II bij besluit nr. 2002-540 van 18 april 2002 betreffende de classificatie van afvalstoffen (</w:t>
      </w:r>
      <w:r w:rsidRPr="00E333B6">
        <w:rPr>
          <w:rFonts w:ascii="Times New Roman" w:hAnsi="Times New Roman"/>
          <w:i/>
          <w:sz w:val="20"/>
          <w:szCs w:val="20"/>
        </w:rPr>
        <w:t xml:space="preserve">JORF </w:t>
      </w:r>
      <w:r w:rsidRPr="00E333B6">
        <w:rPr>
          <w:rFonts w:ascii="Times New Roman" w:hAnsi="Times New Roman"/>
          <w:sz w:val="20"/>
          <w:szCs w:val="20"/>
        </w:rPr>
        <w:t>93, 20 april 2002) anderzijds.</w:t>
      </w:r>
    </w:p>
  </w:footnote>
  <w:footnote w:id="1454">
    <w:p w:rsidR="00E82D16" w:rsidRPr="00C45567"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E333B6">
        <w:rPr>
          <w:rFonts w:ascii="Times New Roman" w:hAnsi="Times New Roman"/>
          <w:lang w:val="fr-BE"/>
        </w:rPr>
        <w:t xml:space="preserve"> GILLE-LEFEVER, C., ‘Proposition de règlement intérieur: archivage administratif’, </w:t>
      </w:r>
      <w:r w:rsidRPr="00E333B6">
        <w:rPr>
          <w:rFonts w:ascii="Times New Roman" w:hAnsi="Times New Roman"/>
          <w:i/>
          <w:lang w:val="fr-BE"/>
        </w:rPr>
        <w:t>Guide des archives hos</w:t>
      </w:r>
      <w:r>
        <w:rPr>
          <w:rFonts w:ascii="Times New Roman" w:hAnsi="Times New Roman"/>
          <w:i/>
          <w:lang w:val="fr-BE"/>
        </w:rPr>
        <w:t>-</w:t>
      </w:r>
      <w:r w:rsidRPr="00E333B6">
        <w:rPr>
          <w:rFonts w:ascii="Times New Roman" w:hAnsi="Times New Roman"/>
          <w:i/>
          <w:lang w:val="fr-BE"/>
        </w:rPr>
        <w:t xml:space="preserve">pitalières. </w:t>
      </w:r>
      <w:r w:rsidRPr="00C45567">
        <w:rPr>
          <w:rFonts w:ascii="Times New Roman" w:hAnsi="Times New Roman"/>
          <w:i/>
        </w:rPr>
        <w:t>Volume 1: méthodologie et procédures</w:t>
      </w:r>
      <w:r w:rsidRPr="00C45567">
        <w:rPr>
          <w:rFonts w:ascii="Times New Roman" w:hAnsi="Times New Roman"/>
        </w:rPr>
        <w:t>, 2008, p. 9-10.</w:t>
      </w:r>
    </w:p>
  </w:footnote>
  <w:footnote w:id="1455">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16 </w:t>
      </w:r>
      <w:r w:rsidRPr="00E333B6">
        <w:rPr>
          <w:rFonts w:ascii="Times New Roman" w:hAnsi="Times New Roman"/>
        </w:rPr>
        <w:t xml:space="preserve">van besluit nr. 2009-1124 van 17 september 2009. Cf. </w:t>
      </w:r>
      <w:r w:rsidRPr="00FD4B96">
        <w:rPr>
          <w:rFonts w:ascii="Times New Roman" w:hAnsi="Times New Roman"/>
        </w:rPr>
        <w:t>art. 2, art. 10 en art. 12 van besluit nr. 79-1037 van 3 december 197</w:t>
      </w:r>
      <w:r>
        <w:rPr>
          <w:rFonts w:ascii="Times New Roman" w:hAnsi="Times New Roman"/>
        </w:rPr>
        <w:t>9</w:t>
      </w:r>
      <w:r w:rsidRPr="00FD4B96">
        <w:rPr>
          <w:rFonts w:ascii="Times New Roman" w:hAnsi="Times New Roman"/>
        </w:rPr>
        <w:t>; interministeriële richtlijn nr. DHOS/E1/DAF/DPACI/2007/322 en nr. DAF/DPACI/RES/</w:t>
      </w:r>
      <w:r>
        <w:rPr>
          <w:rFonts w:ascii="Times New Roman" w:hAnsi="Times New Roman"/>
        </w:rPr>
        <w:t xml:space="preserve"> </w:t>
      </w:r>
      <w:r w:rsidRPr="00FD4B96">
        <w:rPr>
          <w:rFonts w:ascii="Times New Roman" w:hAnsi="Times New Roman"/>
        </w:rPr>
        <w:t>2007/014 van 14 augustus 2007 betreffende de bewaring van het medisch dossier (</w:t>
      </w:r>
      <w:hyperlink w:history="1">
        <w:r w:rsidRPr="00EA26DD">
          <w:rPr>
            <w:rStyle w:val="Hyperlink"/>
            <w:rFonts w:ascii="Times New Roman" w:hAnsi="Times New Roman"/>
          </w:rPr>
          <w:t>http://circulaire.legifrance. gouv.fr/pdf/2009/04/cir_7194.pdf</w:t>
        </w:r>
      </w:hyperlink>
      <w:r w:rsidRPr="00FD4B96">
        <w:rPr>
          <w:rFonts w:ascii="Times New Roman" w:hAnsi="Times New Roman"/>
        </w:rPr>
        <w:t xml:space="preserve">). </w:t>
      </w:r>
    </w:p>
  </w:footnote>
  <w:footnote w:id="1456">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droits’, </w:t>
      </w:r>
      <w:r w:rsidRPr="00E333B6">
        <w:rPr>
          <w:rFonts w:ascii="Times New Roman" w:hAnsi="Times New Roman"/>
          <w:i/>
          <w:lang w:val="fr-BE"/>
        </w:rPr>
        <w:t>A.J.S.</w:t>
      </w:r>
      <w:r w:rsidRPr="00E333B6">
        <w:rPr>
          <w:rFonts w:ascii="Times New Roman" w:hAnsi="Times New Roman"/>
          <w:lang w:val="fr-BE"/>
        </w:rPr>
        <w:t>, 69 (2010), p. 11-12.</w:t>
      </w:r>
    </w:p>
  </w:footnote>
  <w:footnote w:id="1457">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21 van besluit nr. 79-1037 van 3 december 197</w:t>
      </w:r>
      <w:r>
        <w:rPr>
          <w:rFonts w:ascii="Times New Roman" w:hAnsi="Times New Roman"/>
        </w:rPr>
        <w:t>9</w:t>
      </w:r>
      <w:r w:rsidRPr="00FD4B96">
        <w:rPr>
          <w:rFonts w:ascii="Times New Roman" w:hAnsi="Times New Roman"/>
        </w:rPr>
        <w:t>, opgeheven door art. 16 van besluit nr. 2009-1124 van 17 september 2009.</w:t>
      </w:r>
    </w:p>
  </w:footnote>
  <w:footnote w:id="1458">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Cf. art. 12 van besluit nr. 79-1037 van 3 december 197</w:t>
      </w:r>
      <w:r>
        <w:rPr>
          <w:rFonts w:ascii="Times New Roman" w:hAnsi="Times New Roman"/>
        </w:rPr>
        <w:t>9</w:t>
      </w:r>
      <w:r w:rsidRPr="00FD4B96">
        <w:rPr>
          <w:rFonts w:ascii="Times New Roman" w:hAnsi="Times New Roman"/>
        </w:rPr>
        <w:t>, gewijzigd door art. 6 van besluit nr. 2009-1124 van 17 september 2009.</w:t>
      </w:r>
    </w:p>
  </w:footnote>
  <w:footnote w:id="1459">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2 van besluit nr. 79-1037 van 3 december 197</w:t>
      </w:r>
      <w:r>
        <w:rPr>
          <w:rFonts w:ascii="Times New Roman" w:hAnsi="Times New Roman"/>
        </w:rPr>
        <w:t>9</w:t>
      </w:r>
      <w:r w:rsidRPr="00FD4B96">
        <w:rPr>
          <w:rFonts w:ascii="Times New Roman" w:hAnsi="Times New Roman"/>
        </w:rPr>
        <w:t>, gewijzigd door art. 3, eerste lid van besluit nr. 2009-1124 van 17 september 2009.</w:t>
      </w:r>
    </w:p>
  </w:footnote>
  <w:footnote w:id="1460">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10 van besluit</w:t>
      </w:r>
      <w:r>
        <w:rPr>
          <w:rFonts w:ascii="Times New Roman" w:hAnsi="Times New Roman"/>
        </w:rPr>
        <w:t xml:space="preserve"> nr. 79-1037 van 3 december 1979</w:t>
      </w:r>
      <w:r w:rsidRPr="00FD4B96">
        <w:rPr>
          <w:rFonts w:ascii="Times New Roman" w:hAnsi="Times New Roman"/>
        </w:rPr>
        <w:t>.</w:t>
      </w:r>
    </w:p>
  </w:footnote>
  <w:footnote w:id="1461">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Art. R. 1112-7 CSP, ingevoerd door de bijlage bij besluit nr. 2003-462 van 21 mei 2003 en gewijzigd door art. 2 van besluit nr. 2006-6 van 4 januari 2006.</w:t>
      </w:r>
    </w:p>
  </w:footnote>
  <w:footnote w:id="1462">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GENOT-POK, I., ‘Des archives publiques aux archives hospitalières: points de droits’, </w:t>
      </w:r>
      <w:r w:rsidRPr="00E333B6">
        <w:rPr>
          <w:rFonts w:ascii="Times New Roman" w:hAnsi="Times New Roman"/>
          <w:i/>
          <w:lang w:val="fr-BE"/>
        </w:rPr>
        <w:t>A.J.S.</w:t>
      </w:r>
      <w:r w:rsidRPr="00E333B6">
        <w:rPr>
          <w:rFonts w:ascii="Times New Roman" w:hAnsi="Times New Roman"/>
          <w:lang w:val="fr-BE"/>
        </w:rPr>
        <w:t>, 69 (2010), p. 11-12.</w:t>
      </w:r>
    </w:p>
  </w:footnote>
  <w:footnote w:id="1463">
    <w:p w:rsidR="00E82D16" w:rsidRPr="00FD4B96" w:rsidRDefault="00E82D16" w:rsidP="000F560E">
      <w:pPr>
        <w:pStyle w:val="Voetnoottekst"/>
        <w:jc w:val="both"/>
        <w:rPr>
          <w:rFonts w:ascii="Times New Roman" w:hAnsi="Times New Roman"/>
        </w:rPr>
      </w:pPr>
      <w:r w:rsidRPr="00FD4B96">
        <w:rPr>
          <w:rStyle w:val="Voetnootmarkering"/>
          <w:rFonts w:ascii="Times New Roman" w:hAnsi="Times New Roman"/>
        </w:rPr>
        <w:footnoteRef/>
      </w:r>
      <w:r w:rsidRPr="00FD4B96">
        <w:rPr>
          <w:rFonts w:ascii="Times New Roman" w:hAnsi="Times New Roman"/>
        </w:rPr>
        <w:t xml:space="preserve"> Instructie DPACI/RES/2007/014 van 14 augustus 2007 betreffende de bewaring van het medisch dossier (</w:t>
      </w:r>
      <w:hyperlink r:id="rId239" w:history="1">
        <w:r w:rsidRPr="00EA26DD">
          <w:rPr>
            <w:rStyle w:val="Hyperlink"/>
            <w:rFonts w:ascii="Times New Roman" w:hAnsi="Times New Roman"/>
          </w:rPr>
          <w:t>http://www.archivesdefrance.culture.gouv.fr/static/1877</w:t>
        </w:r>
      </w:hyperlink>
      <w:r w:rsidRPr="00FD4B96">
        <w:rPr>
          <w:rFonts w:ascii="Times New Roman" w:hAnsi="Times New Roman"/>
        </w:rPr>
        <w:t>).</w:t>
      </w:r>
    </w:p>
  </w:footnote>
  <w:footnote w:id="1464">
    <w:p w:rsidR="00E82D16" w:rsidRPr="00E333B6" w:rsidRDefault="00E82D16" w:rsidP="000F560E">
      <w:pPr>
        <w:pStyle w:val="Voetnoottekst"/>
        <w:jc w:val="both"/>
        <w:rPr>
          <w:rFonts w:ascii="Times New Roman" w:hAnsi="Times New Roman"/>
          <w:lang w:val="fr-BE"/>
        </w:rPr>
      </w:pPr>
      <w:r w:rsidRPr="00FD4B96">
        <w:rPr>
          <w:rStyle w:val="Voetnootmarkering"/>
          <w:rFonts w:ascii="Times New Roman" w:hAnsi="Times New Roman"/>
        </w:rPr>
        <w:footnoteRef/>
      </w:r>
      <w:r w:rsidRPr="00E333B6">
        <w:rPr>
          <w:rFonts w:ascii="Times New Roman" w:hAnsi="Times New Roman"/>
          <w:lang w:val="fr-BE"/>
        </w:rPr>
        <w:t xml:space="preserve"> TAMBURINI, S., ‘Perte et destruction du dossier médical’, 2007 (</w:t>
      </w:r>
      <w:hyperlink r:id="rId240" w:history="1">
        <w:r w:rsidRPr="00EA26DD">
          <w:rPr>
            <w:rStyle w:val="Hyperlink"/>
            <w:rFonts w:ascii="Times New Roman" w:hAnsi="Times New Roman"/>
            <w:lang w:val="fr-BE"/>
          </w:rPr>
          <w:t>http://www.macsf.fr/vous-informer/perte-et-destruction-dossier-medical.html</w:t>
        </w:r>
      </w:hyperlink>
      <w:r w:rsidRPr="00E333B6">
        <w:rPr>
          <w:rFonts w:ascii="Times New Roman" w:hAnsi="Times New Roman"/>
          <w:lang w:val="fr-BE"/>
        </w:rPr>
        <w:t>).</w:t>
      </w:r>
    </w:p>
  </w:footnote>
  <w:footnote w:id="1465">
    <w:p w:rsidR="00E82D16" w:rsidRPr="00052001" w:rsidRDefault="00E82D16" w:rsidP="006D443A">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47, tweede lid C.G.P.; ‘Overname van een huisartsenpraktijk’, </w:t>
      </w:r>
      <w:r w:rsidRPr="00052001">
        <w:rPr>
          <w:rFonts w:ascii="Times New Roman" w:hAnsi="Times New Roman"/>
          <w:i/>
          <w:iCs/>
        </w:rPr>
        <w:t>T.N.R.</w:t>
      </w:r>
      <w:r w:rsidRPr="00052001">
        <w:rPr>
          <w:rFonts w:ascii="Times New Roman" w:hAnsi="Times New Roman"/>
          <w:iCs/>
        </w:rPr>
        <w:t>,</w:t>
      </w:r>
      <w:r w:rsidRPr="00052001">
        <w:rPr>
          <w:rFonts w:ascii="Times New Roman" w:hAnsi="Times New Roman"/>
        </w:rPr>
        <w:t xml:space="preserve"> 69 (1995), p. 26; CALLENS; GOOSSENS; CIERKENS; ‘Omgaan met gegevens in de gezondheidszorg’, p. 309 (nr. 772)</w:t>
      </w:r>
    </w:p>
  </w:footnote>
  <w:footnote w:id="1466">
    <w:p w:rsidR="00E82D16" w:rsidRPr="000B107D" w:rsidRDefault="00E82D16" w:rsidP="000F560E">
      <w:pPr>
        <w:pStyle w:val="Voetnoottekst"/>
        <w:jc w:val="both"/>
        <w:rPr>
          <w:rFonts w:ascii="Times New Roman" w:hAnsi="Times New Roman"/>
        </w:rPr>
      </w:pPr>
      <w:r w:rsidRPr="000B107D">
        <w:rPr>
          <w:rStyle w:val="Voetnootmarkering"/>
          <w:rFonts w:ascii="Times New Roman" w:hAnsi="Times New Roman"/>
        </w:rPr>
        <w:footnoteRef/>
      </w:r>
      <w:r w:rsidRPr="000B107D">
        <w:rPr>
          <w:rFonts w:ascii="Times New Roman" w:hAnsi="Times New Roman"/>
        </w:rPr>
        <w:t xml:space="preserve"> PEUTEMAN, A., ‘De redelijkheid is teruggekeerd. Interview met Herman Nys over euthanasie in België’, </w:t>
      </w:r>
      <w:r w:rsidRPr="000B107D">
        <w:rPr>
          <w:rFonts w:ascii="Times New Roman" w:hAnsi="Times New Roman"/>
          <w:i/>
        </w:rPr>
        <w:t>Knack</w:t>
      </w:r>
      <w:r w:rsidRPr="000B107D">
        <w:rPr>
          <w:rFonts w:ascii="Times New Roman" w:hAnsi="Times New Roman"/>
        </w:rPr>
        <w:t>, 42/7 (2012), p. 30.</w:t>
      </w:r>
    </w:p>
  </w:footnote>
  <w:footnote w:id="1467">
    <w:p w:rsidR="00E82D16" w:rsidRPr="004A6B8B" w:rsidRDefault="00E82D16" w:rsidP="000F560E">
      <w:pPr>
        <w:pStyle w:val="Voetnoottekst"/>
        <w:jc w:val="both"/>
        <w:rPr>
          <w:rFonts w:ascii="Times New Roman" w:hAnsi="Times New Roman"/>
        </w:rPr>
      </w:pPr>
      <w:r w:rsidRPr="004A6B8B">
        <w:rPr>
          <w:rStyle w:val="Voetnootmarkering"/>
          <w:rFonts w:ascii="Times New Roman" w:hAnsi="Times New Roman"/>
        </w:rPr>
        <w:footnoteRef/>
      </w:r>
      <w:r w:rsidRPr="004A6B8B">
        <w:rPr>
          <w:rFonts w:ascii="Times New Roman" w:hAnsi="Times New Roman"/>
        </w:rPr>
        <w:t xml:space="preserve"> HOEFNAGELS, J.J., ‘Weggooien medische dossiers bedreigt de volksgezondheid’, </w:t>
      </w:r>
      <w:r w:rsidRPr="004A6B8B">
        <w:rPr>
          <w:rFonts w:ascii="Times New Roman" w:hAnsi="Times New Roman"/>
          <w:i/>
        </w:rPr>
        <w:t>N.T.G.</w:t>
      </w:r>
      <w:r w:rsidRPr="004A6B8B">
        <w:rPr>
          <w:rFonts w:ascii="Times New Roman" w:hAnsi="Times New Roman"/>
        </w:rPr>
        <w:t>, 143 (1999), p. 1537.</w:t>
      </w:r>
    </w:p>
  </w:footnote>
  <w:footnote w:id="1468">
    <w:p w:rsidR="00E82D16" w:rsidRPr="00052001" w:rsidRDefault="00E82D16" w:rsidP="00E82D16">
      <w:pPr>
        <w:pStyle w:val="Voetnoottekst"/>
        <w:jc w:val="both"/>
        <w:rPr>
          <w:rFonts w:ascii="Times New Roman" w:hAnsi="Times New Roman"/>
        </w:rPr>
      </w:pPr>
      <w:r w:rsidRPr="00052001">
        <w:rPr>
          <w:rStyle w:val="Voetnootmarkering"/>
          <w:rFonts w:ascii="Times New Roman" w:hAnsi="Times New Roman"/>
        </w:rPr>
        <w:footnoteRef/>
      </w:r>
      <w:r w:rsidRPr="00052001">
        <w:rPr>
          <w:rFonts w:ascii="Times New Roman" w:hAnsi="Times New Roman"/>
        </w:rPr>
        <w:t xml:space="preserve"> Art. 47, tweede lid C.G.P.; ‘Overname van een huisartsenpraktijk’, </w:t>
      </w:r>
      <w:r w:rsidRPr="00052001">
        <w:rPr>
          <w:rFonts w:ascii="Times New Roman" w:hAnsi="Times New Roman"/>
          <w:i/>
          <w:iCs/>
        </w:rPr>
        <w:t>T.N.R.</w:t>
      </w:r>
      <w:r w:rsidRPr="00052001">
        <w:rPr>
          <w:rFonts w:ascii="Times New Roman" w:hAnsi="Times New Roman"/>
          <w:iCs/>
        </w:rPr>
        <w:t>,</w:t>
      </w:r>
      <w:r w:rsidRPr="00052001">
        <w:rPr>
          <w:rFonts w:ascii="Times New Roman" w:hAnsi="Times New Roman"/>
        </w:rPr>
        <w:t xml:space="preserve"> 69 (1995), p. 26; CALLENS; GOOSSENS; CIERKENS; ‘Omgaan met gegevens in de gezondheidszorg’, p. 309 (nr. 772)</w:t>
      </w:r>
    </w:p>
  </w:footnote>
  <w:footnote w:id="1469">
    <w:p w:rsidR="00E82D16" w:rsidRPr="000B107D" w:rsidRDefault="00E82D16" w:rsidP="00E82D16">
      <w:pPr>
        <w:pStyle w:val="Voetnoottekst"/>
        <w:jc w:val="both"/>
        <w:rPr>
          <w:rFonts w:ascii="Times New Roman" w:hAnsi="Times New Roman"/>
        </w:rPr>
      </w:pPr>
      <w:r w:rsidRPr="000B107D">
        <w:rPr>
          <w:rStyle w:val="Voetnootmarkering"/>
          <w:rFonts w:ascii="Times New Roman" w:hAnsi="Times New Roman"/>
        </w:rPr>
        <w:footnoteRef/>
      </w:r>
      <w:r w:rsidRPr="000B107D">
        <w:rPr>
          <w:rFonts w:ascii="Times New Roman" w:hAnsi="Times New Roman"/>
        </w:rPr>
        <w:t xml:space="preserve"> PEUTEMAN, A., ‘De redelijkheid is teruggekeerd. Interview met Herman Nys over euthanasie in België’, </w:t>
      </w:r>
      <w:r w:rsidRPr="000B107D">
        <w:rPr>
          <w:rFonts w:ascii="Times New Roman" w:hAnsi="Times New Roman"/>
          <w:i/>
        </w:rPr>
        <w:t>Knack</w:t>
      </w:r>
      <w:r w:rsidRPr="000B107D">
        <w:rPr>
          <w:rFonts w:ascii="Times New Roman" w:hAnsi="Times New Roman"/>
        </w:rPr>
        <w:t>, 42/7 (2012), p. 30.</w:t>
      </w:r>
    </w:p>
  </w:footnote>
  <w:footnote w:id="1470">
    <w:p w:rsidR="00E82D16" w:rsidRPr="004A6B8B" w:rsidRDefault="00E82D16" w:rsidP="00E82D16">
      <w:pPr>
        <w:pStyle w:val="Voetnoottekst"/>
        <w:jc w:val="both"/>
        <w:rPr>
          <w:rFonts w:ascii="Times New Roman" w:hAnsi="Times New Roman"/>
        </w:rPr>
      </w:pPr>
      <w:r w:rsidRPr="004A6B8B">
        <w:rPr>
          <w:rStyle w:val="Voetnootmarkering"/>
          <w:rFonts w:ascii="Times New Roman" w:hAnsi="Times New Roman"/>
        </w:rPr>
        <w:footnoteRef/>
      </w:r>
      <w:r w:rsidRPr="004A6B8B">
        <w:rPr>
          <w:rFonts w:ascii="Times New Roman" w:hAnsi="Times New Roman"/>
        </w:rPr>
        <w:t xml:space="preserve"> HOEFNAGELS, J.J., ‘Weggooien medische dossiers bedreigt de volksgezondheid’, </w:t>
      </w:r>
      <w:r w:rsidRPr="004A6B8B">
        <w:rPr>
          <w:rFonts w:ascii="Times New Roman" w:hAnsi="Times New Roman"/>
          <w:i/>
        </w:rPr>
        <w:t>N.T.G.</w:t>
      </w:r>
      <w:r w:rsidRPr="004A6B8B">
        <w:rPr>
          <w:rFonts w:ascii="Times New Roman" w:hAnsi="Times New Roman"/>
        </w:rPr>
        <w:t>, 143 (1999), p. 1537.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16" w:rsidRPr="00A323E6" w:rsidRDefault="00E82D16">
    <w:pPr>
      <w:pStyle w:val="Koptekst"/>
      <w:jc w:val="right"/>
      <w:rPr>
        <w:rFonts w:cs="Times New Roman"/>
        <w:szCs w:val="24"/>
      </w:rPr>
    </w:pPr>
    <w:r w:rsidRPr="00A323E6">
      <w:rPr>
        <w:rFonts w:cs="Times New Roman"/>
        <w:szCs w:val="24"/>
      </w:rPr>
      <w:fldChar w:fldCharType="begin"/>
    </w:r>
    <w:r w:rsidRPr="00A323E6">
      <w:rPr>
        <w:rFonts w:cs="Times New Roman"/>
        <w:szCs w:val="24"/>
      </w:rPr>
      <w:instrText>PAGE   \* MERGEFORMAT</w:instrText>
    </w:r>
    <w:r w:rsidRPr="00A323E6">
      <w:rPr>
        <w:rFonts w:cs="Times New Roman"/>
        <w:szCs w:val="24"/>
      </w:rPr>
      <w:fldChar w:fldCharType="separate"/>
    </w:r>
    <w:r w:rsidR="00A6036D" w:rsidRPr="00A6036D">
      <w:rPr>
        <w:rFonts w:cs="Times New Roman"/>
        <w:noProof/>
        <w:szCs w:val="24"/>
        <w:lang w:val="nl-NL"/>
      </w:rPr>
      <w:t>12</w:t>
    </w:r>
    <w:r w:rsidRPr="00A323E6">
      <w:rPr>
        <w:rFonts w:cs="Times New Roman"/>
        <w:szCs w:val="24"/>
      </w:rPr>
      <w:fldChar w:fldCharType="end"/>
    </w:r>
  </w:p>
  <w:p w:rsidR="00E82D16" w:rsidRDefault="00E82D1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69EADFE"/>
    <w:lvl w:ilvl="0">
      <w:start w:val="1"/>
      <w:numFmt w:val="bullet"/>
      <w:pStyle w:val="Lijstopsomteken3"/>
      <w:lvlText w:val=""/>
      <w:lvlJc w:val="left"/>
      <w:pPr>
        <w:tabs>
          <w:tab w:val="num" w:pos="926"/>
        </w:tabs>
        <w:ind w:left="926" w:hanging="360"/>
      </w:pPr>
      <w:rPr>
        <w:rFonts w:ascii="Symbol" w:hAnsi="Symbol" w:hint="default"/>
      </w:rPr>
    </w:lvl>
  </w:abstractNum>
  <w:abstractNum w:abstractNumId="1">
    <w:nsid w:val="FFFFFF83"/>
    <w:multiLevelType w:val="singleLevel"/>
    <w:tmpl w:val="CE74CD16"/>
    <w:lvl w:ilvl="0">
      <w:start w:val="1"/>
      <w:numFmt w:val="bullet"/>
      <w:pStyle w:val="Lijstopsomteken2"/>
      <w:lvlText w:val=""/>
      <w:lvlJc w:val="left"/>
      <w:pPr>
        <w:tabs>
          <w:tab w:val="num" w:pos="643"/>
        </w:tabs>
        <w:ind w:left="643" w:hanging="360"/>
      </w:pPr>
      <w:rPr>
        <w:rFonts w:ascii="Symbol" w:hAnsi="Symbol" w:hint="default"/>
      </w:rPr>
    </w:lvl>
  </w:abstractNum>
  <w:abstractNum w:abstractNumId="2">
    <w:nsid w:val="03074C17"/>
    <w:multiLevelType w:val="hybridMultilevel"/>
    <w:tmpl w:val="C222334A"/>
    <w:lvl w:ilvl="0" w:tplc="78A6D3C4">
      <w:start w:val="3"/>
      <w:numFmt w:val="bullet"/>
      <w:lvlText w:val=""/>
      <w:lvlJc w:val="left"/>
      <w:pPr>
        <w:ind w:left="1068" w:hanging="360"/>
      </w:pPr>
      <w:rPr>
        <w:rFonts w:ascii="Wingdings" w:eastAsia="Calibri" w:hAnsi="Wingding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nsid w:val="04513CCD"/>
    <w:multiLevelType w:val="hybridMultilevel"/>
    <w:tmpl w:val="F266F028"/>
    <w:lvl w:ilvl="0" w:tplc="67DA95B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45B545D"/>
    <w:multiLevelType w:val="multilevel"/>
    <w:tmpl w:val="83C80D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FD47D7"/>
    <w:multiLevelType w:val="hybridMultilevel"/>
    <w:tmpl w:val="24A8A7A6"/>
    <w:lvl w:ilvl="0" w:tplc="7206C83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B091724"/>
    <w:multiLevelType w:val="multilevel"/>
    <w:tmpl w:val="EDC65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945B8F"/>
    <w:multiLevelType w:val="multilevel"/>
    <w:tmpl w:val="A2FE935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8">
    <w:nsid w:val="13D93237"/>
    <w:multiLevelType w:val="hybridMultilevel"/>
    <w:tmpl w:val="7A6ABD26"/>
    <w:lvl w:ilvl="0" w:tplc="029A1E7A">
      <w:numFmt w:val="bullet"/>
      <w:lvlText w:val=""/>
      <w:lvlJc w:val="left"/>
      <w:pPr>
        <w:ind w:left="720" w:hanging="360"/>
      </w:pPr>
      <w:rPr>
        <w:rFonts w:ascii="Symbol" w:eastAsia="SimSu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62947FA"/>
    <w:multiLevelType w:val="multilevel"/>
    <w:tmpl w:val="EF7E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D556B"/>
    <w:multiLevelType w:val="hybridMultilevel"/>
    <w:tmpl w:val="3D184544"/>
    <w:lvl w:ilvl="0" w:tplc="044C5A4A">
      <w:start w:val="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1881F95"/>
    <w:multiLevelType w:val="multilevel"/>
    <w:tmpl w:val="C09CB2B2"/>
    <w:lvl w:ilvl="0">
      <w:start w:val="1"/>
      <w:numFmt w:val="decimal"/>
      <w:lvlText w:val="%1"/>
      <w:lvlJc w:val="left"/>
      <w:pPr>
        <w:ind w:left="480" w:hanging="480"/>
      </w:pPr>
      <w:rPr>
        <w:rFonts w:ascii="Times New Roman" w:hAnsi="Times New Roman" w:cs="Times New Roman" w:hint="default"/>
      </w:rPr>
    </w:lvl>
    <w:lvl w:ilvl="1">
      <w:start w:val="3"/>
      <w:numFmt w:val="decimal"/>
      <w:lvlText w:val="%1.%2"/>
      <w:lvlJc w:val="left"/>
      <w:pPr>
        <w:ind w:left="660" w:hanging="480"/>
      </w:pPr>
      <w:rPr>
        <w:rFonts w:ascii="Times New Roman" w:hAnsi="Times New Roman" w:cs="Times New Roman" w:hint="default"/>
      </w:rPr>
    </w:lvl>
    <w:lvl w:ilvl="2">
      <w:start w:val="3"/>
      <w:numFmt w:val="decimal"/>
      <w:lvlText w:val="%1.%2.%3"/>
      <w:lvlJc w:val="left"/>
      <w:pPr>
        <w:ind w:left="1080" w:hanging="720"/>
      </w:pPr>
      <w:rPr>
        <w:rFonts w:ascii="Times New Roman" w:hAnsi="Times New Roman" w:cs="Times New Roman" w:hint="default"/>
      </w:rPr>
    </w:lvl>
    <w:lvl w:ilvl="3">
      <w:start w:val="1"/>
      <w:numFmt w:val="decimal"/>
      <w:lvlText w:val="%1.%2.%3.%4"/>
      <w:lvlJc w:val="left"/>
      <w:pPr>
        <w:ind w:left="1260" w:hanging="720"/>
      </w:pPr>
      <w:rPr>
        <w:rFonts w:ascii="Times New Roman" w:hAnsi="Times New Roman" w:cs="Times New Roman" w:hint="default"/>
      </w:rPr>
    </w:lvl>
    <w:lvl w:ilvl="4">
      <w:start w:val="1"/>
      <w:numFmt w:val="decimal"/>
      <w:lvlText w:val="%1.%2.%3.%4.%5"/>
      <w:lvlJc w:val="left"/>
      <w:pPr>
        <w:ind w:left="1800" w:hanging="1080"/>
      </w:pPr>
      <w:rPr>
        <w:rFonts w:ascii="Times New Roman" w:hAnsi="Times New Roman" w:cs="Times New Roman" w:hint="default"/>
      </w:rPr>
    </w:lvl>
    <w:lvl w:ilvl="5">
      <w:start w:val="1"/>
      <w:numFmt w:val="decimal"/>
      <w:lvlText w:val="%1.%2.%3.%4.%5.%6"/>
      <w:lvlJc w:val="left"/>
      <w:pPr>
        <w:ind w:left="1980" w:hanging="1080"/>
      </w:pPr>
      <w:rPr>
        <w:rFonts w:ascii="Times New Roman" w:hAnsi="Times New Roman" w:cs="Times New Roman" w:hint="default"/>
      </w:rPr>
    </w:lvl>
    <w:lvl w:ilvl="6">
      <w:start w:val="1"/>
      <w:numFmt w:val="decimal"/>
      <w:lvlText w:val="%1.%2.%3.%4.%5.%6.%7"/>
      <w:lvlJc w:val="left"/>
      <w:pPr>
        <w:ind w:left="2520" w:hanging="1440"/>
      </w:pPr>
      <w:rPr>
        <w:rFonts w:ascii="Times New Roman" w:hAnsi="Times New Roman" w:cs="Times New Roman" w:hint="default"/>
      </w:rPr>
    </w:lvl>
    <w:lvl w:ilvl="7">
      <w:start w:val="1"/>
      <w:numFmt w:val="decimal"/>
      <w:lvlText w:val="%1.%2.%3.%4.%5.%6.%7.%8"/>
      <w:lvlJc w:val="left"/>
      <w:pPr>
        <w:ind w:left="2700" w:hanging="1440"/>
      </w:pPr>
      <w:rPr>
        <w:rFonts w:ascii="Times New Roman" w:hAnsi="Times New Roman" w:cs="Times New Roman" w:hint="default"/>
      </w:rPr>
    </w:lvl>
    <w:lvl w:ilvl="8">
      <w:start w:val="1"/>
      <w:numFmt w:val="decimal"/>
      <w:lvlText w:val="%1.%2.%3.%4.%5.%6.%7.%8.%9"/>
      <w:lvlJc w:val="left"/>
      <w:pPr>
        <w:ind w:left="3240" w:hanging="1800"/>
      </w:pPr>
      <w:rPr>
        <w:rFonts w:ascii="Times New Roman" w:hAnsi="Times New Roman" w:cs="Times New Roman" w:hint="default"/>
      </w:rPr>
    </w:lvl>
  </w:abstractNum>
  <w:abstractNum w:abstractNumId="12">
    <w:nsid w:val="22C642F1"/>
    <w:multiLevelType w:val="multilevel"/>
    <w:tmpl w:val="944A886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680733"/>
    <w:multiLevelType w:val="multilevel"/>
    <w:tmpl w:val="BAE09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526A84"/>
    <w:multiLevelType w:val="multilevel"/>
    <w:tmpl w:val="1CD811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917350"/>
    <w:multiLevelType w:val="multilevel"/>
    <w:tmpl w:val="063EF31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E8305D"/>
    <w:multiLevelType w:val="multilevel"/>
    <w:tmpl w:val="1D8CFB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4C155D"/>
    <w:multiLevelType w:val="hybridMultilevel"/>
    <w:tmpl w:val="9CE44604"/>
    <w:lvl w:ilvl="0" w:tplc="B2FAC754">
      <w:start w:val="35"/>
      <w:numFmt w:val="bullet"/>
      <w:lvlText w:val=""/>
      <w:lvlJc w:val="left"/>
      <w:pPr>
        <w:ind w:left="720" w:hanging="360"/>
      </w:pPr>
      <w:rPr>
        <w:rFonts w:ascii="Wingdings" w:eastAsiaTheme="minorHAnsi" w:hAnsi="Wingdings" w:cs="Times New Roman"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CAC6C81"/>
    <w:multiLevelType w:val="multilevel"/>
    <w:tmpl w:val="D5CED6F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9">
    <w:nsid w:val="30707E1F"/>
    <w:multiLevelType w:val="hybridMultilevel"/>
    <w:tmpl w:val="F7540712"/>
    <w:lvl w:ilvl="0" w:tplc="8FA2ABB0">
      <w:start w:val="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1FB36D3"/>
    <w:multiLevelType w:val="hybridMultilevel"/>
    <w:tmpl w:val="03B69558"/>
    <w:lvl w:ilvl="0" w:tplc="0813000B">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3B43FC8"/>
    <w:multiLevelType w:val="hybridMultilevel"/>
    <w:tmpl w:val="83AA711A"/>
    <w:lvl w:ilvl="0" w:tplc="BAA4B7E0">
      <w:start w:val="2"/>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4613227"/>
    <w:multiLevelType w:val="hybridMultilevel"/>
    <w:tmpl w:val="535C4176"/>
    <w:lvl w:ilvl="0" w:tplc="85E8AE3A">
      <w:numFmt w:val="bullet"/>
      <w:lvlText w:val=""/>
      <w:lvlJc w:val="left"/>
      <w:pPr>
        <w:ind w:left="720" w:hanging="360"/>
      </w:pPr>
      <w:rPr>
        <w:rFonts w:ascii="Wingdings" w:eastAsia="SimSun"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3">
    <w:nsid w:val="34903315"/>
    <w:multiLevelType w:val="hybridMultilevel"/>
    <w:tmpl w:val="F9FAB6AC"/>
    <w:lvl w:ilvl="0" w:tplc="164CD7A2">
      <w:start w:val="5"/>
      <w:numFmt w:val="bullet"/>
      <w:lvlText w:val=""/>
      <w:lvlJc w:val="left"/>
      <w:pPr>
        <w:ind w:left="720" w:hanging="360"/>
      </w:pPr>
      <w:rPr>
        <w:rFonts w:ascii="Wingdings" w:eastAsiaTheme="minorEastAsia"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B170E91"/>
    <w:multiLevelType w:val="hybridMultilevel"/>
    <w:tmpl w:val="27507B90"/>
    <w:lvl w:ilvl="0" w:tplc="294215D6">
      <w:numFmt w:val="bullet"/>
      <w:lvlText w:val=""/>
      <w:lvlJc w:val="left"/>
      <w:pPr>
        <w:ind w:left="720" w:hanging="360"/>
      </w:pPr>
      <w:rPr>
        <w:rFonts w:ascii="Wingdings" w:eastAsiaTheme="minorEastAsia"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B7D3611"/>
    <w:multiLevelType w:val="multilevel"/>
    <w:tmpl w:val="D160E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A561D4"/>
    <w:multiLevelType w:val="hybridMultilevel"/>
    <w:tmpl w:val="D98682EC"/>
    <w:lvl w:ilvl="0" w:tplc="68306A34">
      <w:start w:val="1"/>
      <w:numFmt w:val="bullet"/>
      <w:lvlText w:val="-"/>
      <w:lvlJc w:val="left"/>
      <w:pPr>
        <w:tabs>
          <w:tab w:val="num" w:pos="720"/>
        </w:tabs>
        <w:ind w:left="720" w:hanging="360"/>
      </w:pPr>
      <w:rPr>
        <w:rFonts w:ascii="Courier New" w:eastAsia="Times New Roman" w:hAnsi="Courier New" w:cs="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50B74785"/>
    <w:multiLevelType w:val="hybridMultilevel"/>
    <w:tmpl w:val="99CC90AC"/>
    <w:lvl w:ilvl="0" w:tplc="2FD0BED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2280B03"/>
    <w:multiLevelType w:val="hybridMultilevel"/>
    <w:tmpl w:val="E11CA60A"/>
    <w:lvl w:ilvl="0" w:tplc="0813000B">
      <w:start w:val="4"/>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9892782"/>
    <w:multiLevelType w:val="multilevel"/>
    <w:tmpl w:val="C17085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516103"/>
    <w:multiLevelType w:val="multilevel"/>
    <w:tmpl w:val="E87EDDC2"/>
    <w:lvl w:ilvl="0">
      <w:start w:val="1"/>
      <w:numFmt w:val="decimal"/>
      <w:lvlText w:val="%1."/>
      <w:lvlJc w:val="left"/>
      <w:pPr>
        <w:ind w:left="1065"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4629"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11" w:hanging="1440"/>
      </w:pPr>
      <w:rPr>
        <w:rFonts w:hint="default"/>
      </w:rPr>
    </w:lvl>
    <w:lvl w:ilvl="7">
      <w:start w:val="1"/>
      <w:numFmt w:val="decimal"/>
      <w:isLgl/>
      <w:lvlText w:val="%1.%2.%3.%4.%5.%6.%7.%8"/>
      <w:lvlJc w:val="left"/>
      <w:pPr>
        <w:ind w:left="7122" w:hanging="1440"/>
      </w:pPr>
      <w:rPr>
        <w:rFonts w:hint="default"/>
      </w:rPr>
    </w:lvl>
    <w:lvl w:ilvl="8">
      <w:start w:val="1"/>
      <w:numFmt w:val="decimal"/>
      <w:isLgl/>
      <w:lvlText w:val="%1.%2.%3.%4.%5.%6.%7.%8.%9"/>
      <w:lvlJc w:val="left"/>
      <w:pPr>
        <w:ind w:left="8193" w:hanging="1800"/>
      </w:pPr>
      <w:rPr>
        <w:rFonts w:hint="default"/>
      </w:rPr>
    </w:lvl>
  </w:abstractNum>
  <w:abstractNum w:abstractNumId="31">
    <w:nsid w:val="63242DC4"/>
    <w:multiLevelType w:val="hybridMultilevel"/>
    <w:tmpl w:val="4512325E"/>
    <w:lvl w:ilvl="0" w:tplc="0813000B">
      <w:start w:val="5"/>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3866366"/>
    <w:multiLevelType w:val="hybridMultilevel"/>
    <w:tmpl w:val="BE92753A"/>
    <w:lvl w:ilvl="0" w:tplc="3E0CE480">
      <w:start w:val="1"/>
      <w:numFmt w:val="bullet"/>
      <w:lvlText w:val="-"/>
      <w:lvlJc w:val="left"/>
      <w:pPr>
        <w:tabs>
          <w:tab w:val="num" w:pos="720"/>
        </w:tabs>
        <w:ind w:left="720" w:hanging="360"/>
      </w:pPr>
      <w:rPr>
        <w:rFonts w:ascii="Times New Roman" w:eastAsia="SimSu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639354F2"/>
    <w:multiLevelType w:val="hybridMultilevel"/>
    <w:tmpl w:val="E4981FB0"/>
    <w:lvl w:ilvl="0" w:tplc="F6AAA2B8">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D736EE"/>
    <w:multiLevelType w:val="hybridMultilevel"/>
    <w:tmpl w:val="159A3988"/>
    <w:lvl w:ilvl="0" w:tplc="6A8E3016">
      <w:numFmt w:val="bullet"/>
      <w:lvlText w:val=""/>
      <w:lvlJc w:val="left"/>
      <w:pPr>
        <w:ind w:left="720" w:hanging="360"/>
      </w:pPr>
      <w:rPr>
        <w:rFonts w:ascii="Wingdings" w:eastAsiaTheme="minorEastAsia" w:hAnsi="Wingdings"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C177622"/>
    <w:multiLevelType w:val="multilevel"/>
    <w:tmpl w:val="9B6E447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D390355"/>
    <w:multiLevelType w:val="hybridMultilevel"/>
    <w:tmpl w:val="7E46D7FA"/>
    <w:lvl w:ilvl="0" w:tplc="0813000B">
      <w:start w:val="4"/>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DEF2AAF"/>
    <w:multiLevelType w:val="multilevel"/>
    <w:tmpl w:val="755A6A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18A03D7"/>
    <w:multiLevelType w:val="multilevel"/>
    <w:tmpl w:val="EAC2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B80CD1"/>
    <w:multiLevelType w:val="multilevel"/>
    <w:tmpl w:val="D4EE6672"/>
    <w:lvl w:ilvl="0">
      <w:start w:val="1"/>
      <w:numFmt w:val="decimal"/>
      <w:lvlText w:val="%1"/>
      <w:lvlJc w:val="left"/>
      <w:pPr>
        <w:ind w:left="480" w:hanging="480"/>
      </w:pPr>
      <w:rPr>
        <w:rFonts w:ascii="Times New Roman" w:hAnsi="Times New Roman" w:cs="Times New Roman" w:hint="default"/>
      </w:rPr>
    </w:lvl>
    <w:lvl w:ilvl="1">
      <w:start w:val="3"/>
      <w:numFmt w:val="decimal"/>
      <w:lvlText w:val="%1.%2"/>
      <w:lvlJc w:val="left"/>
      <w:pPr>
        <w:ind w:left="660" w:hanging="480"/>
      </w:pPr>
      <w:rPr>
        <w:rFonts w:ascii="Times New Roman" w:hAnsi="Times New Roman" w:cs="Times New Roman" w:hint="default"/>
      </w:rPr>
    </w:lvl>
    <w:lvl w:ilvl="2">
      <w:start w:val="2"/>
      <w:numFmt w:val="decimal"/>
      <w:lvlText w:val="%1.%2.%3"/>
      <w:lvlJc w:val="left"/>
      <w:pPr>
        <w:ind w:left="1080" w:hanging="720"/>
      </w:pPr>
      <w:rPr>
        <w:rFonts w:ascii="Times New Roman" w:hAnsi="Times New Roman" w:cs="Times New Roman" w:hint="default"/>
      </w:rPr>
    </w:lvl>
    <w:lvl w:ilvl="3">
      <w:start w:val="1"/>
      <w:numFmt w:val="decimal"/>
      <w:lvlText w:val="%1.%2.%3.%4"/>
      <w:lvlJc w:val="left"/>
      <w:pPr>
        <w:ind w:left="1260" w:hanging="720"/>
      </w:pPr>
      <w:rPr>
        <w:rFonts w:ascii="Times New Roman" w:hAnsi="Times New Roman" w:cs="Times New Roman" w:hint="default"/>
      </w:rPr>
    </w:lvl>
    <w:lvl w:ilvl="4">
      <w:start w:val="1"/>
      <w:numFmt w:val="decimal"/>
      <w:lvlText w:val="%1.%2.%3.%4.%5"/>
      <w:lvlJc w:val="left"/>
      <w:pPr>
        <w:ind w:left="1800" w:hanging="1080"/>
      </w:pPr>
      <w:rPr>
        <w:rFonts w:ascii="Times New Roman" w:hAnsi="Times New Roman" w:cs="Times New Roman" w:hint="default"/>
      </w:rPr>
    </w:lvl>
    <w:lvl w:ilvl="5">
      <w:start w:val="1"/>
      <w:numFmt w:val="decimal"/>
      <w:lvlText w:val="%1.%2.%3.%4.%5.%6"/>
      <w:lvlJc w:val="left"/>
      <w:pPr>
        <w:ind w:left="1980" w:hanging="1080"/>
      </w:pPr>
      <w:rPr>
        <w:rFonts w:ascii="Times New Roman" w:hAnsi="Times New Roman" w:cs="Times New Roman" w:hint="default"/>
      </w:rPr>
    </w:lvl>
    <w:lvl w:ilvl="6">
      <w:start w:val="1"/>
      <w:numFmt w:val="decimal"/>
      <w:lvlText w:val="%1.%2.%3.%4.%5.%6.%7"/>
      <w:lvlJc w:val="left"/>
      <w:pPr>
        <w:ind w:left="2520" w:hanging="1440"/>
      </w:pPr>
      <w:rPr>
        <w:rFonts w:ascii="Times New Roman" w:hAnsi="Times New Roman" w:cs="Times New Roman" w:hint="default"/>
      </w:rPr>
    </w:lvl>
    <w:lvl w:ilvl="7">
      <w:start w:val="1"/>
      <w:numFmt w:val="decimal"/>
      <w:lvlText w:val="%1.%2.%3.%4.%5.%6.%7.%8"/>
      <w:lvlJc w:val="left"/>
      <w:pPr>
        <w:ind w:left="2700" w:hanging="1440"/>
      </w:pPr>
      <w:rPr>
        <w:rFonts w:ascii="Times New Roman" w:hAnsi="Times New Roman" w:cs="Times New Roman" w:hint="default"/>
      </w:rPr>
    </w:lvl>
    <w:lvl w:ilvl="8">
      <w:start w:val="1"/>
      <w:numFmt w:val="decimal"/>
      <w:lvlText w:val="%1.%2.%3.%4.%5.%6.%7.%8.%9"/>
      <w:lvlJc w:val="left"/>
      <w:pPr>
        <w:ind w:left="3240" w:hanging="1800"/>
      </w:pPr>
      <w:rPr>
        <w:rFonts w:ascii="Times New Roman" w:hAnsi="Times New Roman" w:cs="Times New Roman" w:hint="default"/>
      </w:rPr>
    </w:lvl>
  </w:abstractNum>
  <w:abstractNum w:abstractNumId="40">
    <w:nsid w:val="7850736D"/>
    <w:multiLevelType w:val="hybridMultilevel"/>
    <w:tmpl w:val="037264A6"/>
    <w:lvl w:ilvl="0" w:tplc="2EE0AED0">
      <w:numFmt w:val="bullet"/>
      <w:lvlText w:val=""/>
      <w:lvlJc w:val="left"/>
      <w:pPr>
        <w:ind w:left="786" w:hanging="360"/>
      </w:pPr>
      <w:rPr>
        <w:rFonts w:ascii="Symbol" w:eastAsia="SimSun" w:hAnsi="Symbol" w:cs="Times New Roman"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41">
    <w:nsid w:val="79451FAC"/>
    <w:multiLevelType w:val="hybridMultilevel"/>
    <w:tmpl w:val="529EFF7A"/>
    <w:lvl w:ilvl="0" w:tplc="3616342E">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9AC18AF"/>
    <w:multiLevelType w:val="hybridMultilevel"/>
    <w:tmpl w:val="104C6EE0"/>
    <w:lvl w:ilvl="0" w:tplc="F22C32E6">
      <w:start w:val="3"/>
      <w:numFmt w:val="bullet"/>
      <w:lvlText w:val=""/>
      <w:lvlJc w:val="left"/>
      <w:pPr>
        <w:ind w:left="720" w:hanging="360"/>
      </w:pPr>
      <w:rPr>
        <w:rFonts w:ascii="Symbol" w:eastAsia="SimSu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7CA93D34"/>
    <w:multiLevelType w:val="hybridMultilevel"/>
    <w:tmpl w:val="90127E7C"/>
    <w:lvl w:ilvl="0" w:tplc="62C8ECEA">
      <w:start w:val="15"/>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7DC54075"/>
    <w:multiLevelType w:val="hybridMultilevel"/>
    <w:tmpl w:val="925A1C2A"/>
    <w:lvl w:ilvl="0" w:tplc="5088FDFE">
      <w:numFmt w:val="bullet"/>
      <w:lvlText w:val=""/>
      <w:lvlJc w:val="left"/>
      <w:pPr>
        <w:ind w:left="720" w:hanging="360"/>
      </w:pPr>
      <w:rPr>
        <w:rFonts w:ascii="Wingdings" w:eastAsia="SimSu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25"/>
  </w:num>
  <w:num w:numId="4">
    <w:abstractNumId w:val="18"/>
  </w:num>
  <w:num w:numId="5">
    <w:abstractNumId w:val="11"/>
  </w:num>
  <w:num w:numId="6">
    <w:abstractNumId w:val="7"/>
  </w:num>
  <w:num w:numId="7">
    <w:abstractNumId w:val="22"/>
  </w:num>
  <w:num w:numId="8">
    <w:abstractNumId w:val="39"/>
  </w:num>
  <w:num w:numId="9">
    <w:abstractNumId w:val="32"/>
  </w:num>
  <w:num w:numId="10">
    <w:abstractNumId w:val="35"/>
  </w:num>
  <w:num w:numId="11">
    <w:abstractNumId w:val="44"/>
  </w:num>
  <w:num w:numId="12">
    <w:abstractNumId w:val="12"/>
  </w:num>
  <w:num w:numId="13">
    <w:abstractNumId w:val="6"/>
  </w:num>
  <w:num w:numId="14">
    <w:abstractNumId w:val="29"/>
  </w:num>
  <w:num w:numId="15">
    <w:abstractNumId w:val="13"/>
  </w:num>
  <w:num w:numId="16">
    <w:abstractNumId w:val="21"/>
  </w:num>
  <w:num w:numId="17">
    <w:abstractNumId w:val="31"/>
  </w:num>
  <w:num w:numId="18">
    <w:abstractNumId w:val="3"/>
  </w:num>
  <w:num w:numId="19">
    <w:abstractNumId w:val="36"/>
  </w:num>
  <w:num w:numId="20">
    <w:abstractNumId w:val="28"/>
  </w:num>
  <w:num w:numId="21">
    <w:abstractNumId w:val="20"/>
  </w:num>
  <w:num w:numId="22">
    <w:abstractNumId w:val="8"/>
  </w:num>
  <w:num w:numId="23">
    <w:abstractNumId w:val="38"/>
  </w:num>
  <w:num w:numId="24">
    <w:abstractNumId w:val="33"/>
  </w:num>
  <w:num w:numId="25">
    <w:abstractNumId w:val="9"/>
  </w:num>
  <w:num w:numId="26">
    <w:abstractNumId w:val="5"/>
  </w:num>
  <w:num w:numId="27">
    <w:abstractNumId w:val="17"/>
  </w:num>
  <w:num w:numId="28">
    <w:abstractNumId w:val="10"/>
  </w:num>
  <w:num w:numId="29">
    <w:abstractNumId w:val="24"/>
  </w:num>
  <w:num w:numId="30">
    <w:abstractNumId w:val="16"/>
  </w:num>
  <w:num w:numId="31">
    <w:abstractNumId w:val="14"/>
  </w:num>
  <w:num w:numId="32">
    <w:abstractNumId w:val="37"/>
  </w:num>
  <w:num w:numId="33">
    <w:abstractNumId w:val="4"/>
  </w:num>
  <w:num w:numId="34">
    <w:abstractNumId w:val="41"/>
  </w:num>
  <w:num w:numId="35">
    <w:abstractNumId w:val="26"/>
  </w:num>
  <w:num w:numId="36">
    <w:abstractNumId w:val="1"/>
  </w:num>
  <w:num w:numId="37">
    <w:abstractNumId w:val="0"/>
  </w:num>
  <w:num w:numId="38">
    <w:abstractNumId w:val="43"/>
  </w:num>
  <w:num w:numId="39">
    <w:abstractNumId w:val="42"/>
  </w:num>
  <w:num w:numId="40">
    <w:abstractNumId w:val="40"/>
  </w:num>
  <w:num w:numId="41">
    <w:abstractNumId w:val="34"/>
  </w:num>
  <w:num w:numId="42">
    <w:abstractNumId w:val="15"/>
  </w:num>
  <w:num w:numId="43">
    <w:abstractNumId w:val="19"/>
  </w:num>
  <w:num w:numId="44">
    <w:abstractNumId w:val="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00"/>
    <w:rsid w:val="0000042A"/>
    <w:rsid w:val="00003861"/>
    <w:rsid w:val="00007BE7"/>
    <w:rsid w:val="00010909"/>
    <w:rsid w:val="00011654"/>
    <w:rsid w:val="0001293A"/>
    <w:rsid w:val="00013CF2"/>
    <w:rsid w:val="000141CB"/>
    <w:rsid w:val="00014D48"/>
    <w:rsid w:val="00022E98"/>
    <w:rsid w:val="0003154E"/>
    <w:rsid w:val="00037667"/>
    <w:rsid w:val="00040B8D"/>
    <w:rsid w:val="000523F5"/>
    <w:rsid w:val="00064F96"/>
    <w:rsid w:val="0007096A"/>
    <w:rsid w:val="00072730"/>
    <w:rsid w:val="0007364F"/>
    <w:rsid w:val="000828CD"/>
    <w:rsid w:val="00082E83"/>
    <w:rsid w:val="0009133E"/>
    <w:rsid w:val="000A0979"/>
    <w:rsid w:val="000A4883"/>
    <w:rsid w:val="000B0567"/>
    <w:rsid w:val="000B1446"/>
    <w:rsid w:val="000B2716"/>
    <w:rsid w:val="000B6F28"/>
    <w:rsid w:val="000C5CD7"/>
    <w:rsid w:val="000D5567"/>
    <w:rsid w:val="000D662A"/>
    <w:rsid w:val="000D708B"/>
    <w:rsid w:val="000E4BDA"/>
    <w:rsid w:val="000F3B3F"/>
    <w:rsid w:val="000F560E"/>
    <w:rsid w:val="000F5CF6"/>
    <w:rsid w:val="000F6CE3"/>
    <w:rsid w:val="000F7D93"/>
    <w:rsid w:val="00127B10"/>
    <w:rsid w:val="001304CF"/>
    <w:rsid w:val="0013513B"/>
    <w:rsid w:val="00143AD6"/>
    <w:rsid w:val="00146741"/>
    <w:rsid w:val="001475AA"/>
    <w:rsid w:val="0015724C"/>
    <w:rsid w:val="001615DA"/>
    <w:rsid w:val="001624FB"/>
    <w:rsid w:val="001A3EB6"/>
    <w:rsid w:val="001B5D08"/>
    <w:rsid w:val="001C0D44"/>
    <w:rsid w:val="001C548B"/>
    <w:rsid w:val="001E3B02"/>
    <w:rsid w:val="001E3B0A"/>
    <w:rsid w:val="00200D45"/>
    <w:rsid w:val="00221B97"/>
    <w:rsid w:val="00240D99"/>
    <w:rsid w:val="002541CA"/>
    <w:rsid w:val="00256FD8"/>
    <w:rsid w:val="0026274F"/>
    <w:rsid w:val="002649FD"/>
    <w:rsid w:val="002720ED"/>
    <w:rsid w:val="002726EE"/>
    <w:rsid w:val="002731EB"/>
    <w:rsid w:val="002736A0"/>
    <w:rsid w:val="00282D3F"/>
    <w:rsid w:val="00290A6E"/>
    <w:rsid w:val="00295721"/>
    <w:rsid w:val="00296EA5"/>
    <w:rsid w:val="002A214B"/>
    <w:rsid w:val="002A2D2F"/>
    <w:rsid w:val="002A4452"/>
    <w:rsid w:val="002B10DD"/>
    <w:rsid w:val="002B3CFE"/>
    <w:rsid w:val="002B73B6"/>
    <w:rsid w:val="002D23B9"/>
    <w:rsid w:val="002D2D48"/>
    <w:rsid w:val="002E01DF"/>
    <w:rsid w:val="002E22E4"/>
    <w:rsid w:val="002E6C99"/>
    <w:rsid w:val="002E6CAF"/>
    <w:rsid w:val="002E7E12"/>
    <w:rsid w:val="00304F3B"/>
    <w:rsid w:val="00304F9A"/>
    <w:rsid w:val="00305AE2"/>
    <w:rsid w:val="0030633C"/>
    <w:rsid w:val="003305AF"/>
    <w:rsid w:val="00331DDE"/>
    <w:rsid w:val="003456C0"/>
    <w:rsid w:val="003512D1"/>
    <w:rsid w:val="00353B4E"/>
    <w:rsid w:val="00355F83"/>
    <w:rsid w:val="0038253A"/>
    <w:rsid w:val="00390391"/>
    <w:rsid w:val="003A078C"/>
    <w:rsid w:val="003A20A6"/>
    <w:rsid w:val="003A35DF"/>
    <w:rsid w:val="003A3F31"/>
    <w:rsid w:val="003A670E"/>
    <w:rsid w:val="003A68A4"/>
    <w:rsid w:val="003A699C"/>
    <w:rsid w:val="003B63CF"/>
    <w:rsid w:val="003B725F"/>
    <w:rsid w:val="003C31C3"/>
    <w:rsid w:val="003D0CB3"/>
    <w:rsid w:val="003D2F61"/>
    <w:rsid w:val="003D69B2"/>
    <w:rsid w:val="003D7D00"/>
    <w:rsid w:val="003E1E00"/>
    <w:rsid w:val="003E39CF"/>
    <w:rsid w:val="00404B84"/>
    <w:rsid w:val="00412CF8"/>
    <w:rsid w:val="00424188"/>
    <w:rsid w:val="00426625"/>
    <w:rsid w:val="00430430"/>
    <w:rsid w:val="00436FB0"/>
    <w:rsid w:val="00443964"/>
    <w:rsid w:val="00444C4A"/>
    <w:rsid w:val="004457B4"/>
    <w:rsid w:val="00450A82"/>
    <w:rsid w:val="00453376"/>
    <w:rsid w:val="004551AA"/>
    <w:rsid w:val="0045602A"/>
    <w:rsid w:val="004575A6"/>
    <w:rsid w:val="00462319"/>
    <w:rsid w:val="004721B1"/>
    <w:rsid w:val="00476253"/>
    <w:rsid w:val="00476D03"/>
    <w:rsid w:val="00476D40"/>
    <w:rsid w:val="00483505"/>
    <w:rsid w:val="004A578F"/>
    <w:rsid w:val="004A6600"/>
    <w:rsid w:val="004C29AE"/>
    <w:rsid w:val="004C3BF6"/>
    <w:rsid w:val="004C516F"/>
    <w:rsid w:val="004C7924"/>
    <w:rsid w:val="004D09D9"/>
    <w:rsid w:val="004D6DB4"/>
    <w:rsid w:val="004D71CF"/>
    <w:rsid w:val="004E22A3"/>
    <w:rsid w:val="004E4D35"/>
    <w:rsid w:val="004F1A1D"/>
    <w:rsid w:val="0050088D"/>
    <w:rsid w:val="00512F99"/>
    <w:rsid w:val="00516F4E"/>
    <w:rsid w:val="00521D42"/>
    <w:rsid w:val="005232E7"/>
    <w:rsid w:val="00523401"/>
    <w:rsid w:val="005278FB"/>
    <w:rsid w:val="00531850"/>
    <w:rsid w:val="0054045F"/>
    <w:rsid w:val="00541977"/>
    <w:rsid w:val="00563687"/>
    <w:rsid w:val="00565E01"/>
    <w:rsid w:val="005760DA"/>
    <w:rsid w:val="00583AAB"/>
    <w:rsid w:val="00585CFE"/>
    <w:rsid w:val="00596833"/>
    <w:rsid w:val="005A0E00"/>
    <w:rsid w:val="005A14AA"/>
    <w:rsid w:val="005A1C51"/>
    <w:rsid w:val="005A51E0"/>
    <w:rsid w:val="005B524C"/>
    <w:rsid w:val="005C1A56"/>
    <w:rsid w:val="005D1B03"/>
    <w:rsid w:val="005D492E"/>
    <w:rsid w:val="005E39F6"/>
    <w:rsid w:val="005E3B3E"/>
    <w:rsid w:val="005E4A37"/>
    <w:rsid w:val="005F54E7"/>
    <w:rsid w:val="005F6991"/>
    <w:rsid w:val="0060172F"/>
    <w:rsid w:val="00642027"/>
    <w:rsid w:val="006478D4"/>
    <w:rsid w:val="00654170"/>
    <w:rsid w:val="00667C55"/>
    <w:rsid w:val="00675D2E"/>
    <w:rsid w:val="0067765F"/>
    <w:rsid w:val="006805B8"/>
    <w:rsid w:val="006932AD"/>
    <w:rsid w:val="006961D0"/>
    <w:rsid w:val="006A1B36"/>
    <w:rsid w:val="006A53E3"/>
    <w:rsid w:val="006A58E2"/>
    <w:rsid w:val="006B3547"/>
    <w:rsid w:val="006B4C46"/>
    <w:rsid w:val="006C3282"/>
    <w:rsid w:val="006C61C3"/>
    <w:rsid w:val="006C7CDF"/>
    <w:rsid w:val="006D1556"/>
    <w:rsid w:val="006D43A9"/>
    <w:rsid w:val="006D443A"/>
    <w:rsid w:val="006E7F82"/>
    <w:rsid w:val="006F2926"/>
    <w:rsid w:val="00701B52"/>
    <w:rsid w:val="00724382"/>
    <w:rsid w:val="00734F69"/>
    <w:rsid w:val="00735B9C"/>
    <w:rsid w:val="007450BA"/>
    <w:rsid w:val="00751706"/>
    <w:rsid w:val="00751F06"/>
    <w:rsid w:val="007528C0"/>
    <w:rsid w:val="00753C72"/>
    <w:rsid w:val="00753DF8"/>
    <w:rsid w:val="00757A86"/>
    <w:rsid w:val="00766694"/>
    <w:rsid w:val="007823BD"/>
    <w:rsid w:val="00783316"/>
    <w:rsid w:val="007834B7"/>
    <w:rsid w:val="00783C56"/>
    <w:rsid w:val="007866A1"/>
    <w:rsid w:val="0078705C"/>
    <w:rsid w:val="00787A10"/>
    <w:rsid w:val="00791911"/>
    <w:rsid w:val="007943D4"/>
    <w:rsid w:val="00795B82"/>
    <w:rsid w:val="00797772"/>
    <w:rsid w:val="007B120C"/>
    <w:rsid w:val="007D5D96"/>
    <w:rsid w:val="007E429E"/>
    <w:rsid w:val="008067E0"/>
    <w:rsid w:val="00812228"/>
    <w:rsid w:val="00821CCB"/>
    <w:rsid w:val="00824BFB"/>
    <w:rsid w:val="00835AD4"/>
    <w:rsid w:val="00840D1B"/>
    <w:rsid w:val="0085254A"/>
    <w:rsid w:val="0085282A"/>
    <w:rsid w:val="00854FF3"/>
    <w:rsid w:val="00856C2D"/>
    <w:rsid w:val="00857851"/>
    <w:rsid w:val="00863BBE"/>
    <w:rsid w:val="00865F01"/>
    <w:rsid w:val="00866538"/>
    <w:rsid w:val="00870A3B"/>
    <w:rsid w:val="00882424"/>
    <w:rsid w:val="00883F4D"/>
    <w:rsid w:val="008870F0"/>
    <w:rsid w:val="008A3394"/>
    <w:rsid w:val="008A7CE9"/>
    <w:rsid w:val="008B2418"/>
    <w:rsid w:val="008B3484"/>
    <w:rsid w:val="008B4B4E"/>
    <w:rsid w:val="008B7F57"/>
    <w:rsid w:val="008C135C"/>
    <w:rsid w:val="008D269B"/>
    <w:rsid w:val="008D439D"/>
    <w:rsid w:val="008F15B6"/>
    <w:rsid w:val="00906FA6"/>
    <w:rsid w:val="00910E34"/>
    <w:rsid w:val="00912968"/>
    <w:rsid w:val="00921F71"/>
    <w:rsid w:val="00935E88"/>
    <w:rsid w:val="0094168D"/>
    <w:rsid w:val="00953680"/>
    <w:rsid w:val="00953CC4"/>
    <w:rsid w:val="00962948"/>
    <w:rsid w:val="00967506"/>
    <w:rsid w:val="009744EE"/>
    <w:rsid w:val="00974D83"/>
    <w:rsid w:val="00975170"/>
    <w:rsid w:val="0097613E"/>
    <w:rsid w:val="00981978"/>
    <w:rsid w:val="0098306A"/>
    <w:rsid w:val="009831DB"/>
    <w:rsid w:val="009931C7"/>
    <w:rsid w:val="00996374"/>
    <w:rsid w:val="009963A5"/>
    <w:rsid w:val="009A085B"/>
    <w:rsid w:val="009A4620"/>
    <w:rsid w:val="009A5995"/>
    <w:rsid w:val="009B1392"/>
    <w:rsid w:val="009B5D2F"/>
    <w:rsid w:val="009B6657"/>
    <w:rsid w:val="009B762A"/>
    <w:rsid w:val="009C5DA5"/>
    <w:rsid w:val="009D0223"/>
    <w:rsid w:val="009D1055"/>
    <w:rsid w:val="009D11A3"/>
    <w:rsid w:val="009D5546"/>
    <w:rsid w:val="009E35A1"/>
    <w:rsid w:val="009E735B"/>
    <w:rsid w:val="009E75A2"/>
    <w:rsid w:val="009F5B07"/>
    <w:rsid w:val="009F6B6A"/>
    <w:rsid w:val="009F7791"/>
    <w:rsid w:val="00A026A5"/>
    <w:rsid w:val="00A028B7"/>
    <w:rsid w:val="00A0619E"/>
    <w:rsid w:val="00A11D8E"/>
    <w:rsid w:val="00A12801"/>
    <w:rsid w:val="00A13446"/>
    <w:rsid w:val="00A32E9A"/>
    <w:rsid w:val="00A340F5"/>
    <w:rsid w:val="00A4570C"/>
    <w:rsid w:val="00A45B17"/>
    <w:rsid w:val="00A46AAF"/>
    <w:rsid w:val="00A46F95"/>
    <w:rsid w:val="00A50151"/>
    <w:rsid w:val="00A51146"/>
    <w:rsid w:val="00A5167B"/>
    <w:rsid w:val="00A6036D"/>
    <w:rsid w:val="00A732E9"/>
    <w:rsid w:val="00A74FE1"/>
    <w:rsid w:val="00A81D43"/>
    <w:rsid w:val="00A82BBD"/>
    <w:rsid w:val="00A8327E"/>
    <w:rsid w:val="00A90A91"/>
    <w:rsid w:val="00A914F1"/>
    <w:rsid w:val="00A94AE6"/>
    <w:rsid w:val="00AA7AD3"/>
    <w:rsid w:val="00AC68DA"/>
    <w:rsid w:val="00AD11F8"/>
    <w:rsid w:val="00AD292F"/>
    <w:rsid w:val="00AD5729"/>
    <w:rsid w:val="00AD584C"/>
    <w:rsid w:val="00AE0B9E"/>
    <w:rsid w:val="00AE29DB"/>
    <w:rsid w:val="00AF0E38"/>
    <w:rsid w:val="00AF492F"/>
    <w:rsid w:val="00B0088F"/>
    <w:rsid w:val="00B03B82"/>
    <w:rsid w:val="00B03BC2"/>
    <w:rsid w:val="00B03C1B"/>
    <w:rsid w:val="00B14C13"/>
    <w:rsid w:val="00B20EAB"/>
    <w:rsid w:val="00B30A34"/>
    <w:rsid w:val="00B53373"/>
    <w:rsid w:val="00B540A4"/>
    <w:rsid w:val="00B557B7"/>
    <w:rsid w:val="00B63E10"/>
    <w:rsid w:val="00B70F0E"/>
    <w:rsid w:val="00B75A46"/>
    <w:rsid w:val="00B75D72"/>
    <w:rsid w:val="00B77DC7"/>
    <w:rsid w:val="00B8263D"/>
    <w:rsid w:val="00B84A5D"/>
    <w:rsid w:val="00B93B91"/>
    <w:rsid w:val="00B9762E"/>
    <w:rsid w:val="00BA649D"/>
    <w:rsid w:val="00BA7BEA"/>
    <w:rsid w:val="00BB0A2D"/>
    <w:rsid w:val="00BB335D"/>
    <w:rsid w:val="00BB6978"/>
    <w:rsid w:val="00BC15DB"/>
    <w:rsid w:val="00BC7A08"/>
    <w:rsid w:val="00BE059D"/>
    <w:rsid w:val="00BE3AFF"/>
    <w:rsid w:val="00BE6BB0"/>
    <w:rsid w:val="00BF67CD"/>
    <w:rsid w:val="00C04265"/>
    <w:rsid w:val="00C1389C"/>
    <w:rsid w:val="00C166F6"/>
    <w:rsid w:val="00C2188C"/>
    <w:rsid w:val="00C36939"/>
    <w:rsid w:val="00C5223F"/>
    <w:rsid w:val="00C60601"/>
    <w:rsid w:val="00C6426E"/>
    <w:rsid w:val="00C71467"/>
    <w:rsid w:val="00C923EA"/>
    <w:rsid w:val="00C92BE7"/>
    <w:rsid w:val="00C94209"/>
    <w:rsid w:val="00CA1E7B"/>
    <w:rsid w:val="00CA3838"/>
    <w:rsid w:val="00CA6547"/>
    <w:rsid w:val="00CA68B5"/>
    <w:rsid w:val="00CB3C3E"/>
    <w:rsid w:val="00CB4956"/>
    <w:rsid w:val="00CC43B8"/>
    <w:rsid w:val="00CE2CBF"/>
    <w:rsid w:val="00CE57E3"/>
    <w:rsid w:val="00CF5F9D"/>
    <w:rsid w:val="00D147A7"/>
    <w:rsid w:val="00D20C20"/>
    <w:rsid w:val="00D22DD5"/>
    <w:rsid w:val="00D25C0E"/>
    <w:rsid w:val="00D2734C"/>
    <w:rsid w:val="00D277FD"/>
    <w:rsid w:val="00D55544"/>
    <w:rsid w:val="00D57D6F"/>
    <w:rsid w:val="00D61A21"/>
    <w:rsid w:val="00D84B0C"/>
    <w:rsid w:val="00D87E2F"/>
    <w:rsid w:val="00D939AB"/>
    <w:rsid w:val="00DA36C8"/>
    <w:rsid w:val="00DB6BB5"/>
    <w:rsid w:val="00DD6861"/>
    <w:rsid w:val="00DE1B2C"/>
    <w:rsid w:val="00DE5D2F"/>
    <w:rsid w:val="00DE6765"/>
    <w:rsid w:val="00DF2357"/>
    <w:rsid w:val="00E02696"/>
    <w:rsid w:val="00E14D0C"/>
    <w:rsid w:val="00E333B6"/>
    <w:rsid w:val="00E3749F"/>
    <w:rsid w:val="00E40390"/>
    <w:rsid w:val="00E41CFB"/>
    <w:rsid w:val="00E45AF3"/>
    <w:rsid w:val="00E47520"/>
    <w:rsid w:val="00E514B2"/>
    <w:rsid w:val="00E525B8"/>
    <w:rsid w:val="00E5322C"/>
    <w:rsid w:val="00E55649"/>
    <w:rsid w:val="00E57C39"/>
    <w:rsid w:val="00E627C2"/>
    <w:rsid w:val="00E64F60"/>
    <w:rsid w:val="00E66C6D"/>
    <w:rsid w:val="00E7375C"/>
    <w:rsid w:val="00E80312"/>
    <w:rsid w:val="00E8240F"/>
    <w:rsid w:val="00E82D16"/>
    <w:rsid w:val="00EA59BB"/>
    <w:rsid w:val="00EB5E36"/>
    <w:rsid w:val="00EB78D9"/>
    <w:rsid w:val="00EC4D6E"/>
    <w:rsid w:val="00EC699C"/>
    <w:rsid w:val="00EC69E8"/>
    <w:rsid w:val="00EE4FA6"/>
    <w:rsid w:val="00EE7B78"/>
    <w:rsid w:val="00EF42C0"/>
    <w:rsid w:val="00EF4A95"/>
    <w:rsid w:val="00EF7F57"/>
    <w:rsid w:val="00F116AF"/>
    <w:rsid w:val="00F12CF6"/>
    <w:rsid w:val="00F156B1"/>
    <w:rsid w:val="00F169F7"/>
    <w:rsid w:val="00F22E91"/>
    <w:rsid w:val="00F36FC3"/>
    <w:rsid w:val="00F450D5"/>
    <w:rsid w:val="00F62081"/>
    <w:rsid w:val="00F71556"/>
    <w:rsid w:val="00F72C4B"/>
    <w:rsid w:val="00F747B7"/>
    <w:rsid w:val="00F835F0"/>
    <w:rsid w:val="00F84455"/>
    <w:rsid w:val="00F857AB"/>
    <w:rsid w:val="00F96F69"/>
    <w:rsid w:val="00FA6686"/>
    <w:rsid w:val="00FB2F64"/>
    <w:rsid w:val="00FB36A4"/>
    <w:rsid w:val="00FB3F97"/>
    <w:rsid w:val="00FB78F8"/>
    <w:rsid w:val="00FC2956"/>
    <w:rsid w:val="00FC6BF7"/>
    <w:rsid w:val="00FC7DAD"/>
    <w:rsid w:val="00FD1626"/>
    <w:rsid w:val="00FD55D4"/>
    <w:rsid w:val="00FF0BAB"/>
    <w:rsid w:val="00FF2720"/>
    <w:rsid w:val="00FF47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1E00"/>
    <w:pPr>
      <w:widowControl w:val="0"/>
      <w:suppressAutoHyphens/>
      <w:spacing w:after="0" w:line="240" w:lineRule="auto"/>
    </w:pPr>
    <w:rPr>
      <w:rFonts w:ascii="Times New Roman" w:eastAsia="SimSun" w:hAnsi="Times New Roman" w:cs="Times New Roman"/>
      <w:kern w:val="1"/>
      <w:sz w:val="24"/>
      <w:szCs w:val="24"/>
      <w:lang w:eastAsia="hi-IN" w:bidi="hi-IN"/>
    </w:rPr>
  </w:style>
  <w:style w:type="paragraph" w:styleId="Kop2">
    <w:name w:val="heading 2"/>
    <w:basedOn w:val="Standaard"/>
    <w:link w:val="Kop2Char"/>
    <w:uiPriority w:val="9"/>
    <w:qFormat/>
    <w:rsid w:val="009931C7"/>
    <w:pPr>
      <w:widowControl/>
      <w:suppressAutoHyphens w:val="0"/>
      <w:spacing w:before="100" w:beforeAutospacing="1" w:after="100" w:afterAutospacing="1"/>
      <w:outlineLvl w:val="1"/>
    </w:pPr>
    <w:rPr>
      <w:rFonts w:eastAsia="Times New Roman"/>
      <w:b/>
      <w:bCs/>
      <w:kern w:val="0"/>
      <w:sz w:val="36"/>
      <w:szCs w:val="36"/>
      <w:lang w:eastAsia="nl-BE" w:bidi="ar-SA"/>
    </w:rPr>
  </w:style>
  <w:style w:type="paragraph" w:styleId="Kop3">
    <w:name w:val="heading 3"/>
    <w:basedOn w:val="Standaard"/>
    <w:next w:val="Standaard"/>
    <w:link w:val="Kop3Char"/>
    <w:qFormat/>
    <w:rsid w:val="009931C7"/>
    <w:pPr>
      <w:keepNext/>
      <w:widowControl/>
      <w:suppressAutoHyphens w:val="0"/>
      <w:spacing w:before="240" w:after="60" w:line="240" w:lineRule="atLeast"/>
      <w:outlineLvl w:val="2"/>
    </w:pPr>
    <w:rPr>
      <w:rFonts w:ascii="Arial" w:hAnsi="Arial" w:cs="Arial"/>
      <w:b/>
      <w:bCs/>
      <w:sz w:val="26"/>
      <w:szCs w:val="26"/>
    </w:rPr>
  </w:style>
  <w:style w:type="paragraph" w:styleId="Kop4">
    <w:name w:val="heading 4"/>
    <w:basedOn w:val="Standaard"/>
    <w:next w:val="Standaard"/>
    <w:link w:val="Kop4Char"/>
    <w:uiPriority w:val="9"/>
    <w:semiHidden/>
    <w:unhideWhenUsed/>
    <w:qFormat/>
    <w:rsid w:val="009931C7"/>
    <w:pPr>
      <w:keepNext/>
      <w:widowControl/>
      <w:suppressAutoHyphens w:val="0"/>
      <w:spacing w:before="240" w:after="60" w:line="240" w:lineRule="atLeast"/>
      <w:outlineLvl w:val="3"/>
    </w:pPr>
    <w:rPr>
      <w:rFonts w:ascii="Calibri" w:eastAsia="Times New Roman" w:hAnsi="Calibri" w:cs="Mangal"/>
      <w:b/>
      <w:bCs/>
      <w:sz w:val="28"/>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E1E00"/>
    <w:pPr>
      <w:spacing w:after="0" w:line="240" w:lineRule="auto"/>
    </w:pPr>
    <w:rPr>
      <w:rFonts w:ascii="Calibri" w:eastAsia="SimSun" w:hAnsi="Calibri" w:cs="Calibri"/>
    </w:rPr>
  </w:style>
  <w:style w:type="character" w:customStyle="1" w:styleId="WW8Num7z0">
    <w:name w:val="WW8Num7z0"/>
    <w:rsid w:val="003E1E00"/>
    <w:rPr>
      <w:rFonts w:ascii="Symbol" w:hAnsi="Symbol" w:cs="OpenSymbol"/>
    </w:rPr>
  </w:style>
  <w:style w:type="paragraph" w:customStyle="1" w:styleId="Geenafstand1">
    <w:name w:val="Geen afstand1"/>
    <w:rsid w:val="003E1E00"/>
    <w:pPr>
      <w:suppressAutoHyphens/>
      <w:spacing w:after="0" w:line="240" w:lineRule="auto"/>
    </w:pPr>
    <w:rPr>
      <w:rFonts w:ascii="Calibri" w:eastAsia="Calibri" w:hAnsi="Calibri" w:cs="Times New Roman"/>
      <w:lang w:eastAsia="ar-SA"/>
    </w:rPr>
  </w:style>
  <w:style w:type="character" w:customStyle="1" w:styleId="apple-converted-space">
    <w:name w:val="apple-converted-space"/>
    <w:uiPriority w:val="99"/>
    <w:rsid w:val="003E1E00"/>
  </w:style>
  <w:style w:type="paragraph" w:styleId="Koptekst">
    <w:name w:val="header"/>
    <w:basedOn w:val="Standaard"/>
    <w:link w:val="KoptekstChar"/>
    <w:uiPriority w:val="99"/>
    <w:unhideWhenUsed/>
    <w:rsid w:val="003E1E00"/>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3E1E00"/>
    <w:rPr>
      <w:rFonts w:ascii="Times New Roman" w:eastAsia="SimSun" w:hAnsi="Times New Roman" w:cs="Mangal"/>
      <w:kern w:val="1"/>
      <w:sz w:val="24"/>
      <w:szCs w:val="21"/>
      <w:lang w:eastAsia="hi-IN" w:bidi="hi-IN"/>
    </w:rPr>
  </w:style>
  <w:style w:type="paragraph" w:styleId="Voettekst">
    <w:name w:val="footer"/>
    <w:basedOn w:val="Standaard"/>
    <w:link w:val="VoettekstChar"/>
    <w:uiPriority w:val="99"/>
    <w:unhideWhenUsed/>
    <w:rsid w:val="003E1E00"/>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3E1E00"/>
    <w:rPr>
      <w:rFonts w:ascii="Times New Roman" w:eastAsia="SimSun" w:hAnsi="Times New Roman" w:cs="Mangal"/>
      <w:kern w:val="1"/>
      <w:sz w:val="24"/>
      <w:szCs w:val="21"/>
      <w:lang w:eastAsia="hi-IN" w:bidi="hi-IN"/>
    </w:rPr>
  </w:style>
  <w:style w:type="character" w:customStyle="1" w:styleId="GeenafstandChar">
    <w:name w:val="Geen afstand Char"/>
    <w:link w:val="Geenafstand"/>
    <w:uiPriority w:val="1"/>
    <w:rsid w:val="003E1E00"/>
    <w:rPr>
      <w:rFonts w:ascii="Calibri" w:eastAsia="SimSun" w:hAnsi="Calibri" w:cs="Calibri"/>
    </w:rPr>
  </w:style>
  <w:style w:type="character" w:styleId="Nadruk">
    <w:name w:val="Emphasis"/>
    <w:uiPriority w:val="99"/>
    <w:qFormat/>
    <w:rsid w:val="003E1E00"/>
    <w:rPr>
      <w:i/>
      <w:iCs/>
    </w:rPr>
  </w:style>
  <w:style w:type="paragraph" w:styleId="Voetnoottekst">
    <w:name w:val="footnote text"/>
    <w:basedOn w:val="Standaard"/>
    <w:link w:val="VoetnoottekstChar"/>
    <w:uiPriority w:val="99"/>
    <w:unhideWhenUsed/>
    <w:rsid w:val="003E1E00"/>
    <w:pPr>
      <w:widowControl/>
      <w:suppressAutoHyphens w:val="0"/>
    </w:pPr>
    <w:rPr>
      <w:rFonts w:ascii="Calibri" w:eastAsia="Calibri" w:hAnsi="Calibri"/>
      <w:kern w:val="0"/>
      <w:sz w:val="20"/>
      <w:szCs w:val="20"/>
      <w:lang w:eastAsia="en-US" w:bidi="ar-SA"/>
    </w:rPr>
  </w:style>
  <w:style w:type="character" w:customStyle="1" w:styleId="VoetnoottekstChar">
    <w:name w:val="Voetnoottekst Char"/>
    <w:basedOn w:val="Standaardalinea-lettertype"/>
    <w:link w:val="Voetnoottekst"/>
    <w:uiPriority w:val="99"/>
    <w:rsid w:val="003E1E00"/>
    <w:rPr>
      <w:rFonts w:ascii="Calibri" w:eastAsia="Calibri" w:hAnsi="Calibri" w:cs="Times New Roman"/>
      <w:sz w:val="20"/>
      <w:szCs w:val="20"/>
    </w:rPr>
  </w:style>
  <w:style w:type="character" w:styleId="Voetnootmarkering">
    <w:name w:val="footnote reference"/>
    <w:uiPriority w:val="99"/>
    <w:unhideWhenUsed/>
    <w:rsid w:val="003E1E00"/>
    <w:rPr>
      <w:vertAlign w:val="superscript"/>
    </w:rPr>
  </w:style>
  <w:style w:type="character" w:styleId="Hyperlink">
    <w:name w:val="Hyperlink"/>
    <w:uiPriority w:val="99"/>
    <w:unhideWhenUsed/>
    <w:rsid w:val="003E1E00"/>
    <w:rPr>
      <w:color w:val="0000FF"/>
      <w:u w:val="single"/>
    </w:rPr>
  </w:style>
  <w:style w:type="paragraph" w:styleId="Ballontekst">
    <w:name w:val="Balloon Text"/>
    <w:basedOn w:val="Standaard"/>
    <w:link w:val="BallontekstChar"/>
    <w:uiPriority w:val="99"/>
    <w:semiHidden/>
    <w:unhideWhenUsed/>
    <w:rsid w:val="003E1E00"/>
    <w:rPr>
      <w:rFonts w:ascii="Tahoma" w:hAnsi="Tahoma" w:cs="Mangal"/>
      <w:sz w:val="16"/>
      <w:szCs w:val="14"/>
    </w:rPr>
  </w:style>
  <w:style w:type="character" w:customStyle="1" w:styleId="BallontekstChar">
    <w:name w:val="Ballontekst Char"/>
    <w:basedOn w:val="Standaardalinea-lettertype"/>
    <w:link w:val="Ballontekst"/>
    <w:uiPriority w:val="99"/>
    <w:semiHidden/>
    <w:rsid w:val="003E1E00"/>
    <w:rPr>
      <w:rFonts w:ascii="Tahoma" w:eastAsia="SimSun" w:hAnsi="Tahoma" w:cs="Mangal"/>
      <w:kern w:val="1"/>
      <w:sz w:val="16"/>
      <w:szCs w:val="14"/>
      <w:lang w:eastAsia="hi-IN" w:bidi="hi-IN"/>
    </w:rPr>
  </w:style>
  <w:style w:type="character" w:customStyle="1" w:styleId="Kop3Char">
    <w:name w:val="Kop 3 Char"/>
    <w:basedOn w:val="Standaardalinea-lettertype"/>
    <w:link w:val="Kop3"/>
    <w:rsid w:val="009931C7"/>
    <w:rPr>
      <w:rFonts w:ascii="Arial" w:eastAsia="SimSun" w:hAnsi="Arial" w:cs="Arial"/>
      <w:b/>
      <w:bCs/>
      <w:kern w:val="1"/>
      <w:sz w:val="26"/>
      <w:szCs w:val="26"/>
      <w:lang w:eastAsia="hi-IN" w:bidi="hi-IN"/>
    </w:rPr>
  </w:style>
  <w:style w:type="character" w:customStyle="1" w:styleId="Kop4Char">
    <w:name w:val="Kop 4 Char"/>
    <w:basedOn w:val="Standaardalinea-lettertype"/>
    <w:link w:val="Kop4"/>
    <w:uiPriority w:val="9"/>
    <w:semiHidden/>
    <w:rsid w:val="009931C7"/>
    <w:rPr>
      <w:rFonts w:ascii="Calibri" w:eastAsia="Times New Roman" w:hAnsi="Calibri" w:cs="Mangal"/>
      <w:b/>
      <w:bCs/>
      <w:kern w:val="1"/>
      <w:sz w:val="28"/>
      <w:szCs w:val="25"/>
      <w:lang w:eastAsia="hi-IN" w:bidi="hi-IN"/>
    </w:rPr>
  </w:style>
  <w:style w:type="numbering" w:customStyle="1" w:styleId="Geenlijst1">
    <w:name w:val="Geen lijst1"/>
    <w:next w:val="Geenlijst"/>
    <w:uiPriority w:val="99"/>
    <w:semiHidden/>
    <w:unhideWhenUsed/>
    <w:rsid w:val="009931C7"/>
  </w:style>
  <w:style w:type="paragraph" w:styleId="Lijstalinea">
    <w:name w:val="List Paragraph"/>
    <w:basedOn w:val="Standaard"/>
    <w:uiPriority w:val="34"/>
    <w:qFormat/>
    <w:rsid w:val="009931C7"/>
    <w:pPr>
      <w:widowControl/>
      <w:suppressAutoHyphens w:val="0"/>
      <w:spacing w:line="240" w:lineRule="atLeast"/>
      <w:ind w:left="720"/>
    </w:pPr>
  </w:style>
  <w:style w:type="character" w:customStyle="1" w:styleId="hps">
    <w:name w:val="hps"/>
    <w:uiPriority w:val="99"/>
    <w:rsid w:val="009931C7"/>
    <w:rPr>
      <w:rFonts w:ascii="Times New Roman" w:hAnsi="Times New Roman" w:cs="Times New Roman"/>
    </w:rPr>
  </w:style>
  <w:style w:type="paragraph" w:customStyle="1" w:styleId="Geenafstand2">
    <w:name w:val="Geen afstand2"/>
    <w:uiPriority w:val="99"/>
    <w:rsid w:val="009931C7"/>
    <w:pPr>
      <w:spacing w:after="0" w:line="240" w:lineRule="auto"/>
    </w:pPr>
    <w:rPr>
      <w:rFonts w:ascii="Calibri" w:eastAsia="SimSun" w:hAnsi="Calibri" w:cs="Calibri"/>
    </w:rPr>
  </w:style>
  <w:style w:type="character" w:styleId="GevolgdeHyperlink">
    <w:name w:val="FollowedHyperlink"/>
    <w:uiPriority w:val="99"/>
    <w:rsid w:val="009931C7"/>
    <w:rPr>
      <w:color w:val="800080"/>
      <w:u w:val="single"/>
    </w:rPr>
  </w:style>
  <w:style w:type="table" w:styleId="Tabelraster">
    <w:name w:val="Table Grid"/>
    <w:basedOn w:val="Standaardtabel"/>
    <w:uiPriority w:val="59"/>
    <w:rsid w:val="009931C7"/>
    <w:pPr>
      <w:spacing w:after="0" w:line="240" w:lineRule="auto"/>
    </w:pPr>
    <w:rPr>
      <w:rFonts w:ascii="Calibri" w:eastAsia="Times New Roman" w:hAnsi="Calibri" w:cs="Times New Roman"/>
      <w:sz w:val="20"/>
      <w:szCs w:val="20"/>
      <w:lang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9931C7"/>
    <w:rPr>
      <w:rFonts w:ascii="Times New Roman" w:eastAsia="Times New Roman" w:hAnsi="Times New Roman" w:cs="Times New Roman"/>
      <w:b/>
      <w:bCs/>
      <w:sz w:val="36"/>
      <w:szCs w:val="36"/>
      <w:lang w:eastAsia="nl-BE"/>
    </w:rPr>
  </w:style>
  <w:style w:type="paragraph" w:styleId="Bijschrift">
    <w:name w:val="caption"/>
    <w:basedOn w:val="Standaard"/>
    <w:next w:val="Standaard"/>
    <w:uiPriority w:val="99"/>
    <w:qFormat/>
    <w:rsid w:val="009931C7"/>
    <w:pPr>
      <w:widowControl/>
      <w:tabs>
        <w:tab w:val="left" w:pos="720"/>
        <w:tab w:val="left" w:pos="3420"/>
        <w:tab w:val="left" w:pos="6480"/>
      </w:tabs>
      <w:suppressAutoHyphens w:val="0"/>
      <w:ind w:right="-108"/>
      <w:jc w:val="both"/>
    </w:pPr>
    <w:rPr>
      <w:rFonts w:ascii="Arial" w:eastAsia="Times New Roman" w:hAnsi="Arial"/>
      <w:b/>
      <w:bCs/>
      <w:kern w:val="0"/>
      <w:sz w:val="20"/>
      <w:szCs w:val="20"/>
      <w:lang w:val="fr-BE" w:eastAsia="en-US" w:bidi="ar-SA"/>
    </w:rPr>
  </w:style>
  <w:style w:type="character" w:styleId="Zwaar">
    <w:name w:val="Strong"/>
    <w:basedOn w:val="Standaardalinea-lettertype"/>
    <w:uiPriority w:val="99"/>
    <w:qFormat/>
    <w:rsid w:val="009931C7"/>
    <w:rPr>
      <w:b/>
      <w:bCs/>
    </w:rPr>
  </w:style>
  <w:style w:type="paragraph" w:styleId="Normaalweb">
    <w:name w:val="Normal (Web)"/>
    <w:basedOn w:val="Standaard"/>
    <w:uiPriority w:val="99"/>
    <w:semiHidden/>
    <w:unhideWhenUsed/>
    <w:rsid w:val="009931C7"/>
    <w:pPr>
      <w:widowControl/>
      <w:suppressAutoHyphens w:val="0"/>
      <w:spacing w:before="100" w:beforeAutospacing="1" w:after="100" w:afterAutospacing="1"/>
    </w:pPr>
    <w:rPr>
      <w:rFonts w:eastAsia="Times New Roman"/>
      <w:kern w:val="0"/>
      <w:lang w:eastAsia="nl-BE" w:bidi="ar-SA"/>
    </w:rPr>
  </w:style>
  <w:style w:type="character" w:styleId="Verwijzingopmerking">
    <w:name w:val="annotation reference"/>
    <w:basedOn w:val="Standaardalinea-lettertype"/>
    <w:uiPriority w:val="99"/>
    <w:semiHidden/>
    <w:unhideWhenUsed/>
    <w:rsid w:val="009931C7"/>
    <w:rPr>
      <w:sz w:val="16"/>
      <w:szCs w:val="16"/>
    </w:rPr>
  </w:style>
  <w:style w:type="paragraph" w:styleId="Tekstopmerking">
    <w:name w:val="annotation text"/>
    <w:basedOn w:val="Standaard"/>
    <w:link w:val="TekstopmerkingChar"/>
    <w:uiPriority w:val="99"/>
    <w:semiHidden/>
    <w:unhideWhenUsed/>
    <w:rsid w:val="009931C7"/>
    <w:pPr>
      <w:widowControl/>
      <w:suppressAutoHyphens w:val="0"/>
      <w:spacing w:after="200"/>
    </w:pPr>
    <w:rPr>
      <w:rFonts w:asciiTheme="minorHAnsi" w:eastAsiaTheme="minorHAnsi" w:hAnsiTheme="minorHAnsi" w:cstheme="minorBidi"/>
      <w:kern w:val="0"/>
      <w:sz w:val="20"/>
      <w:szCs w:val="20"/>
      <w:lang w:eastAsia="en-US" w:bidi="ar-SA"/>
    </w:rPr>
  </w:style>
  <w:style w:type="character" w:customStyle="1" w:styleId="TekstopmerkingChar">
    <w:name w:val="Tekst opmerking Char"/>
    <w:basedOn w:val="Standaardalinea-lettertype"/>
    <w:link w:val="Tekstopmerking"/>
    <w:uiPriority w:val="99"/>
    <w:semiHidden/>
    <w:rsid w:val="009931C7"/>
    <w:rPr>
      <w:sz w:val="20"/>
      <w:szCs w:val="20"/>
    </w:rPr>
  </w:style>
  <w:style w:type="paragraph" w:styleId="Onderwerpvanopmerking">
    <w:name w:val="annotation subject"/>
    <w:basedOn w:val="Tekstopmerking"/>
    <w:next w:val="Tekstopmerking"/>
    <w:link w:val="OnderwerpvanopmerkingChar"/>
    <w:uiPriority w:val="99"/>
    <w:semiHidden/>
    <w:unhideWhenUsed/>
    <w:rsid w:val="009931C7"/>
    <w:rPr>
      <w:b/>
      <w:bCs/>
    </w:rPr>
  </w:style>
  <w:style w:type="character" w:customStyle="1" w:styleId="OnderwerpvanopmerkingChar">
    <w:name w:val="Onderwerp van opmerking Char"/>
    <w:basedOn w:val="TekstopmerkingChar"/>
    <w:link w:val="Onderwerpvanopmerking"/>
    <w:uiPriority w:val="99"/>
    <w:semiHidden/>
    <w:rsid w:val="009931C7"/>
    <w:rPr>
      <w:b/>
      <w:bCs/>
      <w:sz w:val="20"/>
      <w:szCs w:val="20"/>
    </w:rPr>
  </w:style>
  <w:style w:type="character" w:customStyle="1" w:styleId="FootnoteCharacters">
    <w:name w:val="Footnote Characters"/>
    <w:rsid w:val="009931C7"/>
  </w:style>
  <w:style w:type="numbering" w:customStyle="1" w:styleId="Geenlijst2">
    <w:name w:val="Geen lijst2"/>
    <w:next w:val="Geenlijst"/>
    <w:uiPriority w:val="99"/>
    <w:semiHidden/>
    <w:unhideWhenUsed/>
    <w:rsid w:val="00426625"/>
  </w:style>
  <w:style w:type="paragraph" w:styleId="Lijstopsomteken2">
    <w:name w:val="List Bullet 2"/>
    <w:basedOn w:val="Standaard"/>
    <w:rsid w:val="00426625"/>
    <w:pPr>
      <w:widowControl/>
      <w:numPr>
        <w:numId w:val="36"/>
      </w:numPr>
      <w:suppressAutoHyphens w:val="0"/>
    </w:pPr>
    <w:rPr>
      <w:rFonts w:eastAsia="Times New Roman"/>
      <w:kern w:val="0"/>
      <w:lang w:val="nl-NL" w:eastAsia="nl-NL" w:bidi="ar-SA"/>
    </w:rPr>
  </w:style>
  <w:style w:type="paragraph" w:styleId="Lijstopsomteken3">
    <w:name w:val="List Bullet 3"/>
    <w:basedOn w:val="Standaard"/>
    <w:rsid w:val="00426625"/>
    <w:pPr>
      <w:widowControl/>
      <w:numPr>
        <w:numId w:val="37"/>
      </w:numPr>
      <w:suppressAutoHyphens w:val="0"/>
    </w:pPr>
    <w:rPr>
      <w:rFonts w:eastAsia="Times New Roman"/>
      <w:kern w:val="0"/>
      <w:lang w:val="nl-NL" w:eastAsia="nl-NL" w:bidi="ar-SA"/>
    </w:rPr>
  </w:style>
  <w:style w:type="paragraph" w:styleId="Plattetekst">
    <w:name w:val="Body Text"/>
    <w:basedOn w:val="Standaard"/>
    <w:link w:val="PlattetekstChar"/>
    <w:rsid w:val="00426625"/>
    <w:pPr>
      <w:widowControl/>
      <w:suppressAutoHyphens w:val="0"/>
      <w:spacing w:after="120"/>
    </w:pPr>
    <w:rPr>
      <w:rFonts w:eastAsia="Times New Roman"/>
      <w:kern w:val="0"/>
      <w:lang w:val="nl-NL" w:eastAsia="nl-NL" w:bidi="ar-SA"/>
    </w:rPr>
  </w:style>
  <w:style w:type="character" w:customStyle="1" w:styleId="PlattetekstChar">
    <w:name w:val="Platte tekst Char"/>
    <w:basedOn w:val="Standaardalinea-lettertype"/>
    <w:link w:val="Plattetekst"/>
    <w:rsid w:val="00426625"/>
    <w:rPr>
      <w:rFonts w:ascii="Times New Roman" w:eastAsia="Times New Roman" w:hAnsi="Times New Roman" w:cs="Times New Roman"/>
      <w:sz w:val="24"/>
      <w:szCs w:val="24"/>
      <w:lang w:val="nl-NL" w:eastAsia="nl-NL"/>
    </w:rPr>
  </w:style>
  <w:style w:type="character" w:customStyle="1" w:styleId="hpsatn">
    <w:name w:val="hps atn"/>
    <w:basedOn w:val="Standaardalinea-lettertype"/>
    <w:uiPriority w:val="99"/>
    <w:rsid w:val="00426625"/>
    <w:rPr>
      <w:rFonts w:ascii="Times New Roman" w:hAnsi="Times New Roman" w:cs="Times New Roman"/>
    </w:rPr>
  </w:style>
  <w:style w:type="table" w:customStyle="1" w:styleId="Tabelraster1">
    <w:name w:val="Tabelraster1"/>
    <w:basedOn w:val="Standaardtabel"/>
    <w:next w:val="Tabelraster"/>
    <w:uiPriority w:val="59"/>
    <w:rsid w:val="0042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3">
    <w:name w:val="Geen lijst3"/>
    <w:next w:val="Geenlijst"/>
    <w:uiPriority w:val="99"/>
    <w:semiHidden/>
    <w:unhideWhenUsed/>
    <w:rsid w:val="000F560E"/>
  </w:style>
  <w:style w:type="table" w:customStyle="1" w:styleId="Tabelraster2">
    <w:name w:val="Tabelraster2"/>
    <w:basedOn w:val="Standaardtabel"/>
    <w:next w:val="Tabelraster"/>
    <w:uiPriority w:val="59"/>
    <w:rsid w:val="000F56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4">
    <w:name w:val="Geen lijst4"/>
    <w:next w:val="Geenlijst"/>
    <w:uiPriority w:val="99"/>
    <w:semiHidden/>
    <w:unhideWhenUsed/>
    <w:rsid w:val="000F56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1E00"/>
    <w:pPr>
      <w:widowControl w:val="0"/>
      <w:suppressAutoHyphens/>
      <w:spacing w:after="0" w:line="240" w:lineRule="auto"/>
    </w:pPr>
    <w:rPr>
      <w:rFonts w:ascii="Times New Roman" w:eastAsia="SimSun" w:hAnsi="Times New Roman" w:cs="Times New Roman"/>
      <w:kern w:val="1"/>
      <w:sz w:val="24"/>
      <w:szCs w:val="24"/>
      <w:lang w:eastAsia="hi-IN" w:bidi="hi-IN"/>
    </w:rPr>
  </w:style>
  <w:style w:type="paragraph" w:styleId="Kop2">
    <w:name w:val="heading 2"/>
    <w:basedOn w:val="Standaard"/>
    <w:link w:val="Kop2Char"/>
    <w:uiPriority w:val="9"/>
    <w:qFormat/>
    <w:rsid w:val="009931C7"/>
    <w:pPr>
      <w:widowControl/>
      <w:suppressAutoHyphens w:val="0"/>
      <w:spacing w:before="100" w:beforeAutospacing="1" w:after="100" w:afterAutospacing="1"/>
      <w:outlineLvl w:val="1"/>
    </w:pPr>
    <w:rPr>
      <w:rFonts w:eastAsia="Times New Roman"/>
      <w:b/>
      <w:bCs/>
      <w:kern w:val="0"/>
      <w:sz w:val="36"/>
      <w:szCs w:val="36"/>
      <w:lang w:eastAsia="nl-BE" w:bidi="ar-SA"/>
    </w:rPr>
  </w:style>
  <w:style w:type="paragraph" w:styleId="Kop3">
    <w:name w:val="heading 3"/>
    <w:basedOn w:val="Standaard"/>
    <w:next w:val="Standaard"/>
    <w:link w:val="Kop3Char"/>
    <w:qFormat/>
    <w:rsid w:val="009931C7"/>
    <w:pPr>
      <w:keepNext/>
      <w:widowControl/>
      <w:suppressAutoHyphens w:val="0"/>
      <w:spacing w:before="240" w:after="60" w:line="240" w:lineRule="atLeast"/>
      <w:outlineLvl w:val="2"/>
    </w:pPr>
    <w:rPr>
      <w:rFonts w:ascii="Arial" w:hAnsi="Arial" w:cs="Arial"/>
      <w:b/>
      <w:bCs/>
      <w:sz w:val="26"/>
      <w:szCs w:val="26"/>
    </w:rPr>
  </w:style>
  <w:style w:type="paragraph" w:styleId="Kop4">
    <w:name w:val="heading 4"/>
    <w:basedOn w:val="Standaard"/>
    <w:next w:val="Standaard"/>
    <w:link w:val="Kop4Char"/>
    <w:uiPriority w:val="9"/>
    <w:semiHidden/>
    <w:unhideWhenUsed/>
    <w:qFormat/>
    <w:rsid w:val="009931C7"/>
    <w:pPr>
      <w:keepNext/>
      <w:widowControl/>
      <w:suppressAutoHyphens w:val="0"/>
      <w:spacing w:before="240" w:after="60" w:line="240" w:lineRule="atLeast"/>
      <w:outlineLvl w:val="3"/>
    </w:pPr>
    <w:rPr>
      <w:rFonts w:ascii="Calibri" w:eastAsia="Times New Roman" w:hAnsi="Calibri" w:cs="Mangal"/>
      <w:b/>
      <w:bCs/>
      <w:sz w:val="28"/>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E1E00"/>
    <w:pPr>
      <w:spacing w:after="0" w:line="240" w:lineRule="auto"/>
    </w:pPr>
    <w:rPr>
      <w:rFonts w:ascii="Calibri" w:eastAsia="SimSun" w:hAnsi="Calibri" w:cs="Calibri"/>
    </w:rPr>
  </w:style>
  <w:style w:type="character" w:customStyle="1" w:styleId="WW8Num7z0">
    <w:name w:val="WW8Num7z0"/>
    <w:rsid w:val="003E1E00"/>
    <w:rPr>
      <w:rFonts w:ascii="Symbol" w:hAnsi="Symbol" w:cs="OpenSymbol"/>
    </w:rPr>
  </w:style>
  <w:style w:type="paragraph" w:customStyle="1" w:styleId="Geenafstand1">
    <w:name w:val="Geen afstand1"/>
    <w:rsid w:val="003E1E00"/>
    <w:pPr>
      <w:suppressAutoHyphens/>
      <w:spacing w:after="0" w:line="240" w:lineRule="auto"/>
    </w:pPr>
    <w:rPr>
      <w:rFonts w:ascii="Calibri" w:eastAsia="Calibri" w:hAnsi="Calibri" w:cs="Times New Roman"/>
      <w:lang w:eastAsia="ar-SA"/>
    </w:rPr>
  </w:style>
  <w:style w:type="character" w:customStyle="1" w:styleId="apple-converted-space">
    <w:name w:val="apple-converted-space"/>
    <w:uiPriority w:val="99"/>
    <w:rsid w:val="003E1E00"/>
  </w:style>
  <w:style w:type="paragraph" w:styleId="Koptekst">
    <w:name w:val="header"/>
    <w:basedOn w:val="Standaard"/>
    <w:link w:val="KoptekstChar"/>
    <w:uiPriority w:val="99"/>
    <w:unhideWhenUsed/>
    <w:rsid w:val="003E1E00"/>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3E1E00"/>
    <w:rPr>
      <w:rFonts w:ascii="Times New Roman" w:eastAsia="SimSun" w:hAnsi="Times New Roman" w:cs="Mangal"/>
      <w:kern w:val="1"/>
      <w:sz w:val="24"/>
      <w:szCs w:val="21"/>
      <w:lang w:eastAsia="hi-IN" w:bidi="hi-IN"/>
    </w:rPr>
  </w:style>
  <w:style w:type="paragraph" w:styleId="Voettekst">
    <w:name w:val="footer"/>
    <w:basedOn w:val="Standaard"/>
    <w:link w:val="VoettekstChar"/>
    <w:uiPriority w:val="99"/>
    <w:unhideWhenUsed/>
    <w:rsid w:val="003E1E00"/>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3E1E00"/>
    <w:rPr>
      <w:rFonts w:ascii="Times New Roman" w:eastAsia="SimSun" w:hAnsi="Times New Roman" w:cs="Mangal"/>
      <w:kern w:val="1"/>
      <w:sz w:val="24"/>
      <w:szCs w:val="21"/>
      <w:lang w:eastAsia="hi-IN" w:bidi="hi-IN"/>
    </w:rPr>
  </w:style>
  <w:style w:type="character" w:customStyle="1" w:styleId="GeenafstandChar">
    <w:name w:val="Geen afstand Char"/>
    <w:link w:val="Geenafstand"/>
    <w:uiPriority w:val="1"/>
    <w:rsid w:val="003E1E00"/>
    <w:rPr>
      <w:rFonts w:ascii="Calibri" w:eastAsia="SimSun" w:hAnsi="Calibri" w:cs="Calibri"/>
    </w:rPr>
  </w:style>
  <w:style w:type="character" w:styleId="Nadruk">
    <w:name w:val="Emphasis"/>
    <w:uiPriority w:val="99"/>
    <w:qFormat/>
    <w:rsid w:val="003E1E00"/>
    <w:rPr>
      <w:i/>
      <w:iCs/>
    </w:rPr>
  </w:style>
  <w:style w:type="paragraph" w:styleId="Voetnoottekst">
    <w:name w:val="footnote text"/>
    <w:basedOn w:val="Standaard"/>
    <w:link w:val="VoetnoottekstChar"/>
    <w:uiPriority w:val="99"/>
    <w:unhideWhenUsed/>
    <w:rsid w:val="003E1E00"/>
    <w:pPr>
      <w:widowControl/>
      <w:suppressAutoHyphens w:val="0"/>
    </w:pPr>
    <w:rPr>
      <w:rFonts w:ascii="Calibri" w:eastAsia="Calibri" w:hAnsi="Calibri"/>
      <w:kern w:val="0"/>
      <w:sz w:val="20"/>
      <w:szCs w:val="20"/>
      <w:lang w:eastAsia="en-US" w:bidi="ar-SA"/>
    </w:rPr>
  </w:style>
  <w:style w:type="character" w:customStyle="1" w:styleId="VoetnoottekstChar">
    <w:name w:val="Voetnoottekst Char"/>
    <w:basedOn w:val="Standaardalinea-lettertype"/>
    <w:link w:val="Voetnoottekst"/>
    <w:uiPriority w:val="99"/>
    <w:rsid w:val="003E1E00"/>
    <w:rPr>
      <w:rFonts w:ascii="Calibri" w:eastAsia="Calibri" w:hAnsi="Calibri" w:cs="Times New Roman"/>
      <w:sz w:val="20"/>
      <w:szCs w:val="20"/>
    </w:rPr>
  </w:style>
  <w:style w:type="character" w:styleId="Voetnootmarkering">
    <w:name w:val="footnote reference"/>
    <w:uiPriority w:val="99"/>
    <w:unhideWhenUsed/>
    <w:rsid w:val="003E1E00"/>
    <w:rPr>
      <w:vertAlign w:val="superscript"/>
    </w:rPr>
  </w:style>
  <w:style w:type="character" w:styleId="Hyperlink">
    <w:name w:val="Hyperlink"/>
    <w:uiPriority w:val="99"/>
    <w:unhideWhenUsed/>
    <w:rsid w:val="003E1E00"/>
    <w:rPr>
      <w:color w:val="0000FF"/>
      <w:u w:val="single"/>
    </w:rPr>
  </w:style>
  <w:style w:type="paragraph" w:styleId="Ballontekst">
    <w:name w:val="Balloon Text"/>
    <w:basedOn w:val="Standaard"/>
    <w:link w:val="BallontekstChar"/>
    <w:uiPriority w:val="99"/>
    <w:semiHidden/>
    <w:unhideWhenUsed/>
    <w:rsid w:val="003E1E00"/>
    <w:rPr>
      <w:rFonts w:ascii="Tahoma" w:hAnsi="Tahoma" w:cs="Mangal"/>
      <w:sz w:val="16"/>
      <w:szCs w:val="14"/>
    </w:rPr>
  </w:style>
  <w:style w:type="character" w:customStyle="1" w:styleId="BallontekstChar">
    <w:name w:val="Ballontekst Char"/>
    <w:basedOn w:val="Standaardalinea-lettertype"/>
    <w:link w:val="Ballontekst"/>
    <w:uiPriority w:val="99"/>
    <w:semiHidden/>
    <w:rsid w:val="003E1E00"/>
    <w:rPr>
      <w:rFonts w:ascii="Tahoma" w:eastAsia="SimSun" w:hAnsi="Tahoma" w:cs="Mangal"/>
      <w:kern w:val="1"/>
      <w:sz w:val="16"/>
      <w:szCs w:val="14"/>
      <w:lang w:eastAsia="hi-IN" w:bidi="hi-IN"/>
    </w:rPr>
  </w:style>
  <w:style w:type="character" w:customStyle="1" w:styleId="Kop3Char">
    <w:name w:val="Kop 3 Char"/>
    <w:basedOn w:val="Standaardalinea-lettertype"/>
    <w:link w:val="Kop3"/>
    <w:rsid w:val="009931C7"/>
    <w:rPr>
      <w:rFonts w:ascii="Arial" w:eastAsia="SimSun" w:hAnsi="Arial" w:cs="Arial"/>
      <w:b/>
      <w:bCs/>
      <w:kern w:val="1"/>
      <w:sz w:val="26"/>
      <w:szCs w:val="26"/>
      <w:lang w:eastAsia="hi-IN" w:bidi="hi-IN"/>
    </w:rPr>
  </w:style>
  <w:style w:type="character" w:customStyle="1" w:styleId="Kop4Char">
    <w:name w:val="Kop 4 Char"/>
    <w:basedOn w:val="Standaardalinea-lettertype"/>
    <w:link w:val="Kop4"/>
    <w:uiPriority w:val="9"/>
    <w:semiHidden/>
    <w:rsid w:val="009931C7"/>
    <w:rPr>
      <w:rFonts w:ascii="Calibri" w:eastAsia="Times New Roman" w:hAnsi="Calibri" w:cs="Mangal"/>
      <w:b/>
      <w:bCs/>
      <w:kern w:val="1"/>
      <w:sz w:val="28"/>
      <w:szCs w:val="25"/>
      <w:lang w:eastAsia="hi-IN" w:bidi="hi-IN"/>
    </w:rPr>
  </w:style>
  <w:style w:type="numbering" w:customStyle="1" w:styleId="Geenlijst1">
    <w:name w:val="Geen lijst1"/>
    <w:next w:val="Geenlijst"/>
    <w:uiPriority w:val="99"/>
    <w:semiHidden/>
    <w:unhideWhenUsed/>
    <w:rsid w:val="009931C7"/>
  </w:style>
  <w:style w:type="paragraph" w:styleId="Lijstalinea">
    <w:name w:val="List Paragraph"/>
    <w:basedOn w:val="Standaard"/>
    <w:uiPriority w:val="34"/>
    <w:qFormat/>
    <w:rsid w:val="009931C7"/>
    <w:pPr>
      <w:widowControl/>
      <w:suppressAutoHyphens w:val="0"/>
      <w:spacing w:line="240" w:lineRule="atLeast"/>
      <w:ind w:left="720"/>
    </w:pPr>
  </w:style>
  <w:style w:type="character" w:customStyle="1" w:styleId="hps">
    <w:name w:val="hps"/>
    <w:uiPriority w:val="99"/>
    <w:rsid w:val="009931C7"/>
    <w:rPr>
      <w:rFonts w:ascii="Times New Roman" w:hAnsi="Times New Roman" w:cs="Times New Roman"/>
    </w:rPr>
  </w:style>
  <w:style w:type="paragraph" w:customStyle="1" w:styleId="Geenafstand2">
    <w:name w:val="Geen afstand2"/>
    <w:uiPriority w:val="99"/>
    <w:rsid w:val="009931C7"/>
    <w:pPr>
      <w:spacing w:after="0" w:line="240" w:lineRule="auto"/>
    </w:pPr>
    <w:rPr>
      <w:rFonts w:ascii="Calibri" w:eastAsia="SimSun" w:hAnsi="Calibri" w:cs="Calibri"/>
    </w:rPr>
  </w:style>
  <w:style w:type="character" w:styleId="GevolgdeHyperlink">
    <w:name w:val="FollowedHyperlink"/>
    <w:uiPriority w:val="99"/>
    <w:rsid w:val="009931C7"/>
    <w:rPr>
      <w:color w:val="800080"/>
      <w:u w:val="single"/>
    </w:rPr>
  </w:style>
  <w:style w:type="table" w:styleId="Tabelraster">
    <w:name w:val="Table Grid"/>
    <w:basedOn w:val="Standaardtabel"/>
    <w:uiPriority w:val="59"/>
    <w:rsid w:val="009931C7"/>
    <w:pPr>
      <w:spacing w:after="0" w:line="240" w:lineRule="auto"/>
    </w:pPr>
    <w:rPr>
      <w:rFonts w:ascii="Calibri" w:eastAsia="Times New Roman" w:hAnsi="Calibri" w:cs="Times New Roman"/>
      <w:sz w:val="20"/>
      <w:szCs w:val="20"/>
      <w:lang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9931C7"/>
    <w:rPr>
      <w:rFonts w:ascii="Times New Roman" w:eastAsia="Times New Roman" w:hAnsi="Times New Roman" w:cs="Times New Roman"/>
      <w:b/>
      <w:bCs/>
      <w:sz w:val="36"/>
      <w:szCs w:val="36"/>
      <w:lang w:eastAsia="nl-BE"/>
    </w:rPr>
  </w:style>
  <w:style w:type="paragraph" w:styleId="Bijschrift">
    <w:name w:val="caption"/>
    <w:basedOn w:val="Standaard"/>
    <w:next w:val="Standaard"/>
    <w:uiPriority w:val="99"/>
    <w:qFormat/>
    <w:rsid w:val="009931C7"/>
    <w:pPr>
      <w:widowControl/>
      <w:tabs>
        <w:tab w:val="left" w:pos="720"/>
        <w:tab w:val="left" w:pos="3420"/>
        <w:tab w:val="left" w:pos="6480"/>
      </w:tabs>
      <w:suppressAutoHyphens w:val="0"/>
      <w:ind w:right="-108"/>
      <w:jc w:val="both"/>
    </w:pPr>
    <w:rPr>
      <w:rFonts w:ascii="Arial" w:eastAsia="Times New Roman" w:hAnsi="Arial"/>
      <w:b/>
      <w:bCs/>
      <w:kern w:val="0"/>
      <w:sz w:val="20"/>
      <w:szCs w:val="20"/>
      <w:lang w:val="fr-BE" w:eastAsia="en-US" w:bidi="ar-SA"/>
    </w:rPr>
  </w:style>
  <w:style w:type="character" w:styleId="Zwaar">
    <w:name w:val="Strong"/>
    <w:basedOn w:val="Standaardalinea-lettertype"/>
    <w:uiPriority w:val="99"/>
    <w:qFormat/>
    <w:rsid w:val="009931C7"/>
    <w:rPr>
      <w:b/>
      <w:bCs/>
    </w:rPr>
  </w:style>
  <w:style w:type="paragraph" w:styleId="Normaalweb">
    <w:name w:val="Normal (Web)"/>
    <w:basedOn w:val="Standaard"/>
    <w:uiPriority w:val="99"/>
    <w:semiHidden/>
    <w:unhideWhenUsed/>
    <w:rsid w:val="009931C7"/>
    <w:pPr>
      <w:widowControl/>
      <w:suppressAutoHyphens w:val="0"/>
      <w:spacing w:before="100" w:beforeAutospacing="1" w:after="100" w:afterAutospacing="1"/>
    </w:pPr>
    <w:rPr>
      <w:rFonts w:eastAsia="Times New Roman"/>
      <w:kern w:val="0"/>
      <w:lang w:eastAsia="nl-BE" w:bidi="ar-SA"/>
    </w:rPr>
  </w:style>
  <w:style w:type="character" w:styleId="Verwijzingopmerking">
    <w:name w:val="annotation reference"/>
    <w:basedOn w:val="Standaardalinea-lettertype"/>
    <w:uiPriority w:val="99"/>
    <w:semiHidden/>
    <w:unhideWhenUsed/>
    <w:rsid w:val="009931C7"/>
    <w:rPr>
      <w:sz w:val="16"/>
      <w:szCs w:val="16"/>
    </w:rPr>
  </w:style>
  <w:style w:type="paragraph" w:styleId="Tekstopmerking">
    <w:name w:val="annotation text"/>
    <w:basedOn w:val="Standaard"/>
    <w:link w:val="TekstopmerkingChar"/>
    <w:uiPriority w:val="99"/>
    <w:semiHidden/>
    <w:unhideWhenUsed/>
    <w:rsid w:val="009931C7"/>
    <w:pPr>
      <w:widowControl/>
      <w:suppressAutoHyphens w:val="0"/>
      <w:spacing w:after="200"/>
    </w:pPr>
    <w:rPr>
      <w:rFonts w:asciiTheme="minorHAnsi" w:eastAsiaTheme="minorHAnsi" w:hAnsiTheme="minorHAnsi" w:cstheme="minorBidi"/>
      <w:kern w:val="0"/>
      <w:sz w:val="20"/>
      <w:szCs w:val="20"/>
      <w:lang w:eastAsia="en-US" w:bidi="ar-SA"/>
    </w:rPr>
  </w:style>
  <w:style w:type="character" w:customStyle="1" w:styleId="TekstopmerkingChar">
    <w:name w:val="Tekst opmerking Char"/>
    <w:basedOn w:val="Standaardalinea-lettertype"/>
    <w:link w:val="Tekstopmerking"/>
    <w:uiPriority w:val="99"/>
    <w:semiHidden/>
    <w:rsid w:val="009931C7"/>
    <w:rPr>
      <w:sz w:val="20"/>
      <w:szCs w:val="20"/>
    </w:rPr>
  </w:style>
  <w:style w:type="paragraph" w:styleId="Onderwerpvanopmerking">
    <w:name w:val="annotation subject"/>
    <w:basedOn w:val="Tekstopmerking"/>
    <w:next w:val="Tekstopmerking"/>
    <w:link w:val="OnderwerpvanopmerkingChar"/>
    <w:uiPriority w:val="99"/>
    <w:semiHidden/>
    <w:unhideWhenUsed/>
    <w:rsid w:val="009931C7"/>
    <w:rPr>
      <w:b/>
      <w:bCs/>
    </w:rPr>
  </w:style>
  <w:style w:type="character" w:customStyle="1" w:styleId="OnderwerpvanopmerkingChar">
    <w:name w:val="Onderwerp van opmerking Char"/>
    <w:basedOn w:val="TekstopmerkingChar"/>
    <w:link w:val="Onderwerpvanopmerking"/>
    <w:uiPriority w:val="99"/>
    <w:semiHidden/>
    <w:rsid w:val="009931C7"/>
    <w:rPr>
      <w:b/>
      <w:bCs/>
      <w:sz w:val="20"/>
      <w:szCs w:val="20"/>
    </w:rPr>
  </w:style>
  <w:style w:type="character" w:customStyle="1" w:styleId="FootnoteCharacters">
    <w:name w:val="Footnote Characters"/>
    <w:rsid w:val="009931C7"/>
  </w:style>
  <w:style w:type="numbering" w:customStyle="1" w:styleId="Geenlijst2">
    <w:name w:val="Geen lijst2"/>
    <w:next w:val="Geenlijst"/>
    <w:uiPriority w:val="99"/>
    <w:semiHidden/>
    <w:unhideWhenUsed/>
    <w:rsid w:val="00426625"/>
  </w:style>
  <w:style w:type="paragraph" w:styleId="Lijstopsomteken2">
    <w:name w:val="List Bullet 2"/>
    <w:basedOn w:val="Standaard"/>
    <w:rsid w:val="00426625"/>
    <w:pPr>
      <w:widowControl/>
      <w:numPr>
        <w:numId w:val="36"/>
      </w:numPr>
      <w:suppressAutoHyphens w:val="0"/>
    </w:pPr>
    <w:rPr>
      <w:rFonts w:eastAsia="Times New Roman"/>
      <w:kern w:val="0"/>
      <w:lang w:val="nl-NL" w:eastAsia="nl-NL" w:bidi="ar-SA"/>
    </w:rPr>
  </w:style>
  <w:style w:type="paragraph" w:styleId="Lijstopsomteken3">
    <w:name w:val="List Bullet 3"/>
    <w:basedOn w:val="Standaard"/>
    <w:rsid w:val="00426625"/>
    <w:pPr>
      <w:widowControl/>
      <w:numPr>
        <w:numId w:val="37"/>
      </w:numPr>
      <w:suppressAutoHyphens w:val="0"/>
    </w:pPr>
    <w:rPr>
      <w:rFonts w:eastAsia="Times New Roman"/>
      <w:kern w:val="0"/>
      <w:lang w:val="nl-NL" w:eastAsia="nl-NL" w:bidi="ar-SA"/>
    </w:rPr>
  </w:style>
  <w:style w:type="paragraph" w:styleId="Plattetekst">
    <w:name w:val="Body Text"/>
    <w:basedOn w:val="Standaard"/>
    <w:link w:val="PlattetekstChar"/>
    <w:rsid w:val="00426625"/>
    <w:pPr>
      <w:widowControl/>
      <w:suppressAutoHyphens w:val="0"/>
      <w:spacing w:after="120"/>
    </w:pPr>
    <w:rPr>
      <w:rFonts w:eastAsia="Times New Roman"/>
      <w:kern w:val="0"/>
      <w:lang w:val="nl-NL" w:eastAsia="nl-NL" w:bidi="ar-SA"/>
    </w:rPr>
  </w:style>
  <w:style w:type="character" w:customStyle="1" w:styleId="PlattetekstChar">
    <w:name w:val="Platte tekst Char"/>
    <w:basedOn w:val="Standaardalinea-lettertype"/>
    <w:link w:val="Plattetekst"/>
    <w:rsid w:val="00426625"/>
    <w:rPr>
      <w:rFonts w:ascii="Times New Roman" w:eastAsia="Times New Roman" w:hAnsi="Times New Roman" w:cs="Times New Roman"/>
      <w:sz w:val="24"/>
      <w:szCs w:val="24"/>
      <w:lang w:val="nl-NL" w:eastAsia="nl-NL"/>
    </w:rPr>
  </w:style>
  <w:style w:type="character" w:customStyle="1" w:styleId="hpsatn">
    <w:name w:val="hps atn"/>
    <w:basedOn w:val="Standaardalinea-lettertype"/>
    <w:uiPriority w:val="99"/>
    <w:rsid w:val="00426625"/>
    <w:rPr>
      <w:rFonts w:ascii="Times New Roman" w:hAnsi="Times New Roman" w:cs="Times New Roman"/>
    </w:rPr>
  </w:style>
  <w:style w:type="table" w:customStyle="1" w:styleId="Tabelraster1">
    <w:name w:val="Tabelraster1"/>
    <w:basedOn w:val="Standaardtabel"/>
    <w:next w:val="Tabelraster"/>
    <w:uiPriority w:val="59"/>
    <w:rsid w:val="0042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3">
    <w:name w:val="Geen lijst3"/>
    <w:next w:val="Geenlijst"/>
    <w:uiPriority w:val="99"/>
    <w:semiHidden/>
    <w:unhideWhenUsed/>
    <w:rsid w:val="000F560E"/>
  </w:style>
  <w:style w:type="table" w:customStyle="1" w:styleId="Tabelraster2">
    <w:name w:val="Tabelraster2"/>
    <w:basedOn w:val="Standaardtabel"/>
    <w:next w:val="Tabelraster"/>
    <w:uiPriority w:val="59"/>
    <w:rsid w:val="000F56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4">
    <w:name w:val="Geen lijst4"/>
    <w:next w:val="Geenlijst"/>
    <w:uiPriority w:val="99"/>
    <w:semiHidden/>
    <w:unhideWhenUsed/>
    <w:rsid w:val="000F5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3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t-court.be/public/n/2010/2010-029n.pdf" TargetMode="External"/><Relationship Id="rId21" Type="http://schemas.openxmlformats.org/officeDocument/2006/relationships/hyperlink" Target="http://membres.multimania.fr/pradeau/exposes/%20DosMed/dossier_medical_synthese_011015.pdf" TargetMode="External"/><Relationship Id="rId324" Type="http://schemas.openxmlformats.org/officeDocument/2006/relationships/hyperlink" Target="http://conventions.coe.int/" TargetMode="External"/><Relationship Id="rId531" Type="http://schemas.openxmlformats.org/officeDocument/2006/relationships/hyperlink" Target="http://www.senat.fr/rap/l07-146/l07-1463.html" TargetMode="External"/><Relationship Id="rId170" Type="http://schemas.openxmlformats.org/officeDocument/2006/relationships/hyperlink" Target="http://www.svh.be/" TargetMode="External"/><Relationship Id="rId268" Type="http://schemas.openxmlformats.org/officeDocument/2006/relationships/hyperlink" Target="http://www.rijksoverheid.nl/" TargetMode="External"/><Relationship Id="rId475" Type="http://schemas.openxmlformats.org/officeDocument/2006/relationships/image" Target="media/image47.png"/><Relationship Id="rId32" Type="http://schemas.openxmlformats.org/officeDocument/2006/relationships/hyperlink" Target="http://www.nhs.uk/" TargetMode="External"/><Relationship Id="rId128" Type="http://schemas.openxmlformats.org/officeDocument/2006/relationships/hyperlink" Target="http://www.edavid.be/docs/digitalarchiving_manual.pdf" TargetMode="External"/><Relationship Id="rId335" Type="http://schemas.openxmlformats.org/officeDocument/2006/relationships/hyperlink" Target="http://knmg.artsennet.nl/%20Publicaties/KNMGpublicatie/Van-wet-naar-praktijk-implementatie-van-de-WGBO-Deel-3.-Dossier-en-bewaartermijnen-2004.htm" TargetMode="External"/><Relationship Id="rId542" Type="http://schemas.openxmlformats.org/officeDocument/2006/relationships/hyperlink" Target="http://www.biusante.parisdescartes.fr/sfhm/hsm/%20HSMx1999x033x002/HSMx1999x033x002x0129.pdf" TargetMode="External"/><Relationship Id="rId181" Type="http://schemas.openxmlformats.org/officeDocument/2006/relationships/hyperlink" Target="http://www.tweedekamer.nl/%20kamerstukken/dossiers/elektronisch_patienten_dossier_oktober_2011.jsp" TargetMode="External"/><Relationship Id="rId402" Type="http://schemas.openxmlformats.org/officeDocument/2006/relationships/hyperlink" Target="http://www.oapen.org/" TargetMode="External"/><Relationship Id="rId279" Type="http://schemas.openxmlformats.org/officeDocument/2006/relationships/hyperlink" Target="http://esante.gouv.fr/actus/%20dmp/attribution-du-marche-de-l-hebergement-du-dmp" TargetMode="External"/><Relationship Id="rId486" Type="http://schemas.openxmlformats.org/officeDocument/2006/relationships/hyperlink" Target="http://www.archivists.org/" TargetMode="External"/><Relationship Id="rId43" Type="http://schemas.openxmlformats.org/officeDocument/2006/relationships/hyperlink" Target="http://www.nictiz.nl/" TargetMode="External"/><Relationship Id="rId139" Type="http://schemas.openxmlformats.org/officeDocument/2006/relationships/hyperlink" Target="https://www.ehealth.fgov.be/nl/over-het-ehealth-platform/presentatie/%20infodays/8-december-2011" TargetMode="External"/><Relationship Id="rId346" Type="http://schemas.openxmlformats.org/officeDocument/2006/relationships/hyperlink" Target="http://basedaj.aphp.fr/daj/public/index/print/id_theme/138/id_%20fiche/4806" TargetMode="External"/><Relationship Id="rId553" Type="http://schemas.openxmlformats.org/officeDocument/2006/relationships/hyperlink" Target="http://www.biusante.parisdescartes.fr/" TargetMode="External"/><Relationship Id="rId192" Type="http://schemas.openxmlformats.org/officeDocument/2006/relationships/hyperlink" Target="http://ehealth-strategies.eu/database/documents/Netherlands_CountryBrief_eHStrategies.pdf" TargetMode="External"/><Relationship Id="rId206" Type="http://schemas.openxmlformats.org/officeDocument/2006/relationships/hyperlink" Target="http://www.squarewise.com/downloads/publicaties/%20Squarewise-White-Paper-Electronisch-Patient-Dossier.pdf" TargetMode="External"/><Relationship Id="rId413" Type="http://schemas.openxmlformats.org/officeDocument/2006/relationships/hyperlink" Target="http://www.overkleeft-verburg.nl" TargetMode="External"/><Relationship Id="rId497" Type="http://schemas.openxmlformats.org/officeDocument/2006/relationships/hyperlink" Target="http://internet.ziffdavisenterprise.com/podcasts/eWeek/channel0225%202009.mp3" TargetMode="External"/><Relationship Id="rId357" Type="http://schemas.openxmlformats.org/officeDocument/2006/relationships/hyperlink" Target="http://www.archivesdefrance.culture.gouv.fr/" TargetMode="External"/><Relationship Id="rId54" Type="http://schemas.openxmlformats.org/officeDocument/2006/relationships/hyperlink" Target="http://www.macsf.fr/vous-informer/perte-du-dossier-medical.html" TargetMode="External"/><Relationship Id="rId217" Type="http://schemas.openxmlformats.org/officeDocument/2006/relationships/hyperlink" Target="http://vhn.artsennet.nl/" TargetMode="External"/><Relationship Id="rId424" Type="http://schemas.openxmlformats.org/officeDocument/2006/relationships/hyperlink" Target="http://www.erfgoedinspectie.nl/" TargetMode="External"/><Relationship Id="rId23" Type="http://schemas.openxmlformats.org/officeDocument/2006/relationships/hyperlink" Target="http://archive.nlm.nih.gov/proj/ttp/smith_home.html" TargetMode="External"/><Relationship Id="rId119" Type="http://schemas.openxmlformats.org/officeDocument/2006/relationships/hyperlink" Target="http://www.zorg-en-gezondheid.be/Beleid/%20Vlaamse-bevoegdheden/Beleid-eerstelijnsgezondheidszorg/" TargetMode="External"/><Relationship Id="rId270" Type="http://schemas.openxmlformats.org/officeDocument/2006/relationships/hyperlink" Target="http://www.tweedekamer.nl/" TargetMode="External"/><Relationship Id="rId326" Type="http://schemas.openxmlformats.org/officeDocument/2006/relationships/hyperlink" Target="http://www.kindengezin.be" TargetMode="External"/><Relationship Id="rId533" Type="http://schemas.openxmlformats.org/officeDocument/2006/relationships/hyperlink" Target="http://www.archivesdefrance.culture.gouv.fr/static/957" TargetMode="External"/><Relationship Id="rId65" Type="http://schemas.openxmlformats.org/officeDocument/2006/relationships/image" Target="http://www.qem.nl/p?id=13700&amp;a=512593" TargetMode="External"/><Relationship Id="rId130" Type="http://schemas.openxmlformats.org/officeDocument/2006/relationships/hyperlink" Target="https://www.ehealth.fgov.be/nl/over-het-ehealth-platform/presentatie/%20infodays/4-juni-2009" TargetMode="External"/><Relationship Id="rId368" Type="http://schemas.openxmlformats.org/officeDocument/2006/relationships/hyperlink" Target="http://eur-lex.europa.eu/%20LexUriServ/LexUriServ.do?uri=CELEX:31997L0066:NL:HTML" TargetMode="External"/><Relationship Id="rId172" Type="http://schemas.openxmlformats.org/officeDocument/2006/relationships/hyperlink" Target="http://www.vitalink.be" TargetMode="External"/><Relationship Id="rId228" Type="http://schemas.openxmlformats.org/officeDocument/2006/relationships/hyperlink" Target="http://ehealth-strategies.eu/" TargetMode="External"/><Relationship Id="rId435" Type="http://schemas.openxmlformats.org/officeDocument/2006/relationships/hyperlink" Target="http://www.srz.be" TargetMode="External"/><Relationship Id="rId477" Type="http://schemas.openxmlformats.org/officeDocument/2006/relationships/image" Target="media/image49.png"/><Relationship Id="rId281" Type="http://schemas.openxmlformats.org/officeDocument/2006/relationships/hyperlink" Target="http://www.vie-publique.fr/%20actualite/alaune/ethique-dossier-medical-personnel-question.html" TargetMode="External"/><Relationship Id="rId337" Type="http://schemas.openxmlformats.org/officeDocument/2006/relationships/hyperlink" Target="http://www.gezondheidsraad.nl/sites/default/files/00@15N.PDF" TargetMode="External"/><Relationship Id="rId502" Type="http://schemas.openxmlformats.org/officeDocument/2006/relationships/hyperlink" Target="http://www.edavid.be/" TargetMode="External"/><Relationship Id="rId34" Type="http://schemas.openxmlformats.org/officeDocument/2006/relationships/hyperlink" Target="http://www.wellcome.ac.uk/" TargetMode="External"/><Relationship Id="rId76" Type="http://schemas.openxmlformats.org/officeDocument/2006/relationships/image" Target="media/image19.png"/><Relationship Id="rId141" Type="http://schemas.openxmlformats.org/officeDocument/2006/relationships/hyperlink" Target="http://www.law.kuleuven.be/icri/frobben/presentations/20070215nl.ppt" TargetMode="External"/><Relationship Id="rId379" Type="http://schemas.openxmlformats.org/officeDocument/2006/relationships/hyperlink" Target="http://conventions.coe.int/" TargetMode="External"/><Relationship Id="rId544" Type="http://schemas.openxmlformats.org/officeDocument/2006/relationships/hyperlink" Target="http://membres.multimania.fr/pradeau/exposes/%20DosMed/dossier_medical_synthese_011015.pdf" TargetMode="External"/><Relationship Id="rId7" Type="http://schemas.openxmlformats.org/officeDocument/2006/relationships/footnotes" Target="footnotes.xml"/><Relationship Id="rId183" Type="http://schemas.openxmlformats.org/officeDocument/2006/relationships/hyperlink" Target="http://www.rijksoverheid.nl/%20bestanden/documenten-en-publicaties/rapporten/2012/02/08/rapport-het-epd-voorbij/rapport-het-epd-voorbij.pdf" TargetMode="External"/><Relationship Id="rId239" Type="http://schemas.openxmlformats.org/officeDocument/2006/relationships/hyperlink" Target="http://www.medikeeper.nl" TargetMode="External"/><Relationship Id="rId390" Type="http://schemas.openxmlformats.org/officeDocument/2006/relationships/hyperlink" Target="http://sites.uclouvain.be/%20loumed/CD/DATA/117/S169-195.PDF" TargetMode="External"/><Relationship Id="rId404" Type="http://schemas.openxmlformats.org/officeDocument/2006/relationships/hyperlink" Target="http://www.riziv.fgov.be/" TargetMode="External"/><Relationship Id="rId446" Type="http://schemas.openxmlformats.org/officeDocument/2006/relationships/hyperlink" Target="http://www.stpierre.bru.be" TargetMode="External"/><Relationship Id="rId250" Type="http://schemas.openxmlformats.org/officeDocument/2006/relationships/hyperlink" Target="http://www.mikagroot.nl" TargetMode="External"/><Relationship Id="rId292" Type="http://schemas.openxmlformats.org/officeDocument/2006/relationships/hyperlink" Target="http://www.identito-vigilance.org/presentations/01_F-LAW-DUNE%20_Programme-INS.pdf" TargetMode="External"/><Relationship Id="rId306" Type="http://schemas.openxmlformats.org/officeDocument/2006/relationships/hyperlink" Target="http://rnrsms.ac-creteil.fr/idf/formation/stage06/reformes2.htm" TargetMode="External"/><Relationship Id="rId488" Type="http://schemas.openxmlformats.org/officeDocument/2006/relationships/hyperlink" Target="http://www.irmt.org/" TargetMode="External"/><Relationship Id="rId45" Type="http://schemas.openxmlformats.org/officeDocument/2006/relationships/hyperlink" Target="http://www.ladocumentationfrancaise.fr/var/storage/rapports-publics/%20014000460/0000.pdf" TargetMode="External"/><Relationship Id="rId87" Type="http://schemas.openxmlformats.org/officeDocument/2006/relationships/image" Target="media/image30.png"/><Relationship Id="rId110" Type="http://schemas.openxmlformats.org/officeDocument/2006/relationships/hyperlink" Target="http://eur-lex.europa.eu/" TargetMode="External"/><Relationship Id="rId348" Type="http://schemas.openxmlformats.org/officeDocument/2006/relationships/hyperlink" Target="http://www.ascodocpsy.org/IMG/pdf/archives/%20circulaire2aout1960.pdf" TargetMode="External"/><Relationship Id="rId513" Type="http://schemas.openxmlformats.org/officeDocument/2006/relationships/hyperlink" Target="http://www.iwabase.nl" TargetMode="External"/><Relationship Id="rId555" Type="http://schemas.openxmlformats.org/officeDocument/2006/relationships/hyperlink" Target="http://www.has-sante.fr/" TargetMode="External"/><Relationship Id="rId152" Type="http://schemas.openxmlformats.org/officeDocument/2006/relationships/hyperlink" Target="https://www.ehealth.fgov.be/nl/over-het-ehealth-platform/presentatie/%20infodays/8-december-2011" TargetMode="External"/><Relationship Id="rId194" Type="http://schemas.openxmlformats.org/officeDocument/2006/relationships/hyperlink" Target="http://www.oapen.org/download?type=document&amp;%20docid=375125" TargetMode="External"/><Relationship Id="rId208" Type="http://schemas.openxmlformats.org/officeDocument/2006/relationships/hyperlink" Target="http://doc.utwente.nl" TargetMode="External"/><Relationship Id="rId415" Type="http://schemas.openxmlformats.org/officeDocument/2006/relationships/hyperlink" Target="http://www.steenkamp-ict.com/wbp/hfdst00%20richtlijn.html" TargetMode="External"/><Relationship Id="rId457" Type="http://schemas.openxmlformats.org/officeDocument/2006/relationships/hyperlink" Target="http://www.chrvs.be" TargetMode="External"/><Relationship Id="rId261" Type="http://schemas.openxmlformats.org/officeDocument/2006/relationships/hyperlink" Target="http://www.pazio.nl/" TargetMode="External"/><Relationship Id="rId499" Type="http://schemas.openxmlformats.org/officeDocument/2006/relationships/hyperlink" Target="http://www.arch.arch.be/" TargetMode="External"/><Relationship Id="rId14" Type="http://schemas.openxmlformats.org/officeDocument/2006/relationships/image" Target="media/image6.png"/><Relationship Id="rId56" Type="http://schemas.openxmlformats.org/officeDocument/2006/relationships/hyperlink" Target="http://www.ladocumentationfrancaise.fr/" TargetMode="External"/><Relationship Id="rId317" Type="http://schemas.openxmlformats.org/officeDocument/2006/relationships/hyperlink" Target="http://www.handipole.org/spip.php?article1802" TargetMode="External"/><Relationship Id="rId359" Type="http://schemas.openxmlformats.org/officeDocument/2006/relationships/hyperlink" Target="http://www.ethique.inserm.fr/" TargetMode="External"/><Relationship Id="rId524" Type="http://schemas.openxmlformats.org/officeDocument/2006/relationships/hyperlink" Target="http://www.handelingenbank.info/" TargetMode="External"/><Relationship Id="rId98" Type="http://schemas.openxmlformats.org/officeDocument/2006/relationships/image" Target="media/image37.png"/><Relationship Id="rId121" Type="http://schemas.openxmlformats.org/officeDocument/2006/relationships/hyperlink" Target="https://www.ehealth.fgov.be/%20nl/over-het-ehealth-platform/presentatie/infodays/8-oktober-2009" TargetMode="External"/><Relationship Id="rId163" Type="http://schemas.openxmlformats.org/officeDocument/2006/relationships/hyperlink" Target="http://www.health-care.be/" TargetMode="External"/><Relationship Id="rId219" Type="http://schemas.openxmlformats.org/officeDocument/2006/relationships/hyperlink" Target="http://www.cbpweb.nl/" TargetMode="External"/><Relationship Id="rId370" Type="http://schemas.openxmlformats.org/officeDocument/2006/relationships/hyperlink" Target="http://eur-lex.europa.eu/LexUriServ/LexUriServ.do?uri=COM:2003:0265:%20FIN:NL:PDF" TargetMode="External"/><Relationship Id="rId426" Type="http://schemas.openxmlformats.org/officeDocument/2006/relationships/hyperlink" Target="http://www/overkleeft-verburg.nl" TargetMode="External"/><Relationship Id="rId230" Type="http://schemas.openxmlformats.org/officeDocument/2006/relationships/hyperlink" Target="http://www.europa-nu.nl" TargetMode="External"/><Relationship Id="rId468" Type="http://schemas.openxmlformats.org/officeDocument/2006/relationships/hyperlink" Target="http://www.azstdimpna.be" TargetMode="External"/><Relationship Id="rId25" Type="http://schemas.openxmlformats.org/officeDocument/2006/relationships/hyperlink" Target="http://php.ams-inc.on.ca/files/med_archives.pdf" TargetMode="External"/><Relationship Id="rId67" Type="http://schemas.openxmlformats.org/officeDocument/2006/relationships/image" Target="media/image11.png"/><Relationship Id="rId272" Type="http://schemas.openxmlformats.org/officeDocument/2006/relationships/hyperlink" Target="http://www.umcg.nl/" TargetMode="External"/><Relationship Id="rId328" Type="http://schemas.openxmlformats.org/officeDocument/2006/relationships/hyperlink" Target="http://www.health.belgium.be/eportal/Healthcare/Telematics/%20Studygroups/TelematicsCommission/index.htm" TargetMode="External"/><Relationship Id="rId535" Type="http://schemas.openxmlformats.org/officeDocument/2006/relationships/hyperlink" Target="http://www.archivesdefrance.culture.gouv.fr/fr/circAD/DAFad94-6.html" TargetMode="External"/><Relationship Id="rId132" Type="http://schemas.openxmlformats.org/officeDocument/2006/relationships/hyperlink" Target="http://ehealth-strategies.eu/database/documents/Belgium_%20CountryBrief_eHStrategies.pdf" TargetMode="External"/><Relationship Id="rId174" Type="http://schemas.openxmlformats.org/officeDocument/2006/relationships/hyperlink" Target="http://www.rijksbegroting.nl/%20rijksbegrotingsarchief/regeerakkoorden/regeerakkoord_2007.pdf" TargetMode="External"/><Relationship Id="rId381" Type="http://schemas.openxmlformats.org/officeDocument/2006/relationships/hyperlink" Target="http://echr.coe.int/" TargetMode="External"/><Relationship Id="rId241" Type="http://schemas.openxmlformats.org/officeDocument/2006/relationships/hyperlink" Target="http://www.medischegegevens.nl" TargetMode="External"/><Relationship Id="rId437" Type="http://schemas.openxmlformats.org/officeDocument/2006/relationships/hyperlink" Target="http://www.chrn.be" TargetMode="External"/><Relationship Id="rId479" Type="http://schemas.openxmlformats.org/officeDocument/2006/relationships/image" Target="media/image51.png"/><Relationship Id="rId36" Type="http://schemas.openxmlformats.org/officeDocument/2006/relationships/hyperlink" Target="http://www.health.belgium.be/filestore/11888444/Definitief%25%202520rapport%2520MN%2520Veys%2520NL_11888444_nl.pdf" TargetMode="External"/><Relationship Id="rId283" Type="http://schemas.openxmlformats.org/officeDocument/2006/relationships/hyperlink" Target="http://esante.gouv.fr/asip-sante/espace-presse/%20communiques-de-presse/l-acces-web-patients-du-dossier-medical-personnel-dmp" TargetMode="External"/><Relationship Id="rId339" Type="http://schemas.openxmlformats.org/officeDocument/2006/relationships/hyperlink" Target="http://cf.hum.uva.nl/" TargetMode="External"/><Relationship Id="rId490" Type="http://schemas.openxmlformats.org/officeDocument/2006/relationships/hyperlink" Target="http://www.mil.be/def/news/index.%20asp?LAN=nl&amp;ID=3358" TargetMode="External"/><Relationship Id="rId504" Type="http://schemas.openxmlformats.org/officeDocument/2006/relationships/hyperlink" Target="http://www.hospindex.be" TargetMode="External"/><Relationship Id="rId546" Type="http://schemas.openxmlformats.org/officeDocument/2006/relationships/hyperlink" Target="http://www.piaf-archives.org/espace-formation/mod/resource/view.php?r=106" TargetMode="External"/><Relationship Id="rId78" Type="http://schemas.openxmlformats.org/officeDocument/2006/relationships/image" Target="media/image21.jpeg"/><Relationship Id="rId101" Type="http://schemas.openxmlformats.org/officeDocument/2006/relationships/hyperlink" Target="http://ec.europe.eu/information_society/activities/%20health/whatis_ehealth/index_en.htm" TargetMode="External"/><Relationship Id="rId143" Type="http://schemas.openxmlformats.org/officeDocument/2006/relationships/hyperlink" Target="http://www.law.kuleuven.be/icri/frobben/wp/%20index.php/opinion-2" TargetMode="External"/><Relationship Id="rId185" Type="http://schemas.openxmlformats.org/officeDocument/2006/relationships/hyperlink" Target="http://vhn.artsennet.nl/Artikel/Doorstart-LSP-weer-een-stap-verder.htm" TargetMode="External"/><Relationship Id="rId350" Type="http://schemas.openxmlformats.org/officeDocument/2006/relationships/hyperlink" Target="http://www.ascodocpsy.org/IMG/pdf/GuideArchives_Recolement_fev2008.%20pdf" TargetMode="External"/><Relationship Id="rId406" Type="http://schemas.openxmlformats.org/officeDocument/2006/relationships/hyperlink" Target="http://knmg.artsennet.nl/Publicaties/%20KNMGpublicatie/Nederlandse-artseneed-inclusief-Eed-van-Hippocrates-Verklaring-van-Geneve-2004.htm" TargetMode="External"/><Relationship Id="rId9" Type="http://schemas.openxmlformats.org/officeDocument/2006/relationships/image" Target="media/image1.jpeg"/><Relationship Id="rId210" Type="http://schemas.openxmlformats.org/officeDocument/2006/relationships/hyperlink" Target="http://epd-nee.nl/" TargetMode="External"/><Relationship Id="rId392" Type="http://schemas.openxmlformats.org/officeDocument/2006/relationships/hyperlink" Target="http://www.riziv.fgov.be/presentation/nl/publications/news-bulletin/" TargetMode="External"/><Relationship Id="rId448" Type="http://schemas.openxmlformats.org/officeDocument/2006/relationships/hyperlink" Target="http://www.bordet.be" TargetMode="External"/><Relationship Id="rId252" Type="http://schemas.openxmlformats.org/officeDocument/2006/relationships/hyperlink" Target="http://www.minvws.nl/dossiers/elektronisch-patientendossier/" TargetMode="External"/><Relationship Id="rId294" Type="http://schemas.openxmlformats.org/officeDocument/2006/relationships/hyperlink" Target="http://esante.gouv.fr/sites/default/files/CP_INS_%20ConventionASIP_CNDA_090610.pdf" TargetMode="External"/><Relationship Id="rId308" Type="http://schemas.openxmlformats.org/officeDocument/2006/relationships/hyperlink" Target="http://esante.gouv.fr/travaux-d-experts/20120423-deploiement-du-dmp-retours-d-experience" TargetMode="External"/><Relationship Id="rId515" Type="http://schemas.openxmlformats.org/officeDocument/2006/relationships/hyperlink" Target="http://www.gezondheidsraad.nl/sites/default/files/00@15N.PDF" TargetMode="External"/><Relationship Id="rId47" Type="http://schemas.openxmlformats.org/officeDocument/2006/relationships/hyperlink" Target="http://www.has-sante.fr/portail/upload/docs/application/pdf/Dm.%20pdf" TargetMode="External"/><Relationship Id="rId89" Type="http://schemas.openxmlformats.org/officeDocument/2006/relationships/hyperlink" Target="http://www.medischegegevens.nl/" TargetMode="External"/><Relationship Id="rId112" Type="http://schemas.openxmlformats.org/officeDocument/2006/relationships/hyperlink" Target="http://www.who.int/" TargetMode="External"/><Relationship Id="rId154" Type="http://schemas.openxmlformats.org/officeDocument/2006/relationships/hyperlink" Target="https://www.ehealth.fgov.be/sites/activeprd.%20ehealth.fgov.be/files/assets/nl/pdf/sector_committee/sector_committee_11-088-n134-nota.pdf" TargetMode="External"/><Relationship Id="rId361" Type="http://schemas.openxmlformats.org/officeDocument/2006/relationships/image" Target="media/image39.jpeg"/><Relationship Id="rId557" Type="http://schemas.openxmlformats.org/officeDocument/2006/relationships/hyperlink" Target="http://www.macsf.fr/" TargetMode="External"/><Relationship Id="rId196" Type="http://schemas.openxmlformats.org/officeDocument/2006/relationships/hyperlink" Target="http://www.nictiz.nl/module/360/335/Implementatiehandleiding_OZIS-MEDREC_3-2H_BSN_def_Aflever-pdf" TargetMode="External"/><Relationship Id="rId417" Type="http://schemas.openxmlformats.org/officeDocument/2006/relationships/hyperlink" Target="http://arno.uvt.nl/" TargetMode="External"/><Relationship Id="rId459" Type="http://schemas.openxmlformats.org/officeDocument/2006/relationships/hyperlink" Target="http://www.hap.be" TargetMode="External"/><Relationship Id="rId16" Type="http://schemas.openxmlformats.org/officeDocument/2006/relationships/image" Target="media/image8.png"/><Relationship Id="rId221" Type="http://schemas.openxmlformats.org/officeDocument/2006/relationships/hyperlink" Target="http://www.chipsoft.nl/" TargetMode="External"/><Relationship Id="rId263" Type="http://schemas.openxmlformats.org/officeDocument/2006/relationships/hyperlink" Target="http://www.pkioverheid.nl/" TargetMode="External"/><Relationship Id="rId319" Type="http://schemas.openxmlformats.org/officeDocument/2006/relationships/hyperlink" Target="http://www.sante-alsace.org/cms" TargetMode="External"/><Relationship Id="rId470" Type="http://schemas.openxmlformats.org/officeDocument/2006/relationships/hyperlink" Target="http://www.zmk.be" TargetMode="External"/><Relationship Id="rId526" Type="http://schemas.openxmlformats.org/officeDocument/2006/relationships/hyperlink" Target="http://www.lopai.nl/" TargetMode="External"/><Relationship Id="rId58" Type="http://schemas.openxmlformats.org/officeDocument/2006/relationships/hyperlink" Target="http://www.sfmg.org/" TargetMode="External"/><Relationship Id="rId123" Type="http://schemas.openxmlformats.org/officeDocument/2006/relationships/hyperlink" Target="https://www.ehealth.fgov.be/nl/over-het-ehealth-platform/%20organisatie/beheerscomite" TargetMode="External"/><Relationship Id="rId330" Type="http://schemas.openxmlformats.org/officeDocument/2006/relationships/hyperlink" Target="http://www.health.belgium.be/" TargetMode="External"/><Relationship Id="rId165" Type="http://schemas.openxmlformats.org/officeDocument/2006/relationships/hyperlink" Target="http://www.law.kuleuven.be/icri/" TargetMode="External"/><Relationship Id="rId372" Type="http://schemas.openxmlformats.org/officeDocument/2006/relationships/hyperlink" Target="http://ec.europa.eu/eu2020/pdf/1_NL_ACT_part1_v1.pdf" TargetMode="External"/><Relationship Id="rId428" Type="http://schemas.openxmlformats.org/officeDocument/2006/relationships/hyperlink" Target="http://fulltext.bdsp.ehesp.fr/" TargetMode="External"/><Relationship Id="rId232" Type="http://schemas.openxmlformats.org/officeDocument/2006/relationships/hyperlink" Target="http://www.hemobase.net" TargetMode="External"/><Relationship Id="rId274" Type="http://schemas.openxmlformats.org/officeDocument/2006/relationships/hyperlink" Target="http://www.umcutrecht.nl/" TargetMode="External"/><Relationship Id="rId481" Type="http://schemas.openxmlformats.org/officeDocument/2006/relationships/image" Target="media/image53.png"/><Relationship Id="rId27" Type="http://schemas.openxmlformats.org/officeDocument/2006/relationships/hyperlink" Target="http://www.archivists.org/" TargetMode="External"/><Relationship Id="rId69" Type="http://schemas.openxmlformats.org/officeDocument/2006/relationships/image" Target="media/image13.png"/><Relationship Id="rId134" Type="http://schemas.openxmlformats.org/officeDocument/2006/relationships/hyperlink" Target="http://www.jmir.org/2001/2/%20e20" TargetMode="External"/><Relationship Id="rId537" Type="http://schemas.openxmlformats.org/officeDocument/2006/relationships/hyperlink" Target="http://www.ladocumentationfrancaise.fr/var/%20storage/rapports-publics/014000460/0000.pdf" TargetMode="External"/><Relationship Id="rId80" Type="http://schemas.openxmlformats.org/officeDocument/2006/relationships/image" Target="media/image23.png"/><Relationship Id="rId176" Type="http://schemas.openxmlformats.org/officeDocument/2006/relationships/hyperlink" Target="http://knmg.artsennet.nl/Nieuws%20/Nieuwsarchief/Nieuwsbericht-1/Uitgangspuntennotitie-EPD-28-oktober-2009.htm" TargetMode="External"/><Relationship Id="rId341" Type="http://schemas.openxmlformats.org/officeDocument/2006/relationships/hyperlink" Target="http://www.cbpweb.nl/" TargetMode="External"/><Relationship Id="rId383" Type="http://schemas.openxmlformats.org/officeDocument/2006/relationships/hyperlink" Target="http://www.edps.europa.eu/." TargetMode="External"/><Relationship Id="rId439" Type="http://schemas.openxmlformats.org/officeDocument/2006/relationships/hyperlink" Target="http://www.zna.be" TargetMode="External"/><Relationship Id="rId201" Type="http://schemas.openxmlformats.org/officeDocument/2006/relationships/hyperlink" Target="http://www.nvma.nl/nl/publicaties/ntma119/10-vanPlannenMaken.pdf" TargetMode="External"/><Relationship Id="rId243" Type="http://schemas.openxmlformats.org/officeDocument/2006/relationships/hyperlink" Target="http://www.mijndvn.nl" TargetMode="External"/><Relationship Id="rId285" Type="http://schemas.openxmlformats.org/officeDocument/2006/relationships/hyperlink" Target="http://esante.gouv.fr/actus/interoperabilite/l-asip-sante-hote-des-reunions-de-trois-comites-de-standardisation-ihe-intern" TargetMode="External"/><Relationship Id="rId450" Type="http://schemas.openxmlformats.org/officeDocument/2006/relationships/hyperlink" Target="http://www.lemberge.be" TargetMode="External"/><Relationship Id="rId506" Type="http://schemas.openxmlformats.org/officeDocument/2006/relationships/hyperlink" Target="http://www.mil.be/" TargetMode="External"/><Relationship Id="rId38" Type="http://schemas.openxmlformats.org/officeDocument/2006/relationships/hyperlink" Target="http://www.health.belgium.be/" TargetMode="External"/><Relationship Id="rId103" Type="http://schemas.openxmlformats.org/officeDocument/2006/relationships/hyperlink" Target="http://europa.eu.int/infotmation_society/eeurope/i2010/a_single_infor_space/index_en%20.htm" TargetMode="External"/><Relationship Id="rId310" Type="http://schemas.openxmlformats.org/officeDocument/2006/relationships/hyperlink" Target="http://www.cnda-vitale.fr/" TargetMode="External"/><Relationship Id="rId492" Type="http://schemas.openxmlformats.org/officeDocument/2006/relationships/hyperlink" Target="http://www.edavid.be/docs/digitalarchiving_manual.%20pdf" TargetMode="External"/><Relationship Id="rId548" Type="http://schemas.openxmlformats.org/officeDocument/2006/relationships/hyperlink" Target="http://basedaj.aphp.fr/" TargetMode="External"/><Relationship Id="rId91" Type="http://schemas.openxmlformats.org/officeDocument/2006/relationships/image" Target="media/image33.png"/><Relationship Id="rId145" Type="http://schemas.openxmlformats.org/officeDocument/2006/relationships/hyperlink" Target="http://www.svh.be/persnota20060127Flandershealthbe.htm" TargetMode="External"/><Relationship Id="rId187" Type="http://schemas.openxmlformats.org/officeDocument/2006/relationships/hyperlink" Target="http://www.security.nl/artikel/%2041192/1/Verzuimapplicatie_lekt_300.000_medische_dossiers.html" TargetMode="External"/><Relationship Id="rId352" Type="http://schemas.openxmlformats.org/officeDocument/2006/relationships/hyperlink" Target="http://www.journaldunet.com/juridique/juridique060120.shtml" TargetMode="External"/><Relationship Id="rId394" Type="http://schemas.openxmlformats.org/officeDocument/2006/relationships/hyperlink" Target="https://www.law.kuleuven.be/icri/frobben/publications/1988%20-%20De%20%20bescherming%20van%20de%20persoonlijke%20levenssfeer%20bij%20de%20grensoverschrijdende%20uitwisseling%20van%20persoonsgegevens.pdf" TargetMode="External"/><Relationship Id="rId408" Type="http://schemas.openxmlformats.org/officeDocument/2006/relationships/hyperlink" Target="http://cf.hum.uva.nl/%20bai/home/eketelaar/WBP.doc" TargetMode="External"/><Relationship Id="rId212" Type="http://schemas.openxmlformats.org/officeDocument/2006/relationships/hyperlink" Target="https://htc.azm.nl/" TargetMode="External"/><Relationship Id="rId254" Type="http://schemas.openxmlformats.org/officeDocument/2006/relationships/hyperlink" Target="http://www.nivel.nl/" TargetMode="External"/><Relationship Id="rId49" Type="http://schemas.openxmlformats.org/officeDocument/2006/relationships/hyperlink" Target="http://www.univ-reims.fr/%20gallery_files/site/1/90/1129/1384/1536/1561/1562.ppt" TargetMode="External"/><Relationship Id="rId114" Type="http://schemas.openxmlformats.org/officeDocument/2006/relationships/hyperlink" Target="http://docs.vlaamsparlement.be/docs/schv/2010-2011/VANDEURZEN/74" TargetMode="External"/><Relationship Id="rId296" Type="http://schemas.openxmlformats.org/officeDocument/2006/relationships/hyperlink" Target="http://esante.gouv.fr/sites/default/files/ASIP_RA2010.pdf" TargetMode="External"/><Relationship Id="rId461" Type="http://schemas.openxmlformats.org/officeDocument/2006/relationships/hyperlink" Target="http://www.azherentals.be" TargetMode="External"/><Relationship Id="rId517" Type="http://schemas.openxmlformats.org/officeDocument/2006/relationships/hyperlink" Target="http://www.iwabase.nl" TargetMode="External"/><Relationship Id="rId559" Type="http://schemas.openxmlformats.org/officeDocument/2006/relationships/hyperlink" Target="http://www.sae-diffusion.sante.gouv.fr/" TargetMode="External"/><Relationship Id="rId60" Type="http://schemas.openxmlformats.org/officeDocument/2006/relationships/hyperlink" Target="http://ressources.ensp.fr/" TargetMode="External"/><Relationship Id="rId156" Type="http://schemas.openxmlformats.org/officeDocument/2006/relationships/hyperlink" Target="http://arch.be/" TargetMode="External"/><Relationship Id="rId198" Type="http://schemas.openxmlformats.org/officeDocument/2006/relationships/hyperlink" Target="https://www.nictiz.nl/module/360/75/10023RP_e-health_monitor_2010_volumes.pdf" TargetMode="External"/><Relationship Id="rId321" Type="http://schemas.openxmlformats.org/officeDocument/2006/relationships/hyperlink" Target="http://www.coe.int/T/E/Legal_affairs/Legal_co-operation/Data_protection/%20Documents" TargetMode="External"/><Relationship Id="rId363" Type="http://schemas.openxmlformats.org/officeDocument/2006/relationships/hyperlink" Target="http://www.europarl.europa.eu/meetdocs/2009_2014/documents/wgme/dv/201/201103/%2020110309_declarationhumanrights_fr.pdf" TargetMode="External"/><Relationship Id="rId419" Type="http://schemas.openxmlformats.org/officeDocument/2006/relationships/hyperlink" Target="http://knmg.artsennet.nl/" TargetMode="External"/><Relationship Id="rId223" Type="http://schemas.openxmlformats.org/officeDocument/2006/relationships/hyperlink" Target="http://www.cs.ru.nl/" TargetMode="External"/><Relationship Id="rId430" Type="http://schemas.openxmlformats.org/officeDocument/2006/relationships/image" Target="media/image41.png"/><Relationship Id="rId18" Type="http://schemas.openxmlformats.org/officeDocument/2006/relationships/hyperlink" Target="http://www.cl.cam.ac.uk/techreports/%20UCAM-CL-TR-628.pdf" TargetMode="External"/><Relationship Id="rId265" Type="http://schemas.openxmlformats.org/officeDocument/2006/relationships/hyperlink" Target="http://www.promedico.nl/" TargetMode="External"/><Relationship Id="rId472" Type="http://schemas.openxmlformats.org/officeDocument/2006/relationships/hyperlink" Target="http://www.aiomsmoresnet.be" TargetMode="External"/><Relationship Id="rId528" Type="http://schemas.openxmlformats.org/officeDocument/2006/relationships/hyperlink" Target="http://www.reisswolf.nl/" TargetMode="External"/><Relationship Id="rId125" Type="http://schemas.openxmlformats.org/officeDocument/2006/relationships/hyperlink" Target="http://www.zorg-en-gezondheid.be/uploadedFiles/Zorg_en_Gezondheid/%20Applicaties-ICT/Eerstelijnskluis/Verslag%20WG%20ICT%2020110415%20bijlage.pdf" TargetMode="External"/><Relationship Id="rId167" Type="http://schemas.openxmlformats.org/officeDocument/2006/relationships/hyperlink" Target="http://www.raliga.be/" TargetMode="External"/><Relationship Id="rId332" Type="http://schemas.openxmlformats.org/officeDocument/2006/relationships/hyperlink" Target="http://www.riziv.be/" TargetMode="External"/><Relationship Id="rId374" Type="http://schemas.openxmlformats.org/officeDocument/2006/relationships/hyperlink" Target="http://eur-lex.europa.eu/LexUriServ/%20LexUriServ.do?uri=COM:2010:0245:FIN:NL:PDF" TargetMode="External"/><Relationship Id="rId71" Type="http://schemas.openxmlformats.org/officeDocument/2006/relationships/image" Target="media/image15.png"/><Relationship Id="rId234" Type="http://schemas.openxmlformats.org/officeDocument/2006/relationships/hyperlink" Target="http://www.infoEPD.nl" TargetMode="External"/><Relationship Id="rId2" Type="http://schemas.openxmlformats.org/officeDocument/2006/relationships/numbering" Target="numbering.xml"/><Relationship Id="rId29" Type="http://schemas.openxmlformats.org/officeDocument/2006/relationships/hyperlink" Target="http://www.dh.gov.uk/" TargetMode="External"/><Relationship Id="rId276" Type="http://schemas.openxmlformats.org/officeDocument/2006/relationships/hyperlink" Target="http://www.zorgatlas.nl/" TargetMode="External"/><Relationship Id="rId441" Type="http://schemas.openxmlformats.org/officeDocument/2006/relationships/hyperlink" Target="http://www.isosl.be" TargetMode="External"/><Relationship Id="rId483" Type="http://schemas.openxmlformats.org/officeDocument/2006/relationships/hyperlink" Target="http://www.healtharchives.org/docs/hospital_case_records_2006_%20final_version.pdf" TargetMode="External"/><Relationship Id="rId539" Type="http://schemas.openxmlformats.org/officeDocument/2006/relationships/hyperlink" Target="http://basedaj.aphp.fr/daj/public/index/display/id_%20theme/1754/id_fiche/8146" TargetMode="External"/><Relationship Id="rId40" Type="http://schemas.openxmlformats.org/officeDocument/2006/relationships/hyperlink" Target="http://dspace.ou.nl/bitstream/1820/%203031/1/mw%26infRmiesnov09.pdf" TargetMode="External"/><Relationship Id="rId136" Type="http://schemas.openxmlformats.org/officeDocument/2006/relationships/hyperlink" Target="http://www.flanders-care.be/files/%20visiedocument-ezorgzaam-vlaanderen.pdf" TargetMode="External"/><Relationship Id="rId178" Type="http://schemas.openxmlformats.org/officeDocument/2006/relationships/hyperlink" Target="http://www.rijksoverheid.nl/%20bestanden/documenten-en-publicaties/rapporten/2010/06/30/risicoanalyse-epd-digid/meva-3019667b.pdf" TargetMode="External"/><Relationship Id="rId301" Type="http://schemas.openxmlformats.org/officeDocument/2006/relationships/hyperlink" Target="http://www.ladocumentationfrancaise.fr/var/storage/rapports%20-publics/074000115/0000.pdf" TargetMode="External"/><Relationship Id="rId343" Type="http://schemas.openxmlformats.org/officeDocument/2006/relationships/hyperlink" Target="http://www.gezondheidsraad.nl/" TargetMode="External"/><Relationship Id="rId550" Type="http://schemas.openxmlformats.org/officeDocument/2006/relationships/hyperlink" Target="http://www.archivesdefrance.culture.gouv.fr/" TargetMode="External"/><Relationship Id="rId82" Type="http://schemas.openxmlformats.org/officeDocument/2006/relationships/image" Target="media/image25.png"/><Relationship Id="rId203" Type="http://schemas.openxmlformats.org/officeDocument/2006/relationships/hyperlink" Target="http://www.ru.nl/" TargetMode="External"/><Relationship Id="rId385" Type="http://schemas.openxmlformats.org/officeDocument/2006/relationships/hyperlink" Target="http://www.edavid.be/davidproject/teksten/DAVID_vademecum.pdf" TargetMode="External"/><Relationship Id="rId245" Type="http://schemas.openxmlformats.org/officeDocument/2006/relationships/hyperlink" Target="http://www.mijnflevoziekenhuis.nl" TargetMode="External"/><Relationship Id="rId287" Type="http://schemas.openxmlformats.org/officeDocument/2006/relationships/hyperlink" Target="http://www.dmp.gouv.fr/web/dmp/actualite-dmp/le-projet-dmp" TargetMode="External"/><Relationship Id="rId410" Type="http://schemas.openxmlformats.org/officeDocument/2006/relationships/hyperlink" Target="https://openaccess.leidenuniv.nl/handle/1887/12352" TargetMode="External"/><Relationship Id="rId452" Type="http://schemas.openxmlformats.org/officeDocument/2006/relationships/hyperlink" Target="http://www.ifac.be" TargetMode="External"/><Relationship Id="rId494" Type="http://schemas.openxmlformats.org/officeDocument/2006/relationships/hyperlink" Target="http://www.health.belgium.be/%20filestore/9866465/wdijkh2004_9866465_nl.pdf" TargetMode="External"/><Relationship Id="rId508" Type="http://schemas.openxmlformats.org/officeDocument/2006/relationships/hyperlink" Target="http://www.who.int/" TargetMode="External"/><Relationship Id="rId105" Type="http://schemas.openxmlformats.org/officeDocument/2006/relationships/hyperlink" Target="http://ec.europa.eu/information_society/%20eeurope/i2010/docs/benchmarking/ehealth_benchmarking_3_final_report.pdf" TargetMode="External"/><Relationship Id="rId147" Type="http://schemas.openxmlformats.org/officeDocument/2006/relationships/hyperlink" Target="https://www.ehealth.fgov.be/nl/over-het-ehealth-platform/%20presentatie/infodays/8-december-2011" TargetMode="External"/><Relationship Id="rId312" Type="http://schemas.openxmlformats.org/officeDocument/2006/relationships/hyperlink" Target="http://www.dmp-aquitaine.fr/" TargetMode="External"/><Relationship Id="rId354" Type="http://schemas.openxmlformats.org/officeDocument/2006/relationships/hyperlink" Target="http://www.ascodocpsy.org/IMG/pdf/archives/delai_conservation_fhf.pdf" TargetMode="External"/><Relationship Id="rId51" Type="http://schemas.openxmlformats.org/officeDocument/2006/relationships/hyperlink" Target="http://membres.multimania.fr/pradeau/exposes%20/DosMed/dossier_medical_synthese_011015.pdf" TargetMode="External"/><Relationship Id="rId93" Type="http://schemas.openxmlformats.org/officeDocument/2006/relationships/chart" Target="charts/chart1.xml"/><Relationship Id="rId189" Type="http://schemas.openxmlformats.org/officeDocument/2006/relationships/hyperlink" Target="http://www.omroepbrabant.nl/?news/1729921143/Medische+gegevens+duizenden+Brabanders+op+straat.aspx" TargetMode="External"/><Relationship Id="rId396" Type="http://schemas.openxmlformats.org/officeDocument/2006/relationships/hyperlink" Target="http://sites.uclouvain.be/loumed/" TargetMode="External"/><Relationship Id="rId561" Type="http://schemas.openxmlformats.org/officeDocument/2006/relationships/header" Target="header1.xml"/><Relationship Id="rId214" Type="http://schemas.openxmlformats.org/officeDocument/2006/relationships/hyperlink" Target="http://rvz.net/" TargetMode="External"/><Relationship Id="rId256" Type="http://schemas.openxmlformats.org/officeDocument/2006/relationships/hyperlink" Target="http://www.nvma.nl/" TargetMode="External"/><Relationship Id="rId298" Type="http://schemas.openxmlformats.org/officeDocument/2006/relationships/hyperlink" Target="http://fulltext.bdsp.ehesp.fr/Sfsp/SantePublique/2008/6/611_621.pdf" TargetMode="External"/><Relationship Id="rId421" Type="http://schemas.openxmlformats.org/officeDocument/2006/relationships/hyperlink" Target="https://vubis.politieacademie.nl/" TargetMode="External"/><Relationship Id="rId463" Type="http://schemas.openxmlformats.org/officeDocument/2006/relationships/hyperlink" Target="http://www.cpasbru.irisnet.be" TargetMode="External"/><Relationship Id="rId519" Type="http://schemas.openxmlformats.org/officeDocument/2006/relationships/hyperlink" Target="http://www.archieven.nl/" TargetMode="External"/><Relationship Id="rId116" Type="http://schemas.openxmlformats.org/officeDocument/2006/relationships/hyperlink" Target="http://www.const-court.be/public/n/2008/2008-015n.pdf" TargetMode="External"/><Relationship Id="rId158" Type="http://schemas.openxmlformats.org/officeDocument/2006/relationships/hyperlink" Target="http://people.cs.kuleuven.be/~danny.weyns/" TargetMode="External"/><Relationship Id="rId323" Type="http://schemas.openxmlformats.org/officeDocument/2006/relationships/hyperlink" Target="http://coe.int/" TargetMode="External"/><Relationship Id="rId530" Type="http://schemas.openxmlformats.org/officeDocument/2006/relationships/hyperlink" Target="http://www.vumc.nl/afdelingen/metamedica/medischegeschiedenis1/" TargetMode="External"/><Relationship Id="rId20" Type="http://schemas.openxmlformats.org/officeDocument/2006/relationships/hyperlink" Target="http://www.dh.gov.uk/prod_consum_dh/groups/dh_%20digitalassets/documents/digitalasset/dh_093024.pdf" TargetMode="External"/><Relationship Id="rId62" Type="http://schemas.openxmlformats.org/officeDocument/2006/relationships/hyperlink" Target="http://www.has-sante.fr/" TargetMode="External"/><Relationship Id="rId365" Type="http://schemas.openxmlformats.org/officeDocument/2006/relationships/hyperlink" Target="http://ec.europa.eu/justice/policies/privacy/docs/un-art17_fr.pdf" TargetMode="External"/><Relationship Id="rId225" Type="http://schemas.openxmlformats.org/officeDocument/2006/relationships/hyperlink" Target="http://www.digid.nl/" TargetMode="External"/><Relationship Id="rId267" Type="http://schemas.openxmlformats.org/officeDocument/2006/relationships/hyperlink" Target="http://www.rijksbegroting.nl/" TargetMode="External"/><Relationship Id="rId432" Type="http://schemas.openxmlformats.org/officeDocument/2006/relationships/image" Target="media/image43.png"/><Relationship Id="rId474" Type="http://schemas.openxmlformats.org/officeDocument/2006/relationships/image" Target="media/image46.png"/><Relationship Id="rId127" Type="http://schemas.openxmlformats.org/officeDocument/2006/relationships/hyperlink" Target="http://www.health.belgium.be/internet2Prd/groups/public/@%20public/@dg1/@datamanagement/documents/ie2divers/19076147.pdf" TargetMode="External"/><Relationship Id="rId31" Type="http://schemas.openxmlformats.org/officeDocument/2006/relationships/hyperlink" Target="http://www.infotech.monash.edu.au/research/groups/rcrg/publications/recordscontinuum-fupp2.html" TargetMode="External"/><Relationship Id="rId73" Type="http://schemas.openxmlformats.org/officeDocument/2006/relationships/image" Target="media/image16.png"/><Relationship Id="rId169" Type="http://schemas.openxmlformats.org/officeDocument/2006/relationships/hyperlink" Target="http://www.storme.be/" TargetMode="External"/><Relationship Id="rId334" Type="http://schemas.openxmlformats.org/officeDocument/2006/relationships/hyperlink" Target="http://www.cbpweb.nl/downloads_med/med_20100219_uitbesteding_%20verwerking_pati%C3%ABntgegevens.pdf" TargetMode="External"/><Relationship Id="rId376" Type="http://schemas.openxmlformats.org/officeDocument/2006/relationships/hyperlink" Target="http://eur-lex.europa.eu/LexUriServ/LexUriServ.do?%20uri=COM:2012:0010:FIN:NL:PDF" TargetMode="External"/><Relationship Id="rId541" Type="http://schemas.openxmlformats.org/officeDocument/2006/relationships/hyperlink" Target="http://www.sae-diffusion.sante.gouv.fr/%20Collecte_2010/dwd_dwsdoc.aspx?CtrlListWebCat=76" TargetMode="External"/><Relationship Id="rId4" Type="http://schemas.microsoft.com/office/2007/relationships/stylesWithEffects" Target="stylesWithEffects.xml"/><Relationship Id="rId180" Type="http://schemas.openxmlformats.org/officeDocument/2006/relationships/hyperlink" Target="http://www.rijksoverheid.nl/documenten-en-publicaties/%20brieven/2011/04/11/brief-juridische-status-lsp-zonder-kaderwet-epd.html" TargetMode="External"/><Relationship Id="rId236" Type="http://schemas.openxmlformats.org/officeDocument/2006/relationships/hyperlink" Target="http://mijn.kempenhaeghe.nl" TargetMode="External"/><Relationship Id="rId278" Type="http://schemas.openxmlformats.org/officeDocument/2006/relationships/hyperlink" Target="http://www.zorgportaalrijnmond.nl/" TargetMode="External"/><Relationship Id="rId401" Type="http://schemas.openxmlformats.org/officeDocument/2006/relationships/hyperlink" Target="https://www.law.kuleuven.be/icri/frobben/" TargetMode="External"/><Relationship Id="rId443" Type="http://schemas.openxmlformats.org/officeDocument/2006/relationships/hyperlink" Target="http://www.azbrugge.be" TargetMode="External"/><Relationship Id="rId303" Type="http://schemas.openxmlformats.org/officeDocument/2006/relationships/hyperlink" Target="http://www.i-med.fr/IMG/pdf/Dossier_de_conception_INS-C_-_Algorithme_de_%20calcul_v0.0.1.pdf" TargetMode="External"/><Relationship Id="rId485" Type="http://schemas.openxmlformats.org/officeDocument/2006/relationships/hyperlink" Target="http://www.archivists.org/publications/epubs/%20Modern%20Archives-Schellenberg.pdf" TargetMode="External"/><Relationship Id="rId42" Type="http://schemas.openxmlformats.org/officeDocument/2006/relationships/hyperlink" Target="http://knmg.artsennet.nl/" TargetMode="External"/><Relationship Id="rId84" Type="http://schemas.openxmlformats.org/officeDocument/2006/relationships/image" Target="media/image27.png"/><Relationship Id="rId138" Type="http://schemas.openxmlformats.org/officeDocument/2006/relationships/hyperlink" Target="https://www.ehealth.fgov.be/nl/over-het-ehealth-platform/presentatie/infodays/8-december-2011" TargetMode="External"/><Relationship Id="rId345" Type="http://schemas.openxmlformats.org/officeDocument/2006/relationships/hyperlink" Target="http://www.ethique.inserm.fr/%20ethique/Ethique.nsf/397fe8563d75f39bc12563f60028ec43/9793dc757f220498c1256784004a44c2?OpenDocument" TargetMode="External"/><Relationship Id="rId387" Type="http://schemas.openxmlformats.org/officeDocument/2006/relationships/hyperlink" Target="http://www.hospitals.be/pdf/n1vol3p15.pdf" TargetMode="External"/><Relationship Id="rId510" Type="http://schemas.openxmlformats.org/officeDocument/2006/relationships/hyperlink" Target="http://www.handelingenbank.info/informatiebronnen/%20097%20Openbare%20en%20bijzondere%20academische%20ziekenhuizen/BSD/097%20BSD%202006.pdf" TargetMode="External"/><Relationship Id="rId552" Type="http://schemas.openxmlformats.org/officeDocument/2006/relationships/hyperlink" Target="http://www.ascodocpsy.org/" TargetMode="External"/><Relationship Id="rId191" Type="http://schemas.openxmlformats.org/officeDocument/2006/relationships/hyperlink" Target="http://www.nivel.nl/sites/default/files/bestanden/factsheet-emd-juni%202006.pdf" TargetMode="External"/><Relationship Id="rId205" Type="http://schemas.openxmlformats.org/officeDocument/2006/relationships/hyperlink" Target="http://www.nictiz.nl/module/360/73/10002KA_Kennisartikel_e-Identity.pdf" TargetMode="External"/><Relationship Id="rId247" Type="http://schemas.openxmlformats.org/officeDocument/2006/relationships/hyperlink" Target="http://www.mijnmediq.nl" TargetMode="External"/><Relationship Id="rId412" Type="http://schemas.openxmlformats.org/officeDocument/2006/relationships/hyperlink" Target="https://vubis.politieacademie.nl/pdf/43128.%20pdf" TargetMode="External"/><Relationship Id="rId107" Type="http://schemas.openxmlformats.org/officeDocument/2006/relationships/hyperlink" Target="http://www.e-recordservices.eu/%20attachments/007_TNO%20rapport%20NICTIZ%20over%20EN13606%20V1.0%20final.pdf" TargetMode="External"/><Relationship Id="rId289" Type="http://schemas.openxmlformats.org/officeDocument/2006/relationships/hyperlink" Target="http://www.sante.gouv.fr/%20plan-de-relance-du-dossier-medical-personnel-dmp.html" TargetMode="External"/><Relationship Id="rId454" Type="http://schemas.openxmlformats.org/officeDocument/2006/relationships/hyperlink" Target="http://www.azoudenaarde.be" TargetMode="External"/><Relationship Id="rId496" Type="http://schemas.openxmlformats.org/officeDocument/2006/relationships/hyperlink" Target="http://arch.arch.be/images/stories/brochure_surveillance/archiefoverbrenging.pdf" TargetMode="External"/><Relationship Id="rId11" Type="http://schemas.openxmlformats.org/officeDocument/2006/relationships/image" Target="media/image3.jpeg"/><Relationship Id="rId53" Type="http://schemas.openxmlformats.org/officeDocument/2006/relationships/hyperlink" Target="http://www.macsf.fr/vous-informer/perte-et-destruction-dossier-medical.html" TargetMode="External"/><Relationship Id="rId149" Type="http://schemas.openxmlformats.org/officeDocument/2006/relationships/hyperlink" Target="http://extranet.arch.be/arch/tableau_de_tri_selectielijsten/fed/new/%20eHealth_TT_2012_DEF.pdf" TargetMode="External"/><Relationship Id="rId314" Type="http://schemas.openxmlformats.org/officeDocument/2006/relationships/hyperlink" Target="http://www.dmp.gouv.fr/" TargetMode="External"/><Relationship Id="rId356" Type="http://schemas.openxmlformats.org/officeDocument/2006/relationships/hyperlink" Target="http://fulltext.bdsp.ehesp.fr/" TargetMode="External"/><Relationship Id="rId398" Type="http://schemas.openxmlformats.org/officeDocument/2006/relationships/hyperlink" Target="http://www.demens.nu/" TargetMode="External"/><Relationship Id="rId521" Type="http://schemas.openxmlformats.org/officeDocument/2006/relationships/hyperlink" Target="http://www.flickr.com/photos/archievenorg/sets/72157615838734411/" TargetMode="External"/><Relationship Id="rId563" Type="http://schemas.openxmlformats.org/officeDocument/2006/relationships/theme" Target="theme/theme1.xml"/><Relationship Id="rId95" Type="http://schemas.openxmlformats.org/officeDocument/2006/relationships/chart" Target="charts/chart3.xml"/><Relationship Id="rId160" Type="http://schemas.openxmlformats.org/officeDocument/2006/relationships/hyperlink" Target="http://www.ehealth.fgov.be/" TargetMode="External"/><Relationship Id="rId216" Type="http://schemas.openxmlformats.org/officeDocument/2006/relationships/hyperlink" Target="http://tweakers.net/" TargetMode="External"/><Relationship Id="rId423" Type="http://schemas.openxmlformats.org/officeDocument/2006/relationships/hyperlink" Target="http://www.ejure.nl/" TargetMode="External"/><Relationship Id="rId258" Type="http://schemas.openxmlformats.org/officeDocument/2006/relationships/hyperlink" Target="http://www.ozis.nl/" TargetMode="External"/><Relationship Id="rId465" Type="http://schemas.openxmlformats.org/officeDocument/2006/relationships/hyperlink" Target="http://www.ocmw-wervik.be" TargetMode="External"/><Relationship Id="rId22" Type="http://schemas.openxmlformats.org/officeDocument/2006/relationships/hyperlink" Target="http://www.archivists.org/publications/epubs/Modern%20Archives-Schellenberg.pdf" TargetMode="External"/><Relationship Id="rId64" Type="http://schemas.openxmlformats.org/officeDocument/2006/relationships/image" Target="media/image9.jpeg"/><Relationship Id="rId118" Type="http://schemas.openxmlformats.org/officeDocument/2006/relationships/hyperlink" Target="http://www.zorg-en-gezondheid.be/Over-ons/KAGB/%20Adviezen/Advies,-27-januari-2007,-Be-Health/" TargetMode="External"/><Relationship Id="rId325" Type="http://schemas.openxmlformats.org/officeDocument/2006/relationships/hyperlink" Target="http://www.vbs-gbs.org/dgs/gs2000/gs0009/gs0009-05.asp" TargetMode="External"/><Relationship Id="rId367" Type="http://schemas.openxmlformats.org/officeDocument/2006/relationships/hyperlink" Target="http://eur-lex.europa.eu/LexUriServ/LexUriServ.do?uri=COM:1995:0375:FIN:NL:PDF" TargetMode="External"/><Relationship Id="rId532" Type="http://schemas.openxmlformats.org/officeDocument/2006/relationships/hyperlink" Target="http://www.archivesdefrance.culture.gouv.fr/static/1877" TargetMode="External"/><Relationship Id="rId171" Type="http://schemas.openxmlformats.org/officeDocument/2006/relationships/hyperlink" Target="http://www.uzgent.be/" TargetMode="External"/><Relationship Id="rId227" Type="http://schemas.openxmlformats.org/officeDocument/2006/relationships/hyperlink" Target="http://www.eerstekamer.nl/" TargetMode="External"/><Relationship Id="rId269" Type="http://schemas.openxmlformats.org/officeDocument/2006/relationships/hyperlink" Target="http://www.ru.nl/" TargetMode="External"/><Relationship Id="rId434" Type="http://schemas.openxmlformats.org/officeDocument/2006/relationships/hyperlink" Target="http://arch.arch.be/images/stories/brochure_surveillance/archiefselectie.pdf%20%20%20%20%20%20arch.arch.be/images/stories/brochure_surveillance/archiefoverbrenging.pdf" TargetMode="External"/><Relationship Id="rId476" Type="http://schemas.openxmlformats.org/officeDocument/2006/relationships/image" Target="media/image48.png"/><Relationship Id="rId33" Type="http://schemas.openxmlformats.org/officeDocument/2006/relationships/hyperlink" Target="http://www.warveterans.be/" TargetMode="External"/><Relationship Id="rId129" Type="http://schemas.openxmlformats.org/officeDocument/2006/relationships/hyperlink" Target="http://www.edavid.be/docs/digitalehandtekeningen_%20archiefdocumenten.pdf" TargetMode="External"/><Relationship Id="rId280" Type="http://schemas.openxmlformats.org/officeDocument/2006/relationships/hyperlink" Target="http://esante.gouv.fr/actus/%20dmp/dmp-un-projet-structurant-pour-la-e-sante-en-france" TargetMode="External"/><Relationship Id="rId336" Type="http://schemas.openxmlformats.org/officeDocument/2006/relationships/hyperlink" Target="http://www.gezondheidsraad.nl/sites/default/files/04@08n1.pdf" TargetMode="External"/><Relationship Id="rId501" Type="http://schemas.openxmlformats.org/officeDocument/2006/relationships/hyperlink" Target="http://www.ccc-ggc.irisnet.be/nl/erkende-instellingen/gezondheidzorg/" TargetMode="External"/><Relationship Id="rId543" Type="http://schemas.openxmlformats.org/officeDocument/2006/relationships/hyperlink" Target="http://www.cmq.org/Medecins%20Membres/AmeliorationExercice/TenueDossiers/~/media/Files/Articles/tenue_dossiers_medactuel_fev2006.ashx?41217" TargetMode="External"/><Relationship Id="rId75" Type="http://schemas.openxmlformats.org/officeDocument/2006/relationships/image" Target="media/image18.png"/><Relationship Id="rId140" Type="http://schemas.openxmlformats.org/officeDocument/2006/relationships/hyperlink" Target="http://www.law.kuleuven.be/%20icri/frobben/wp/index.php/presentations" TargetMode="External"/><Relationship Id="rId182" Type="http://schemas.openxmlformats.org/officeDocument/2006/relationships/hyperlink" Target="http://www.rijksoverheid.nl/documenten-en-publicaties/kamerstukken/2012/02/08/%20aanbiedingsbrief-rapporten-nsob-en-kpmg-over-epd.html" TargetMode="External"/><Relationship Id="rId378" Type="http://schemas.openxmlformats.org/officeDocument/2006/relationships/hyperlink" Target="http://echr.coe.int/NR/rdonlyres/%20697D579F-D3EE-4CC5-91FA-4FF91F9D6A37/0/DG2FRHRHAND012003.pdf" TargetMode="External"/><Relationship Id="rId403" Type="http://schemas.openxmlformats.org/officeDocument/2006/relationships/hyperlink" Target="http://www.privacycommission.be/" TargetMode="External"/><Relationship Id="rId6" Type="http://schemas.openxmlformats.org/officeDocument/2006/relationships/webSettings" Target="webSettings.xml"/><Relationship Id="rId238" Type="http://schemas.openxmlformats.org/officeDocument/2006/relationships/hyperlink" Target="http://www.mckesson.nl" TargetMode="External"/><Relationship Id="rId445" Type="http://schemas.openxmlformats.org/officeDocument/2006/relationships/hyperlink" Target="http://www.chrh.be" TargetMode="External"/><Relationship Id="rId487" Type="http://schemas.openxmlformats.org/officeDocument/2006/relationships/hyperlink" Target="http://eur-lex.europa.eu/" TargetMode="External"/><Relationship Id="rId291" Type="http://schemas.openxmlformats.org/officeDocument/2006/relationships/hyperlink" Target="http://esante.gouv.fr/dmp_presse/presse/dossier_01.pdf" TargetMode="External"/><Relationship Id="rId305" Type="http://schemas.openxmlformats.org/officeDocument/2006/relationships/hyperlink" Target="http://www.sante.gouv.fr/le-rapport-sur-le-dossier-medical-personnel-dmp.html" TargetMode="External"/><Relationship Id="rId347" Type="http://schemas.openxmlformats.org/officeDocument/2006/relationships/hyperlink" Target="http://www.archivesdefrance.culture.gouv.fr/static/1877" TargetMode="External"/><Relationship Id="rId512" Type="http://schemas.openxmlformats.org/officeDocument/2006/relationships/hyperlink" Target="http://www.archieven.nl/nl/zoeken?%20mivast=0&amp;mizig=210&amp;miadt=235&amp;micode=1491&amp;miview=inv2" TargetMode="External"/><Relationship Id="rId44" Type="http://schemas.openxmlformats.org/officeDocument/2006/relationships/hyperlink" Target="http://www.ladocumentationfrancaise.fr/var/%20storage/rapports-publics/014000460/0000.pdf" TargetMode="External"/><Relationship Id="rId86" Type="http://schemas.openxmlformats.org/officeDocument/2006/relationships/image" Target="media/image29.png"/><Relationship Id="rId151" Type="http://schemas.openxmlformats.org/officeDocument/2006/relationships/hyperlink" Target="http://www.raliga.be/files/Dossier%20elektronische%20uitwisseling%20%20gezondheidsgegevens.pdf" TargetMode="External"/><Relationship Id="rId389" Type="http://schemas.openxmlformats.org/officeDocument/2006/relationships/hyperlink" Target="http://www.vub.ac.be/LSTS/pub/Dehert/221.pdf" TargetMode="External"/><Relationship Id="rId554" Type="http://schemas.openxmlformats.org/officeDocument/2006/relationships/hyperlink" Target="http://www.cmq.org/" TargetMode="External"/><Relationship Id="rId193" Type="http://schemas.openxmlformats.org/officeDocument/2006/relationships/hyperlink" Target="http://www.cs.ru.nl/B.Jacobs/%20PAPERS/BLG18295.pdf" TargetMode="External"/><Relationship Id="rId207" Type="http://schemas.openxmlformats.org/officeDocument/2006/relationships/hyperlink" Target="http://d1sx0yagqoiea4.cloudfront.net/" TargetMode="External"/><Relationship Id="rId249" Type="http://schemas.openxmlformats.org/officeDocument/2006/relationships/hyperlink" Target="http://www.mijnreinier.nl" TargetMode="External"/><Relationship Id="rId414" Type="http://schemas.openxmlformats.org/officeDocument/2006/relationships/hyperlink" Target="http://www.ejure.nl/" TargetMode="External"/><Relationship Id="rId456" Type="http://schemas.openxmlformats.org/officeDocument/2006/relationships/hyperlink" Target="http://www.clinsudlux.be" TargetMode="External"/><Relationship Id="rId498" Type="http://schemas.openxmlformats.org/officeDocument/2006/relationships/hyperlink" Target="http://www.lemagit.fr/article/stockage-numerique-idc-nuage-donnees-cloud/6254/1/idc-pronostique-une-explosion-volumedonnees-produites-dans-monde-ici-ans/" TargetMode="External"/><Relationship Id="rId13" Type="http://schemas.openxmlformats.org/officeDocument/2006/relationships/image" Target="media/image5.png"/><Relationship Id="rId109" Type="http://schemas.openxmlformats.org/officeDocument/2006/relationships/hyperlink" Target="http://ec.europe.eu/" TargetMode="External"/><Relationship Id="rId260" Type="http://schemas.openxmlformats.org/officeDocument/2006/relationships/hyperlink" Target="http://www.patient1.nl/" TargetMode="External"/><Relationship Id="rId316" Type="http://schemas.openxmlformats.org/officeDocument/2006/relationships/hyperlink" Target="http://www.esante-picardie.com/" TargetMode="External"/><Relationship Id="rId523" Type="http://schemas.openxmlformats.org/officeDocument/2006/relationships/hyperlink" Target="http://www.gezondheidsraad.nl/" TargetMode="External"/><Relationship Id="rId55" Type="http://schemas.openxmlformats.org/officeDocument/2006/relationships/hyperlink" Target="http://www.axis-consultants.fr/Modules/Sanitaire/index_assets/Plan-detaille-Secret-Professionnel.pdf" TargetMode="External"/><Relationship Id="rId97" Type="http://schemas.openxmlformats.org/officeDocument/2006/relationships/image" Target="media/image36.png"/><Relationship Id="rId120" Type="http://schemas.openxmlformats.org/officeDocument/2006/relationships/hyperlink" Target="https://www.ehealth.fgov.be/%20nl/over-het-ehealth-platform/presentatie/infodays/4-march-2011" TargetMode="External"/><Relationship Id="rId358" Type="http://schemas.openxmlformats.org/officeDocument/2006/relationships/hyperlink" Target="http://www.ascodocpsy.org/" TargetMode="External"/><Relationship Id="rId162" Type="http://schemas.openxmlformats.org/officeDocument/2006/relationships/hyperlink" Target="http://www.health.belgium.be/" TargetMode="External"/><Relationship Id="rId218" Type="http://schemas.openxmlformats.org/officeDocument/2006/relationships/hyperlink" Target="http://www.burgerservicenummer.nl/" TargetMode="External"/><Relationship Id="rId425" Type="http://schemas.openxmlformats.org/officeDocument/2006/relationships/hyperlink" Target="http://www.europa-nu.nl/" TargetMode="External"/><Relationship Id="rId467" Type="http://schemas.openxmlformats.org/officeDocument/2006/relationships/hyperlink" Target="http://www.chu.ulg.ac.be" TargetMode="External"/><Relationship Id="rId271" Type="http://schemas.openxmlformats.org/officeDocument/2006/relationships/hyperlink" Target="http://www.vitalhealthsoftware.nl/" TargetMode="External"/><Relationship Id="rId24" Type="http://schemas.openxmlformats.org/officeDocument/2006/relationships/hyperlink" Target="http://membres.multimania.fr/pradeau/exposes/DosMed/dossier_medical_synthese_011015.pdf" TargetMode="External"/><Relationship Id="rId66" Type="http://schemas.openxmlformats.org/officeDocument/2006/relationships/image" Target="media/image10.png"/><Relationship Id="rId131" Type="http://schemas.openxmlformats.org/officeDocument/2006/relationships/hyperlink" Target="http://www.uzgent.be/wps/wcm/connect/nl/web/zorg/cozo" TargetMode="External"/><Relationship Id="rId327" Type="http://schemas.openxmlformats.org/officeDocument/2006/relationships/hyperlink" Target="http://www.health.belgium.be/filestore/4152387/%202005%252011%252010%2520-%2520NRZV%2520D%2520250-2%2520NL_4152387_nl.%20pdf" TargetMode="External"/><Relationship Id="rId369" Type="http://schemas.openxmlformats.org/officeDocument/2006/relationships/hyperlink" Target="http://eur-lex.europa.eu/LexUriServ/site/en/com/2007/com2007_%200087en01.pdf" TargetMode="External"/><Relationship Id="rId534" Type="http://schemas.openxmlformats.org/officeDocument/2006/relationships/hyperlink" Target="http://www.archivesdefrance.culture.gouv.fr/fr/circAD/%20DAFad93-5.html" TargetMode="External"/><Relationship Id="rId173" Type="http://schemas.openxmlformats.org/officeDocument/2006/relationships/hyperlink" Target="http://www.zorg-en-gezondheid.be" TargetMode="External"/><Relationship Id="rId229" Type="http://schemas.openxmlformats.org/officeDocument/2006/relationships/hyperlink" Target="http://www.eurofa-zorg.nl/" TargetMode="External"/><Relationship Id="rId380" Type="http://schemas.openxmlformats.org/officeDocument/2006/relationships/hyperlink" Target="http://ec.europa.eu/" TargetMode="External"/><Relationship Id="rId436" Type="http://schemas.openxmlformats.org/officeDocument/2006/relationships/hyperlink" Target="http://www.cliniquemalmedy.be" TargetMode="External"/><Relationship Id="rId240" Type="http://schemas.openxmlformats.org/officeDocument/2006/relationships/hyperlink" Target="http://www.medilog.nl" TargetMode="External"/><Relationship Id="rId478" Type="http://schemas.openxmlformats.org/officeDocument/2006/relationships/image" Target="media/image50.png"/><Relationship Id="rId35" Type="http://schemas.openxmlformats.org/officeDocument/2006/relationships/hyperlink" Target="http://www.edavid.be/docs/digitalarchiving_manual.%20pdf" TargetMode="External"/><Relationship Id="rId77" Type="http://schemas.openxmlformats.org/officeDocument/2006/relationships/image" Target="media/image20.jpeg"/><Relationship Id="rId100" Type="http://schemas.openxmlformats.org/officeDocument/2006/relationships/chart" Target="charts/chart4.xml"/><Relationship Id="rId282" Type="http://schemas.openxmlformats.org/officeDocument/2006/relationships/hyperlink" Target="http://www.ticsante.com/show.php?page=story&amp;id=1252" TargetMode="External"/><Relationship Id="rId338" Type="http://schemas.openxmlformats.org/officeDocument/2006/relationships/hyperlink" Target="http://cf.hum.uva.nl/%20bai/home/eketelaar/WBP.doc" TargetMode="External"/><Relationship Id="rId503" Type="http://schemas.openxmlformats.org/officeDocument/2006/relationships/hyperlink" Target="http://www.health.belgium.be/" TargetMode="External"/><Relationship Id="rId545" Type="http://schemas.openxmlformats.org/officeDocument/2006/relationships/hyperlink" Target="http://www.ascodocpsy.org/IMG/pdf/GuideArchives_%20Classement_Tri_fev2008.pdf" TargetMode="External"/><Relationship Id="rId8" Type="http://schemas.openxmlformats.org/officeDocument/2006/relationships/endnotes" Target="endnotes.xml"/><Relationship Id="rId142" Type="http://schemas.openxmlformats.org/officeDocument/2006/relationships/hyperlink" Target="https://www.msec.be/eidea/ws2008/presentaties/frank_robben.%20pdf" TargetMode="External"/><Relationship Id="rId184" Type="http://schemas.openxmlformats.org/officeDocument/2006/relationships/hyperlink" Target="http://www.cbpweb.nl/Pages/pb_20080428_toegang_epd.aspx" TargetMode="External"/><Relationship Id="rId391" Type="http://schemas.openxmlformats.org/officeDocument/2006/relationships/hyperlink" Target="http://www.demens.nu/export/sites/default/nl/Publicaties/antenne/Antenne%20Beroepsgeheim.pdf" TargetMode="External"/><Relationship Id="rId405" Type="http://schemas.openxmlformats.org/officeDocument/2006/relationships/hyperlink" Target="http://www.vub.ac.be/LSTS/pub/Dehert/" TargetMode="External"/><Relationship Id="rId447" Type="http://schemas.openxmlformats.org/officeDocument/2006/relationships/hyperlink" Target="http://www.uvc-brugmann.be" TargetMode="External"/><Relationship Id="rId251" Type="http://schemas.openxmlformats.org/officeDocument/2006/relationships/hyperlink" Target="http://www.mimedication.com" TargetMode="External"/><Relationship Id="rId489" Type="http://schemas.openxmlformats.org/officeDocument/2006/relationships/hyperlink" Target="http://www.riziv.be/care/nl/hospitals/pdf/%20hospitals019.pdf" TargetMode="External"/><Relationship Id="rId46" Type="http://schemas.openxmlformats.org/officeDocument/2006/relationships/hyperlink" Target="http://www.conseil-national.medecin.fr/system/files/dmp.pdf?download=1" TargetMode="External"/><Relationship Id="rId293" Type="http://schemas.openxmlformats.org/officeDocument/2006/relationships/hyperlink" Target="http://esante.gouv.fr/sites/default/files/CP_notification_hebergeur18022010.pdf" TargetMode="External"/><Relationship Id="rId307" Type="http://schemas.openxmlformats.org/officeDocument/2006/relationships/hyperlink" Target="http://www.simulateur.dmp.gouv.fr/" TargetMode="External"/><Relationship Id="rId349" Type="http://schemas.openxmlformats.org/officeDocument/2006/relationships/hyperlink" Target="http://www.archivesdefrance.culture.gouv.fr/static/954" TargetMode="External"/><Relationship Id="rId514" Type="http://schemas.openxmlformats.org/officeDocument/2006/relationships/hyperlink" Target="http://www.gezondheidsraad.nl/sites/default/files/04@08n1.pdf" TargetMode="External"/><Relationship Id="rId556" Type="http://schemas.openxmlformats.org/officeDocument/2006/relationships/hyperlink" Target="http://www.ladocumentationfrancaise.fr/" TargetMode="External"/><Relationship Id="rId88" Type="http://schemas.openxmlformats.org/officeDocument/2006/relationships/image" Target="media/image31.png"/><Relationship Id="rId111" Type="http://schemas.openxmlformats.org/officeDocument/2006/relationships/hyperlink" Target="http://europa.eu.int/" TargetMode="External"/><Relationship Id="rId153" Type="http://schemas.openxmlformats.org/officeDocument/2006/relationships/hyperlink" Target="https://www.ehealth.fgov.be/sites/activeprd.ehealth.fgov.be/files/%20assets/nl/pdf/news/nota--ge-nformeerde-toestemming.pdf" TargetMode="External"/><Relationship Id="rId195" Type="http://schemas.openxmlformats.org/officeDocument/2006/relationships/hyperlink" Target="http://www.nvma.nl/nl/publicaties/ntma116/2-epd-wezenlijk.pdf" TargetMode="External"/><Relationship Id="rId209" Type="http://schemas.openxmlformats.org/officeDocument/2006/relationships/hyperlink" Target="http://ecbj.home.xs4all.nl/jdagboek.html" TargetMode="External"/><Relationship Id="rId360" Type="http://schemas.openxmlformats.org/officeDocument/2006/relationships/hyperlink" Target="http://www.journaldunet.com/" TargetMode="External"/><Relationship Id="rId416" Type="http://schemas.openxmlformats.org/officeDocument/2006/relationships/hyperlink" Target="https://vubis.politieacademie.nl/pdf/79619.pdf" TargetMode="External"/><Relationship Id="rId220" Type="http://schemas.openxmlformats.org/officeDocument/2006/relationships/hyperlink" Target="http://www.cbs.nl/" TargetMode="External"/><Relationship Id="rId458" Type="http://schemas.openxmlformats.org/officeDocument/2006/relationships/hyperlink" Target="http://www.csf.be" TargetMode="External"/><Relationship Id="rId15" Type="http://schemas.openxmlformats.org/officeDocument/2006/relationships/image" Target="media/image7.png"/><Relationship Id="rId57" Type="http://schemas.openxmlformats.org/officeDocument/2006/relationships/hyperlink" Target="http://www.macsf.fr/" TargetMode="External"/><Relationship Id="rId262" Type="http://schemas.openxmlformats.org/officeDocument/2006/relationships/hyperlink" Target="http://www.pharmapartners.nl/" TargetMode="External"/><Relationship Id="rId318" Type="http://schemas.openxmlformats.org/officeDocument/2006/relationships/hyperlink" Target="http://www.i-med.fr/" TargetMode="External"/><Relationship Id="rId525" Type="http://schemas.openxmlformats.org/officeDocument/2006/relationships/hyperlink" Target="http://www.iwabase.nl" TargetMode="External"/><Relationship Id="rId99" Type="http://schemas.openxmlformats.org/officeDocument/2006/relationships/image" Target="media/image38.png"/><Relationship Id="rId122" Type="http://schemas.openxmlformats.org/officeDocument/2006/relationships/hyperlink" Target="http://www.reseausantewallon.be/default.aspx" TargetMode="External"/><Relationship Id="rId164" Type="http://schemas.openxmlformats.org/officeDocument/2006/relationships/hyperlink" Target="http://www.jmir.org/" TargetMode="External"/><Relationship Id="rId371" Type="http://schemas.openxmlformats.org/officeDocument/2006/relationships/hyperlink" Target="http://eur-lex.europa.eu/LexUriServ/LexUriServ.do?uri=COM:%202007:0228:FIN:NL:PDF" TargetMode="External"/><Relationship Id="rId427" Type="http://schemas.openxmlformats.org/officeDocument/2006/relationships/hyperlink" Target="http://www.steenkamp-ict.com/" TargetMode="External"/><Relationship Id="rId469" Type="http://schemas.openxmlformats.org/officeDocument/2006/relationships/hyperlink" Target="http://www.azvesalius.be" TargetMode="External"/><Relationship Id="rId26" Type="http://schemas.openxmlformats.org/officeDocument/2006/relationships/hyperlink" Target="http://www.aams.org.au/contents.php?subdir=library/history/&amp;filename=pharonic_egypt" TargetMode="External"/><Relationship Id="rId231" Type="http://schemas.openxmlformats.org/officeDocument/2006/relationships/hyperlink" Target="http://www.farmedvisie.nl" TargetMode="External"/><Relationship Id="rId273" Type="http://schemas.openxmlformats.org/officeDocument/2006/relationships/hyperlink" Target="http://www.umcn.nl/" TargetMode="External"/><Relationship Id="rId329" Type="http://schemas.openxmlformats.org/officeDocument/2006/relationships/hyperlink" Target="http://www.goudengids.be/" TargetMode="External"/><Relationship Id="rId480" Type="http://schemas.openxmlformats.org/officeDocument/2006/relationships/image" Target="media/image52.png"/><Relationship Id="rId536" Type="http://schemas.openxmlformats.org/officeDocument/2006/relationships/hyperlink" Target="http://www.archivesdefrance.culture.gouv.fr/fr/circAD/DAFad94-11.html" TargetMode="External"/><Relationship Id="rId68" Type="http://schemas.openxmlformats.org/officeDocument/2006/relationships/image" Target="media/image12.png"/><Relationship Id="rId133" Type="http://schemas.openxmlformats.org/officeDocument/2006/relationships/hyperlink" Target="https://www.law.kuleuven.be/icri/%20publications/72EH-computerrecht-juli2001.PDF?where=" TargetMode="External"/><Relationship Id="rId175" Type="http://schemas.openxmlformats.org/officeDocument/2006/relationships/hyperlink" Target="http://www.eerstekamer.nl/%20behandeling/20080408/behandeling_en_stemming_zonder/document3/f=/w30380h1.pdf" TargetMode="External"/><Relationship Id="rId340" Type="http://schemas.openxmlformats.org/officeDocument/2006/relationships/hyperlink" Target="http://knmg.artsennet.nl/" TargetMode="External"/><Relationship Id="rId200" Type="http://schemas.openxmlformats.org/officeDocument/2006/relationships/hyperlink" Target="http://www.nivel.nl/sites/default/files/bestanden/%20NPCF-factsheet-patportal_PO.pdf" TargetMode="External"/><Relationship Id="rId382" Type="http://schemas.openxmlformats.org/officeDocument/2006/relationships/hyperlink" Target="http://eur-lex.europa.eu/" TargetMode="External"/><Relationship Id="rId438" Type="http://schemas.openxmlformats.org/officeDocument/2006/relationships/hyperlink" Target="http://www.chrhautesenne.be" TargetMode="External"/><Relationship Id="rId242" Type="http://schemas.openxmlformats.org/officeDocument/2006/relationships/hyperlink" Target="http://www.medlook.nl" TargetMode="External"/><Relationship Id="rId284" Type="http://schemas.openxmlformats.org/officeDocument/2006/relationships/hyperlink" Target="http://www.ticsante.com/show.php?page=mstory&amp;jeton=nSnNt7Di0O_Zc26w4UMhtw" TargetMode="External"/><Relationship Id="rId491" Type="http://schemas.openxmlformats.org/officeDocument/2006/relationships/hyperlink" Target="http://arch.arch.be/content/view/1131/249/lang,nl_BE/" TargetMode="External"/><Relationship Id="rId505" Type="http://schemas.openxmlformats.org/officeDocument/2006/relationships/hyperlink" Target="http://www.hospitals.be" TargetMode="External"/><Relationship Id="rId37" Type="http://schemas.openxmlformats.org/officeDocument/2006/relationships/hyperlink" Target="http://www.edavid.be/" TargetMode="External"/><Relationship Id="rId79" Type="http://schemas.openxmlformats.org/officeDocument/2006/relationships/image" Target="media/image22.png"/><Relationship Id="rId102" Type="http://schemas.openxmlformats.org/officeDocument/2006/relationships/hyperlink" Target="http://eur-lex.europa.eu/LexUriServ/LexUriServ.do?Uri=%20COM:2004:0356:FIN:EN:PDF" TargetMode="External"/><Relationship Id="rId144" Type="http://schemas.openxmlformats.org/officeDocument/2006/relationships/hyperlink" Target="http://www.storme.be/elektronischehandtekening.pdf" TargetMode="External"/><Relationship Id="rId547" Type="http://schemas.openxmlformats.org/officeDocument/2006/relationships/hyperlink" Target="http://www.macsf.fr/%20vous-informer/perte-et-destruction-dossier-medical.html" TargetMode="External"/><Relationship Id="rId90" Type="http://schemas.openxmlformats.org/officeDocument/2006/relationships/image" Target="media/image32.png"/><Relationship Id="rId186" Type="http://schemas.openxmlformats.org/officeDocument/2006/relationships/hyperlink" Target="http://knmg.artsennet.nl/dossiers/Dossiers-op-thema/Inrichting-en-kwaliteit-van-zorg/eHealth/eHealth-in-beeld.htm" TargetMode="External"/><Relationship Id="rId351" Type="http://schemas.openxmlformats.org/officeDocument/2006/relationships/hyperlink" Target="http://fulltext.bdsp.ehesp.fr/FHF/RHF/2002/489/40-43.pdf" TargetMode="External"/><Relationship Id="rId393" Type="http://schemas.openxmlformats.org/officeDocument/2006/relationships/hyperlink" Target="https://www.law.kuleuven.be/icri/frobben/publications/1993%20-%20De%20%20bescherming%20van%20de%20persoonlijke%20levenssfeer%20bij%20de%20verwerking%20van%20medische%20persoonsgegevens" TargetMode="External"/><Relationship Id="rId407" Type="http://schemas.openxmlformats.org/officeDocument/2006/relationships/hyperlink" Target="http://www.erfgoedinspectie.nl/uploads/documents/%20artikelhovy.pdf" TargetMode="External"/><Relationship Id="rId449" Type="http://schemas.openxmlformats.org/officeDocument/2006/relationships/hyperlink" Target="http://www.his-izz.be" TargetMode="External"/><Relationship Id="rId211" Type="http://schemas.openxmlformats.org/officeDocument/2006/relationships/hyperlink" Target="https://gclindenholt.patientportaal.nl/index.html" TargetMode="External"/><Relationship Id="rId253" Type="http://schemas.openxmlformats.org/officeDocument/2006/relationships/hyperlink" Target="https://www.nictiz.nl/" TargetMode="External"/><Relationship Id="rId295" Type="http://schemas.openxmlformats.org/officeDocument/2006/relationships/hyperlink" Target="http://www.dmp.gouv.fr/web/dmp/documents/guide-pratique-du-projet-dmp-en-es" TargetMode="External"/><Relationship Id="rId309" Type="http://schemas.openxmlformats.org/officeDocument/2006/relationships/hyperlink" Target="http://esante.gouv.fr/" TargetMode="External"/><Relationship Id="rId460" Type="http://schemas.openxmlformats.org/officeDocument/2006/relationships/hyperlink" Target="http://www.azlokeren.be" TargetMode="External"/><Relationship Id="rId516" Type="http://schemas.openxmlformats.org/officeDocument/2006/relationships/hyperlink" Target="http://www.lopai.nl/pdf/lopai_brochure_duurzaamheid_%202005" TargetMode="External"/><Relationship Id="rId48" Type="http://schemas.openxmlformats.org/officeDocument/2006/relationships/hyperlink" Target="http://www.has-sante.fr/%20portail/upload/docs/application/pdf/2009-08/dossier_du_patient_-_fascicule_1_%20reglementation_et_recommandations_-_2003.pdf" TargetMode="External"/><Relationship Id="rId113" Type="http://schemas.openxmlformats.org/officeDocument/2006/relationships/hyperlink" Target="http://www.absym.be/behealth.html" TargetMode="External"/><Relationship Id="rId320" Type="http://schemas.openxmlformats.org/officeDocument/2006/relationships/chart" Target="charts/chart5.xml"/><Relationship Id="rId558" Type="http://schemas.openxmlformats.org/officeDocument/2006/relationships/hyperlink" Target="http://www.piaf-archives.org" TargetMode="External"/><Relationship Id="rId155" Type="http://schemas.openxmlformats.org/officeDocument/2006/relationships/hyperlink" Target="http://people.cs.kuleuven.be/%20~danny.weyns/dsa-vs/Project.pdf" TargetMode="External"/><Relationship Id="rId197" Type="http://schemas.openxmlformats.org/officeDocument/2006/relationships/hyperlink" Target="http://www.nivel.nl/sites/default/%20files/bestanden/Rapport-vertrouwen-in-landelijk-epd.pdf" TargetMode="External"/><Relationship Id="rId362" Type="http://schemas.openxmlformats.org/officeDocument/2006/relationships/image" Target="media/image40.png"/><Relationship Id="rId418" Type="http://schemas.openxmlformats.org/officeDocument/2006/relationships/hyperlink" Target="http://cf.hum.uva.nl/" TargetMode="External"/><Relationship Id="rId222" Type="http://schemas.openxmlformats.org/officeDocument/2006/relationships/hyperlink" Target="http://www.cibg.nl/" TargetMode="External"/><Relationship Id="rId264" Type="http://schemas.openxmlformats.org/officeDocument/2006/relationships/hyperlink" Target="http://www.portavita.nl/" TargetMode="External"/><Relationship Id="rId471" Type="http://schemas.openxmlformats.org/officeDocument/2006/relationships/hyperlink" Target="http://www.chu-charleroi.be" TargetMode="External"/><Relationship Id="rId17" Type="http://schemas.openxmlformats.org/officeDocument/2006/relationships/hyperlink" Target="http://www.warveterans.be" TargetMode="External"/><Relationship Id="rId59" Type="http://schemas.openxmlformats.org/officeDocument/2006/relationships/hyperlink" Target="http://membres.multimania.fr/pradeau/" TargetMode="External"/><Relationship Id="rId124" Type="http://schemas.openxmlformats.org/officeDocument/2006/relationships/hyperlink" Target="https://www.ehealth.fgov.be/nl/over-het-ehealth-platform/presentatie/%20infodays/8-oktober-2009" TargetMode="External"/><Relationship Id="rId527" Type="http://schemas.openxmlformats.org/officeDocument/2006/relationships/hyperlink" Target="http://www.nfu.nl/" TargetMode="External"/><Relationship Id="rId70" Type="http://schemas.openxmlformats.org/officeDocument/2006/relationships/image" Target="media/image14.png"/><Relationship Id="rId166" Type="http://schemas.openxmlformats.org/officeDocument/2006/relationships/hyperlink" Target="https://www.msec.be/" TargetMode="External"/><Relationship Id="rId331" Type="http://schemas.openxmlformats.org/officeDocument/2006/relationships/hyperlink" Target="http://www.kindengezin.be/" TargetMode="External"/><Relationship Id="rId373" Type="http://schemas.openxmlformats.org/officeDocument/2006/relationships/hyperlink" Target="http://eur-lex.europa.eu/%20LexUriServ/LexUriServ.do?uri=COM:2010:0171:FIN:NL:PDF" TargetMode="External"/><Relationship Id="rId429" Type="http://schemas.openxmlformats.org/officeDocument/2006/relationships/hyperlink" Target="http://web.upmf-grenoble.fr/" TargetMode="External"/><Relationship Id="rId1" Type="http://schemas.openxmlformats.org/officeDocument/2006/relationships/customXml" Target="../customXml/item1.xml"/><Relationship Id="rId233" Type="http://schemas.openxmlformats.org/officeDocument/2006/relationships/hyperlink" Target="http://www.huisartscentraal.nl" TargetMode="External"/><Relationship Id="rId440" Type="http://schemas.openxmlformats.org/officeDocument/2006/relationships/hyperlink" Target="http://www.chplt.be" TargetMode="External"/><Relationship Id="rId28" Type="http://schemas.openxmlformats.org/officeDocument/2006/relationships/hyperlink" Target="http://www.bradshawfoundation.com/hand_paintings_rock_art.php" TargetMode="External"/><Relationship Id="rId275" Type="http://schemas.openxmlformats.org/officeDocument/2006/relationships/hyperlink" Target="http://www.umcutrecht.nl/subsit&#233;/eczeemportaal" TargetMode="External"/><Relationship Id="rId300" Type="http://schemas.openxmlformats.org/officeDocument/2006/relationships/hyperlink" Target="http://www.parhtage.sante.fr/re7/idf/doc.nsf/VDoc/%20092FF26CEB51228BC125753E0030B263/$FILE/ARHIF%20NUMERO%2010.pdf" TargetMode="External"/><Relationship Id="rId482" Type="http://schemas.openxmlformats.org/officeDocument/2006/relationships/hyperlink" Target="http://eur-lex.europa.eu/LexUriServ/LexUriServ.do?uri=COM:2012:%200011:FIN:NL:PDF" TargetMode="External"/><Relationship Id="rId538" Type="http://schemas.openxmlformats.org/officeDocument/2006/relationships/hyperlink" Target="http://www.ladocumentationfrancaise.fr/var/storage/rapportspublics/014000460/%200000.pdf" TargetMode="External"/><Relationship Id="rId81" Type="http://schemas.openxmlformats.org/officeDocument/2006/relationships/image" Target="media/image24.png"/><Relationship Id="rId135" Type="http://schemas.openxmlformats.org/officeDocument/2006/relationships/hyperlink" Target="http://www.health.belgium.be/filestore/19067053/20101126%20%2520Advies%2520ge%25C3%25AFnformeerde%2520toestemming%2520in%2520het%2520hub%2520%26%2520metahub-project.pdf" TargetMode="External"/><Relationship Id="rId177" Type="http://schemas.openxmlformats.org/officeDocument/2006/relationships/hyperlink" Target="http://www.rijksoverheid.nl/bestanden/documenten-en-publicaties/rapporten/2011/12/19/rapport-digitale-toegang-tot-het-eigen-medisch-dossier-mogelijkheden-voor-een-elektronische-sleutel/rapport-digitale-toegang-tot-het-eigen-medisch-dossier-mogelijkheden-voor-een-elektronische-sleutel.pdf" TargetMode="External"/><Relationship Id="rId342" Type="http://schemas.openxmlformats.org/officeDocument/2006/relationships/hyperlink" Target="http://www.erfgoedinspectie.nl/archieven/uw-archiefbeheer/uitbesteding" TargetMode="External"/><Relationship Id="rId384" Type="http://schemas.openxmlformats.org/officeDocument/2006/relationships/hyperlink" Target="http://www.europarl.europa.eu/" TargetMode="External"/><Relationship Id="rId202" Type="http://schemas.openxmlformats.org/officeDocument/2006/relationships/hyperlink" Target="http://rvz.net/uploads/docs/%20Achtergrondstudie_-_E-health_in_zicht.pdf" TargetMode="External"/><Relationship Id="rId244" Type="http://schemas.openxmlformats.org/officeDocument/2006/relationships/hyperlink" Target="http://www.mijn-epd.nl" TargetMode="External"/><Relationship Id="rId39" Type="http://schemas.openxmlformats.org/officeDocument/2006/relationships/hyperlink" Target="http://www.ordomedic.be/" TargetMode="External"/><Relationship Id="rId286" Type="http://schemas.openxmlformats.org/officeDocument/2006/relationships/hyperlink" Target="http://www.ticsante.com/show.php?id=576&amp;page=story" TargetMode="External"/><Relationship Id="rId451" Type="http://schemas.openxmlformats.org/officeDocument/2006/relationships/hyperlink" Target="http://www.huderf.be" TargetMode="External"/><Relationship Id="rId493" Type="http://schemas.openxmlformats.org/officeDocument/2006/relationships/hyperlink" Target="http://arch.arch.be/images/stories/brochure_surveillance/archiefoverbrenging.pdf" TargetMode="External"/><Relationship Id="rId507" Type="http://schemas.openxmlformats.org/officeDocument/2006/relationships/hyperlink" Target="http://riziv.be/" TargetMode="External"/><Relationship Id="rId549" Type="http://schemas.openxmlformats.org/officeDocument/2006/relationships/hyperlink" Target="http://membres.multimania.fr/pradeau/" TargetMode="External"/><Relationship Id="rId50" Type="http://schemas.openxmlformats.org/officeDocument/2006/relationships/hyperlink" Target="http://ressources.ensp.fr/memoires/2007/edh/leonforte.pdf" TargetMode="External"/><Relationship Id="rId104" Type="http://schemas.openxmlformats.org/officeDocument/2006/relationships/hyperlink" Target="http://ec.europa.eu/information_%20society/activities/health/docs/policy/ehap2012public-consult-report.pdf" TargetMode="External"/><Relationship Id="rId146" Type="http://schemas.openxmlformats.org/officeDocument/2006/relationships/hyperlink" Target="http://www.health.belgium.be/eportal/Healthcare/Telematics/Studygroups/TelematicsCommission/index.htm" TargetMode="External"/><Relationship Id="rId188" Type="http://schemas.openxmlformats.org/officeDocument/2006/relationships/hyperlink" Target="http://www.pcmweb.nl/nieuws%20/300000-medische-dossiers-publiekelijk-toegankelijk.html" TargetMode="External"/><Relationship Id="rId311" Type="http://schemas.openxmlformats.org/officeDocument/2006/relationships/hyperlink" Target="http://d-m-p.org" TargetMode="External"/><Relationship Id="rId353" Type="http://schemas.openxmlformats.org/officeDocument/2006/relationships/hyperlink" Target="http://www.ascodocpsy.org/IMG/pdf/GuideArchives_%20Externalisation_oct2009.pdf" TargetMode="External"/><Relationship Id="rId395" Type="http://schemas.openxmlformats.org/officeDocument/2006/relationships/hyperlink" Target="https://www.law.kuleuven.be/icri/frobben/%20publications/1994%20-%20Toepassingsgebied%20en%20begripsdefinities.pdf" TargetMode="External"/><Relationship Id="rId409" Type="http://schemas.openxmlformats.org/officeDocument/2006/relationships/hyperlink" Target="http://www.cbpweb.nl/downloads_technologie/witboek_pet.%20pdf" TargetMode="External"/><Relationship Id="rId560" Type="http://schemas.openxmlformats.org/officeDocument/2006/relationships/hyperlink" Target="http://www.senat.fr/" TargetMode="External"/><Relationship Id="rId92" Type="http://schemas.openxmlformats.org/officeDocument/2006/relationships/image" Target="media/image34.png"/><Relationship Id="rId213" Type="http://schemas.openxmlformats.org/officeDocument/2006/relationships/hyperlink" Target="http://knmg.artsennet.nl/" TargetMode="External"/><Relationship Id="rId420" Type="http://schemas.openxmlformats.org/officeDocument/2006/relationships/hyperlink" Target="https://openaccess.leidenuniv.nl/" TargetMode="External"/><Relationship Id="rId255" Type="http://schemas.openxmlformats.org/officeDocument/2006/relationships/hyperlink" Target="http://www.nu.nl/" TargetMode="External"/><Relationship Id="rId297" Type="http://schemas.openxmlformats.org/officeDocument/2006/relationships/hyperlink" Target="http://www.ladocumentationfrancaise.fr/var/storage/rapports-publics/%20084000664/0000.pdf" TargetMode="External"/><Relationship Id="rId462" Type="http://schemas.openxmlformats.org/officeDocument/2006/relationships/hyperlink" Target="http://www.zol.be" TargetMode="External"/><Relationship Id="rId518" Type="http://schemas.openxmlformats.org/officeDocument/2006/relationships/hyperlink" Target="http://www.vka.nl/sites/%20default/files/downloads/ZorgSpecial%20artikel%20RvdAssem%20-1-2006.pdf" TargetMode="External"/><Relationship Id="rId115" Type="http://schemas.openxmlformats.org/officeDocument/2006/relationships/hyperlink" Target="http://www.senate.be/www/webdriver?MItab%20Obj=pdf&amp;MIcolObj=pdf&amp;MInamObj=pdfid&amp;MItypeObj=application/pdf&amp;MIvalObj=50336739" TargetMode="External"/><Relationship Id="rId157" Type="http://schemas.openxmlformats.org/officeDocument/2006/relationships/hyperlink" Target="http://ehealth-strategies.eu/" TargetMode="External"/><Relationship Id="rId322" Type="http://schemas.openxmlformats.org/officeDocument/2006/relationships/hyperlink" Target="https://wcd.coe.int/ViewDoc.jsp?id=%20571047" TargetMode="External"/><Relationship Id="rId364" Type="http://schemas.openxmlformats.org/officeDocument/2006/relationships/hyperlink" Target="http://www.echr.coe.int/NR/rdonlyres/655FDBCF-1D46-4B36-9DAB-99F4CB59863C/0/%20DutchN%C3%A9erlandais.pdf" TargetMode="External"/><Relationship Id="rId61" Type="http://schemas.openxmlformats.org/officeDocument/2006/relationships/hyperlink" Target="http://www.univ-reims.fr/" TargetMode="External"/><Relationship Id="rId199" Type="http://schemas.openxmlformats.org/officeDocument/2006/relationships/hyperlink" Target="http://doc.utwente.nl/78666/1/keuzes_bij_standaardisering_in_de_zorg.pdf" TargetMode="External"/><Relationship Id="rId19" Type="http://schemas.openxmlformats.org/officeDocument/2006/relationships/hyperlink" Target="http://www.dh.gov.uk/prod_consum_dh/groups/dh_%20digitalassets/@dh/@en/documents/digitalasset/dh_4133196.pdf" TargetMode="External"/><Relationship Id="rId224" Type="http://schemas.openxmlformats.org/officeDocument/2006/relationships/hyperlink" Target="http://www.diamuraal.nl/" TargetMode="External"/><Relationship Id="rId266" Type="http://schemas.openxmlformats.org/officeDocument/2006/relationships/hyperlink" Target="http://www.puntp.nl/" TargetMode="External"/><Relationship Id="rId431" Type="http://schemas.openxmlformats.org/officeDocument/2006/relationships/image" Target="media/image42.png"/><Relationship Id="rId473" Type="http://schemas.openxmlformats.org/officeDocument/2006/relationships/image" Target="media/image45.png"/><Relationship Id="rId529" Type="http://schemas.openxmlformats.org/officeDocument/2006/relationships/hyperlink" Target="http://www.vka.nl/" TargetMode="External"/><Relationship Id="rId30" Type="http://schemas.openxmlformats.org/officeDocument/2006/relationships/hyperlink" Target="http://www.infotech.monash.edu.au/research/groups/rcrg/publications/recordscontinuum-fupp1.html" TargetMode="External"/><Relationship Id="rId126" Type="http://schemas.openxmlformats.org/officeDocument/2006/relationships/hyperlink" Target="http://www.health-care.be/%20downloads/seminaries/HIT15bellon.pdf" TargetMode="External"/><Relationship Id="rId168" Type="http://schemas.openxmlformats.org/officeDocument/2006/relationships/hyperlink" Target="http://www.reseausantewallon.be" TargetMode="External"/><Relationship Id="rId333" Type="http://schemas.openxmlformats.org/officeDocument/2006/relationships/hyperlink" Target="http://www.handelingenbank.info/informatiebronnen/%20097%20Openbare%20en%20bijzondere%20academische%20ziekenhuizen/BSD/097%20BSD%20%202006.pdf" TargetMode="External"/><Relationship Id="rId540" Type="http://schemas.openxmlformats.org/officeDocument/2006/relationships/hyperlink" Target="http://www.has-sante.fr/portail/%20upload/docs/application/pdf/2009-08/dossier_du_patient_-_fascicule_1_reglementation_et_%20recommandations_-_2003.pdf" TargetMode="External"/><Relationship Id="rId72" Type="http://schemas.openxmlformats.org/officeDocument/2006/relationships/hyperlink" Target="http://www.ehealth.fgov.be" TargetMode="External"/><Relationship Id="rId375" Type="http://schemas.openxmlformats.org/officeDocument/2006/relationships/hyperlink" Target="http://eur-lex.europa.eu/LexUriServ/LexUriServ.do?uri=COM:%202012:0009:FIN:NL:PDF" TargetMode="External"/><Relationship Id="rId3" Type="http://schemas.openxmlformats.org/officeDocument/2006/relationships/styles" Target="styles.xml"/><Relationship Id="rId235" Type="http://schemas.openxmlformats.org/officeDocument/2006/relationships/hyperlink" Target="http://www.isala.nl" TargetMode="External"/><Relationship Id="rId277" Type="http://schemas.openxmlformats.org/officeDocument/2006/relationships/hyperlink" Target="http://www.zorgmail.nl/" TargetMode="External"/><Relationship Id="rId400" Type="http://schemas.openxmlformats.org/officeDocument/2006/relationships/hyperlink" Target="http://www.hospitals.be/" TargetMode="External"/><Relationship Id="rId442" Type="http://schemas.openxmlformats.org/officeDocument/2006/relationships/hyperlink" Target="http://www.chbah.be" TargetMode="External"/><Relationship Id="rId484" Type="http://schemas.openxmlformats.org/officeDocument/2006/relationships/hyperlink" Target="http://www.irmt.org/documents/educ_training/" TargetMode="External"/><Relationship Id="rId137" Type="http://schemas.openxmlformats.org/officeDocument/2006/relationships/hyperlink" Target="http://www.jmir.org/2005/1/e1" TargetMode="External"/><Relationship Id="rId302" Type="http://schemas.openxmlformats.org/officeDocument/2006/relationships/hyperlink" Target="http://www.sante.gouv.fr/IMG/pdf/Rapport_DMP_mission_%20Gagneux.pdf" TargetMode="External"/><Relationship Id="rId344" Type="http://schemas.openxmlformats.org/officeDocument/2006/relationships/hyperlink" Target="http://www.handelingenbank.info/" TargetMode="External"/><Relationship Id="rId41" Type="http://schemas.openxmlformats.org/officeDocument/2006/relationships/hyperlink" Target="http://dspace.ou.nl/" TargetMode="External"/><Relationship Id="rId83" Type="http://schemas.openxmlformats.org/officeDocument/2006/relationships/image" Target="media/image26.png"/><Relationship Id="rId179" Type="http://schemas.openxmlformats.org/officeDocument/2006/relationships/hyperlink" Target="http://www.eurofa-zorg.nl/downloads/kamerstuk%2012%20december%25%20202008.pdf" TargetMode="External"/><Relationship Id="rId386" Type="http://schemas.openxmlformats.org/officeDocument/2006/relationships/hyperlink" Target="http://www.oapen.org/download?type=document&amp;%20docid=375125" TargetMode="External"/><Relationship Id="rId551" Type="http://schemas.openxmlformats.org/officeDocument/2006/relationships/hyperlink" Target="http://www.archivistes.qc.ca/" TargetMode="External"/><Relationship Id="rId190" Type="http://schemas.openxmlformats.org/officeDocument/2006/relationships/hyperlink" Target="http://www.cbs.nl/NR/%20rdonlyres/AA18B546-CA6E-40C6-8B17-1BB976F1C4E5/0/lmrmicrodata.pdf" TargetMode="External"/><Relationship Id="rId204" Type="http://schemas.openxmlformats.org/officeDocument/2006/relationships/hyperlink" Target="http://staff.science.uva.nl/~noordend/epd/faq1.html" TargetMode="External"/><Relationship Id="rId246" Type="http://schemas.openxmlformats.org/officeDocument/2006/relationships/hyperlink" Target="http://www.mijngezondheid.net" TargetMode="External"/><Relationship Id="rId288" Type="http://schemas.openxmlformats.org/officeDocument/2006/relationships/hyperlink" Target="http://www.dmp.gouv.fr/web/dmp/%20actualite-dmp/le-deploiement-du-dmp/les-grandes-etapes" TargetMode="External"/><Relationship Id="rId411" Type="http://schemas.openxmlformats.org/officeDocument/2006/relationships/hyperlink" Target="http://www.arno.uvt.nl/show.cgi?fid=113608" TargetMode="External"/><Relationship Id="rId453" Type="http://schemas.openxmlformats.org/officeDocument/2006/relationships/hyperlink" Target="http://www.cha.be" TargetMode="External"/><Relationship Id="rId509" Type="http://schemas.openxmlformats.org/officeDocument/2006/relationships/hyperlink" Target="http://www.zorg-en-gezondheid.be/" TargetMode="External"/><Relationship Id="rId106" Type="http://schemas.openxmlformats.org/officeDocument/2006/relationships/hyperlink" Target="http://www.who.int/%20goe/publications/goe_mhealth_web.pdf" TargetMode="External"/><Relationship Id="rId313" Type="http://schemas.openxmlformats.org/officeDocument/2006/relationships/hyperlink" Target="http://www.dmp-fc.fr/" TargetMode="External"/><Relationship Id="rId495" Type="http://schemas.openxmlformats.org/officeDocument/2006/relationships/hyperlink" Target="http://www.tseg.nl/2010-3/recensies.pdf" TargetMode="External"/><Relationship Id="rId10" Type="http://schemas.openxmlformats.org/officeDocument/2006/relationships/image" Target="media/image2.png"/><Relationship Id="rId52" Type="http://schemas.openxmlformats.org/officeDocument/2006/relationships/hyperlink" Target="http://www.sfmg.org/data/generateur/generateur_fiche/%20194/fichier_these_roy1fad7.pdf" TargetMode="External"/><Relationship Id="rId94" Type="http://schemas.openxmlformats.org/officeDocument/2006/relationships/chart" Target="charts/chart2.xml"/><Relationship Id="rId148" Type="http://schemas.openxmlformats.org/officeDocument/2006/relationships/hyperlink" Target="http://extranet.arch.be/arch/tableau_%20de_tri_selectielijsten/fed/new/eHealth_EP_2012_DEF.pdf" TargetMode="External"/><Relationship Id="rId355" Type="http://schemas.openxmlformats.org/officeDocument/2006/relationships/hyperlink" Target="http://esante.gouv.fr/" TargetMode="External"/><Relationship Id="rId397" Type="http://schemas.openxmlformats.org/officeDocument/2006/relationships/hyperlink" Target="http://users.ugent.be/~rdecorte/" TargetMode="External"/><Relationship Id="rId520" Type="http://schemas.openxmlformats.org/officeDocument/2006/relationships/hyperlink" Target="http://www.domeinenrz.nl/" TargetMode="External"/><Relationship Id="rId562" Type="http://schemas.openxmlformats.org/officeDocument/2006/relationships/fontTable" Target="fontTable.xml"/><Relationship Id="rId215" Type="http://schemas.openxmlformats.org/officeDocument/2006/relationships/hyperlink" Target="http://staff.science.uva.nl/~noordend/epd/faq1.html" TargetMode="External"/><Relationship Id="rId257" Type="http://schemas.openxmlformats.org/officeDocument/2006/relationships/hyperlink" Target="http://www.oapen.org/" TargetMode="External"/><Relationship Id="rId422" Type="http://schemas.openxmlformats.org/officeDocument/2006/relationships/hyperlink" Target="http://www.cbpweb.nl/" TargetMode="External"/><Relationship Id="rId464" Type="http://schemas.openxmlformats.org/officeDocument/2006/relationships/hyperlink" Target="http://www.chrcitadelle.be" TargetMode="External"/><Relationship Id="rId299" Type="http://schemas.openxmlformats.org/officeDocument/2006/relationships/hyperlink" Target="http://www.ladocumentationfrancaise.fr/var/%20storage/rapports-publics/114000096/0000.pdf" TargetMode="External"/><Relationship Id="rId63" Type="http://schemas.openxmlformats.org/officeDocument/2006/relationships/hyperlink" Target="http://www.conseil-national.medecin.fr/" TargetMode="External"/><Relationship Id="rId159" Type="http://schemas.openxmlformats.org/officeDocument/2006/relationships/hyperlink" Target="http://www.edavid.be/" TargetMode="External"/><Relationship Id="rId366" Type="http://schemas.openxmlformats.org/officeDocument/2006/relationships/hyperlink" Target="http://85.91.173.208/nl/static/pdf/%20seminarie-privacyrichtlijn/richtlijn-memorie-van-toelichting.pdf" TargetMode="External"/><Relationship Id="rId226" Type="http://schemas.openxmlformats.org/officeDocument/2006/relationships/hyperlink" Target="https://www.digitaalmedischdagboek.nl/" TargetMode="External"/><Relationship Id="rId433" Type="http://schemas.openxmlformats.org/officeDocument/2006/relationships/image" Target="media/image44.png"/><Relationship Id="rId74" Type="http://schemas.openxmlformats.org/officeDocument/2006/relationships/image" Target="media/image17.png"/><Relationship Id="rId377" Type="http://schemas.openxmlformats.org/officeDocument/2006/relationships/hyperlink" Target="http://eur-lex.europa.eu/LexUriServ/LexUriServ.do?uri=COM:2012:%200011:FIN:NL:PDF" TargetMode="External"/><Relationship Id="rId500" Type="http://schemas.openxmlformats.org/officeDocument/2006/relationships/hyperlink" Target="http://www.belgium.be/nl/gezondheid/gezondheidszorg/medische_diensten/ziekenhuizen/" TargetMode="External"/><Relationship Id="rId5" Type="http://schemas.openxmlformats.org/officeDocument/2006/relationships/settings" Target="settings.xml"/><Relationship Id="rId237" Type="http://schemas.openxmlformats.org/officeDocument/2006/relationships/hyperlink" Target="http://www.kring-apotheek.nl" TargetMode="External"/><Relationship Id="rId444" Type="http://schemas.openxmlformats.org/officeDocument/2006/relationships/hyperlink" Target="http://www.cpas1200.be" TargetMode="External"/><Relationship Id="rId290" Type="http://schemas.openxmlformats.org/officeDocument/2006/relationships/hyperlink" Target="http://www.ticsante.com/%20show.php?page=story&amp;id=1089" TargetMode="External"/><Relationship Id="rId304" Type="http://schemas.openxmlformats.org/officeDocument/2006/relationships/hyperlink" Target="http://www.i-med.fr/IMG/pdf/Dossier_de_conception_INS-C_-_v0.0.1.%20pdf" TargetMode="External"/><Relationship Id="rId388" Type="http://schemas.openxmlformats.org/officeDocument/2006/relationships/hyperlink" Target="http://users.ugent.be/%20~rdecorte/documenten/wetgeving/1992_12_08_wvp.pdf" TargetMode="External"/><Relationship Id="rId511" Type="http://schemas.openxmlformats.org/officeDocument/2006/relationships/hyperlink" Target="http://www.archieven.nl/nl/zoeken?miview%20=inv2&amp;mivast=0&amp;mizig=210&amp;miadt=39&amp;micode=813-1&amp;milang=nl&amp;mizk_alle=pati%C3%25%20ABntendossier" TargetMode="External"/><Relationship Id="rId85" Type="http://schemas.openxmlformats.org/officeDocument/2006/relationships/image" Target="media/image28.png"/><Relationship Id="rId150" Type="http://schemas.openxmlformats.org/officeDocument/2006/relationships/hyperlink" Target="http://www.zorg-en-gezondheid.be/uploadedFiles/Zorg%20_en_Gezondheid/Applicaties-ICT/Eerstelijnskluis/Verslag%20WG%20ICT%2020110415%25%2020%20bijlage.pdf" TargetMode="External"/><Relationship Id="rId248" Type="http://schemas.openxmlformats.org/officeDocument/2006/relationships/hyperlink" Target="http://www.mijnoverheid.nl" TargetMode="External"/><Relationship Id="rId455" Type="http://schemas.openxmlformats.org/officeDocument/2006/relationships/hyperlink" Target="http://www.asz.be" TargetMode="External"/><Relationship Id="rId12" Type="http://schemas.openxmlformats.org/officeDocument/2006/relationships/image" Target="media/image4.jpeg"/><Relationship Id="rId108" Type="http://schemas.openxmlformats.org/officeDocument/2006/relationships/hyperlink" Target="http://www.e-recordservices.eu/" TargetMode="External"/><Relationship Id="rId315" Type="http://schemas.openxmlformats.org/officeDocument/2006/relationships/hyperlink" Target="http://esant&#233;.gouv.fr/" TargetMode="External"/><Relationship Id="rId522" Type="http://schemas.openxmlformats.org/officeDocument/2006/relationships/hyperlink" Target="http://www.geheugenvannederland.nl" TargetMode="External"/><Relationship Id="rId96" Type="http://schemas.openxmlformats.org/officeDocument/2006/relationships/image" Target="media/image35.png"/><Relationship Id="rId161" Type="http://schemas.openxmlformats.org/officeDocument/2006/relationships/hyperlink" Target="http://www.flanders-care.be/" TargetMode="External"/><Relationship Id="rId399" Type="http://schemas.openxmlformats.org/officeDocument/2006/relationships/hyperlink" Target="http://www.edavid.be/" TargetMode="External"/><Relationship Id="rId259" Type="http://schemas.openxmlformats.org/officeDocument/2006/relationships/hyperlink" Target="http://www.parkinsonnet.nl/" TargetMode="External"/><Relationship Id="rId466" Type="http://schemas.openxmlformats.org/officeDocument/2006/relationships/hyperlink" Target="http://www.uzgent.b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htc.azm.nl" TargetMode="External"/><Relationship Id="rId21" Type="http://schemas.openxmlformats.org/officeDocument/2006/relationships/hyperlink" Target="http://www.warveterans.be" TargetMode="External"/><Relationship Id="rId42" Type="http://schemas.openxmlformats.org/officeDocument/2006/relationships/hyperlink" Target="http://eur-lex.europa.eu/LexUriServ/LexUriServ.do?uri=COM:2004:0356:%20FIN:EN:PDF" TargetMode="External"/><Relationship Id="rId63" Type="http://schemas.openxmlformats.org/officeDocument/2006/relationships/hyperlink" Target="http://www.vitalink.be" TargetMode="External"/><Relationship Id="rId84" Type="http://schemas.openxmlformats.org/officeDocument/2006/relationships/hyperlink" Target="http://www.mijnoverheid.nl" TargetMode="External"/><Relationship Id="rId138" Type="http://schemas.openxmlformats.org/officeDocument/2006/relationships/hyperlink" Target="http://www.vie-publique.fr/actualite/alaune/ethique%20-dossier-medical-personnel-question.html" TargetMode="External"/><Relationship Id="rId159" Type="http://schemas.openxmlformats.org/officeDocument/2006/relationships/hyperlink" Target="http://esante.gouv.fr/sites/default/files/Convention_constitutive_ASIP_%2019novembre2009.pdf" TargetMode="External"/><Relationship Id="rId170" Type="http://schemas.openxmlformats.org/officeDocument/2006/relationships/hyperlink" Target="http://www.archivesdefrance.culture.gouv.fr/static/3226" TargetMode="External"/><Relationship Id="rId191" Type="http://schemas.openxmlformats.org/officeDocument/2006/relationships/hyperlink" Target="http://www.privacycommission.be/sites%20/privacycommission/files/documents/01.02.01.05-vademecum-historisch-onderzoek.pdf" TargetMode="External"/><Relationship Id="rId205" Type="http://schemas.openxmlformats.org/officeDocument/2006/relationships/hyperlink" Target="http://www.gezondheidsraad.nl/sites/default/files/04@08n1.pdf" TargetMode="External"/><Relationship Id="rId226" Type="http://schemas.openxmlformats.org/officeDocument/2006/relationships/hyperlink" Target="http://www.domeinenrz.nl/domeinenrz_nl/a09da3c7368516cbf78a11f1075987aa.php" TargetMode="External"/><Relationship Id="rId107" Type="http://schemas.openxmlformats.org/officeDocument/2006/relationships/hyperlink" Target="http://www.mijnmediq.nl" TargetMode="External"/><Relationship Id="rId11" Type="http://schemas.openxmlformats.org/officeDocument/2006/relationships/hyperlink" Target="http://www.tandartsennet.nl" TargetMode="External"/><Relationship Id="rId32" Type="http://schemas.openxmlformats.org/officeDocument/2006/relationships/hyperlink" Target="http://www.ordomedic.be" TargetMode="External"/><Relationship Id="rId53" Type="http://schemas.openxmlformats.org/officeDocument/2006/relationships/hyperlink" Target="https://www.ehealth.fgov.be/nl/registratie-van-de-medische-softwarepakketten" TargetMode="External"/><Relationship Id="rId74" Type="http://schemas.openxmlformats.org/officeDocument/2006/relationships/hyperlink" Target="http://www.vcd.nl/" TargetMode="External"/><Relationship Id="rId128" Type="http://schemas.openxmlformats.org/officeDocument/2006/relationships/hyperlink" Target="http://www.nictiz.nl/page/Samenwerking/Internationaal/Frankrijk" TargetMode="External"/><Relationship Id="rId149" Type="http://schemas.openxmlformats.org/officeDocument/2006/relationships/hyperlink" Target="http://esante.gouv.fr/asip-sante/espace-presse/communiques-de-presse/l-acces-web-patients-du-dossier-medical-personnel-dmp" TargetMode="External"/><Relationship Id="rId5" Type="http://schemas.openxmlformats.org/officeDocument/2006/relationships/hyperlink" Target="http://www.fysionet.nl" TargetMode="External"/><Relationship Id="rId95" Type="http://schemas.openxmlformats.org/officeDocument/2006/relationships/hyperlink" Target="http://www.chipsoft.nl" TargetMode="External"/><Relationship Id="rId160" Type="http://schemas.openxmlformats.org/officeDocument/2006/relationships/hyperlink" Target="http://esante.gouv.fr/services/%20referentiels/referentiels-d-interoperabilite/cadre-d-interoperabilite-des-systemes-d-inform" TargetMode="External"/><Relationship Id="rId181" Type="http://schemas.openxmlformats.org/officeDocument/2006/relationships/hyperlink" Target="http://www.ibm-pc.org/" TargetMode="External"/><Relationship Id="rId216" Type="http://schemas.openxmlformats.org/officeDocument/2006/relationships/hyperlink" Target="http://www.nfu.nl/" TargetMode="External"/><Relationship Id="rId237" Type="http://schemas.openxmlformats.org/officeDocument/2006/relationships/hyperlink" Target="http://www.ascodocpsy.org/IMG/pdf/GuideArchives_Classement_Tri_fev2008.pdf" TargetMode="External"/><Relationship Id="rId22" Type="http://schemas.openxmlformats.org/officeDocument/2006/relationships/hyperlink" Target="http://www.nhs.uk/" TargetMode="External"/><Relationship Id="rId43" Type="http://schemas.openxmlformats.org/officeDocument/2006/relationships/hyperlink" Target="http://ec.europa.eu/information_%20society/activities/health/docs/policy/ehap2012public-consult-report.pdf" TargetMode="External"/><Relationship Id="rId64" Type="http://schemas.openxmlformats.org/officeDocument/2006/relationships/hyperlink" Target="https://www.ehealth.fgov.be/nl/application/applications/VESTA.html" TargetMode="External"/><Relationship Id="rId118" Type="http://schemas.openxmlformats.org/officeDocument/2006/relationships/hyperlink" Target="http://www.diamuraal.nl" TargetMode="External"/><Relationship Id="rId139" Type="http://schemas.openxmlformats.org/officeDocument/2006/relationships/hyperlink" Target="http://www.sante.gouv.fr/plan-de-relance-du-dossier-medical-personnel-dmp.html" TargetMode="External"/><Relationship Id="rId85" Type="http://schemas.openxmlformats.org/officeDocument/2006/relationships/hyperlink" Target="http://www.nictiz.nl/module/360/73/10002KA_Kennisartikel_e-Identity.pdf" TargetMode="External"/><Relationship Id="rId150" Type="http://schemas.openxmlformats.org/officeDocument/2006/relationships/hyperlink" Target="http://www.ticsante.com/show.php?page=story%20&amp;id=1023&amp;story=1023" TargetMode="External"/><Relationship Id="rId171" Type="http://schemas.openxmlformats.org/officeDocument/2006/relationships/hyperlink" Target="http://internet.ziffdavisenterprise.com/podcasts/eWeek/channel02252009.mp3" TargetMode="External"/><Relationship Id="rId192" Type="http://schemas.openxmlformats.org/officeDocument/2006/relationships/hyperlink" Target="http://www.edavid.be/davidhandboek" TargetMode="External"/><Relationship Id="rId206" Type="http://schemas.openxmlformats.org/officeDocument/2006/relationships/hyperlink" Target="http://www.mil.be/def/news/index.asp?%20LAN=nl&amp;ID=3358" TargetMode="External"/><Relationship Id="rId227" Type="http://schemas.openxmlformats.org/officeDocument/2006/relationships/hyperlink" Target="http://www.erfgoedinspectie.nl/archieven/uw-archiefbeheer/selectie-en-vernietiging/vernietiging" TargetMode="External"/><Relationship Id="rId12" Type="http://schemas.openxmlformats.org/officeDocument/2006/relationships/hyperlink" Target="http://www.orde.nl" TargetMode="External"/><Relationship Id="rId33" Type="http://schemas.openxmlformats.org/officeDocument/2006/relationships/hyperlink" Target="http://www.cdc.gov/nchs/icd.htm" TargetMode="External"/><Relationship Id="rId108" Type="http://schemas.openxmlformats.org/officeDocument/2006/relationships/hyperlink" Target="http://www.umcg.nl" TargetMode="External"/><Relationship Id="rId129" Type="http://schemas.openxmlformats.org/officeDocument/2006/relationships/hyperlink" Target="http://www.dmp.gouv.fr/web/dmp/actualite-dmp/le-projet-dmp" TargetMode="External"/><Relationship Id="rId54" Type="http://schemas.openxmlformats.org/officeDocument/2006/relationships/hyperlink" Target="http://www.health.belgium.be/internet2Prd/groups/public/@public/%20@dg1/@acutecare/documents/ie2divers/19074028.gif?ie2Term=hubs&amp;ie2section=83" TargetMode="External"/><Relationship Id="rId75" Type="http://schemas.openxmlformats.org/officeDocument/2006/relationships/hyperlink" Target="http://www.security.nl/artikel/41192/1/%20Verzuimapplicatie_lekt_300.000_medische_dossiers.html" TargetMode="External"/><Relationship Id="rId96" Type="http://schemas.openxmlformats.org/officeDocument/2006/relationships/hyperlink" Target="http://www.kring-apotheek.nl" TargetMode="External"/><Relationship Id="rId140" Type="http://schemas.openxmlformats.org/officeDocument/2006/relationships/hyperlink" Target="http://www.lahaut.free.fr/word/Informatique%20m&#233;dicale.doc" TargetMode="External"/><Relationship Id="rId161" Type="http://schemas.openxmlformats.org/officeDocument/2006/relationships/hyperlink" Target="http://esante.gouv.fr/actus/interoperabilite/l-asip-sante-hote-des-reunions-de-trois-comites-de-standardisation-ihe-intern" TargetMode="External"/><Relationship Id="rId182" Type="http://schemas.openxmlformats.org/officeDocument/2006/relationships/hyperlink" Target="http://nl.wikipedia.org/wiki/IBM_Personal_Computer" TargetMode="External"/><Relationship Id="rId217" Type="http://schemas.openxmlformats.org/officeDocument/2006/relationships/hyperlink" Target="http://www.erfgoedinspectie.nl/%20archieven/uw-archiefbeheer/bewerking-en-overbrenging" TargetMode="External"/><Relationship Id="rId6" Type="http://schemas.openxmlformats.org/officeDocument/2006/relationships/hyperlink" Target="http://www.kngfrichtlijnen.nl" TargetMode="External"/><Relationship Id="rId238" Type="http://schemas.openxmlformats.org/officeDocument/2006/relationships/hyperlink" Target="http://basedaj.aphp.fr/daj/public/index/display/id_theme/1754/id_%20fiche/8146" TargetMode="External"/><Relationship Id="rId23" Type="http://schemas.openxmlformats.org/officeDocument/2006/relationships/hyperlink" Target="http://www.wellcome.ac.uk/" TargetMode="External"/><Relationship Id="rId119" Type="http://schemas.openxmlformats.org/officeDocument/2006/relationships/hyperlink" Target="http://www.umcutrecht.nl/subsit&#233;/eczeemportaal" TargetMode="External"/><Relationship Id="rId44" Type="http://schemas.openxmlformats.org/officeDocument/2006/relationships/hyperlink" Target="http://www.who.int/goe/publications/goe_mhealth_web.pdf" TargetMode="External"/><Relationship Id="rId65" Type="http://schemas.openxmlformats.org/officeDocument/2006/relationships/hyperlink" Target="http://www.zorgmail.nl/" TargetMode="External"/><Relationship Id="rId86" Type="http://schemas.openxmlformats.org/officeDocument/2006/relationships/hyperlink" Target="http://www.digid.nl" TargetMode="External"/><Relationship Id="rId130" Type="http://schemas.openxmlformats.org/officeDocument/2006/relationships/hyperlink" Target="http://esante.gouv.fr/actus/dmp/dmp-un-projet-structurant-pour-la-e-sante-en-france" TargetMode="External"/><Relationship Id="rId151" Type="http://schemas.openxmlformats.org/officeDocument/2006/relationships/hyperlink" Target="http://www.ticsante.com/%20show.php?page=story&amp;id=1023&amp;story=1023" TargetMode="External"/><Relationship Id="rId172" Type="http://schemas.openxmlformats.org/officeDocument/2006/relationships/hyperlink" Target="http://www.lemagit.fr/article/stockage-numerique-idc-nuage-donnees-cloud%20/6254/1/idc-pronostique-une-explosion-volumedonnees-produites-dans-monde-ici-ans/" TargetMode="External"/><Relationship Id="rId193" Type="http://schemas.openxmlformats.org/officeDocument/2006/relationships/hyperlink" Target="http://www.edps.europa.eu/%20EDPSWEB/edps/EDPS" TargetMode="External"/><Relationship Id="rId207" Type="http://schemas.openxmlformats.org/officeDocument/2006/relationships/hyperlink" Target="http://arch.arch.be/content/view/1131/249/lang,nl_BE/" TargetMode="External"/><Relationship Id="rId228" Type="http://schemas.openxmlformats.org/officeDocument/2006/relationships/hyperlink" Target="http://www.domeinenrz.nl/domeinenrz_nl/a09da3c7368516cbf78a11f1075987aa.php" TargetMode="External"/><Relationship Id="rId13" Type="http://schemas.openxmlformats.org/officeDocument/2006/relationships/hyperlink" Target="http://www.venvn.nl" TargetMode="External"/><Relationship Id="rId109" Type="http://schemas.openxmlformats.org/officeDocument/2006/relationships/hyperlink" Target="http://www.mijnflevoziekenhuis.nl" TargetMode="External"/><Relationship Id="rId34" Type="http://schemas.openxmlformats.org/officeDocument/2006/relationships/hyperlink" Target="http://www.who.int/classification/icd/en/" TargetMode="External"/><Relationship Id="rId55" Type="http://schemas.openxmlformats.org/officeDocument/2006/relationships/hyperlink" Target="http://www.health.belgium.be/internet2Prd/groups/public/@public/%20@dg1/@acutecare/documents/ie2divers/19064607.pdf" TargetMode="External"/><Relationship Id="rId76" Type="http://schemas.openxmlformats.org/officeDocument/2006/relationships/hyperlink" Target="http://www.pcmweb.nl/nieuws/300000-medische-dossiers-publiekelijk-toegankelijk.html" TargetMode="External"/><Relationship Id="rId97" Type="http://schemas.openxmlformats.org/officeDocument/2006/relationships/hyperlink" Target="http://www.umcn.nl" TargetMode="External"/><Relationship Id="rId120" Type="http://schemas.openxmlformats.org/officeDocument/2006/relationships/hyperlink" Target="http://www.vitalhealthsoftware.nl" TargetMode="External"/><Relationship Id="rId141" Type="http://schemas.openxmlformats.org/officeDocument/2006/relationships/hyperlink" Target="http://esante.gouv.fr/sites/default/files/CP_notification_hebergeur18022010.pdf" TargetMode="External"/><Relationship Id="rId7" Type="http://schemas.openxmlformats.org/officeDocument/2006/relationships/hyperlink" Target="http://www.knmg.artsennet.nl" TargetMode="External"/><Relationship Id="rId162" Type="http://schemas.openxmlformats.org/officeDocument/2006/relationships/hyperlink" Target="http://cybertim.timone.univ-mrs.fr/enseignement/doc-enseignement/informatique/Rapport%20minist09/%20docpeda_fichier" TargetMode="External"/><Relationship Id="rId183" Type="http://schemas.openxmlformats.org/officeDocument/2006/relationships/hyperlink" Target="http://www.privacycommission.be/sites/%20privacycommission/files/documents/01.01.02-codex_nl.pdf" TargetMode="External"/><Relationship Id="rId218" Type="http://schemas.openxmlformats.org/officeDocument/2006/relationships/hyperlink" Target="http://www.archieven.nl/nl/zoeken?miview=inv2&amp;mivast=0&amp;mizig=210&amp;miadt=39&amp;micode%20=813-1&amp;milang=nl&amp;mizk_alle=pati%C3%ABntendossier" TargetMode="External"/><Relationship Id="rId239" Type="http://schemas.openxmlformats.org/officeDocument/2006/relationships/hyperlink" Target="http://www.archivesdefrance.culture.gouv.fr/static/1877" TargetMode="External"/><Relationship Id="rId24" Type="http://schemas.openxmlformats.org/officeDocument/2006/relationships/hyperlink" Target="http://www.un.org/documents/ga/res/46/a46r119.htm" TargetMode="External"/><Relationship Id="rId45" Type="http://schemas.openxmlformats.org/officeDocument/2006/relationships/hyperlink" Target="http://www.absym.be/behealth.html" TargetMode="External"/><Relationship Id="rId66" Type="http://schemas.openxmlformats.org/officeDocument/2006/relationships/hyperlink" Target="http://www.ozis.nl/" TargetMode="External"/><Relationship Id="rId87" Type="http://schemas.openxmlformats.org/officeDocument/2006/relationships/hyperlink" Target="https://www.digitaalmedischdagboek.nl/" TargetMode="External"/><Relationship Id="rId110" Type="http://schemas.openxmlformats.org/officeDocument/2006/relationships/hyperlink" Target="http://www.puntp.nl" TargetMode="External"/><Relationship Id="rId131" Type="http://schemas.openxmlformats.org/officeDocument/2006/relationships/hyperlink" Target="http://esante.gouv.fr/%20services/referentiels/identification/les-raisons-d-etre-et-le-cadre-reglementaire-de-l-ins" TargetMode="External"/><Relationship Id="rId152" Type="http://schemas.openxmlformats.org/officeDocument/2006/relationships/hyperlink" Target="http://www.ticsante.com/show.php?page=story&amp;id=1089" TargetMode="External"/><Relationship Id="rId173" Type="http://schemas.openxmlformats.org/officeDocument/2006/relationships/hyperlink" Target="http://www.goudengids.be" TargetMode="External"/><Relationship Id="rId194" Type="http://schemas.openxmlformats.org/officeDocument/2006/relationships/hyperlink" Target="http://www.ascodocpsy.org/IMG/pdf/GuideArchives_Classement_Tri_fev2008.pdf" TargetMode="External"/><Relationship Id="rId208" Type="http://schemas.openxmlformats.org/officeDocument/2006/relationships/hyperlink" Target="http://apps.who.int/ghodata/?vid=710" TargetMode="External"/><Relationship Id="rId229" Type="http://schemas.openxmlformats.org/officeDocument/2006/relationships/hyperlink" Target="http://www.erfgoedinspectie.nl/uploads/publications/Procedure%20venietiging.pdf" TargetMode="External"/><Relationship Id="rId240" Type="http://schemas.openxmlformats.org/officeDocument/2006/relationships/hyperlink" Target="http://www.macsf.fr/vous-informer/perte-et-destruction-dossier-medical.html" TargetMode="External"/><Relationship Id="rId14" Type="http://schemas.openxmlformats.org/officeDocument/2006/relationships/hyperlink" Target="http://www.vhn.artsennet.nl" TargetMode="External"/><Relationship Id="rId35" Type="http://schemas.openxmlformats.org/officeDocument/2006/relationships/hyperlink" Target="http://www.udcc.org/" TargetMode="External"/><Relationship Id="rId56" Type="http://schemas.openxmlformats.org/officeDocument/2006/relationships/hyperlink" Target="https://www.ehealth.fgov.be/nl/myehealth/login?destination=myehealth%252%20Fpage" TargetMode="External"/><Relationship Id="rId77" Type="http://schemas.openxmlformats.org/officeDocument/2006/relationships/hyperlink" Target="http://www.omroepbrabant.nl/?news/1729921143/%20Medische+gegevens+duizenden+Brabanders+op+straat.aspx" TargetMode="External"/><Relationship Id="rId100" Type="http://schemas.openxmlformats.org/officeDocument/2006/relationships/hyperlink" Target="http://www.mckesson.nl" TargetMode="External"/><Relationship Id="rId8" Type="http://schemas.openxmlformats.org/officeDocument/2006/relationships/hyperlink" Target="http://www.knmp.nl" TargetMode="External"/><Relationship Id="rId98" Type="http://schemas.openxmlformats.org/officeDocument/2006/relationships/hyperlink" Target="http://www.farmedvisie.nl" TargetMode="External"/><Relationship Id="rId121" Type="http://schemas.openxmlformats.org/officeDocument/2006/relationships/hyperlink" Target="http://www.isala.nl" TargetMode="External"/><Relationship Id="rId142" Type="http://schemas.openxmlformats.org/officeDocument/2006/relationships/hyperlink" Target="http://esante.gouv.fr/actus/dmp/attribution-du-marche-de-l-hebergement-du-dmp" TargetMode="External"/><Relationship Id="rId163" Type="http://schemas.openxmlformats.org/officeDocument/2006/relationships/hyperlink" Target="http://www.dmp.gouv.fr/web/dmp/professionnel-de-sante/liste-des-logiciels-dmp-compatibles" TargetMode="External"/><Relationship Id="rId184" Type="http://schemas.openxmlformats.org/officeDocument/2006/relationships/hyperlink" Target="http://www.coe.int/t/dghl/%20standardsetting/dataprotection/modernisation_en.asp" TargetMode="External"/><Relationship Id="rId219" Type="http://schemas.openxmlformats.org/officeDocument/2006/relationships/hyperlink" Target="http://www.archieven.nl/nl/zoeken?mivast=0&amp;mizig=210&amp;miadt=235&amp;micode=1491&amp;%20miview=inv2" TargetMode="External"/><Relationship Id="rId230" Type="http://schemas.openxmlformats.org/officeDocument/2006/relationships/hyperlink" Target="http://www.archivesdefrance.culture.gouv.fr/fr/circAD/DAFad93-5.html" TargetMode="External"/><Relationship Id="rId25" Type="http://schemas.openxmlformats.org/officeDocument/2006/relationships/hyperlink" Target="http://www.legifrance.gouv.fr/affichJuriAdmin.do?idTexte%20=CETATEXT000008102664" TargetMode="External"/><Relationship Id="rId46" Type="http://schemas.openxmlformats.org/officeDocument/2006/relationships/hyperlink" Target="http://www.svh.be/%20behealth.htm" TargetMode="External"/><Relationship Id="rId67" Type="http://schemas.openxmlformats.org/officeDocument/2006/relationships/hyperlink" Target="http://www.minvws.nl/dossiers/elektronisch-patientendossier/" TargetMode="External"/><Relationship Id="rId88" Type="http://schemas.openxmlformats.org/officeDocument/2006/relationships/hyperlink" Target="http://www.pkioverheid.nl" TargetMode="External"/><Relationship Id="rId111" Type="http://schemas.openxmlformats.org/officeDocument/2006/relationships/hyperlink" Target="http://www.mijnreinier.nl" TargetMode="External"/><Relationship Id="rId132" Type="http://schemas.openxmlformats.org/officeDocument/2006/relationships/hyperlink" Target="http://www.i-med.fr/%20IMG/pdf/Dossier_de_conception_INS-C_-_v0.0.1.pdf" TargetMode="External"/><Relationship Id="rId153" Type="http://schemas.openxmlformats.org/officeDocument/2006/relationships/hyperlink" Target="http://www.dmp.gouv.fr/web/dmp/actualite-dmp/cartes-de-france-du-dmp" TargetMode="External"/><Relationship Id="rId174" Type="http://schemas.openxmlformats.org/officeDocument/2006/relationships/hyperlink" Target="http://www.kindengezin.be" TargetMode="External"/><Relationship Id="rId195" Type="http://schemas.openxmlformats.org/officeDocument/2006/relationships/hyperlink" Target="http://internet.ziffdavisenterprise.com/podcasts/eWeek/channel02252009.mp3" TargetMode="External"/><Relationship Id="rId209" Type="http://schemas.openxmlformats.org/officeDocument/2006/relationships/hyperlink" Target="http://eur-lex.europa.eu/Lex%20UriServ/LexUriServ.do?uri=COM:2012:0011:FIN:NL:PDF" TargetMode="External"/><Relationship Id="rId190" Type="http://schemas.openxmlformats.org/officeDocument/2006/relationships/hyperlink" Target="http://web.upmf-grenoble.fr/%20Haiti/Cours/Ak/" TargetMode="External"/><Relationship Id="rId204" Type="http://schemas.openxmlformats.org/officeDocument/2006/relationships/hyperlink" Target="http://www.gezondheidsraad.nl/sites/default/files/00@15N.PDF" TargetMode="External"/><Relationship Id="rId220" Type="http://schemas.openxmlformats.org/officeDocument/2006/relationships/hyperlink" Target="http://www.archieven.nl/nl/search-modonly?mivast=59%20&amp;mizig=210&amp;miadt=59&amp;micode=1088-01&amp;mizk_alle=Duifhuize" TargetMode="External"/><Relationship Id="rId225" Type="http://schemas.openxmlformats.org/officeDocument/2006/relationships/hyperlink" Target="http://www.reisswolf.nl/nl/reisswolf.html" TargetMode="External"/><Relationship Id="rId15" Type="http://schemas.openxmlformats.org/officeDocument/2006/relationships/hyperlink" Target="http://www.jmir.org/" TargetMode="External"/><Relationship Id="rId36" Type="http://schemas.openxmlformats.org/officeDocument/2006/relationships/hyperlink" Target="http://ndc.inforum.be/" TargetMode="External"/><Relationship Id="rId57" Type="http://schemas.openxmlformats.org/officeDocument/2006/relationships/hyperlink" Target="http://www.nl.wikipedia.org/wiki/Caesarcijfer" TargetMode="External"/><Relationship Id="rId106" Type="http://schemas.openxmlformats.org/officeDocument/2006/relationships/hyperlink" Target="http://www.mijn.kempenhaeghe.nl" TargetMode="External"/><Relationship Id="rId127" Type="http://schemas.openxmlformats.org/officeDocument/2006/relationships/hyperlink" Target="http://pubminefi.diffusion.finances.gouv.fr/pub/document/%2018/2573.doc" TargetMode="External"/><Relationship Id="rId10" Type="http://schemas.openxmlformats.org/officeDocument/2006/relationships/hyperlink" Target="http://www.nhg.artsennet.nl" TargetMode="External"/><Relationship Id="rId31" Type="http://schemas.openxmlformats.org/officeDocument/2006/relationships/hyperlink" Target="http://www.conseil-national.medecin.fr/article/article-45-fiche-d-observation%20-269" TargetMode="External"/><Relationship Id="rId52" Type="http://schemas.openxmlformats.org/officeDocument/2006/relationships/hyperlink" Target="https://www.ehealth.fgov.be/nl/standaarden" TargetMode="External"/><Relationship Id="rId73" Type="http://schemas.openxmlformats.org/officeDocument/2006/relationships/hyperlink" Target="http://www.europa-nu.nl/id/vi76mb107tzz/31466_elektronische_informatieuitwisseling_in_de_zorg" TargetMode="External"/><Relationship Id="rId78" Type="http://schemas.openxmlformats.org/officeDocument/2006/relationships/hyperlink" Target="http://www.knmg.artsennet.nl" TargetMode="External"/><Relationship Id="rId94" Type="http://schemas.openxmlformats.org/officeDocument/2006/relationships/hyperlink" Target="http://www.medikeeper.nl" TargetMode="External"/><Relationship Id="rId99" Type="http://schemas.openxmlformats.org/officeDocument/2006/relationships/hyperlink" Target="http://www.pazio.nl" TargetMode="External"/><Relationship Id="rId101" Type="http://schemas.openxmlformats.org/officeDocument/2006/relationships/hyperlink" Target="http://www.medischegegevens.nl" TargetMode="External"/><Relationship Id="rId122" Type="http://schemas.openxmlformats.org/officeDocument/2006/relationships/hyperlink" Target="http://www.zorgportaalrijnmond.nl" TargetMode="External"/><Relationship Id="rId143" Type="http://schemas.openxmlformats.org/officeDocument/2006/relationships/hyperlink" Target="http://www.ticsante.com/show.php?page=mstory&amp;jeton=nSnNt7%20Di0O_Zc26w4UMhtw" TargetMode="External"/><Relationship Id="rId148" Type="http://schemas.openxmlformats.org/officeDocument/2006/relationships/hyperlink" Target="http://www.dmp.gouv.fr/web/dmp/essayez-le-dmp" TargetMode="External"/><Relationship Id="rId164" Type="http://schemas.openxmlformats.org/officeDocument/2006/relationships/hyperlink" Target="http://www.dmp.gouv.fr/web/dmp/newsletter-dmp" TargetMode="External"/><Relationship Id="rId169" Type="http://schemas.openxmlformats.org/officeDocument/2006/relationships/hyperlink" Target="http://www.healthpowerhouse.com/files/ehci-2012-press-netherlands.pdf" TargetMode="External"/><Relationship Id="rId185" Type="http://schemas.openxmlformats.org/officeDocument/2006/relationships/hyperlink" Target="http://eur-lex.europa.eu/LexUriServ/LexUriServ.do?uri=CONSLEG:1995L0046:20031120:NL:PDF" TargetMode="External"/><Relationship Id="rId4" Type="http://schemas.openxmlformats.org/officeDocument/2006/relationships/hyperlink" Target="http://www.statengeneraaldigitaal.nl/" TargetMode="External"/><Relationship Id="rId9" Type="http://schemas.openxmlformats.org/officeDocument/2006/relationships/hyperlink" Target="http://www.lhv.artsennet.nl" TargetMode="External"/><Relationship Id="rId180" Type="http://schemas.openxmlformats.org/officeDocument/2006/relationships/hyperlink" Target="http://computermuseum.usask.ca/articles/%20IBM-5150-Specifications.pdf" TargetMode="External"/><Relationship Id="rId210" Type="http://schemas.openxmlformats.org/officeDocument/2006/relationships/hyperlink" Target="http://www.gezondheidsraad.nl/sites/default/files/04@08n1.pdf" TargetMode="External"/><Relationship Id="rId215" Type="http://schemas.openxmlformats.org/officeDocument/2006/relationships/hyperlink" Target="http://www.riziv.be/care/nl/hospitals/pdf/hospitals019.pdf" TargetMode="External"/><Relationship Id="rId236" Type="http://schemas.openxmlformats.org/officeDocument/2006/relationships/hyperlink" Target="http://www.cmq.org/MedecinsMembres/AmeliorationExercice/Tenue%20Dossiers/~/media/Files/Articles/tenue_dossiers_medactuel_fev2006.ashx?41217" TargetMode="External"/><Relationship Id="rId26" Type="http://schemas.openxmlformats.org/officeDocument/2006/relationships/hyperlink" Target="http://www.uvp5.univ-paris5.fr/staticmed/e-dosmed/cours/%20dossier%20patient/references/DefinitionDossier.html" TargetMode="External"/><Relationship Id="rId231" Type="http://schemas.openxmlformats.org/officeDocument/2006/relationships/hyperlink" Target="http://www.archivesdefrance.culture.gouv.fr/fr/circAD/DAFad94-2.html" TargetMode="External"/><Relationship Id="rId47" Type="http://schemas.openxmlformats.org/officeDocument/2006/relationships/hyperlink" Target="http://www.zorg-en-gezondheid.be/Over-ons/KAGB/Adviezen/Advies,-27-januari-2007,-Be-Health/" TargetMode="External"/><Relationship Id="rId68" Type="http://schemas.openxmlformats.org/officeDocument/2006/relationships/hyperlink" Target="http://www.nictiz.nl" TargetMode="External"/><Relationship Id="rId89" Type="http://schemas.openxmlformats.org/officeDocument/2006/relationships/hyperlink" Target="http://www.mikagroot.nl" TargetMode="External"/><Relationship Id="rId112" Type="http://schemas.openxmlformats.org/officeDocument/2006/relationships/hyperlink" Target="http://www.hemobase.net" TargetMode="External"/><Relationship Id="rId133" Type="http://schemas.openxmlformats.org/officeDocument/2006/relationships/hyperlink" Target="http://esante.gouv.fr/%20services/referentiels/identification/dossier-de-conception-de-l-identifiant-national-de-sante-calcul" TargetMode="External"/><Relationship Id="rId154" Type="http://schemas.openxmlformats.org/officeDocument/2006/relationships/hyperlink" Target="http://www.dmp.gouv.fr/web/dmp/actualite-dmp/cartes-de-france-du-dmp" TargetMode="External"/><Relationship Id="rId175" Type="http://schemas.openxmlformats.org/officeDocument/2006/relationships/hyperlink" Target="http://www.health.belgium.be" TargetMode="External"/><Relationship Id="rId196" Type="http://schemas.openxmlformats.org/officeDocument/2006/relationships/hyperlink" Target="http://www.lemagit.fr/article/stockage-numerique-idc-nuage-donnees-cloud/6254/1/idc-pronostique-une-explosion-volumedonnees-produites-dans-monde-ici-ans/" TargetMode="External"/><Relationship Id="rId200" Type="http://schemas.openxmlformats.org/officeDocument/2006/relationships/hyperlink" Target="http://www.hospindex.be" TargetMode="External"/><Relationship Id="rId16" Type="http://schemas.openxmlformats.org/officeDocument/2006/relationships/hyperlink" Target="http://www.coe.int/T/E/Legal_affairs/Legal_co-operation/Data_protection/Documents" TargetMode="External"/><Relationship Id="rId221" Type="http://schemas.openxmlformats.org/officeDocument/2006/relationships/hyperlink" Target="http://www.vumc.nl/afdelingen/metamedica/medischegeschiedenis1/" TargetMode="External"/><Relationship Id="rId37" Type="http://schemas.openxmlformats.org/officeDocument/2006/relationships/hyperlink" Target="http://www.archives.var.fr/informer_consulter/pdf/cadre_classement_hospitalieres.pdf" TargetMode="External"/><Relationship Id="rId58" Type="http://schemas.openxmlformats.org/officeDocument/2006/relationships/hyperlink" Target="http://ec.europa.eu/health-eu/care_for_me/e-health/io_nl.htm" TargetMode="External"/><Relationship Id="rId79" Type="http://schemas.openxmlformats.org/officeDocument/2006/relationships/hyperlink" Target="http://www.zorgatlas.nl" TargetMode="External"/><Relationship Id="rId102" Type="http://schemas.openxmlformats.org/officeDocument/2006/relationships/hyperlink" Target="http://www.medlook.nl" TargetMode="External"/><Relationship Id="rId123" Type="http://schemas.openxmlformats.org/officeDocument/2006/relationships/hyperlink" Target="http://www.dmp-aquitaine.fr/" TargetMode="External"/><Relationship Id="rId144" Type="http://schemas.openxmlformats.org/officeDocument/2006/relationships/hyperlink" Target="http://www.ticsante.com/show.php?id=576&amp;%20page=story" TargetMode="External"/><Relationship Id="rId90" Type="http://schemas.openxmlformats.org/officeDocument/2006/relationships/hyperlink" Target="http://ecbj.home.xs4all.nl/jdagboek.html" TargetMode="External"/><Relationship Id="rId165" Type="http://schemas.openxmlformats.org/officeDocument/2006/relationships/hyperlink" Target="http://www.ladocumentationfrancaise.fr/var/storage/%20rapports-publics/074000115/0000.pdf" TargetMode="External"/><Relationship Id="rId186" Type="http://schemas.openxmlformats.org/officeDocument/2006/relationships/hyperlink" Target="http://www.europa-nu.nl/id/vga3bya9max9/gewone_wetgevingsprocedure_cod" TargetMode="External"/><Relationship Id="rId211" Type="http://schemas.openxmlformats.org/officeDocument/2006/relationships/hyperlink" Target="http://arch.arch.be/content/view/955/286/lang,nl_BE/" TargetMode="External"/><Relationship Id="rId232" Type="http://schemas.openxmlformats.org/officeDocument/2006/relationships/hyperlink" Target="http://www.archivesdefrance.culture.gouv.fr/fr/%20circAD/DAFad94-10.html" TargetMode="External"/><Relationship Id="rId27" Type="http://schemas.openxmlformats.org/officeDocument/2006/relationships/hyperlink" Target="http://www.conseil-national.medecin.fr/article/article-45-fiche-d-observation-269" TargetMode="External"/><Relationship Id="rId48" Type="http://schemas.openxmlformats.org/officeDocument/2006/relationships/hyperlink" Target="http://www.privacycommission.be/nl/sectoral_committees/" TargetMode="External"/><Relationship Id="rId69" Type="http://schemas.openxmlformats.org/officeDocument/2006/relationships/hyperlink" Target="http://www.infoEPD.nl" TargetMode="External"/><Relationship Id="rId113" Type="http://schemas.openxmlformats.org/officeDocument/2006/relationships/hyperlink" Target="http://www.UMCUtrecht.nl" TargetMode="External"/><Relationship Id="rId134" Type="http://schemas.openxmlformats.org/officeDocument/2006/relationships/hyperlink" Target="http://www.i-med.fr/IMG/pdf/Dossier_de_conception_INS-C_-_Algorithme_de_calcul_v0.0.1.pdf" TargetMode="External"/><Relationship Id="rId80" Type="http://schemas.openxmlformats.org/officeDocument/2006/relationships/hyperlink" Target="http://vhn.artsennet.nl/Artikel/Doorstart-LSP-weer-een-stap-verder.%20htm" TargetMode="External"/><Relationship Id="rId155" Type="http://schemas.openxmlformats.org/officeDocument/2006/relationships/hyperlink" Target="http://www.dmp.gouv.fr/web/dmp/actualite-dmp/cartes-de-france-du-dmp" TargetMode="External"/><Relationship Id="rId176" Type="http://schemas.openxmlformats.org/officeDocument/2006/relationships/hyperlink" Target="http://www.erfgoedinspectie.nl/archieven/uw-archiefbeheer/uitbesteding" TargetMode="External"/><Relationship Id="rId197" Type="http://schemas.openxmlformats.org/officeDocument/2006/relationships/hyperlink" Target="http://www.iwabase.nl" TargetMode="External"/><Relationship Id="rId201" Type="http://schemas.openxmlformats.org/officeDocument/2006/relationships/hyperlink" Target="http://www.hospitals.be/nederlands/ziekenhuizen.html" TargetMode="External"/><Relationship Id="rId222" Type="http://schemas.openxmlformats.org/officeDocument/2006/relationships/hyperlink" Target="http://www.flickr.com/photos/archievenorg/sets/72157615838734411/" TargetMode="External"/><Relationship Id="rId17" Type="http://schemas.openxmlformats.org/officeDocument/2006/relationships/hyperlink" Target="http://www.hrzkmo.fgov.be/Portals/%20hrzkmo/nl/Wetgeving/Intellectuele%20beroepen/Gezondheidszorgberoepen.pdf" TargetMode="External"/><Relationship Id="rId38" Type="http://schemas.openxmlformats.org/officeDocument/2006/relationships/hyperlink" Target="http://webshop.kleinbeernink.nl/kb/item/512594" TargetMode="External"/><Relationship Id="rId59" Type="http://schemas.openxmlformats.org/officeDocument/2006/relationships/hyperlink" Target="http://www.wvc.vlaanderen.be/juriwel/gezo%20algemeen/info/gis.htm" TargetMode="External"/><Relationship Id="rId103" Type="http://schemas.openxmlformats.org/officeDocument/2006/relationships/hyperlink" Target="http://www.mijndvn.nl" TargetMode="External"/><Relationship Id="rId124" Type="http://schemas.openxmlformats.org/officeDocument/2006/relationships/hyperlink" Target="http://www.sante-alsace.org/cms" TargetMode="External"/><Relationship Id="rId70" Type="http://schemas.openxmlformats.org/officeDocument/2006/relationships/hyperlink" Target="http://www.eerstekamer.nl/behandeling/20090219/stemmingsoverzicht_2/info" TargetMode="External"/><Relationship Id="rId91" Type="http://schemas.openxmlformats.org/officeDocument/2006/relationships/hyperlink" Target="http://www.medilog.nl" TargetMode="External"/><Relationship Id="rId145" Type="http://schemas.openxmlformats.org/officeDocument/2006/relationships/hyperlink" Target="http://www.simulateur.dmp.gouv.fr/%20DMP%20%20le%20dispositif%20d'accompagnement.pdf" TargetMode="External"/><Relationship Id="rId166" Type="http://schemas.openxmlformats.org/officeDocument/2006/relationships/hyperlink" Target="http://esante.gouv.fr/%20sites/default/files/ASIP_RA2010.pdf" TargetMode="External"/><Relationship Id="rId187" Type="http://schemas.openxmlformats.org/officeDocument/2006/relationships/hyperlink" Target="http://www.steenkamp-ict.com/%20wbp/hfdst00richtlijn.html" TargetMode="External"/><Relationship Id="rId1" Type="http://schemas.openxmlformats.org/officeDocument/2006/relationships/hyperlink" Target="http://www.coe.int/T/CM/adoptedTexts_en.asp" TargetMode="External"/><Relationship Id="rId212" Type="http://schemas.openxmlformats.org/officeDocument/2006/relationships/hyperlink" Target="http://arch.arch.be/content/view/955/286/lang,nl_BE/" TargetMode="External"/><Relationship Id="rId233" Type="http://schemas.openxmlformats.org/officeDocument/2006/relationships/hyperlink" Target="http://www.archivesdefrance.culture.gouv.fr/fr/circAD/DAFad94-11.html" TargetMode="External"/><Relationship Id="rId28" Type="http://schemas.openxmlformats.org/officeDocument/2006/relationships/hyperlink" Target="http://www.conseil-national.medecin.fr/article/article-45-fiche-d-observation-269" TargetMode="External"/><Relationship Id="rId49" Type="http://schemas.openxmlformats.org/officeDocument/2006/relationships/hyperlink" Target="http://elections2007.belgium.be/nl/index.html" TargetMode="External"/><Relationship Id="rId114" Type="http://schemas.openxmlformats.org/officeDocument/2006/relationships/hyperlink" Target="http://www.parkinsonnet.nl" TargetMode="External"/><Relationship Id="rId60" Type="http://schemas.openxmlformats.org/officeDocument/2006/relationships/hyperlink" Target="http://www.const-court.be/public/n/2008/%202008-015n.pdf" TargetMode="External"/><Relationship Id="rId81" Type="http://schemas.openxmlformats.org/officeDocument/2006/relationships/hyperlink" Target="http://www.tweedekamer.nl/kamerstukken/dossiers/elektronisch_patienten_dossier_oktober_2011.jsp" TargetMode="External"/><Relationship Id="rId135" Type="http://schemas.openxmlformats.org/officeDocument/2006/relationships/hyperlink" Target="http://www.i-med.fr/IMG/pdf/Dossier_de_conception_INS-C_-_v0.0.1.pdf" TargetMode="External"/><Relationship Id="rId156" Type="http://schemas.openxmlformats.org/officeDocument/2006/relationships/hyperlink" Target="http://www.dmp.gouv.fr/%20web/dmp/actualite-dmp/etablissements-raccordes-au-dmp" TargetMode="External"/><Relationship Id="rId177" Type="http://schemas.openxmlformats.org/officeDocument/2006/relationships/hyperlink" Target="http://www.riziv.be/care/nl/nomenclature/chapters.htm" TargetMode="External"/><Relationship Id="rId198" Type="http://schemas.openxmlformats.org/officeDocument/2006/relationships/hyperlink" Target="http://www.belgium.be/nl/gezondheid/gezondheidszorg/medische_diensten/%20ziekenhuizen/" TargetMode="External"/><Relationship Id="rId202" Type="http://schemas.openxmlformats.org/officeDocument/2006/relationships/hyperlink" Target="http://www.zorg-en-gezondheid.be/uploadedFiles/%20NLsite_v2/Rapporten/p_v_i_im_020_e007_overzicht%20algemene%20ziekenhuizen%20met%20vermelding%20van%20uitbatingsplaatsen.pdf" TargetMode="External"/><Relationship Id="rId223" Type="http://schemas.openxmlformats.org/officeDocument/2006/relationships/hyperlink" Target="http://www.erfgoedinspectie.nl/archieven/uw-archiefbeheer/vervanging" TargetMode="External"/><Relationship Id="rId18" Type="http://schemas.openxmlformats.org/officeDocument/2006/relationships/hyperlink" Target="http://www.bradshawfoundation.com/hand_paintings_rock_art.php" TargetMode="External"/><Relationship Id="rId39" Type="http://schemas.openxmlformats.org/officeDocument/2006/relationships/hyperlink" Target="http://www.jmir.org/2005/1/e1" TargetMode="External"/><Relationship Id="rId50" Type="http://schemas.openxmlformats.org/officeDocument/2006/relationships/hyperlink" Target="http://www.const-court.be/public/n/2010/2010-029n.pdf" TargetMode="External"/><Relationship Id="rId104" Type="http://schemas.openxmlformats.org/officeDocument/2006/relationships/hyperlink" Target="http://www.mijn-epd.nl" TargetMode="External"/><Relationship Id="rId125" Type="http://schemas.openxmlformats.org/officeDocument/2006/relationships/hyperlink" Target="http://www.esante-picardie.com/" TargetMode="External"/><Relationship Id="rId146" Type="http://schemas.openxmlformats.org/officeDocument/2006/relationships/hyperlink" Target="http://rnrsms.ac-creteil.fr/idf/%20formation/stage06/reformes2.htm" TargetMode="External"/><Relationship Id="rId167" Type="http://schemas.openxmlformats.org/officeDocument/2006/relationships/hyperlink" Target="http://www.edps.europa.eu/EDPSWEB/edps/%20EDPS" TargetMode="External"/><Relationship Id="rId188" Type="http://schemas.openxmlformats.org/officeDocument/2006/relationships/hyperlink" Target="http://eur-lex.europa.eu/LexUriServ/LexUriServ.do?uri%20=CELEX:31997L0066:%20NL:HTML" TargetMode="External"/><Relationship Id="rId71" Type="http://schemas.openxmlformats.org/officeDocument/2006/relationships/hyperlink" Target="http://www.epd-nee.nl/" TargetMode="External"/><Relationship Id="rId92" Type="http://schemas.openxmlformats.org/officeDocument/2006/relationships/hyperlink" Target="http://www.mimedication.com" TargetMode="External"/><Relationship Id="rId213" Type="http://schemas.openxmlformats.org/officeDocument/2006/relationships/hyperlink" Target="http://www.goudengids.be" TargetMode="External"/><Relationship Id="rId234" Type="http://schemas.openxmlformats.org/officeDocument/2006/relationships/hyperlink" Target="http://www.piaf-archives.org/espace-formation/mod%20/resource/view.php?r=106" TargetMode="External"/><Relationship Id="rId2" Type="http://schemas.openxmlformats.org/officeDocument/2006/relationships/hyperlink" Target="http://www.coe.int/t/dghl/standardsetting/%20dataprotection/dataprotcompil_en.pdf" TargetMode="External"/><Relationship Id="rId29" Type="http://schemas.openxmlformats.org/officeDocument/2006/relationships/hyperlink" Target="http://www.axis-consultants.fr/Modules/Sanitaire/index_assets/Plan-detaille-Secret-Professionnel.pdf" TargetMode="External"/><Relationship Id="rId40" Type="http://schemas.openxmlformats.org/officeDocument/2006/relationships/hyperlink" Target="http://oreilly.com/web2/archive/what-is-web-20.html" TargetMode="External"/><Relationship Id="rId115" Type="http://schemas.openxmlformats.org/officeDocument/2006/relationships/hyperlink" Target="http://www.patient1.nl" TargetMode="External"/><Relationship Id="rId136" Type="http://schemas.openxmlformats.org/officeDocument/2006/relationships/hyperlink" Target="http://www.cnda-vitale.fr/" TargetMode="External"/><Relationship Id="rId157" Type="http://schemas.openxmlformats.org/officeDocument/2006/relationships/hyperlink" Target="http://esante.gouv.fr/travaux-d-experts/20120423-deploiement-du-dmp-retours-d-experience" TargetMode="External"/><Relationship Id="rId178" Type="http://schemas.openxmlformats.org/officeDocument/2006/relationships/hyperlink" Target="http://www.ordomedic.be/nl/orde/artseneed/eed-hippocrates/" TargetMode="External"/><Relationship Id="rId61" Type="http://schemas.openxmlformats.org/officeDocument/2006/relationships/hyperlink" Target="http://www.zorg-en-gezondheid.be" TargetMode="External"/><Relationship Id="rId82" Type="http://schemas.openxmlformats.org/officeDocument/2006/relationships/hyperlink" Target="http://www.cibg.nl/" TargetMode="External"/><Relationship Id="rId199" Type="http://schemas.openxmlformats.org/officeDocument/2006/relationships/hyperlink" Target="http://www.ccc-ggc.irisnet.be/nl/erkende-instellingen/gezondheidzorg/" TargetMode="External"/><Relationship Id="rId203" Type="http://schemas.openxmlformats.org/officeDocument/2006/relationships/hyperlink" Target="http://www.arch.arch.be/images/stories/brochure_surveillance/archiefoverbrenging.pdf" TargetMode="External"/><Relationship Id="rId19" Type="http://schemas.openxmlformats.org/officeDocument/2006/relationships/hyperlink" Target="http://archive.nlm.nih.gov/proj/ttp/%20smith_home.html" TargetMode="External"/><Relationship Id="rId224" Type="http://schemas.openxmlformats.org/officeDocument/2006/relationships/hyperlink" Target="http://www.erfgoedinspectie.nl/archieven/uw-archiefbeheer/vervanging" TargetMode="External"/><Relationship Id="rId30" Type="http://schemas.openxmlformats.org/officeDocument/2006/relationships/hyperlink" Target="http://www.univ-reims.fr/gallery_files/%20site/1/90/1129/1384/1536/1561/1562.ppt" TargetMode="External"/><Relationship Id="rId105" Type="http://schemas.openxmlformats.org/officeDocument/2006/relationships/hyperlink" Target="http://www.pharmapartners.nl" TargetMode="External"/><Relationship Id="rId126" Type="http://schemas.openxmlformats.org/officeDocument/2006/relationships/hyperlink" Target="http://www.dmp.gouv.fr/web/dmp/actualite-dmp/le-deploiement-du-dmp/les-grandes-etapes" TargetMode="External"/><Relationship Id="rId147" Type="http://schemas.openxmlformats.org/officeDocument/2006/relationships/hyperlink" Target="http://fulltext.bdsp.ehesp.fr/Ministere/Publications/2007/ISO20024340.pdf" TargetMode="External"/><Relationship Id="rId168" Type="http://schemas.openxmlformats.org/officeDocument/2006/relationships/hyperlink" Target="http://www.healthpowerhouse.com/files/Index-matrix-EHCI-2012-120508-final-A3-sheet-substrate.pdf" TargetMode="External"/><Relationship Id="rId51" Type="http://schemas.openxmlformats.org/officeDocument/2006/relationships/hyperlink" Target="http://nl.prorec.be/" TargetMode="External"/><Relationship Id="rId72" Type="http://schemas.openxmlformats.org/officeDocument/2006/relationships/hyperlink" Target="http://www.eerstekamer.nl/behandeling/20110405/stemming_wetsvoorstel_%20verworpen_en/document3/f=/viozdip1gx6j.pdf" TargetMode="External"/><Relationship Id="rId93" Type="http://schemas.openxmlformats.org/officeDocument/2006/relationships/hyperlink" Target="http://www.iphoneclub.nl/134848/la-carte-meddossier-en-nsstoringen-apps-van-nederlandse-bodem/" TargetMode="External"/><Relationship Id="rId189" Type="http://schemas.openxmlformats.org/officeDocument/2006/relationships/hyperlink" Target="http://www.europa-nu.nl/id/vhkejco8liwc/bescherming_van_persoonsgegevens_in_europa" TargetMode="External"/><Relationship Id="rId3" Type="http://schemas.openxmlformats.org/officeDocument/2006/relationships/hyperlink" Target="http://www.liigl.nl" TargetMode="External"/><Relationship Id="rId214" Type="http://schemas.openxmlformats.org/officeDocument/2006/relationships/hyperlink" Target="http://www.edavid.be/docs/%20Substitutie_MagDa.pdf" TargetMode="External"/><Relationship Id="rId235" Type="http://schemas.openxmlformats.org/officeDocument/2006/relationships/hyperlink" Target="http://www.sae-diffusion.sante.gouv.fr/" TargetMode="External"/><Relationship Id="rId116" Type="http://schemas.openxmlformats.org/officeDocument/2006/relationships/hyperlink" Target="http://www.gclindenholt.patientportaal.nl" TargetMode="External"/><Relationship Id="rId137" Type="http://schemas.openxmlformats.org/officeDocument/2006/relationships/hyperlink" Target="http://esante.gouv.fr/sites/default/files/CP_INS_Convention%20ASIP_CNDA_090610.pdf" TargetMode="External"/><Relationship Id="rId158" Type="http://schemas.openxmlformats.org/officeDocument/2006/relationships/hyperlink" Target="http://d-m-p.org/sites/default/files/CP_programme_de_relance_160209.pdf" TargetMode="External"/><Relationship Id="rId20" Type="http://schemas.openxmlformats.org/officeDocument/2006/relationships/hyperlink" Target="http://www.aams.org.au/contents.php?subdir=library/history/&amp;filename=pharonic_egypt" TargetMode="External"/><Relationship Id="rId41" Type="http://schemas.openxmlformats.org/officeDocument/2006/relationships/hyperlink" Target="http://ec.europe.eu/information_society/activities/health/whatis_%20ehealth/index_en.htm" TargetMode="External"/><Relationship Id="rId62" Type="http://schemas.openxmlformats.org/officeDocument/2006/relationships/hyperlink" Target="http://www.reseausantewallon.be" TargetMode="External"/><Relationship Id="rId83" Type="http://schemas.openxmlformats.org/officeDocument/2006/relationships/hyperlink" Target="http://www.cbpweb.nl/Pages/pb_20080428_toegang_epd.aspx" TargetMode="External"/><Relationship Id="rId179" Type="http://schemas.openxmlformats.org/officeDocument/2006/relationships/hyperlink" Target="http://www.zorg-en-gezondheid.be/v2_default.aspx?id=22990&amp;terms=meldingsplichtig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Eindverhandeling%20Archivistiek%20-%20Pati&#235;ntendossiers\000000%20THESIS\Overzicht%20Europese%20bewaartermijnen%20pati&#235;ntengegeven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1 juli 2011</a:t>
            </a:r>
          </a:p>
        </c:rich>
      </c:tx>
      <c:layout/>
      <c:overlay val="0"/>
    </c:title>
    <c:autoTitleDeleted val="0"/>
    <c:plotArea>
      <c:layout/>
      <c:pieChart>
        <c:varyColors val="1"/>
        <c:ser>
          <c:idx val="0"/>
          <c:order val="0"/>
          <c:tx>
            <c:strRef>
              <c:f>Blad1!$G$18</c:f>
              <c:strCache>
                <c:ptCount val="1"/>
                <c:pt idx="0">
                  <c:v>1/jul/11</c:v>
                </c:pt>
              </c:strCache>
            </c:strRef>
          </c:tx>
          <c:dLbls>
            <c:dLbl>
              <c:idx val="1"/>
              <c:layout/>
              <c:tx>
                <c:rich>
                  <a:bodyPr/>
                  <a:lstStyle/>
                  <a:p>
                    <a:r>
                      <a:rPr lang="en-US">
                        <a:solidFill>
                          <a:sysClr val="windowText" lastClr="000000"/>
                        </a:solidFill>
                      </a:rPr>
                      <a:t>Elzas</a:t>
                    </a:r>
                    <a:r>
                      <a:rPr lang="en-US"/>
                      <a:t>
</a:t>
                    </a:r>
                    <a:r>
                      <a:rPr lang="en-US">
                        <a:solidFill>
                          <a:sysClr val="windowText" lastClr="000000"/>
                        </a:solidFill>
                      </a:rPr>
                      <a:t>43%</a:t>
                    </a:r>
                  </a:p>
                </c:rich>
              </c:tx>
              <c:showLegendKey val="0"/>
              <c:showVal val="0"/>
              <c:showCatName val="1"/>
              <c:showSerName val="0"/>
              <c:showPercent val="1"/>
              <c:showBubbleSize val="0"/>
            </c:dLbl>
            <c:dLbl>
              <c:idx val="3"/>
              <c:layout/>
              <c:tx>
                <c:rich>
                  <a:bodyPr/>
                  <a:lstStyle/>
                  <a:p>
                    <a:r>
                      <a:rPr lang="en-US">
                        <a:solidFill>
                          <a:schemeClr val="bg1"/>
                        </a:solidFill>
                      </a:rPr>
                      <a:t>Picardië
25%</a:t>
                    </a:r>
                  </a:p>
                </c:rich>
              </c:tx>
              <c:showLegendKey val="0"/>
              <c:showVal val="0"/>
              <c:showCatName val="1"/>
              <c:showSerName val="0"/>
              <c:showPercent val="1"/>
              <c:showBubbleSize val="0"/>
            </c:dLbl>
            <c:txPr>
              <a:bodyPr/>
              <a:lstStyle/>
              <a:p>
                <a:pPr>
                  <a:defRPr sz="800">
                    <a:latin typeface="Times New Roman" pitchFamily="18" charset="0"/>
                    <a:cs typeface="Times New Roman" pitchFamily="18" charset="0"/>
                  </a:defRPr>
                </a:pPr>
                <a:endParaRPr lang="nl-BE"/>
              </a:p>
            </c:txPr>
            <c:showLegendKey val="0"/>
            <c:showVal val="0"/>
            <c:showCatName val="1"/>
            <c:showSerName val="0"/>
            <c:showPercent val="1"/>
            <c:showBubbleSize val="0"/>
            <c:showLeaderLines val="1"/>
          </c:dLbls>
          <c:cat>
            <c:strRef>
              <c:f>Blad1!$F$19:$F$23</c:f>
              <c:strCache>
                <c:ptCount val="5"/>
                <c:pt idx="0">
                  <c:v>Aquitanië</c:v>
                </c:pt>
                <c:pt idx="1">
                  <c:v>Elzas</c:v>
                </c:pt>
                <c:pt idx="2">
                  <c:v>Franche-Comté</c:v>
                </c:pt>
                <c:pt idx="3">
                  <c:v>Picardië</c:v>
                </c:pt>
                <c:pt idx="4">
                  <c:v>Andere regio's</c:v>
                </c:pt>
              </c:strCache>
            </c:strRef>
          </c:cat>
          <c:val>
            <c:numRef>
              <c:f>Blad1!$G$19:$G$23</c:f>
              <c:numCache>
                <c:formatCode>General</c:formatCode>
                <c:ptCount val="5"/>
                <c:pt idx="0">
                  <c:v>2306</c:v>
                </c:pt>
                <c:pt idx="1">
                  <c:v>6829</c:v>
                </c:pt>
                <c:pt idx="2">
                  <c:v>1555</c:v>
                </c:pt>
                <c:pt idx="3">
                  <c:v>3867</c:v>
                </c:pt>
                <c:pt idx="4">
                  <c:v>1149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25</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september 2011</a:t>
            </a:r>
          </a:p>
        </c:rich>
      </c:tx>
      <c:layout/>
      <c:overlay val="0"/>
    </c:title>
    <c:autoTitleDeleted val="0"/>
    <c:plotArea>
      <c:layout/>
      <c:pieChart>
        <c:varyColors val="1"/>
        <c:ser>
          <c:idx val="0"/>
          <c:order val="0"/>
          <c:tx>
            <c:strRef>
              <c:f>Blad1!$G$25</c:f>
              <c:strCache>
                <c:ptCount val="1"/>
                <c:pt idx="0">
                  <c:v>25/sep/11</c:v>
                </c:pt>
              </c:strCache>
            </c:strRef>
          </c:tx>
          <c:dLbls>
            <c:dLbl>
              <c:idx val="0"/>
              <c:layout/>
              <c:tx>
                <c:rich>
                  <a:bodyPr/>
                  <a:lstStyle/>
                  <a:p>
                    <a:r>
                      <a:rPr lang="en-US">
                        <a:solidFill>
                          <a:schemeClr val="bg1"/>
                        </a:solidFill>
                      </a:rPr>
                      <a:t>Aquitanië
19%</a:t>
                    </a:r>
                  </a:p>
                </c:rich>
              </c:tx>
              <c:showLegendKey val="0"/>
              <c:showVal val="0"/>
              <c:showCatName val="1"/>
              <c:showSerName val="0"/>
              <c:showPercent val="1"/>
              <c:showBubbleSize val="0"/>
            </c:dLbl>
            <c:dLbl>
              <c:idx val="3"/>
              <c:layout/>
              <c:tx>
                <c:rich>
                  <a:bodyPr/>
                  <a:lstStyle/>
                  <a:p>
                    <a:r>
                      <a:rPr lang="en-US">
                        <a:solidFill>
                          <a:schemeClr val="bg1"/>
                        </a:solidFill>
                      </a:rPr>
                      <a:t>Picardië
27%</a:t>
                    </a:r>
                  </a:p>
                </c:rich>
              </c:tx>
              <c:showLegendKey val="0"/>
              <c:showVal val="0"/>
              <c:showCatName val="1"/>
              <c:showSerName val="0"/>
              <c:showPercent val="1"/>
              <c:showBubbleSize val="0"/>
            </c:dLbl>
            <c:txPr>
              <a:bodyPr/>
              <a:lstStyle/>
              <a:p>
                <a:pPr>
                  <a:defRPr sz="800">
                    <a:latin typeface="Times New Roman" pitchFamily="18" charset="0"/>
                    <a:cs typeface="Times New Roman" pitchFamily="18" charset="0"/>
                  </a:defRPr>
                </a:pPr>
                <a:endParaRPr lang="nl-BE"/>
              </a:p>
            </c:txPr>
            <c:showLegendKey val="0"/>
            <c:showVal val="0"/>
            <c:showCatName val="1"/>
            <c:showSerName val="0"/>
            <c:showPercent val="1"/>
            <c:showBubbleSize val="0"/>
            <c:showLeaderLines val="1"/>
          </c:dLbls>
          <c:cat>
            <c:strRef>
              <c:f>Blad1!$F$26:$F$30</c:f>
              <c:strCache>
                <c:ptCount val="5"/>
                <c:pt idx="0">
                  <c:v>Aquitanië</c:v>
                </c:pt>
                <c:pt idx="1">
                  <c:v>Elzas</c:v>
                </c:pt>
                <c:pt idx="2">
                  <c:v>Franche-Comté</c:v>
                </c:pt>
                <c:pt idx="3">
                  <c:v>Picardië</c:v>
                </c:pt>
                <c:pt idx="4">
                  <c:v>Andere regio's</c:v>
                </c:pt>
              </c:strCache>
            </c:strRef>
          </c:cat>
          <c:val>
            <c:numRef>
              <c:f>Blad1!$G$26:$G$30</c:f>
              <c:numCache>
                <c:formatCode>General</c:formatCode>
                <c:ptCount val="5"/>
                <c:pt idx="0">
                  <c:v>7312</c:v>
                </c:pt>
                <c:pt idx="1">
                  <c:v>13169</c:v>
                </c:pt>
                <c:pt idx="2">
                  <c:v>3184</c:v>
                </c:pt>
                <c:pt idx="3">
                  <c:v>10653</c:v>
                </c:pt>
                <c:pt idx="4">
                  <c:v>4992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30 april 2012</a:t>
            </a:r>
          </a:p>
        </c:rich>
      </c:tx>
      <c:layout/>
      <c:overlay val="0"/>
    </c:title>
    <c:autoTitleDeleted val="0"/>
    <c:plotArea>
      <c:layout/>
      <c:pieChart>
        <c:varyColors val="1"/>
        <c:ser>
          <c:idx val="0"/>
          <c:order val="0"/>
          <c:tx>
            <c:strRef>
              <c:f>Blad1!$G$32</c:f>
              <c:strCache>
                <c:ptCount val="1"/>
                <c:pt idx="0">
                  <c:v>30/apr/12</c:v>
                </c:pt>
              </c:strCache>
            </c:strRef>
          </c:tx>
          <c:dLbls>
            <c:dLbl>
              <c:idx val="3"/>
              <c:layout/>
              <c:tx>
                <c:rich>
                  <a:bodyPr/>
                  <a:lstStyle/>
                  <a:p>
                    <a:r>
                      <a:rPr lang="en-US">
                        <a:solidFill>
                          <a:schemeClr val="bg1"/>
                        </a:solidFill>
                      </a:rPr>
                      <a:t>Picardië
20%</a:t>
                    </a:r>
                  </a:p>
                </c:rich>
              </c:tx>
              <c:showLegendKey val="0"/>
              <c:showVal val="0"/>
              <c:showCatName val="1"/>
              <c:showSerName val="0"/>
              <c:showPercent val="1"/>
              <c:showBubbleSize val="0"/>
            </c:dLbl>
            <c:txPr>
              <a:bodyPr/>
              <a:lstStyle/>
              <a:p>
                <a:pPr>
                  <a:defRPr sz="800">
                    <a:latin typeface="Times New Roman" pitchFamily="18" charset="0"/>
                    <a:cs typeface="Times New Roman" pitchFamily="18" charset="0"/>
                  </a:defRPr>
                </a:pPr>
                <a:endParaRPr lang="nl-BE"/>
              </a:p>
            </c:txPr>
            <c:showLegendKey val="0"/>
            <c:showVal val="0"/>
            <c:showCatName val="1"/>
            <c:showSerName val="0"/>
            <c:showPercent val="1"/>
            <c:showBubbleSize val="0"/>
            <c:showLeaderLines val="1"/>
          </c:dLbls>
          <c:cat>
            <c:strRef>
              <c:f>Blad1!$F$33:$F$37</c:f>
              <c:strCache>
                <c:ptCount val="5"/>
                <c:pt idx="0">
                  <c:v>Aquitanië</c:v>
                </c:pt>
                <c:pt idx="1">
                  <c:v>Elzas</c:v>
                </c:pt>
                <c:pt idx="2">
                  <c:v>Franche-Comté</c:v>
                </c:pt>
                <c:pt idx="3">
                  <c:v>Picardië</c:v>
                </c:pt>
                <c:pt idx="4">
                  <c:v>Andere regio's</c:v>
                </c:pt>
              </c:strCache>
            </c:strRef>
          </c:cat>
          <c:val>
            <c:numRef>
              <c:f>Blad1!$G$33:$G$37</c:f>
              <c:numCache>
                <c:formatCode>General</c:formatCode>
                <c:ptCount val="5"/>
                <c:pt idx="0">
                  <c:v>18885</c:v>
                </c:pt>
                <c:pt idx="1">
                  <c:v>21730</c:v>
                </c:pt>
                <c:pt idx="2">
                  <c:v>11621</c:v>
                </c:pt>
                <c:pt idx="3">
                  <c:v>24933</c:v>
                </c:pt>
                <c:pt idx="4">
                  <c:v>45290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ln>
              <a:solidFill>
                <a:schemeClr val="bg1"/>
              </a:solidFill>
            </a:ln>
          </c:spPr>
          <c:invertIfNegative val="0"/>
          <c:dLbls>
            <c:txPr>
              <a:bodyPr/>
              <a:lstStyle/>
              <a:p>
                <a:pPr>
                  <a:defRPr sz="800">
                    <a:solidFill>
                      <a:schemeClr val="bg1"/>
                    </a:solidFill>
                    <a:latin typeface="Times New Roman" pitchFamily="18" charset="0"/>
                    <a:cs typeface="Times New Roman" pitchFamily="18" charset="0"/>
                  </a:defRPr>
                </a:pPr>
                <a:endParaRPr lang="nl-BE"/>
              </a:p>
            </c:txPr>
            <c:dLblPos val="inEnd"/>
            <c:showLegendKey val="0"/>
            <c:showVal val="1"/>
            <c:showCatName val="0"/>
            <c:showSerName val="0"/>
            <c:showPercent val="0"/>
            <c:showBubbleSize val="0"/>
            <c:showLeaderLines val="0"/>
          </c:dLbls>
          <c:cat>
            <c:strRef>
              <c:f>Blad1!$B$4:$B$37</c:f>
              <c:strCache>
                <c:ptCount val="34"/>
                <c:pt idx="0">
                  <c:v>Servië</c:v>
                </c:pt>
                <c:pt idx="1">
                  <c:v>Bulgarije</c:v>
                </c:pt>
                <c:pt idx="2">
                  <c:v>Roemenië</c:v>
                </c:pt>
                <c:pt idx="3">
                  <c:v>Letland</c:v>
                </c:pt>
                <c:pt idx="4">
                  <c:v>Macedonië</c:v>
                </c:pt>
                <c:pt idx="5">
                  <c:v>Albanië</c:v>
                </c:pt>
                <c:pt idx="6">
                  <c:v>Hongarije</c:v>
                </c:pt>
                <c:pt idx="7">
                  <c:v>Polen</c:v>
                </c:pt>
                <c:pt idx="8">
                  <c:v>Litouwen</c:v>
                </c:pt>
                <c:pt idx="9">
                  <c:v>Portugal</c:v>
                </c:pt>
                <c:pt idx="10">
                  <c:v>Spanje</c:v>
                </c:pt>
                <c:pt idx="11">
                  <c:v>Malta</c:v>
                </c:pt>
                <c:pt idx="12">
                  <c:v>Griekenland</c:v>
                </c:pt>
                <c:pt idx="13">
                  <c:v>Italië</c:v>
                </c:pt>
                <c:pt idx="14">
                  <c:v>Cyprus</c:v>
                </c:pt>
                <c:pt idx="15">
                  <c:v>Slovenië</c:v>
                </c:pt>
                <c:pt idx="16">
                  <c:v>Estland</c:v>
                </c:pt>
                <c:pt idx="17">
                  <c:v>Kroatië</c:v>
                </c:pt>
                <c:pt idx="18">
                  <c:v>Slovakije</c:v>
                </c:pt>
                <c:pt idx="19">
                  <c:v>Tsjechische Republiek</c:v>
                </c:pt>
                <c:pt idx="20">
                  <c:v>Duitsland</c:v>
                </c:pt>
                <c:pt idx="21">
                  <c:v>Ierland</c:v>
                </c:pt>
                <c:pt idx="22">
                  <c:v>Verenigd Koninkrijk</c:v>
                </c:pt>
                <c:pt idx="23">
                  <c:v>Oostenrijk</c:v>
                </c:pt>
                <c:pt idx="24">
                  <c:v>Finland</c:v>
                </c:pt>
                <c:pt idx="25">
                  <c:v>Noorwegen</c:v>
                </c:pt>
                <c:pt idx="26">
                  <c:v>Frankrijk</c:v>
                </c:pt>
                <c:pt idx="27">
                  <c:v>Zwitserland</c:v>
                </c:pt>
                <c:pt idx="28">
                  <c:v>Zweden</c:v>
                </c:pt>
                <c:pt idx="29">
                  <c:v>België</c:v>
                </c:pt>
                <c:pt idx="30">
                  <c:v>Luxemburg</c:v>
                </c:pt>
                <c:pt idx="31">
                  <c:v>Ijsland</c:v>
                </c:pt>
                <c:pt idx="32">
                  <c:v>Denemarken</c:v>
                </c:pt>
                <c:pt idx="33">
                  <c:v>Nederland</c:v>
                </c:pt>
              </c:strCache>
            </c:strRef>
          </c:cat>
          <c:val>
            <c:numRef>
              <c:f>Blad1!$C$4:$C$37</c:f>
              <c:numCache>
                <c:formatCode>General</c:formatCode>
                <c:ptCount val="34"/>
                <c:pt idx="0">
                  <c:v>451</c:v>
                </c:pt>
                <c:pt idx="1">
                  <c:v>456</c:v>
                </c:pt>
                <c:pt idx="2">
                  <c:v>489</c:v>
                </c:pt>
                <c:pt idx="3">
                  <c:v>491</c:v>
                </c:pt>
                <c:pt idx="4">
                  <c:v>527</c:v>
                </c:pt>
                <c:pt idx="5">
                  <c:v>535</c:v>
                </c:pt>
                <c:pt idx="6">
                  <c:v>577</c:v>
                </c:pt>
                <c:pt idx="7">
                  <c:v>577</c:v>
                </c:pt>
                <c:pt idx="8">
                  <c:v>585</c:v>
                </c:pt>
                <c:pt idx="9">
                  <c:v>589</c:v>
                </c:pt>
                <c:pt idx="10">
                  <c:v>603</c:v>
                </c:pt>
                <c:pt idx="11">
                  <c:v>609</c:v>
                </c:pt>
                <c:pt idx="12">
                  <c:v>617</c:v>
                </c:pt>
                <c:pt idx="13">
                  <c:v>623</c:v>
                </c:pt>
                <c:pt idx="14">
                  <c:v>627</c:v>
                </c:pt>
                <c:pt idx="15">
                  <c:v>638</c:v>
                </c:pt>
                <c:pt idx="16">
                  <c:v>653</c:v>
                </c:pt>
                <c:pt idx="17">
                  <c:v>655</c:v>
                </c:pt>
                <c:pt idx="18">
                  <c:v>675</c:v>
                </c:pt>
                <c:pt idx="19">
                  <c:v>694</c:v>
                </c:pt>
                <c:pt idx="20">
                  <c:v>704</c:v>
                </c:pt>
                <c:pt idx="21">
                  <c:v>714</c:v>
                </c:pt>
                <c:pt idx="22">
                  <c:v>721</c:v>
                </c:pt>
                <c:pt idx="23">
                  <c:v>737</c:v>
                </c:pt>
                <c:pt idx="24">
                  <c:v>752</c:v>
                </c:pt>
                <c:pt idx="25">
                  <c:v>756</c:v>
                </c:pt>
                <c:pt idx="26">
                  <c:v>766</c:v>
                </c:pt>
                <c:pt idx="27">
                  <c:v>769</c:v>
                </c:pt>
                <c:pt idx="28">
                  <c:v>775</c:v>
                </c:pt>
                <c:pt idx="29">
                  <c:v>783</c:v>
                </c:pt>
                <c:pt idx="30">
                  <c:v>791</c:v>
                </c:pt>
                <c:pt idx="31">
                  <c:v>799</c:v>
                </c:pt>
                <c:pt idx="32">
                  <c:v>822</c:v>
                </c:pt>
                <c:pt idx="33">
                  <c:v>872</c:v>
                </c:pt>
              </c:numCache>
            </c:numRef>
          </c:val>
        </c:ser>
        <c:dLbls>
          <c:showLegendKey val="0"/>
          <c:showVal val="0"/>
          <c:showCatName val="0"/>
          <c:showSerName val="0"/>
          <c:showPercent val="0"/>
          <c:showBubbleSize val="0"/>
        </c:dLbls>
        <c:gapWidth val="0"/>
        <c:overlap val="100"/>
        <c:axId val="42432512"/>
        <c:axId val="106164736"/>
      </c:barChart>
      <c:catAx>
        <c:axId val="42432512"/>
        <c:scaling>
          <c:orientation val="minMax"/>
        </c:scaling>
        <c:delete val="0"/>
        <c:axPos val="b"/>
        <c:majorTickMark val="none"/>
        <c:minorTickMark val="none"/>
        <c:tickLblPos val="nextTo"/>
        <c:txPr>
          <a:bodyPr rot="-5400000" vert="horz"/>
          <a:lstStyle/>
          <a:p>
            <a:pPr>
              <a:defRPr sz="800">
                <a:latin typeface="Times New Roman" pitchFamily="18" charset="0"/>
                <a:cs typeface="Times New Roman" pitchFamily="18" charset="0"/>
              </a:defRPr>
            </a:pPr>
            <a:endParaRPr lang="nl-BE"/>
          </a:p>
        </c:txPr>
        <c:crossAx val="106164736"/>
        <c:crosses val="autoZero"/>
        <c:auto val="1"/>
        <c:lblAlgn val="ctr"/>
        <c:lblOffset val="100"/>
        <c:noMultiLvlLbl val="0"/>
      </c:catAx>
      <c:valAx>
        <c:axId val="106164736"/>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nl-BE"/>
          </a:p>
        </c:txPr>
        <c:crossAx val="424325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Patiëntendossiers in ziekenhuizen</c:v>
                </c:pt>
              </c:strCache>
            </c:strRef>
          </c:tx>
          <c:invertIfNegative val="0"/>
          <c:cat>
            <c:strRef>
              <c:f>Blad1!$A$2:$A$21</c:f>
              <c:strCache>
                <c:ptCount val="20"/>
                <c:pt idx="0">
                  <c:v>België</c:v>
                </c:pt>
                <c:pt idx="1">
                  <c:v>Denemarken</c:v>
                </c:pt>
                <c:pt idx="2">
                  <c:v>Duitsland</c:v>
                </c:pt>
                <c:pt idx="3">
                  <c:v>Engeland</c:v>
                </c:pt>
                <c:pt idx="4">
                  <c:v>Finland</c:v>
                </c:pt>
                <c:pt idx="5">
                  <c:v>Frankrijk</c:v>
                </c:pt>
                <c:pt idx="6">
                  <c:v>Griekenland</c:v>
                </c:pt>
                <c:pt idx="7">
                  <c:v>Ierland</c:v>
                </c:pt>
                <c:pt idx="8">
                  <c:v>Italië</c:v>
                </c:pt>
                <c:pt idx="9">
                  <c:v>Luxemburg</c:v>
                </c:pt>
                <c:pt idx="10">
                  <c:v>Nederland</c:v>
                </c:pt>
                <c:pt idx="11">
                  <c:v>Noord-Irland</c:v>
                </c:pt>
                <c:pt idx="12">
                  <c:v>Noorwegen</c:v>
                </c:pt>
                <c:pt idx="13">
                  <c:v>Oostenrijk</c:v>
                </c:pt>
                <c:pt idx="14">
                  <c:v>Portugal</c:v>
                </c:pt>
                <c:pt idx="15">
                  <c:v>Schotland</c:v>
                </c:pt>
                <c:pt idx="16">
                  <c:v>Spanje</c:v>
                </c:pt>
                <c:pt idx="17">
                  <c:v>Wales</c:v>
                </c:pt>
                <c:pt idx="18">
                  <c:v>Zweden</c:v>
                </c:pt>
                <c:pt idx="19">
                  <c:v>Zwitserland</c:v>
                </c:pt>
              </c:strCache>
            </c:strRef>
          </c:cat>
          <c:val>
            <c:numRef>
              <c:f>Blad1!$B$2:$B$21</c:f>
              <c:numCache>
                <c:formatCode>General</c:formatCode>
                <c:ptCount val="20"/>
                <c:pt idx="0">
                  <c:v>30</c:v>
                </c:pt>
                <c:pt idx="1">
                  <c:v>10</c:v>
                </c:pt>
                <c:pt idx="2">
                  <c:v>10</c:v>
                </c:pt>
                <c:pt idx="3">
                  <c:v>8</c:v>
                </c:pt>
                <c:pt idx="4">
                  <c:v>10</c:v>
                </c:pt>
                <c:pt idx="5">
                  <c:v>20</c:v>
                </c:pt>
                <c:pt idx="6">
                  <c:v>20</c:v>
                </c:pt>
                <c:pt idx="7">
                  <c:v>8</c:v>
                </c:pt>
                <c:pt idx="8">
                  <c:v>20</c:v>
                </c:pt>
                <c:pt idx="9">
                  <c:v>10</c:v>
                </c:pt>
                <c:pt idx="10">
                  <c:v>15</c:v>
                </c:pt>
                <c:pt idx="11">
                  <c:v>8</c:v>
                </c:pt>
                <c:pt idx="12">
                  <c:v>10</c:v>
                </c:pt>
                <c:pt idx="13">
                  <c:v>30</c:v>
                </c:pt>
                <c:pt idx="14">
                  <c:v>5</c:v>
                </c:pt>
                <c:pt idx="15">
                  <c:v>6</c:v>
                </c:pt>
                <c:pt idx="16">
                  <c:v>5</c:v>
                </c:pt>
                <c:pt idx="17">
                  <c:v>8</c:v>
                </c:pt>
                <c:pt idx="18">
                  <c:v>3</c:v>
                </c:pt>
                <c:pt idx="19">
                  <c:v>10</c:v>
                </c:pt>
              </c:numCache>
            </c:numRef>
          </c:val>
        </c:ser>
        <c:ser>
          <c:idx val="1"/>
          <c:order val="1"/>
          <c:tx>
            <c:strRef>
              <c:f>Blad1!$C$1</c:f>
              <c:strCache>
                <c:ptCount val="1"/>
                <c:pt idx="0">
                  <c:v>Patiëntendossiers van huisartsen</c:v>
                </c:pt>
              </c:strCache>
            </c:strRef>
          </c:tx>
          <c:invertIfNegative val="0"/>
          <c:cat>
            <c:strRef>
              <c:f>Blad1!$A$2:$A$21</c:f>
              <c:strCache>
                <c:ptCount val="20"/>
                <c:pt idx="0">
                  <c:v>België</c:v>
                </c:pt>
                <c:pt idx="1">
                  <c:v>Denemarken</c:v>
                </c:pt>
                <c:pt idx="2">
                  <c:v>Duitsland</c:v>
                </c:pt>
                <c:pt idx="3">
                  <c:v>Engeland</c:v>
                </c:pt>
                <c:pt idx="4">
                  <c:v>Finland</c:v>
                </c:pt>
                <c:pt idx="5">
                  <c:v>Frankrijk</c:v>
                </c:pt>
                <c:pt idx="6">
                  <c:v>Griekenland</c:v>
                </c:pt>
                <c:pt idx="7">
                  <c:v>Ierland</c:v>
                </c:pt>
                <c:pt idx="8">
                  <c:v>Italië</c:v>
                </c:pt>
                <c:pt idx="9">
                  <c:v>Luxemburg</c:v>
                </c:pt>
                <c:pt idx="10">
                  <c:v>Nederland</c:v>
                </c:pt>
                <c:pt idx="11">
                  <c:v>Noord-Irland</c:v>
                </c:pt>
                <c:pt idx="12">
                  <c:v>Noorwegen</c:v>
                </c:pt>
                <c:pt idx="13">
                  <c:v>Oostenrijk</c:v>
                </c:pt>
                <c:pt idx="14">
                  <c:v>Portugal</c:v>
                </c:pt>
                <c:pt idx="15">
                  <c:v>Schotland</c:v>
                </c:pt>
                <c:pt idx="16">
                  <c:v>Spanje</c:v>
                </c:pt>
                <c:pt idx="17">
                  <c:v>Wales</c:v>
                </c:pt>
                <c:pt idx="18">
                  <c:v>Zweden</c:v>
                </c:pt>
                <c:pt idx="19">
                  <c:v>Zwitserland</c:v>
                </c:pt>
              </c:strCache>
            </c:strRef>
          </c:cat>
          <c:val>
            <c:numRef>
              <c:f>Blad1!$C$2:$C$21</c:f>
              <c:numCache>
                <c:formatCode>General</c:formatCode>
                <c:ptCount val="20"/>
                <c:pt idx="0">
                  <c:v>30</c:v>
                </c:pt>
                <c:pt idx="1">
                  <c:v>10</c:v>
                </c:pt>
                <c:pt idx="2">
                  <c:v>10</c:v>
                </c:pt>
                <c:pt idx="3">
                  <c:v>10</c:v>
                </c:pt>
                <c:pt idx="4">
                  <c:v>10</c:v>
                </c:pt>
                <c:pt idx="5">
                  <c:v>20</c:v>
                </c:pt>
                <c:pt idx="6">
                  <c:v>10</c:v>
                </c:pt>
                <c:pt idx="7">
                  <c:v>8</c:v>
                </c:pt>
                <c:pt idx="8">
                  <c:v>20</c:v>
                </c:pt>
                <c:pt idx="9">
                  <c:v>10</c:v>
                </c:pt>
                <c:pt idx="10">
                  <c:v>15</c:v>
                </c:pt>
                <c:pt idx="11">
                  <c:v>10</c:v>
                </c:pt>
                <c:pt idx="12">
                  <c:v>10</c:v>
                </c:pt>
                <c:pt idx="13">
                  <c:v>30</c:v>
                </c:pt>
                <c:pt idx="14">
                  <c:v>5</c:v>
                </c:pt>
                <c:pt idx="15">
                  <c:v>3</c:v>
                </c:pt>
                <c:pt idx="16">
                  <c:v>5</c:v>
                </c:pt>
                <c:pt idx="17">
                  <c:v>10</c:v>
                </c:pt>
                <c:pt idx="18">
                  <c:v>3</c:v>
                </c:pt>
                <c:pt idx="19">
                  <c:v>10</c:v>
                </c:pt>
              </c:numCache>
            </c:numRef>
          </c:val>
        </c:ser>
        <c:dLbls>
          <c:showLegendKey val="0"/>
          <c:showVal val="0"/>
          <c:showCatName val="0"/>
          <c:showSerName val="0"/>
          <c:showPercent val="0"/>
          <c:showBubbleSize val="0"/>
        </c:dLbls>
        <c:gapWidth val="300"/>
        <c:axId val="37650432"/>
        <c:axId val="106167040"/>
      </c:barChart>
      <c:catAx>
        <c:axId val="37650432"/>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nl-BE"/>
          </a:p>
        </c:txPr>
        <c:crossAx val="106167040"/>
        <c:crosses val="autoZero"/>
        <c:auto val="1"/>
        <c:lblAlgn val="ctr"/>
        <c:lblOffset val="100"/>
        <c:noMultiLvlLbl val="0"/>
      </c:catAx>
      <c:valAx>
        <c:axId val="106167040"/>
        <c:scaling>
          <c:orientation val="minMax"/>
        </c:scaling>
        <c:delete val="0"/>
        <c:axPos val="l"/>
        <c:majorGridlines/>
        <c:minorGridlines/>
        <c:title>
          <c:tx>
            <c:rich>
              <a:bodyPr/>
              <a:lstStyle/>
              <a:p>
                <a:pPr>
                  <a:defRPr>
                    <a:latin typeface="Times New Roman" pitchFamily="18" charset="0"/>
                    <a:cs typeface="Times New Roman" pitchFamily="18" charset="0"/>
                  </a:defRPr>
                </a:pPr>
                <a:r>
                  <a:rPr lang="nl-BE">
                    <a:latin typeface="Times New Roman" pitchFamily="18" charset="0"/>
                    <a:cs typeface="Times New Roman" pitchFamily="18" charset="0"/>
                  </a:rPr>
                  <a:t>Bewaartermijn</a:t>
                </a:r>
                <a:r>
                  <a:rPr lang="nl-BE" baseline="0">
                    <a:latin typeface="Times New Roman" pitchFamily="18" charset="0"/>
                    <a:cs typeface="Times New Roman" pitchFamily="18" charset="0"/>
                  </a:rPr>
                  <a:t> (jaren)</a:t>
                </a:r>
                <a:endParaRPr lang="nl-BE">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nl-BE"/>
          </a:p>
        </c:txPr>
        <c:crossAx val="3765043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nl-BE"/>
        </a:p>
      </c:txPr>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2817B-2FCB-4A7C-8DD9-6705128B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369</Pages>
  <Words>142346</Words>
  <Characters>782906</Characters>
  <Application>Microsoft Office Word</Application>
  <DocSecurity>0</DocSecurity>
  <Lines>6524</Lines>
  <Paragraphs>1846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Merijn</dc:creator>
  <cp:lastModifiedBy>Merijn</cp:lastModifiedBy>
  <cp:revision>2</cp:revision>
  <cp:lastPrinted>2012-10-07T20:43:00Z</cp:lastPrinted>
  <dcterms:created xsi:type="dcterms:W3CDTF">2012-10-07T20:49:00Z</dcterms:created>
  <dcterms:modified xsi:type="dcterms:W3CDTF">2012-10-07T20:49:00Z</dcterms:modified>
</cp:coreProperties>
</file>